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298787969" w:displacedByCustomXml="next" w:id="0"/>
    <w:bookmarkStart w:name="_Toc298788158" w:displacedByCustomXml="next" w:id="1"/>
    <w:bookmarkStart w:name="_Toc298788641" w:displacedByCustomXml="next" w:id="2"/>
    <w:bookmarkStart w:name="_Toc305686691" w:displacedByCustomXml="next" w:id="3"/>
    <w:bookmarkStart w:name="_Toc306350093" w:displacedByCustomXml="next" w:id="4"/>
    <w:bookmarkStart w:name="_Toc306350113" w:displacedByCustomXml="next" w:id="5"/>
    <w:bookmarkStart w:name="_Toc331517265" w:displacedByCustomXml="next" w:id="6"/>
    <w:bookmarkStart w:name="_Toc245891774" w:displacedByCustomXml="next" w:id="7"/>
    <w:bookmarkStart w:name="_Toc238803087" w:displacedByCustomXml="next" w:id="8"/>
    <w:bookmarkStart w:name="_Toc238803888" w:displacedByCustomXml="next" w:id="9"/>
    <w:sdt>
      <w:sdtPr>
        <w:id w:val="1024973533"/>
        <w:docPartObj>
          <w:docPartGallery w:val="Cover Pages"/>
          <w:docPartUnique/>
        </w:docPartObj>
      </w:sdtPr>
      <w:sdtEndPr/>
      <w:sdtContent>
        <w:p w:rsidRPr="00E330C4" w:rsidR="00B43E07" w:rsidP="00B43E07" w:rsidRDefault="00B43E07" w14:paraId="05640F5D" w14:textId="77777777">
          <w:pPr>
            <w:rPr>
              <w:lang w:val="en-GB"/>
            </w:rPr>
          </w:pPr>
        </w:p>
        <w:tbl>
          <w:tblPr>
            <w:tblW w:w="0" w:type="auto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3969"/>
          </w:tblGrid>
          <w:tr w:rsidRPr="00E330C4" w:rsidR="005B3658" w:rsidTr="006124BC" w14:paraId="3170F2D8" w14:textId="77777777">
            <w:tc>
              <w:tcPr>
                <w:tcW w:w="3969" w:type="dxa"/>
                <w:tcBorders>
                  <w:bottom w:val="single" w:color="A6A6A6" w:themeColor="background1" w:themeShade="A6" w:sz="4" w:space="0"/>
                </w:tcBorders>
                <w:shd w:val="clear" w:color="auto" w:fill="auto"/>
              </w:tcPr>
              <w:p w:rsidRPr="00E330C4" w:rsidR="005B3658" w:rsidP="005B3658" w:rsidRDefault="005B3658" w14:paraId="6AAE07DF" w14:textId="541A0E83">
                <w:r w:rsidRPr="00E330C4">
                  <w:t>EBA/GL/2020/14</w:t>
                </w:r>
                <w:r w:rsidRPr="006124BC" w:rsidR="006124BC">
                  <w:t xml:space="preserve"> (Verżjoni konsolidata)</w:t>
                </w:r>
              </w:p>
            </w:tc>
          </w:tr>
          <w:tr w:rsidRPr="00E330C4" w:rsidR="005B3658" w:rsidTr="006124BC" w14:paraId="70F4DBFA" w14:textId="77777777">
            <w:tc>
              <w:tcPr>
                <w:tcW w:w="3969" w:type="dxa"/>
                <w:tcBorders>
                  <w:top w:val="single" w:color="A6A6A6" w:themeColor="background1" w:themeShade="A6" w:sz="4" w:space="0"/>
                  <w:bottom w:val="single" w:color="A6A6A6" w:themeColor="background1" w:themeShade="A6" w:sz="4" w:space="0"/>
                </w:tcBorders>
                <w:shd w:val="clear" w:color="auto" w:fill="auto"/>
              </w:tcPr>
              <w:p w:rsidRPr="00E330C4" w:rsidR="005B3658" w:rsidP="005B3658" w:rsidRDefault="005B3658" w14:paraId="55211379" w14:textId="73FFF2EB">
                <w:r w:rsidRPr="00E330C4">
                  <w:rPr>
                    <w:color w:val="000000"/>
                  </w:rPr>
                  <w:t>4 ta’ Novembru 2020</w:t>
                </w:r>
              </w:p>
            </w:tc>
          </w:tr>
        </w:tbl>
        <w:p w:rsidRPr="00E330C4" w:rsidR="00B43E07" w:rsidP="00B43E07" w:rsidRDefault="00B43E07" w14:paraId="2E2B6714" w14:textId="77777777">
          <w:pPr>
            <w:rPr>
              <w:lang w:val="en-GB"/>
            </w:rPr>
          </w:pPr>
        </w:p>
        <w:tbl>
          <w:tblPr>
            <w:tblStyle w:val="TableGrid"/>
            <w:tblW w:w="0" w:type="auto"/>
            <w:tblBorders>
              <w:bottom w:val="none" w:color="auto" w:sz="0" w:space="0"/>
              <w:insideH w:val="none" w:color="auto" w:sz="0" w:space="0"/>
            </w:tblBorders>
            <w:tblLook w:val="04A0" w:firstRow="1" w:lastRow="0" w:firstColumn="1" w:lastColumn="0" w:noHBand="0" w:noVBand="1"/>
          </w:tblPr>
          <w:tblGrid>
            <w:gridCol w:w="8781"/>
          </w:tblGrid>
          <w:tr w:rsidRPr="00E330C4" w:rsidR="00B43E07" w:rsidTr="00993B1E" w14:paraId="598BC7AF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73"/>
            </w:trPr>
            <w:tc>
              <w:tcPr>
                <w:tcW w:w="8781" w:type="dxa"/>
                <w:tc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tl2br w:val="none" w:color="auto" w:sz="0" w:space="0"/>
                  <w:tr2bl w:val="none" w:color="auto" w:sz="0" w:space="0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Pr="00DC3BF4" w:rsidR="00B57936" w:rsidP="00B57936" w:rsidRDefault="00B57936" w14:paraId="2B2335BA" w14:textId="77777777">
                <w:pPr>
                  <w:pStyle w:val="BodyText"/>
                  <w:tabs>
                    <w:tab w:val="left" w:pos="1802"/>
                  </w:tabs>
                  <w:spacing w:before="100" w:after="60" w:line="276" w:lineRule="auto"/>
                  <w:ind w:left="425" w:right="232"/>
                  <w:jc w:val="both"/>
                  <w:rPr>
                    <w:color w:val="E98E31" w:themeColor="background2"/>
                    <w:spacing w:val="-1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yellow"/>
                    <w:lang w:val="en-GB"/>
                  </w:rPr>
                  <w:t>Ø</w:t>
                </w:r>
                <w:r w:rsidRPr="007B541C">
                  <w:rPr>
                    <w:rFonts w:eastAsia="MS PGothic" w:cs="Times New Roman"/>
                    <w:color w:val="E98E31"/>
                    <w:highlight w:val="yellow"/>
                    <w:lang w:val="en-GB"/>
                  </w:rPr>
                  <w:t>O</w:t>
                </w:r>
                <w:r w:rsidRPr="00DC3BF4">
                  <w:rPr>
                    <w:color w:val="E98E31" w:themeColor="background2"/>
                    <w:spacing w:val="-1"/>
                  </w:rPr>
                  <w:t xml:space="preserve"> </w:t>
                </w:r>
              </w:p>
              <w:p w:rsidRPr="00E330C4" w:rsidR="00B43E07" w:rsidP="00721D07" w:rsidRDefault="00A81586" w14:paraId="6E80AD78" w14:textId="1CA22651">
                <w:pPr>
                  <w:pStyle w:val="Contenttitle"/>
                </w:pPr>
                <w:r w:rsidRPr="00E330C4">
                  <w:t xml:space="preserve">Linji gwida </w:t>
                </w:r>
              </w:p>
            </w:tc>
          </w:tr>
          <w:tr w:rsidRPr="00E330C4" w:rsidR="00B43E07" w:rsidTr="00993B1E" w14:paraId="15A7E3AC" w14:textId="77777777">
            <w:tc>
              <w:tcPr>
                <w:tcW w:w="8781" w:type="dxa"/>
                <w:tcMar>
                  <w:left w:w="0" w:type="dxa"/>
                  <w:right w:w="0" w:type="dxa"/>
                </w:tcMar>
                <w:vAlign w:val="top"/>
              </w:tcPr>
              <w:p w:rsidRPr="00EA7576" w:rsidR="00B43E07" w:rsidP="00E410F0" w:rsidRDefault="00B43E07" w14:paraId="0720F01B" w14:textId="502EF582">
                <w:pPr>
                  <w:pStyle w:val="Titlelevel4"/>
                  <w:rPr>
                    <w:lang w:val="mt-MT"/>
                  </w:rPr>
                </w:pPr>
                <w:r w:rsidRPr="00EA7576">
                  <w:rPr>
                    <w:rFonts w:asciiTheme="majorHAnsi" w:hAnsiTheme="majorHAnsi"/>
                    <w:bCs/>
                    <w:color w:val="2F5773" w:themeColor="text2"/>
                    <w:sz w:val="52"/>
                    <w:szCs w:val="52"/>
                    <w:lang w:val="mt-MT"/>
                  </w:rPr>
                  <w:t>dwar l-ispeċifikazzjoni u d-divulgazzjoni tal-indikaturi ta’ importanza sistemika</w:t>
                </w:r>
              </w:p>
            </w:tc>
          </w:tr>
        </w:tbl>
        <w:p w:rsidRPr="006124BC" w:rsidR="00B43E07" w:rsidP="00B43E07" w:rsidRDefault="00B43E07" w14:paraId="41F2A21B" w14:textId="77777777">
          <w:pPr>
            <w:rPr>
              <w:sz w:val="52"/>
              <w:szCs w:val="52"/>
              <w:lang w:val="es-ES"/>
            </w:rPr>
          </w:pPr>
        </w:p>
        <w:p w:rsidRPr="006124BC" w:rsidR="00B43E07" w:rsidP="00B43E07" w:rsidRDefault="00B43E07" w14:paraId="1441AC18" w14:textId="75EB0034">
          <w:pPr>
            <w:rPr>
              <w:sz w:val="52"/>
              <w:szCs w:val="52"/>
              <w:lang w:val="es-ES"/>
            </w:rPr>
          </w:pPr>
        </w:p>
        <w:p w:rsidRPr="006124BC" w:rsidR="006124BC" w:rsidP="00B43E07" w:rsidRDefault="006124BC" w14:paraId="5373CF83" w14:textId="1CECC1EA">
          <w:pPr>
            <w:rPr>
              <w:sz w:val="52"/>
              <w:szCs w:val="52"/>
              <w:lang w:val="es-ES"/>
            </w:rPr>
          </w:pPr>
        </w:p>
        <w:p w:rsidRPr="006124BC" w:rsidR="006124BC" w:rsidP="00B43E07" w:rsidRDefault="006124BC" w14:paraId="41D7E202" w14:textId="120642D1">
          <w:pPr>
            <w:rPr>
              <w:sz w:val="52"/>
              <w:szCs w:val="52"/>
              <w:lang w:val="es-ES"/>
            </w:rPr>
          </w:pPr>
        </w:p>
        <w:p w:rsidR="006124BC" w:rsidP="00B43E07" w:rsidRDefault="006124BC" w14:paraId="153E0879" w14:textId="07D7B472">
          <w:pPr>
            <w:rPr>
              <w:lang w:val="es-ES"/>
            </w:rPr>
          </w:pPr>
        </w:p>
        <w:tbl>
          <w:tblPr>
            <w:tblStyle w:val="EBAtable"/>
            <w:tblW w:w="9125" w:type="dxa"/>
            <w:tblLook w:val="04A0" w:firstRow="1" w:lastRow="0" w:firstColumn="1" w:lastColumn="0" w:noHBand="0" w:noVBand="1"/>
          </w:tblPr>
          <w:tblGrid>
            <w:gridCol w:w="824"/>
            <w:gridCol w:w="2190"/>
            <w:gridCol w:w="6111"/>
          </w:tblGrid>
          <w:tr w:rsidRPr="00D13DB3" w:rsidR="006124BC" w:rsidTr="005D18C0" w14:paraId="76D72EA3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00"/>
            </w:trPr>
            <w:tc>
              <w:tcPr>
                <w:tcW w:w="3014" w:type="dxa"/>
                <w:gridSpan w:val="2"/>
                <w:tcBorders>
                  <w:top w:val="single" w:color="auto" w:sz="12" w:space="0"/>
                  <w:left w:val="single" w:color="auto" w:sz="12" w:space="0"/>
                </w:tcBorders>
              </w:tcPr>
              <w:p w:rsidRPr="00D13DB3" w:rsidR="006124BC" w:rsidP="005D18C0" w:rsidRDefault="006124BC" w14:paraId="319013D3" w14:textId="77777777">
                <w:pPr>
                  <w:spacing w:before="240" w:after="120" w:line="276" w:lineRule="auto"/>
                  <w:jc w:val="both"/>
                  <w:rPr>
                    <w:rFonts w:eastAsia="MS PGothic" w:cs="Times New Roman"/>
                    <w:lang w:eastAsia="en-GB"/>
                  </w:rPr>
                </w:pPr>
              </w:p>
              <w:p w:rsidRPr="00D13DB3" w:rsidR="006124BC" w:rsidP="005D18C0" w:rsidRDefault="006124BC" w14:paraId="7F555A2B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  <w:tc>
              <w:tcPr>
                <w:tcW w:w="6111" w:type="dxa"/>
                <w:tcBorders>
                  <w:top w:val="single" w:color="auto" w:sz="12" w:space="0"/>
                  <w:right w:val="single" w:color="auto" w:sz="12" w:space="0"/>
                </w:tcBorders>
              </w:tcPr>
              <w:p w:rsidRPr="006124BC" w:rsidR="006124BC" w:rsidP="006124BC" w:rsidRDefault="006124BC" w14:paraId="08711FA2" w14:textId="5B8FD32D">
                <w:pPr>
                  <w:rPr>
                    <w:rFonts w:ascii="Calibri" w:hAnsi="Calibri" w:cs="Calibri"/>
                    <w:color w:val="000000"/>
                    <w:szCs w:val="22"/>
                    <w:lang w:val="fr-FR"/>
                  </w:rPr>
                </w:pPr>
                <w:r>
                  <w:rPr>
                    <w:rFonts w:ascii="Calibri" w:hAnsi="Calibri" w:cs="Calibri"/>
                    <w:color w:val="000000"/>
                    <w:szCs w:val="22"/>
                  </w:rPr>
                  <w:t>Data tal-applikazzjoni</w:t>
                </w:r>
              </w:p>
            </w:tc>
          </w:tr>
          <w:tr w:rsidRPr="00D13DB3" w:rsidR="006124BC" w:rsidTr="005D18C0" w14:paraId="461F663D" w14:textId="77777777">
            <w:trPr>
              <w:trHeight w:val="300"/>
            </w:trPr>
            <w:tc>
              <w:tcPr>
                <w:tcW w:w="3014" w:type="dxa"/>
                <w:gridSpan w:val="2"/>
                <w:tcBorders>
                  <w:left w:val="single" w:color="auto" w:sz="12" w:space="0"/>
                </w:tcBorders>
              </w:tcPr>
              <w:p w:rsidRPr="00D13DB3" w:rsidR="006124BC" w:rsidP="005D18C0" w:rsidRDefault="006124BC" w14:paraId="38252A89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yellow"/>
                    <w:lang w:val="en-GB" w:eastAsia="en-GB"/>
                  </w:rPr>
                  <w:t>Ø</w:t>
                </w:r>
                <w:r w:rsidRPr="007B541C">
                  <w:rPr>
                    <w:rFonts w:eastAsia="MS PGothic" w:cs="Times New Roman"/>
                    <w:color w:val="E98E31"/>
                    <w:highlight w:val="yellow"/>
                    <w:lang w:val="en-GB" w:eastAsia="en-GB"/>
                  </w:rPr>
                  <w:t>O</w:t>
                </w:r>
              </w:p>
            </w:tc>
            <w:tc>
              <w:tcPr>
                <w:tcW w:w="6111" w:type="dxa"/>
                <w:tcBorders>
                  <w:right w:val="single" w:color="auto" w:sz="12" w:space="0"/>
                </w:tcBorders>
              </w:tcPr>
              <w:p w:rsidRPr="00D13DB3" w:rsidR="006124BC" w:rsidP="005D18C0" w:rsidRDefault="006124BC" w14:paraId="04DDA569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  <w:r>
                  <w:rPr>
                    <w:rFonts w:eastAsia="MS PGothic" w:cs="Times New Roman"/>
                    <w:lang w:val="en-GB" w:eastAsia="en-GB"/>
                  </w:rPr>
                  <w:t>04</w:t>
                </w:r>
                <w:r w:rsidRPr="00D13DB3">
                  <w:rPr>
                    <w:rFonts w:eastAsia="MS PGothic" w:cs="Times New Roman"/>
                    <w:lang w:val="en-GB" w:eastAsia="en-GB"/>
                  </w:rPr>
                  <w:t>.</w:t>
                </w:r>
                <w:r>
                  <w:rPr>
                    <w:rFonts w:eastAsia="MS PGothic" w:cs="Times New Roman"/>
                    <w:lang w:val="en-GB" w:eastAsia="en-GB"/>
                  </w:rPr>
                  <w:t>11</w:t>
                </w:r>
                <w:r w:rsidRPr="00D13DB3">
                  <w:rPr>
                    <w:rFonts w:eastAsia="MS PGothic" w:cs="Times New Roman"/>
                    <w:lang w:val="en-GB" w:eastAsia="en-GB"/>
                  </w:rPr>
                  <w:t>.</w:t>
                </w:r>
                <w:r>
                  <w:rPr>
                    <w:rFonts w:eastAsia="MS PGothic" w:cs="Times New Roman"/>
                    <w:lang w:val="en-GB" w:eastAsia="en-GB"/>
                  </w:rPr>
                  <w:t>2020</w:t>
                </w:r>
              </w:p>
            </w:tc>
          </w:tr>
          <w:tr w:rsidRPr="00D13DB3" w:rsidR="006124BC" w:rsidTr="005D18C0" w14:paraId="46AED5EA" w14:textId="77777777">
            <w:trPr>
              <w:trHeight w:val="300"/>
            </w:trPr>
            <w:tc>
              <w:tcPr>
                <w:tcW w:w="3014" w:type="dxa"/>
                <w:gridSpan w:val="2"/>
                <w:tcBorders>
                  <w:left w:val="single" w:color="auto" w:sz="12" w:space="0"/>
                </w:tcBorders>
              </w:tcPr>
              <w:p w:rsidRPr="006124BC" w:rsidR="006124BC" w:rsidP="006124BC" w:rsidRDefault="006124BC" w14:paraId="3DA21BBC" w14:textId="11772A5D">
                <w:pPr>
                  <w:rPr>
                    <w:rFonts w:ascii="Calibri" w:hAnsi="Calibri" w:cs="Calibri"/>
                    <w:color w:val="000000"/>
                    <w:szCs w:val="22"/>
                    <w:lang w:val="fr-FR"/>
                  </w:rPr>
                </w:pPr>
                <w:r>
                  <w:rPr>
                    <w:rFonts w:ascii="Calibri" w:hAnsi="Calibri" w:cs="Calibri"/>
                    <w:color w:val="000000"/>
                    <w:szCs w:val="22"/>
                  </w:rPr>
                  <w:t>Emendat bi:</w:t>
                </w:r>
              </w:p>
            </w:tc>
            <w:tc>
              <w:tcPr>
                <w:tcW w:w="6111" w:type="dxa"/>
                <w:tcBorders>
                  <w:right w:val="single" w:color="auto" w:sz="12" w:space="0"/>
                </w:tcBorders>
              </w:tcPr>
              <w:p w:rsidRPr="00D13DB3" w:rsidR="006124BC" w:rsidP="005D18C0" w:rsidRDefault="006124BC" w14:paraId="0F0ED284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</w:tr>
          <w:tr w:rsidRPr="00D13DB3" w:rsidR="006124BC" w:rsidTr="005D18C0" w14:paraId="0D6BD4AF" w14:textId="77777777">
            <w:trPr>
              <w:trHeight w:val="58"/>
            </w:trPr>
            <w:tc>
              <w:tcPr>
                <w:tcW w:w="824" w:type="dxa"/>
                <w:tcBorders>
                  <w:left w:val="single" w:color="auto" w:sz="12" w:space="0"/>
                  <w:bottom w:val="single" w:color="auto" w:sz="12" w:space="0"/>
                </w:tcBorders>
              </w:tcPr>
              <w:p w:rsidRPr="00D13DB3" w:rsidR="006124BC" w:rsidP="005D18C0" w:rsidRDefault="006124BC" w14:paraId="3C51422E" w14:textId="77777777">
                <w:pPr>
                  <w:rPr>
                    <w:rFonts w:eastAsia="MS PGothic" w:cs="Times New Roman"/>
                    <w:color w:val="E98E31"/>
                    <w:lang w:val="en-GB" w:eastAsia="en-GB"/>
                  </w:rPr>
                </w:pPr>
                <w:r w:rsidRPr="007B541C">
                  <w:rPr>
                    <w:rFonts w:ascii="Wingdings" w:hAnsi="Wingdings" w:eastAsia="Wingdings" w:cs="Wingdings"/>
                    <w:color w:val="E98E31"/>
                    <w:highlight w:val="green"/>
                    <w:lang w:val="en-GB" w:eastAsia="en-GB"/>
                  </w:rPr>
                  <w:t>Ø</w:t>
                </w:r>
                <w:r w:rsidRPr="007B541C">
                  <w:rPr>
                    <w:rFonts w:eastAsia="Wingdings" w:cs="Wingdings"/>
                    <w:color w:val="E98E31"/>
                    <w:highlight w:val="green"/>
                    <w:lang w:val="en-GB" w:eastAsia="en-GB"/>
                  </w:rPr>
                  <w:t>A1</w:t>
                </w:r>
              </w:p>
            </w:tc>
            <w:tc>
              <w:tcPr>
                <w:tcW w:w="2190" w:type="dxa"/>
                <w:tcBorders>
                  <w:bottom w:val="single" w:color="auto" w:sz="12" w:space="0"/>
                </w:tcBorders>
              </w:tcPr>
              <w:p w:rsidRPr="00D13DB3" w:rsidR="006124BC" w:rsidP="005D18C0" w:rsidRDefault="006124BC" w14:paraId="1464C631" w14:textId="77777777">
                <w:pPr>
                  <w:rPr>
                    <w:rFonts w:eastAsia="MS PGothic" w:cs="Times New Roman"/>
                  </w:rPr>
                </w:pPr>
                <w:r w:rsidRPr="00D13DB3">
                  <w:rPr>
                    <w:rFonts w:eastAsia="MS PGothic" w:cs="Times New Roman"/>
                  </w:rPr>
                  <w:t>EBA/GL</w:t>
                </w:r>
                <w:r w:rsidRPr="005261FC">
                  <w:t>/2023/10</w:t>
                </w:r>
              </w:p>
            </w:tc>
            <w:tc>
              <w:tcPr>
                <w:tcW w:w="6111" w:type="dxa"/>
                <w:tcBorders>
                  <w:bottom w:val="single" w:color="auto" w:sz="12" w:space="0"/>
                  <w:right w:val="single" w:color="auto" w:sz="12" w:space="0"/>
                </w:tcBorders>
              </w:tcPr>
              <w:p w:rsidRPr="00D13DB3" w:rsidR="006124BC" w:rsidP="005D18C0" w:rsidRDefault="006124BC" w14:paraId="7913F35B" w14:textId="77777777">
                <w:pPr>
                  <w:rPr>
                    <w:rFonts w:eastAsia="MS PGothic" w:cs="Times New Roman"/>
                    <w:lang w:val="en-GB" w:eastAsia="en-GB"/>
                  </w:rPr>
                </w:pPr>
              </w:p>
            </w:tc>
          </w:tr>
        </w:tbl>
        <w:p w:rsidRPr="00E330C4" w:rsidR="006124BC" w:rsidP="00B43E07" w:rsidRDefault="006124BC" w14:paraId="79322C83" w14:textId="77777777">
          <w:pPr>
            <w:rPr>
              <w:lang w:val="es-ES"/>
            </w:rPr>
          </w:pPr>
        </w:p>
        <w:p w:rsidRPr="00E330C4" w:rsidR="00B43E07" w:rsidP="00B43E07" w:rsidRDefault="00B43E07" w14:paraId="3673D6BB" w14:textId="77777777">
          <w:r w:rsidRPr="00E330C4">
            <w:br w:type="page"/>
          </w:r>
        </w:p>
      </w:sdtContent>
    </w:sdt>
    <w:p w:rsidRPr="00E330C4" w:rsidR="00B43E07" w:rsidP="00DC38FB" w:rsidRDefault="00B43E07" w14:paraId="72D6F5BF" w14:textId="77777777">
      <w:pPr>
        <w:pStyle w:val="Numberedtilelevel1"/>
        <w:numPr>
          <w:ilvl w:val="0"/>
          <w:numId w:val="12"/>
        </w:numPr>
      </w:pPr>
      <w:r w:rsidRPr="00E330C4">
        <w:lastRenderedPageBreak/>
        <w:t>Obbligi ta’ konformità u ta’ rapportar</w:t>
      </w:r>
    </w:p>
    <w:p w:rsidRPr="00E330C4" w:rsidR="00B43E07" w:rsidP="00B43E07" w:rsidRDefault="00B43E07" w14:paraId="3B9E826E" w14:textId="5EE3EC56">
      <w:pPr>
        <w:pStyle w:val="Titlelevel2"/>
      </w:pPr>
      <w:r w:rsidRPr="00E330C4">
        <w:t>Status ta’ dawn il-linji gwida</w:t>
      </w:r>
    </w:p>
    <w:p w:rsidRPr="00E330C4" w:rsidR="00B43E07" w:rsidP="00DC38FB" w:rsidRDefault="00B43E07" w14:paraId="4AFE96B1" w14:textId="13B187BE">
      <w:pPr>
        <w:pStyle w:val="body"/>
        <w:numPr>
          <w:ilvl w:val="0"/>
          <w:numId w:val="10"/>
        </w:numPr>
      </w:pPr>
      <w:r w:rsidRPr="00E330C4">
        <w:t>Dan id-dokument jinkludi linji gwida maħruġa skont l-Artikolu 16 tar-Regolament (UE) Nru 1093/2010.</w:t>
      </w:r>
      <w:r w:rsidRPr="00E330C4">
        <w:rPr>
          <w:rStyle w:val="FootnoteReference"/>
          <w:lang w:val="en-GB"/>
        </w:rPr>
        <w:footnoteReference w:id="2"/>
      </w:r>
      <w:r w:rsidRPr="00E330C4">
        <w:t xml:space="preserve"> F’konformità mal-Artikolu 16(3) tar-Regolament (UE) Nru 1093/2010, l-awtoritajiet kompetenti u l-istituzzjonijiet finanzjarji jridu jagħmlu kull sforz sabiex jikkonformaw mal-linji gwida.</w:t>
      </w:r>
    </w:p>
    <w:p w:rsidRPr="00E330C4" w:rsidR="00B43E07" w:rsidP="00DC38FB" w:rsidRDefault="00B43E07" w14:paraId="23E7F140" w14:textId="591D7378">
      <w:pPr>
        <w:pStyle w:val="body"/>
        <w:numPr>
          <w:ilvl w:val="0"/>
          <w:numId w:val="10"/>
        </w:numPr>
      </w:pPr>
      <w:r w:rsidRPr="00E330C4">
        <w:t>Il-linji gwida jistabbilixxu l-opinjoni tal-EBA fir-rigward ta’ prattiki superviżorji xierqa fi ħdan is-Sistema Ewropea ta’ Superviżjoni Finanzjarja jew ta’ kif id-dritt tal-Unjoni għandu jiġi applikat f’qasam partikolari. L-awtoritajiet kompetenti kif iddefiniti fl-Artikolu 4(2) tar-Regolament (UE) Nru 1093/2010 li għalihom japplikaw il-linji gwida għandhom jikkonformaw billi jinkorporawhom fil-prattiki tagħhom kif xieraq (eż. billi jemendaw il-qafas legali tagħhom jew il-proċessi superviżorji tagħhom), inkluż fejn il-linji gwida huma indirizzati primarjament lejn l-istituzzjonijiet.</w:t>
      </w:r>
    </w:p>
    <w:p w:rsidRPr="00E330C4" w:rsidR="00B43E07" w:rsidP="00B43E07" w:rsidRDefault="00B43E07" w14:paraId="141EDBC6" w14:textId="77777777">
      <w:pPr>
        <w:pStyle w:val="Titlelevel2"/>
      </w:pPr>
      <w:r w:rsidRPr="00E330C4">
        <w:t>Rekwiżiti ta’ rapportar</w:t>
      </w:r>
    </w:p>
    <w:p w:rsidRPr="00E330C4" w:rsidR="00B43E07" w:rsidP="00DC38FB" w:rsidRDefault="00236329" w14:paraId="7EE20541" w14:textId="6F2740F6">
      <w:pPr>
        <w:pStyle w:val="body"/>
        <w:numPr>
          <w:ilvl w:val="0"/>
          <w:numId w:val="10"/>
        </w:numPr>
      </w:pPr>
      <w:r w:rsidRPr="00E330C4">
        <w:t>B’konformità mal-Artikolu 16(3) tar-Regolament (UE) Nru 1093/2010, l-awtoritajiet kompetenti jridu jinnotifikaw lill-EBA li jikkonformaw jew hux beħsiebhom jikkonformaw ma’ dawn il-linji gwida, jew inkella jagħtu r-raġunijiet għan-nuqqas ta’ konformità, sa</w:t>
      </w:r>
      <w:r w:rsidRPr="00EA7576" w:rsidR="00CD460D">
        <w:t xml:space="preserve"> 16.02.2021</w:t>
      </w:r>
      <w:r w:rsidRPr="00E330C4">
        <w:t>. Fin-nuqqas ta’ kwalunkwe notifika sa din l-iskadenza, l-awtoritajiet kompetenti jiġu kkunsidrati mill-EBA bħala mhux konformi. In-notifiki għandhom jintbagħtu billi tiġi sottomessa l-formola disponibbli fuq is-sit web tal-EBA bir-referenza “EBA/GL/2020/14”. In-notifiki għandhom jiġu sottomessi minn persuni bl-awtorità xierqa biex jirrappurtaw il-konformità f’isem l-awtoritajiet kompetenti tagħhom. Kwalunkwe tibdil fl-istatus tal-konformità jrid jiġi rrapportat ukoll lill-EBA.</w:t>
      </w:r>
    </w:p>
    <w:p w:rsidRPr="00E330C4" w:rsidR="00B43E07" w:rsidP="00DC38FB" w:rsidRDefault="00B43E07" w14:paraId="3FF09602" w14:textId="563622BD">
      <w:pPr>
        <w:pStyle w:val="body"/>
        <w:numPr>
          <w:ilvl w:val="0"/>
          <w:numId w:val="10"/>
        </w:numPr>
      </w:pPr>
      <w:r w:rsidRPr="00E330C4">
        <w:t>In-notifiki se jiġu ppubblikati fuq is-sit web tal-EBA, f’konformità mal-Artikolu 16(3).</w:t>
      </w:r>
    </w:p>
    <w:p w:rsidRPr="00E330C4" w:rsidR="00B43E07" w:rsidP="00B43E07" w:rsidRDefault="00B43E07" w14:paraId="0BB7AD43" w14:textId="77777777">
      <w:pPr>
        <w:pStyle w:val="Titlelevel2"/>
      </w:pPr>
      <w:r w:rsidRPr="00E330C4">
        <w:br w:type="page"/>
      </w:r>
    </w:p>
    <w:p w:rsidRPr="00E330C4" w:rsidR="00B43E07" w:rsidP="00CE3517" w:rsidRDefault="00B43E07" w14:paraId="207E9159" w14:textId="77777777">
      <w:pPr>
        <w:pStyle w:val="Numberedtilelevel1"/>
      </w:pPr>
      <w:r w:rsidRPr="00E330C4">
        <w:lastRenderedPageBreak/>
        <w:t>Suġġett, kamp ta’ applikazzjoni u definizzjonijiet</w:t>
      </w:r>
    </w:p>
    <w:p w:rsidRPr="00E330C4" w:rsidR="00B43E07" w:rsidP="00B43E07" w:rsidRDefault="00B43E07" w14:paraId="329ACB0A" w14:textId="77777777">
      <w:pPr>
        <w:pStyle w:val="Titlelevel2"/>
      </w:pPr>
      <w:r w:rsidRPr="00E330C4">
        <w:t>Suġġett</w:t>
      </w:r>
    </w:p>
    <w:p w:rsidRPr="00E330C4" w:rsidR="00DE0FE1" w:rsidP="00DC38FB" w:rsidRDefault="00DE0FE1" w14:paraId="667A5E79" w14:textId="75DF9FF9">
      <w:pPr>
        <w:pStyle w:val="body"/>
        <w:numPr>
          <w:ilvl w:val="0"/>
          <w:numId w:val="10"/>
        </w:numPr>
      </w:pPr>
      <w:r w:rsidRPr="00E330C4">
        <w:t>Dawn il-linji gwidi jirrelataw ma’:</w:t>
      </w:r>
    </w:p>
    <w:p w:rsidRPr="00E330C4" w:rsidR="00DE0FE1" w:rsidP="00DC38FB" w:rsidRDefault="00DE0FE1" w14:paraId="7F872996" w14:textId="017F20C9">
      <w:pPr>
        <w:pStyle w:val="body"/>
        <w:numPr>
          <w:ilvl w:val="1"/>
          <w:numId w:val="13"/>
        </w:numPr>
      </w:pPr>
      <w:r w:rsidRPr="00E330C4">
        <w:t>l-ispeċifikazzjoni tal-indikaturi użati għall-identifikazzjoni ta’ istituzzjonijiet globali sistemikament importanti (G-SIIs) kif stabbilit fir-Regolament (UE) Nru 1222/2014 (“l-indikaturi”); u</w:t>
      </w:r>
    </w:p>
    <w:p w:rsidRPr="00E330C4" w:rsidR="00B43E07" w:rsidP="00DC38FB" w:rsidRDefault="00DE0FE1" w14:paraId="776C11F3" w14:textId="58E74370">
      <w:pPr>
        <w:pStyle w:val="body"/>
        <w:numPr>
          <w:ilvl w:val="1"/>
          <w:numId w:val="13"/>
        </w:numPr>
      </w:pPr>
      <w:r w:rsidRPr="00E330C4">
        <w:t>ir-rappurtar tad-</w:t>
      </w:r>
      <w:r w:rsidRPr="00E330C4">
        <w:rPr>
          <w:i/>
          <w:iCs/>
        </w:rPr>
        <w:t>data</w:t>
      </w:r>
      <w:r w:rsidRPr="00E330C4">
        <w:t xml:space="preserve"> sottostanti (l-indikaturi, id-</w:t>
      </w:r>
      <w:r w:rsidRPr="00E330C4">
        <w:rPr>
          <w:i/>
          <w:iCs/>
        </w:rPr>
        <w:t>data</w:t>
      </w:r>
      <w:r w:rsidRPr="00E330C4">
        <w:t xml:space="preserve"> anċillari u l-entrati ta’ memorandum) u d-divulgazzjoni annwali tal-valuri tal-indikaturi li jirriżultaw użati għall-identifikazzjoni tal-G-SIIs.</w:t>
      </w:r>
    </w:p>
    <w:p w:rsidRPr="00E330C4" w:rsidR="00B43E07" w:rsidP="00B43E07" w:rsidRDefault="00B43E07" w14:paraId="07F996E2" w14:textId="77777777">
      <w:pPr>
        <w:pStyle w:val="Titlelevel2"/>
      </w:pPr>
      <w:r w:rsidRPr="00E330C4">
        <w:t>Kamp ta’ applikazzjoni</w:t>
      </w:r>
    </w:p>
    <w:p w:rsidRPr="00E330C4" w:rsidR="00DE0FE1" w:rsidP="00DC38FB" w:rsidRDefault="00B43E07" w14:paraId="71B629CF" w14:textId="05197A71">
      <w:pPr>
        <w:pStyle w:val="body"/>
        <w:numPr>
          <w:ilvl w:val="0"/>
          <w:numId w:val="10"/>
        </w:numPr>
      </w:pPr>
      <w:r w:rsidRPr="00E330C4">
        <w:t>Dawn il-linji gwida japplikaw fir-rigward ta’</w:t>
      </w:r>
    </w:p>
    <w:p w:rsidRPr="00E330C4" w:rsidR="00DE0FE1" w:rsidP="00DC38FB" w:rsidRDefault="000F3C24" w14:paraId="73EAD676" w14:textId="3140197F">
      <w:pPr>
        <w:pStyle w:val="body"/>
        <w:numPr>
          <w:ilvl w:val="0"/>
          <w:numId w:val="14"/>
        </w:numPr>
      </w:pPr>
      <w:r w:rsidRPr="00E330C4">
        <w:t>gruppi mmexxija minn istituzzjoni prinċipali tal-UE, kumpanija azzjonarja finanzjarja omm tal-UE jew kumpanija azzjonarja finanzjarja mħallta omm tal-UE; u</w:t>
      </w:r>
    </w:p>
    <w:p w:rsidRPr="00E330C4" w:rsidR="00B43E07" w:rsidP="00DC38FB" w:rsidRDefault="00DE0FE1" w14:paraId="0D1E1C78" w14:textId="031EF3C2">
      <w:pPr>
        <w:pStyle w:val="body"/>
        <w:numPr>
          <w:ilvl w:val="0"/>
          <w:numId w:val="14"/>
        </w:numPr>
      </w:pPr>
      <w:r w:rsidRPr="00E330C4">
        <w:t>istituzzjonijiet li mhumiex sussidjarji ta’ istituzzjoni prinċipali tal-UE, kumpanija azzjonarja finanzjarja prinċipali tal-UE jew kumpanija azzjonarja finanzjarja mħallta prinċipali tal-UE</w:t>
      </w:r>
    </w:p>
    <w:p w:rsidRPr="00E330C4" w:rsidR="00B43E07" w:rsidP="00DE0FE1" w:rsidRDefault="003A2221" w14:paraId="5736DC31" w14:textId="54A8D23B">
      <w:pPr>
        <w:pStyle w:val="body"/>
      </w:pPr>
      <w:r w:rsidRPr="00E330C4">
        <w:t>li josservaw miżura tal-iskopertura tal-proporzjon ta’ ingranaġġ li jeċċedi EUR 200 biljun fuq bażi kkonsolidata jew individwali, rispettivament (u inklużi s-sussidjarji tal-assigurazzjoni), bl-użu ta’ rata tal-kambju adegwata li tqis ir-rata tal-kambju ta’ referenza ppubblikata mill-Bank Ċentrali Ewropew applikabbli mal-istandards tas-sena finanzjarja finali u internazzjonali (“l-entitajiet rilevanti”).</w:t>
      </w:r>
    </w:p>
    <w:p w:rsidRPr="00E330C4" w:rsidR="00B43E07" w:rsidP="00B43E07" w:rsidRDefault="00B43E07" w14:paraId="6EAA3145" w14:textId="77777777">
      <w:pPr>
        <w:pStyle w:val="Titlelevel2"/>
      </w:pPr>
      <w:r w:rsidRPr="00E330C4">
        <w:t>Destinatarji</w:t>
      </w:r>
    </w:p>
    <w:p w:rsidRPr="00E330C4" w:rsidR="00B43E07" w:rsidP="00DC38FB" w:rsidRDefault="00DE0FE1" w14:paraId="12310C5F" w14:textId="42F50B99">
      <w:pPr>
        <w:pStyle w:val="body"/>
        <w:numPr>
          <w:ilvl w:val="0"/>
          <w:numId w:val="10"/>
        </w:numPr>
      </w:pPr>
      <w:r w:rsidRPr="00E330C4">
        <w:t>Dawn il-linji gwida huma indirizzati lill-awtoritajiet kompetenti kif definit fil-punt (i) tal-Artikolu 4(2) tar-Regolament (UE) Nru 1093/2010 u lill-istituzzjonijiet finanzjarji li fir-rigward tagħhom japplikaw dawn il-linji gwida. L-awtoritajiet nnominati msemmija fl-Artikolu 131(1) tad-Direttiva 2013/36/UE minbarra l-awtoritajiet kompetenti huma mħeġġa japplikaw dawn il-linji gwida. Kemm l-awtoritajiet kompetenti kif ukoll dawk innominati huma msemmija f’dawn il-linji gwida bħala l-“awtoritajiet rilevanti”.</w:t>
      </w:r>
    </w:p>
    <w:p w:rsidRPr="00E330C4" w:rsidR="00DE0FE1" w:rsidP="00DC38FB" w:rsidRDefault="00DE0FE1" w14:paraId="52A8B3D5" w14:textId="77777777">
      <w:pPr>
        <w:pStyle w:val="ListParagraph"/>
        <w:numPr>
          <w:ilvl w:val="0"/>
          <w:numId w:val="10"/>
        </w:numPr>
      </w:pPr>
      <w:r w:rsidRPr="00E330C4">
        <w:br w:type="page"/>
      </w:r>
    </w:p>
    <w:p w:rsidRPr="00E330C4" w:rsidR="00B43E07" w:rsidP="00CE3517" w:rsidRDefault="00B43E07" w14:paraId="25D099DB" w14:textId="77777777">
      <w:pPr>
        <w:pStyle w:val="Numberedtilelevel1"/>
      </w:pPr>
      <w:r w:rsidRPr="00E330C4">
        <w:lastRenderedPageBreak/>
        <w:t>Implimentazzjoni</w:t>
      </w:r>
    </w:p>
    <w:p w:rsidRPr="00E330C4" w:rsidR="00B43E07" w:rsidP="00B43E07" w:rsidRDefault="00B43E07" w14:paraId="4EAB2FB0" w14:textId="77777777">
      <w:pPr>
        <w:pStyle w:val="Titlelevel2"/>
      </w:pPr>
      <w:r w:rsidRPr="00E330C4">
        <w:t>Data taʼ applikazzjoni</w:t>
      </w:r>
    </w:p>
    <w:p w:rsidRPr="00E330C4" w:rsidR="00B43E07" w:rsidP="00DC38FB" w:rsidRDefault="00DE0FE1" w14:paraId="18515792" w14:textId="3756E789">
      <w:pPr>
        <w:pStyle w:val="body"/>
        <w:numPr>
          <w:ilvl w:val="0"/>
          <w:numId w:val="15"/>
        </w:numPr>
      </w:pPr>
      <w:r w:rsidRPr="00E330C4">
        <w:t>Dawn il-linji gwida japplikaw minn</w:t>
      </w:r>
      <w:r w:rsidRPr="00EA7576" w:rsidR="00CD460D">
        <w:rPr>
          <w:lang w:val="fr-LU"/>
        </w:rPr>
        <w:t xml:space="preserve"> 16.12.2020.</w:t>
      </w:r>
    </w:p>
    <w:p w:rsidRPr="00E330C4" w:rsidR="00B43E07" w:rsidP="00B43E07" w:rsidRDefault="00B43E07" w14:paraId="4AB150AF" w14:textId="64BC8239">
      <w:pPr>
        <w:pStyle w:val="Titlelevel2"/>
      </w:pPr>
      <w:r w:rsidRPr="00E330C4">
        <w:t>Tħassir</w:t>
      </w:r>
    </w:p>
    <w:p w:rsidRPr="00E330C4" w:rsidR="00B43E07" w:rsidP="00A41338" w:rsidRDefault="00BD1538" w14:paraId="0F71334D" w14:textId="4DCAC658">
      <w:r w:rsidRPr="00E330C4">
        <w:t>Il-linji gwida riveduti dwar l-ispeċifikazzjoni ulterjuri tal-indikaturi ta’ importanza sistemikament globali u d-divulgazzjoni tagħhom tad-29 ta’ Frar 2016 (EBA/GL/2016/01) hawnhekk qed jiġu mħassra.</w:t>
      </w:r>
    </w:p>
    <w:p w:rsidRPr="00E330C4" w:rsidR="00BD1538" w:rsidP="00B43E07" w:rsidRDefault="00BD1538" w14:paraId="30F30A96" w14:textId="77777777">
      <w:pPr>
        <w:pStyle w:val="body"/>
        <w:sectPr w:rsidRPr="00E330C4" w:rsidR="00BD1538" w:rsidSect="000F3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E330C4" w:rsidR="00B43E07" w:rsidP="00BD1538" w:rsidRDefault="00BD1538" w14:paraId="4D344DEC" w14:textId="3CE1317D">
      <w:pPr>
        <w:pStyle w:val="Numberedtilelevel1"/>
        <w:jc w:val="both"/>
      </w:pPr>
      <w:r w:rsidRPr="00E330C4">
        <w:lastRenderedPageBreak/>
        <w:t>L-ispeċifikazzjoni tad-</w:t>
      </w:r>
      <w:r w:rsidRPr="00E330C4">
        <w:rPr>
          <w:i/>
          <w:iCs/>
        </w:rPr>
        <w:t>data</w:t>
      </w:r>
      <w:r w:rsidRPr="00E330C4">
        <w:t xml:space="preserve"> u l-indikaturi sottostanti użati għall-identifikazzjoni tal-G-SIIs</w:t>
      </w:r>
    </w:p>
    <w:p w:rsidR="00450D9D" w:rsidP="00450D9D" w:rsidRDefault="00450D9D" w14:paraId="45A671CE" w14:textId="1D68CDC5">
      <w:pPr>
        <w:pStyle w:val="body"/>
        <w:rPr>
          <w:iCs/>
        </w:rPr>
      </w:pPr>
      <w:bookmarkStart w:name="_Hlk163479437" w:id="10"/>
      <w:r w:rsidRPr="007B541C">
        <w:rPr>
          <w:spacing w:val="-1"/>
          <w:highlight w:val="green"/>
        </w:rPr>
        <w:sym w:font="Wingdings" w:char="F0DA"/>
      </w:r>
      <w:r w:rsidRPr="007B541C">
        <w:rPr>
          <w:spacing w:val="-1"/>
          <w:highlight w:val="green"/>
        </w:rPr>
        <w:t>A1</w:t>
      </w:r>
    </w:p>
    <w:p w:rsidRPr="00EA7576" w:rsidR="00B43E07" w:rsidP="00DC38FB" w:rsidRDefault="00EA7576" w14:paraId="50643877" w14:textId="50D2E4F5">
      <w:pPr>
        <w:pStyle w:val="body"/>
        <w:numPr>
          <w:ilvl w:val="0"/>
          <w:numId w:val="15"/>
        </w:numPr>
        <w:rPr>
          <w:iCs/>
        </w:rPr>
      </w:pPr>
      <w:r w:rsidRPr="00EA7576">
        <w:rPr>
          <w:iCs/>
        </w:rPr>
        <w:t>L-awtoritajiet rilevanti u l-entitajiet rilevanti għandhom isegwu l-istruzzjonijiet u l-ispeċifikazzjonijiet għall-entrati tad-</w:t>
      </w:r>
      <w:r w:rsidRPr="00EA7576">
        <w:rPr>
          <w:i/>
        </w:rPr>
        <w:t>data</w:t>
      </w:r>
      <w:r w:rsidRPr="00EA7576">
        <w:rPr>
          <w:iCs/>
        </w:rPr>
        <w:t xml:space="preserve"> elenkati fl-</w:t>
      </w:r>
      <w:r w:rsidRPr="00450D9D">
        <w:t>Anness</w:t>
      </w:r>
      <w:r w:rsidRPr="00EA7576">
        <w:rPr>
          <w:iCs/>
        </w:rPr>
        <w:t xml:space="preserve"> kif stabbilit fil-link imsejjaħ “Struzzjonijiet ta’ rapportar” fuq is-sit web tal-EBA taħt it-taqsima tal-G-SIIs</w:t>
      </w:r>
      <w:r w:rsidRPr="00BB71AE" w:rsidR="0035231E">
        <w:rPr>
          <w:rStyle w:val="FootnoteReference"/>
          <w:i/>
          <w:iCs/>
        </w:rPr>
        <w:footnoteReference w:id="3"/>
      </w:r>
      <w:r w:rsidRPr="00EA7576">
        <w:rPr>
          <w:iCs/>
        </w:rPr>
        <w:t>.</w:t>
      </w:r>
      <w:bookmarkEnd w:id="10"/>
    </w:p>
    <w:p w:rsidRPr="00EA7576" w:rsidR="00EA7576" w:rsidP="00DC38FB" w:rsidRDefault="00EA7576" w14:paraId="51E6D28B" w14:textId="43E4FB24">
      <w:pPr>
        <w:pStyle w:val="body"/>
        <w:numPr>
          <w:ilvl w:val="0"/>
          <w:numId w:val="15"/>
        </w:numPr>
        <w:rPr>
          <w:iCs/>
        </w:rPr>
      </w:pPr>
      <w:bookmarkStart w:name="_Hlk163479466" w:id="11"/>
      <w:r w:rsidRPr="00EA7576">
        <w:rPr>
          <w:iCs/>
        </w:rPr>
        <w:t>L-awtoritajiet rilevanti għandhom japplikaw id-</w:t>
      </w:r>
      <w:r w:rsidRPr="00EA7576">
        <w:rPr>
          <w:i/>
        </w:rPr>
        <w:t xml:space="preserve">data </w:t>
      </w:r>
      <w:r w:rsidRPr="00EA7576">
        <w:rPr>
          <w:iCs/>
        </w:rPr>
        <w:t>anċillari (it-Taqsimiet 15 u 16 tal-Anness għal dawn il-Linji gwida) sabiex jappoġġjaw il-ġudizzju superviżorju tagħhom skont l-Artikolu 131(10) tad-Direttiva 2013/36/UE u l-entrati tal-memorandum (it-Taqsimiet 17 sa 22 tal-Anness) biex itejbu l-kwalità tad-</w:t>
      </w:r>
      <w:r w:rsidRPr="00EA7576">
        <w:rPr>
          <w:i/>
        </w:rPr>
        <w:t>data</w:t>
      </w:r>
      <w:r w:rsidRPr="00EA7576">
        <w:rPr>
          <w:iCs/>
        </w:rPr>
        <w:t xml:space="preserve"> u bħala għajnuna fl-iżvilupp ta’ titjib futur fil-metodoloġija tal-identifikazzjoni. L-entrati tal-memorandum għandhom jiġu kkomplementati b’kummenti dettaljati mill-entitajiet rilevanti dwar il-kwalità u d-disponibbiltà tad-</w:t>
      </w:r>
      <w:r w:rsidRPr="00DC38FB">
        <w:rPr>
          <w:i/>
        </w:rPr>
        <w:t>data</w:t>
      </w:r>
      <w:r w:rsidRPr="00EA7576">
        <w:rPr>
          <w:iCs/>
        </w:rPr>
        <w:t xml:space="preserve"> fejn xieraq</w:t>
      </w:r>
      <w:bookmarkEnd w:id="11"/>
      <w:r w:rsidRPr="00EA7576">
        <w:rPr>
          <w:iCs/>
        </w:rPr>
        <w:t>.</w:t>
      </w:r>
    </w:p>
    <w:p w:rsidRPr="00EA7576" w:rsidR="00EA7576" w:rsidP="00450D9D" w:rsidRDefault="00EA7576" w14:paraId="1F2803CD" w14:textId="00735556">
      <w:pPr>
        <w:spacing w:line="276" w:lineRule="auto"/>
        <w:ind w:left="284" w:right="-24" w:hanging="425"/>
        <w:jc w:val="both"/>
        <w:rPr>
          <w:iCs/>
        </w:rPr>
        <w:sectPr w:rsidRPr="00EA7576" w:rsidR="00EA7576" w:rsidSect="00450D9D">
          <w:footnotePr>
            <w:numStart w:val="5"/>
          </w:footnotePr>
          <w:pgSz w:w="11910" w:h="16840"/>
          <w:pgMar w:top="1400" w:right="1420" w:bottom="1140" w:left="1300" w:header="709" w:footer="914" w:gutter="0"/>
          <w:cols w:space="720"/>
        </w:sectPr>
      </w:pPr>
      <w:r>
        <w:t xml:space="preserve">10a. </w:t>
      </w:r>
      <w:r w:rsidRPr="00EA7576">
        <w:rPr>
          <w:iCs/>
        </w:rPr>
        <w:t>Skont l-Artikolu 131(2a) tad-Direttiva 2013/36/UE li tirrikjedi metodoloġija ta’ identifikazzjoni addizzjonali li teskludi attivitajiet transfruntiera fi ħdan il-Mekkaniżmu Uniku ta’ Riżoluzzjoni (SRM), u f’konformità mal-ftehim internazzjonali mill-Kumitat ta’ Basel tal-31 ta’ Mejju 2022 biex jiġi rikonoxxut il-progress li sar fl-iżvilupp tal-Unjoni Bankarja Ewropea, l-entrati tad-</w:t>
      </w:r>
      <w:r w:rsidRPr="00EA7576">
        <w:rPr>
          <w:i/>
        </w:rPr>
        <w:t>data</w:t>
      </w:r>
      <w:r w:rsidRPr="00EA7576">
        <w:rPr>
          <w:iCs/>
        </w:rPr>
        <w:t xml:space="preserve"> rilevanti għall-kalkolu tal-indikaturi transġuriżdizzjonali aġġustati tal-SRM li jikkonċernaw l-istituzzjonijiet li għandhom il-kwartieri ġenerali tagħhom fl-Istati Membri li jipparteċipaw fl-SRM jenħtieġ li jitqiesu bħala parti mill-indikaturi tal-attività transġuriżdizzjonali u, bħala tali, iddivulgati f’konformità mal-paragrafu 12, u mhux bħala entrati anċillari jew ta’ memorandum għall-metodoloġija ta’ identifikazzjoni u allokazzjoni tas-subkategorija tal-G-SII.</w:t>
      </w:r>
    </w:p>
    <w:p w:rsidRPr="00E330C4" w:rsidR="00B43E07" w:rsidP="00BD1538" w:rsidRDefault="00BD1538" w14:paraId="6CDBC73A" w14:textId="63126AA5">
      <w:pPr>
        <w:pStyle w:val="Numberedtilelevel1"/>
        <w:jc w:val="both"/>
      </w:pPr>
      <w:r w:rsidRPr="00E330C4">
        <w:lastRenderedPageBreak/>
        <w:t>Ir-rekwiżiti rigward ir-rappurtar u d-divulgazzjoni minn istituzzjonijiet rilevanti</w:t>
      </w:r>
    </w:p>
    <w:p w:rsidRPr="00EA7576" w:rsidR="0007574B" w:rsidP="00DC38FB" w:rsidRDefault="00EA7576" w14:paraId="107B3895" w14:textId="444DFE82">
      <w:pPr>
        <w:pStyle w:val="body"/>
        <w:numPr>
          <w:ilvl w:val="0"/>
          <w:numId w:val="15"/>
        </w:numPr>
        <w:rPr>
          <w:iCs/>
        </w:rPr>
      </w:pPr>
      <w:r w:rsidRPr="00EA7576">
        <w:rPr>
          <w:iCs/>
        </w:rPr>
        <w:t xml:space="preserve"> L-awtoritajiet rilevanti għandhom jiżguraw li jiġbru l-entrati tad-</w:t>
      </w:r>
      <w:r w:rsidRPr="00EA7576">
        <w:rPr>
          <w:i/>
        </w:rPr>
        <w:t>data</w:t>
      </w:r>
      <w:r w:rsidRPr="00EA7576">
        <w:rPr>
          <w:iCs/>
        </w:rPr>
        <w:t xml:space="preserve"> kollha speċifikati fl-Anness ta’ dawn il-Linji Gwida mill-entitajiet rilevanti li jissodisfaw il-kriterji speċifikati fil-paragrafu 6 ta’ dawn il-Linji Gwida fl-31 ta’ Diċembru ta’ kull sena.</w:t>
      </w:r>
    </w:p>
    <w:p w:rsidR="0007574B" w:rsidP="00DC38FB" w:rsidRDefault="00EA7576" w14:paraId="59D95C2C" w14:textId="274CF6D3">
      <w:pPr>
        <w:pStyle w:val="body"/>
        <w:numPr>
          <w:ilvl w:val="0"/>
          <w:numId w:val="15"/>
        </w:numPr>
        <w:rPr>
          <w:iCs/>
        </w:rPr>
      </w:pPr>
      <w:bookmarkStart w:name="_Hlk163480341" w:id="12"/>
      <w:r w:rsidRPr="00EA7576">
        <w:rPr>
          <w:iCs/>
        </w:rPr>
        <w:t>L-awtoritajiet rilevanti għandhom jiżguraw li l-entitajiet rilevanti jiddivulgaw pubblikament fuq is-siti web tagħhom fuq bażi annwali l-valuri tal-indikatur speċifikati fit-Taqsimiet 1 sa 14 tal-Anness għal dawn il-Linji gwida u, fejn tkun meħtieġa l-metodoloġija ta’ identifikazzjoni addizzjonali tal-SRM, il-punti e), f) u g) tat-Taqsima 21, kif ukoll kwalunkwe punt ieħor tat-Taqsima 21 li jirreferi għal attività transġuriżdizzjonali tal-SRM li tista’ titqies rilevanti għall-kalkolu ta’ tali metodoloġija mill-awtorità rilevanti</w:t>
      </w:r>
      <w:bookmarkEnd w:id="12"/>
      <w:r w:rsidRPr="00EA7576" w:rsidR="0007574B">
        <w:rPr>
          <w:iCs/>
        </w:rPr>
        <w:t>Meta jiġu biex jirrappurtaw u jiddivulgaw l-informazzjoni msemmija fil-paragrafi 11 u 12, l-entitajiet rilevanti għandhom jużaw il-mudell elettroniku u jsegwu l-istruzzjonijiet annwali ppubblikati għal dan il-għan fuq is-sit web tal-EBA.</w:t>
      </w:r>
    </w:p>
    <w:p w:rsidRPr="00EA7576" w:rsidR="00450D9D" w:rsidP="00450D9D" w:rsidRDefault="00450D9D" w14:paraId="4EA5BB4B" w14:textId="00968035">
      <w:pPr>
        <w:pStyle w:val="BodyText"/>
        <w:tabs>
          <w:tab w:val="left" w:pos="1802"/>
        </w:tabs>
        <w:spacing w:before="100" w:after="60" w:line="276" w:lineRule="auto"/>
        <w:ind w:right="232"/>
        <w:jc w:val="both"/>
        <w:rPr>
          <w:iCs/>
        </w:rPr>
      </w:pPr>
      <w:r w:rsidRPr="007B541C">
        <w:rPr>
          <w:spacing w:val="-1"/>
          <w:highlight w:val="yellow"/>
        </w:rPr>
        <w:sym w:font="Wingdings" w:char="F0DA"/>
      </w:r>
      <w:r w:rsidRPr="007B541C">
        <w:rPr>
          <w:spacing w:val="-1"/>
          <w:highlight w:val="yellow"/>
        </w:rPr>
        <w:t>O</w:t>
      </w:r>
    </w:p>
    <w:p w:rsidR="006C6D8E" w:rsidP="00DC38FB" w:rsidRDefault="0007574B" w14:paraId="5F511C1E" w14:textId="0DC74EB9">
      <w:pPr>
        <w:pStyle w:val="body"/>
        <w:numPr>
          <w:ilvl w:val="0"/>
          <w:numId w:val="15"/>
        </w:numPr>
      </w:pPr>
      <w:r w:rsidRPr="00E330C4">
        <w:t>L-entitajiet rilevanti għandhom jirrappurtaw u pubblikament jiddivulgaw l-informazzjoni msemmija fil-paragrafi 11 u 12 fuq bażi annwali, mhux aktar tard minn erba’ xhur wara tmiem ta’ kull sena finanzjarja. Meta jagħmlu dan, l-entitajiet rilevanti għandhom jidentifikaw lilhom infushom billi jużaw l-Identifikaturi tal-Entità Ġuridika (LEIs) tagħhom.</w:t>
      </w:r>
    </w:p>
    <w:p w:rsidRPr="00E330C4" w:rsidR="00450D9D" w:rsidP="00450D9D" w:rsidRDefault="00450D9D" w14:paraId="3223C605" w14:textId="21706F7E">
      <w:pPr>
        <w:pStyle w:val="body"/>
      </w:pPr>
      <w:r w:rsidRPr="007B541C">
        <w:rPr>
          <w:spacing w:val="-1"/>
          <w:highlight w:val="green"/>
        </w:rPr>
        <w:sym w:font="Wingdings" w:char="F0DA"/>
      </w:r>
      <w:r w:rsidRPr="007B541C">
        <w:rPr>
          <w:spacing w:val="-1"/>
          <w:highlight w:val="green"/>
        </w:rPr>
        <w:t>A1</w:t>
      </w:r>
    </w:p>
    <w:p w:rsidR="00B43E07" w:rsidP="00DC38FB" w:rsidRDefault="0035231E" w14:paraId="0BE8B0EA" w14:textId="6F9F2E24">
      <w:pPr>
        <w:pStyle w:val="body"/>
        <w:numPr>
          <w:ilvl w:val="0"/>
          <w:numId w:val="15"/>
        </w:numPr>
        <w:rPr>
          <w:iCs/>
        </w:rPr>
      </w:pPr>
      <w:bookmarkStart w:name="_Hlk163481373" w:id="13"/>
      <w:r w:rsidRPr="0035231E">
        <w:rPr>
          <w:iCs/>
        </w:rPr>
        <w:t>L-entitajiet rilevanti għandhom jissottomettu l-informazzjoni msemmija fil-paragrafu 11 lill-awtoritajiet rilevanti u jiddivulgaw pubblikament l-informazzjoni msemmija fil-paragrafu 12 fuq bażi annwali sa mhux aktar tard minn erba’ xhur wara kull data ta’ tmiem is-sena finanzjarja, li tibda mit-tieni data ta’ tmiem is-sena finanzjarja konsekuttiva li fiha jkun inqabeż il-livell limitu speċifikat fil-paragrafu 6 ta’ dawn il-Linji gwida. Meta jagħmlu dan, l-entitajiet rilevanti jenħtieġ jidentifikaw lilhom infushom billi jużaw l-Identifikaturi tal-Entità Ġuridika (LEIs) tagħhom</w:t>
      </w:r>
      <w:bookmarkEnd w:id="13"/>
      <w:r w:rsidRPr="0035231E" w:rsidR="003A2221">
        <w:rPr>
          <w:iCs/>
        </w:rPr>
        <w:t>.</w:t>
      </w:r>
    </w:p>
    <w:p w:rsidR="00450D9D" w:rsidP="00450D9D" w:rsidRDefault="00450D9D" w14:paraId="48BA118A" w14:textId="07623BA8">
      <w:pPr>
        <w:pStyle w:val="BodyText"/>
        <w:tabs>
          <w:tab w:val="left" w:pos="1802"/>
        </w:tabs>
        <w:spacing w:before="100" w:after="60" w:line="276" w:lineRule="auto"/>
        <w:ind w:right="232"/>
        <w:jc w:val="both"/>
        <w:rPr>
          <w:iCs/>
        </w:rPr>
      </w:pPr>
      <w:r w:rsidRPr="007B541C">
        <w:rPr>
          <w:spacing w:val="-1"/>
          <w:highlight w:val="yellow"/>
        </w:rPr>
        <w:sym w:font="Wingdings" w:char="F0DA"/>
      </w:r>
      <w:r w:rsidRPr="007B541C">
        <w:rPr>
          <w:spacing w:val="-1"/>
          <w:highlight w:val="yellow"/>
        </w:rPr>
        <w:t>O</w:t>
      </w:r>
    </w:p>
    <w:p w:rsidRPr="00E330C4" w:rsidR="00BC3FB5" w:rsidP="00BC3FB5" w:rsidRDefault="00BC3FB5" w14:paraId="4C96C450" w14:textId="77777777">
      <w:pPr>
        <w:pStyle w:val="body"/>
        <w:numPr>
          <w:ilvl w:val="0"/>
          <w:numId w:val="15"/>
        </w:numPr>
      </w:pPr>
      <w:r w:rsidRPr="00E330C4">
        <w:t>L-awtoritajiet kompetenti jistgħu jippermettu lill-entitajiet rilevanti li t-tmiem is-sena finanzjarja tagħhom ma tikkoinċidix mal-31 ta’ Diċembru, biex jirrapportaw u jiddivulgaw dik l-informazzjoni abbażi tal-pożizzjoni tagħhom kemm jista’ jkun qrib il-31 ta’ Diċembru. Fi kwalunkwe każ, id-divulgazzjoni tal-informazzjoni għandha sseħħ sa mhux aktar tard mill-31 ta’ Lulju.</w:t>
      </w:r>
    </w:p>
    <w:p w:rsidRPr="00BC3FB5" w:rsidR="00BC3FB5" w:rsidP="00BC3FB5" w:rsidRDefault="00BC3FB5" w14:paraId="310FF780" w14:textId="2EDDC057">
      <w:pPr>
        <w:pStyle w:val="body"/>
        <w:numPr>
          <w:ilvl w:val="0"/>
          <w:numId w:val="15"/>
        </w:numPr>
      </w:pPr>
      <w:r w:rsidRPr="00E330C4">
        <w:lastRenderedPageBreak/>
        <w:t>L-awtoritajiet rilevanti għandhom jiżguraw li d-</w:t>
      </w:r>
      <w:r w:rsidRPr="00E330C4">
        <w:rPr>
          <w:i/>
          <w:iCs/>
        </w:rPr>
        <w:t>data</w:t>
      </w:r>
      <w:r w:rsidRPr="00E330C4">
        <w:t xml:space="preserve"> rrappurtata u divulgata tkun identika għal dik sottomessa lill-Kumitat ta’ Basel dwar is-Superviżjoni Bankarja, fejn applikabbli.</w:t>
      </w:r>
    </w:p>
    <w:p w:rsidRPr="00E330C4" w:rsidR="006C6D8E" w:rsidP="006C6D8E" w:rsidRDefault="006C6D8E" w14:paraId="304AED26" w14:textId="0684F911">
      <w:pPr>
        <w:pStyle w:val="body"/>
      </w:pPr>
    </w:p>
    <w:p w:rsidRPr="00E330C4" w:rsidR="006C6D8E" w:rsidP="006C6D8E" w:rsidRDefault="006C6D8E" w14:paraId="3653C3DD" w14:textId="77777777">
      <w:pPr>
        <w:pStyle w:val="body"/>
        <w:sectPr w:rsidRPr="00E330C4" w:rsidR="006C6D8E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E330C4" w:rsidR="00B43E07" w:rsidP="006C6D8E" w:rsidRDefault="006C6D8E" w14:paraId="78D7CAE2" w14:textId="0D9CA5B9">
      <w:pPr>
        <w:pStyle w:val="Numberedtilelevel1"/>
        <w:jc w:val="both"/>
      </w:pPr>
      <w:r w:rsidRPr="00E330C4">
        <w:lastRenderedPageBreak/>
        <w:t>Informazzjoni lill-EBA</w:t>
      </w:r>
    </w:p>
    <w:p w:rsidRPr="00E330C4" w:rsidR="006C6D8E" w:rsidP="00DC38FB" w:rsidRDefault="003A2221" w14:paraId="0966C959" w14:textId="52E7A3EF">
      <w:pPr>
        <w:pStyle w:val="body"/>
        <w:numPr>
          <w:ilvl w:val="0"/>
          <w:numId w:val="15"/>
        </w:numPr>
      </w:pPr>
      <w:r w:rsidRPr="00E330C4">
        <w:t>L-awtoritajiet rilevanti għandhom jipprovdu lill-EBA d-</w:t>
      </w:r>
      <w:r w:rsidRPr="00E330C4">
        <w:rPr>
          <w:i/>
          <w:iCs/>
        </w:rPr>
        <w:t>data</w:t>
      </w:r>
      <w:r w:rsidRPr="00E330C4">
        <w:t xml:space="preserve"> kollha, inklużi d-</w:t>
      </w:r>
      <w:r w:rsidRPr="00E330C4">
        <w:rPr>
          <w:i/>
          <w:iCs/>
        </w:rPr>
        <w:t>data</w:t>
      </w:r>
      <w:r w:rsidRPr="00E330C4">
        <w:t xml:space="preserve"> anċillari u l-entrati ta’ memorandum, miġbura skont dawn il-linji gwida sabiex ikunu jistgħu jitqiegħdu fuq is-sit web tal-EBA. L-entitajiet rilevanti għandhom jidentifikaw lilhom infushom bl-użu tal-LEIs tagħhom. L-EBA ma għandhiex tagħmel divulgazzjoni tad-</w:t>
      </w:r>
      <w:r w:rsidRPr="00E330C4">
        <w:rPr>
          <w:i/>
          <w:iCs/>
        </w:rPr>
        <w:t>data</w:t>
      </w:r>
      <w:r w:rsidRPr="00E330C4">
        <w:t xml:space="preserve"> anċillari.</w:t>
      </w:r>
    </w:p>
    <w:p w:rsidRPr="00E330C4" w:rsidR="006C6D8E" w:rsidP="00B43E07" w:rsidRDefault="006C6D8E" w14:paraId="001293F4" w14:textId="77777777">
      <w:pPr>
        <w:pStyle w:val="body"/>
        <w:rPr>
          <w:lang w:val="en-GB" w:eastAsia="en-GB"/>
        </w:rPr>
        <w:sectPr w:rsidRPr="00E330C4" w:rsidR="006C6D8E" w:rsidSect="000F33D3">
          <w:pgSz w:w="11900" w:h="16840"/>
          <w:pgMar w:top="2268" w:right="1418" w:bottom="1134" w:left="1701" w:header="709" w:footer="709" w:gutter="0"/>
          <w:cols w:space="708"/>
          <w:docGrid w:linePitch="299"/>
        </w:sectPr>
      </w:pPr>
    </w:p>
    <w:p w:rsidRPr="00BB71AE" w:rsidR="00DC38FB" w:rsidP="00DC38FB" w:rsidRDefault="00DC38FB" w14:paraId="54C16D06" w14:textId="77777777">
      <w:pPr>
        <w:pStyle w:val="Contenttitle"/>
        <w:pageBreakBefore/>
      </w:pPr>
      <w:bookmarkStart w:name="_Hlk163478923" w:id="14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bookmarkEnd w:id="0"/>
      <w:r w:rsidRPr="00BB71AE">
        <w:lastRenderedPageBreak/>
        <w:t>Anness</w:t>
      </w:r>
    </w:p>
    <w:tbl>
      <w:tblPr>
        <w:tblStyle w:val="TableGrid1"/>
        <w:tblW w:w="9549" w:type="dxa"/>
        <w:tblLook w:val="04A0" w:firstRow="1" w:lastRow="0" w:firstColumn="1" w:lastColumn="0" w:noHBand="0" w:noVBand="1"/>
      </w:tblPr>
      <w:tblGrid>
        <w:gridCol w:w="2350"/>
        <w:gridCol w:w="4454"/>
        <w:gridCol w:w="2745"/>
      </w:tblGrid>
      <w:tr w:rsidRPr="00BB71AE" w:rsidR="00DC38FB" w:rsidTr="001D4ABA" w14:paraId="5C9D0A0B" w14:textId="77777777">
        <w:trPr>
          <w:trHeight w:val="42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50D9D" w:rsidP="001D4ABA" w:rsidRDefault="00450D9D" w14:paraId="39FF4980" w14:textId="11B3967C">
            <w:pPr>
              <w:keepNext/>
              <w:keepLines/>
              <w:spacing w:before="47"/>
              <w:outlineLvl w:val="5"/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</w:pPr>
            <w:r w:rsidRPr="007B541C">
              <w:rPr>
                <w:spacing w:val="-1"/>
                <w:highlight w:val="green"/>
              </w:rPr>
              <w:sym w:font="Wingdings" w:char="F0DA"/>
            </w:r>
            <w:r w:rsidRPr="007B541C">
              <w:rPr>
                <w:spacing w:val="-1"/>
                <w:highlight w:val="green"/>
              </w:rPr>
              <w:t>A1</w:t>
            </w:r>
          </w:p>
          <w:p w:rsidRPr="00BB71AE" w:rsidR="00DC38FB" w:rsidP="001D4ABA" w:rsidRDefault="00DC38FB" w14:paraId="1B806263" w14:textId="11CB2962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color w:val="172B39" w:themeColor="accent1" w:themeShade="80"/>
              </w:rPr>
            </w:pPr>
            <w:r w:rsidRPr="00BB71AE"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  <w:t> </w:t>
            </w:r>
            <w:r w:rsidRPr="00BB71AE">
              <w:rPr>
                <w:rFonts w:asciiTheme="majorHAnsi" w:hAnsiTheme="majorHAnsi"/>
                <w:b/>
                <w:i/>
                <w:iCs/>
                <w:caps/>
              </w:rPr>
              <w:t>Data</w:t>
            </w:r>
            <w:r w:rsidRPr="00BB71AE">
              <w:rPr>
                <w:rFonts w:asciiTheme="majorHAnsi" w:hAnsiTheme="majorHAnsi"/>
                <w:b/>
                <w:i/>
                <w:caps/>
              </w:rPr>
              <w:t xml:space="preserve"> tal-Bank Ġenerali</w:t>
            </w:r>
            <w:r w:rsidRPr="00BB71AE">
              <w:rPr>
                <w:rFonts w:ascii="Arial" w:hAnsi="Arial"/>
                <w:i/>
                <w:caps/>
                <w:color w:val="172B39" w:themeColor="accent1" w:themeShade="80"/>
                <w:sz w:val="20"/>
              </w:rPr>
              <w:t> </w:t>
            </w:r>
          </w:p>
        </w:tc>
        <w:tc>
          <w:tcPr>
            <w:tcW w:w="7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B71AE" w:rsidR="00DC38FB" w:rsidP="001D4ABA" w:rsidRDefault="00DC38FB" w14:paraId="274B3653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Pr="00BB71AE" w:rsidR="00DC38FB" w:rsidP="001D4ABA" w:rsidRDefault="00DC38FB" w14:paraId="0B6FD723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86A9D0A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F9727E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4E2B5F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6F17B6B" w14:textId="77777777">
        <w:trPr>
          <w:trHeight w:val="300"/>
        </w:trPr>
        <w:tc>
          <w:tcPr>
            <w:tcW w:w="6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D17753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1 - Informazzjoni Ġenerali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7F82D5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Rispons</w:t>
            </w:r>
          </w:p>
        </w:tc>
      </w:tr>
      <w:tr w:rsidRPr="00BB71AE" w:rsidR="00DC38FB" w:rsidTr="001D4ABA" w14:paraId="390904EF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9186C8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Informazzjoni ġenerali pprovduta mill-awtorità superviżorja rilevanti:</w:t>
            </w:r>
          </w:p>
        </w:tc>
      </w:tr>
      <w:tr w:rsidRPr="00BB71AE" w:rsidR="00DC38FB" w:rsidTr="001D4ABA" w14:paraId="06AF0B0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A0F292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Kodiċi tal-pajjiż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2AA9F53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158C74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447815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Isem tal-bank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46388525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554348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5E23C7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Data tar-rappurtar (ssss-xx-jj)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1336B897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101A78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A6EDC73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B71AE">
              <w:rPr>
                <w:rFonts w:ascii="Arial" w:hAnsi="Arial"/>
                <w:sz w:val="20"/>
              </w:rPr>
              <w:t>Munita tar-rappurtar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A0C32B3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7A7DDC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784260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B71AE">
              <w:rPr>
                <w:rFonts w:ascii="Arial" w:hAnsi="Arial"/>
                <w:sz w:val="20"/>
              </w:rPr>
              <w:t>Rata tal-konverżjoni tal-Euro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3B4BC47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1B3E24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DF45AB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B71AE">
              <w:rPr>
                <w:rFonts w:ascii="Arial" w:hAnsi="Arial"/>
                <w:sz w:val="20"/>
              </w:rPr>
              <w:t>Data tas-sottomissjoni (ssss-xx-jj)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249BBBC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6EE813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CFBB1F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Informazzjoni Ġenerali pprovduta mill-istituzzjoni tar-rappurtar: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EE79FE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8D86FF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6DEFC9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Unità tar-rappurtar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138CBA6C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7CFF66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24D23F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L-istandard ta’ kontabilità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24687EAA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83D044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02BD10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Data tad-divulgazzjoni pubblika (ssss-xx-jj)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BFF3265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4560F9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7DA5C2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B71AE">
              <w:rPr>
                <w:rFonts w:ascii="Arial" w:hAnsi="Arial"/>
                <w:sz w:val="20"/>
              </w:rPr>
              <w:t>Lingwa tad-divulgazzjoni pubblika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4F0F2D9F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5B744F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4A1041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B71AE">
              <w:rPr>
                <w:rFonts w:ascii="Arial" w:hAnsi="Arial"/>
                <w:sz w:val="20"/>
              </w:rPr>
              <w:t>Indirizz web tad-divulgazzjoni pubblika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02710AA" w14:textId="77777777">
            <w:pPr>
              <w:jc w:val="center"/>
              <w:rPr>
                <w:rFonts w:ascii="Arial" w:hAnsi="Arial" w:eastAsia="Times New Roman" w:cs="Arial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  <w:tr w:rsidRPr="00BB71AE" w:rsidR="00DC38FB" w:rsidTr="001D4ABA" w14:paraId="6552DFD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2DC9CB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B71AE">
              <w:rPr>
                <w:rFonts w:ascii="Arial" w:hAnsi="Arial"/>
                <w:sz w:val="20"/>
              </w:rPr>
              <w:t>Kodiċi LEI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64748659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3A1D35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76163D1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2E3F0B5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8B53A38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23614FD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BB71AE">
              <w:rPr>
                <w:rFonts w:asciiTheme="majorHAnsi" w:hAnsiTheme="majorHAnsi"/>
                <w:b/>
                <w:i/>
                <w:caps/>
              </w:rPr>
              <w:t>Indikaturi tad-daqs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Pr="00BB71AE" w:rsidR="00DC38FB" w:rsidP="001D4ABA" w:rsidRDefault="00DC38FB" w14:paraId="5FCFF9F6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0AE168E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6B8746BD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71AE" w:rsidR="00DC38FB" w:rsidP="001D4ABA" w:rsidRDefault="00DC38FB" w14:paraId="3FB1BD0B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520C64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1A40AF8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2 - Skoperturi Totali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D45AD94" w14:textId="77777777">
            <w:pPr>
              <w:ind w:firstLine="201" w:firstLineChars="10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4D69BF7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564796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Derivattivi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A9125F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59A713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CE2BFB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Skopertura tal-kontroparti ta’ kuntratti derivattivi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1E1FC5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B5FFDC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0F736FB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Ammont nozzjonali limitat ta’ derivattivi ta’ kreditu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70524C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DECDE4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C97397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Skopertura futura potenzjali ta’ kuntratti derivattivi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085893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5C85AE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3188D4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Tranżazzjonijiet ta’ finanzjament tat-titoli (SFTs)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FF0D92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2386C0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2543BAA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Valur gross aġġustat tal-SFTs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481CA3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F486C3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9967CD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Skopertura tal-kontroparti tal-SFTs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D4085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34E68A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86B6AD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Assi oħrajn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BEFA30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0081A2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212E84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Ammont nozzjonali gross ta’ entrati li mhumiex fuq il-karta tal-bilanċ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A66AD0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954B96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1E0A17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Entrati soġġetti għal fattur ta’ konverżjoni tal-kreditu (CCF) ta’ 0 %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19E19E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C6203F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259F312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Entrati soġġetti għal CCF ta’ 20 %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FCED22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9CD71F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73F82C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Entrati soġġetti għal CCF ta’ 50 %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A89214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1A7A49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99AB34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B71AE">
              <w:rPr>
                <w:rFonts w:ascii="Arial" w:hAnsi="Arial"/>
                <w:sz w:val="20"/>
              </w:rPr>
              <w:t>Entrati soġġetti għal CCF ta’ 100 %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EDD7A4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07F8C0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7622FA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Aġġustamenti regolatorji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CCB5B6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EEF5DC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82BAA72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>f. Skoperturi totali qabel l-aġġustamenti regolatorji (is-somma tal-entrati 2.a.(1) sa 2.c., 0.1 immultiplikata b’2.d(1), 0.2 immultuplikata b’2.d.(2), 0.5 immultiplikata b’2.d.(3), u 2.d.(4))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E3694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59BD10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FEC7EB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g. Skoperturi ta’ sussidjarji tal-assigurazzjoni mhux inklużi f’ 2.f. netti minn intragrupp: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EC6A4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B04535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5B0076A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Assi li jidhru fil-karta tal-bilanċ u li ma jidhrux fil-karta tal-bilanċ ta’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D19349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43A0B1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FFDDE16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Skopertura futura potenzjali ta’ kuntratti derivattivi għal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93DD5A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A389FE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1C907CA" w14:textId="77777777">
            <w:pPr>
              <w:ind w:left="720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Valur tal-investiment f’entitajiet ikkonsolidati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83CA95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AFAF1B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95C5216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h. Skoperturi intragrupp inklużi f’ 2.f. għal sussidjarji tal-assigurazzjoni rrapportati f’ 2.g.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5C6140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FA085F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818A50C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i. Indikatur tal-iskoperturi totali, inklużi sussidjarji tal-assigurazzjoni (is-somma tal-entrati 2.f., 2.g.(1) sa 2.g.(2) nieqes 2.g.(3) sa 2.h.)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48078A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C20C164" w14:textId="77777777">
        <w:trPr>
          <w:trHeight w:val="403"/>
        </w:trPr>
        <w:tc>
          <w:tcPr>
            <w:tcW w:w="9549" w:type="dxa"/>
            <w:gridSpan w:val="3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C402788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b/>
                <w:bCs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  <w:p w:rsidRPr="00BB71AE" w:rsidR="00DC38FB" w:rsidP="001D4ABA" w:rsidRDefault="00DC38FB" w14:paraId="143934DF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i/>
                <w:caps/>
                <w:color w:val="172B39" w:themeColor="accent1" w:themeShade="80"/>
                <w:sz w:val="24"/>
              </w:rPr>
              <w:t> </w:t>
            </w:r>
            <w:r w:rsidRPr="00BB71AE">
              <w:rPr>
                <w:rFonts w:asciiTheme="majorHAnsi" w:hAnsiTheme="majorHAnsi"/>
                <w:b/>
                <w:i/>
                <w:caps/>
              </w:rPr>
              <w:t>Indikaturi ta’ interkonnettività</w:t>
            </w:r>
          </w:p>
          <w:p w:rsidRPr="00BB71AE" w:rsidR="00DC38FB" w:rsidP="001D4ABA" w:rsidRDefault="00DC38FB" w14:paraId="71AE05C8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B71AE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BB71AE" w:rsidR="00DC38FB" w:rsidTr="001D4ABA" w14:paraId="38B679C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FA7FD5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3 - Assi tas-Sistema IntraFinanzjarja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7AAF78B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093F9CF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B6A2F1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Fondi ddepożitati ma' jew mislufin lil istituzzjonijiet finanzjarji oħra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39D6BD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48A51E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68761CA7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 xml:space="preserve">Ċertifikati ta’ depożitu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63619D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136CE3C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973F97C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Porzjon mhux użat ta’ linji impenjati estiżi għal istituzzjonijiet finanzjarji oħrajn</w:t>
            </w:r>
          </w:p>
        </w:tc>
      </w:tr>
      <w:tr w:rsidRPr="00BB71AE" w:rsidR="00DC38FB" w:rsidTr="001D4ABA" w14:paraId="6D3B7C6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E92928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Parteċipazzjonijiet ta' titoli maħruġa minn istituzzjonijiet finanzjarji oħra: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80B86B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823168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E218E76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Titoli ta’ dejn garantiti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862FA2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120A76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5246F5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Titoli ta’ dejn mhux garantiti superjuri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1D05A2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07054A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CC2C44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Titoli ta’ dejn subordinati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6F1AC6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06D49F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06D0F1F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B71AE">
              <w:rPr>
                <w:rFonts w:ascii="Arial" w:hAnsi="Arial"/>
                <w:sz w:val="20"/>
              </w:rPr>
              <w:t xml:space="preserve">Dokument kummerċjali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2E9DA6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9CD467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BBC2B60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B71AE">
              <w:rPr>
                <w:rFonts w:ascii="Arial" w:hAnsi="Arial"/>
                <w:sz w:val="20"/>
              </w:rPr>
              <w:t>Titoli ta’ ekwità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CD8F21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601DB6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315D7DD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B71AE">
              <w:rPr>
                <w:rFonts w:ascii="Arial" w:hAnsi="Arial"/>
                <w:sz w:val="20"/>
              </w:rPr>
              <w:t>Tpaċija ta’ pożizzjonijiet qosra fir-rigward tat-titoli ta’ ekwità speċifiċi inklużi fl-entrata 3.c.(5)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8072AC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956A46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604BE672" w14:textId="77777777">
            <w:pPr>
              <w:ind w:firstLine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Skopertura attwali pożittiva netta ta’ SFTs ma’ istituzzjonijiet finanzjarji oħrajn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AD49B4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8C512C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BEEC010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Derivattivi OTC ma’ istituzzjonijiet finanzjarji oħrajn li għandhom valur ġust pożittiv nett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14B172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05FB11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B6F538A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Valur ġust pożittiv nett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8E47B6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8CA978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21A2E99" w14:textId="77777777">
            <w:pPr>
              <w:ind w:left="313" w:firstLine="86" w:firstLineChars="4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Skopertura futura potenzjali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17AA2F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8BD4F2C" w14:textId="77777777">
        <w:trPr>
          <w:gridAfter w:val="1"/>
          <w:wAfter w:w="2745" w:type="dxa"/>
          <w:trHeight w:val="450"/>
        </w:trPr>
        <w:tc>
          <w:tcPr>
            <w:tcW w:w="6804" w:type="dxa"/>
            <w:gridSpan w:val="2"/>
            <w:vMerge w:val="restart"/>
            <w:tcBorders>
              <w:left w:val="nil"/>
              <w:right w:val="nil"/>
            </w:tcBorders>
            <w:hideMark/>
          </w:tcPr>
          <w:p w:rsidRPr="00BB71AE" w:rsidR="00DC38FB" w:rsidP="001D4ABA" w:rsidRDefault="00DC38FB" w14:paraId="5F22E52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Indikatur tal-assi tas-sistema intrafinanzjarja, inklużi sussidjarji tal-assigurazzjoni (is-somma tal-entrati 3.a., 3.b. sa 3.c.(5), 3.d., 3.e.(1), u 3.e.(2), bi 3.c. (6) imnaqqsa)</w:t>
            </w:r>
          </w:p>
        </w:tc>
      </w:tr>
      <w:tr w:rsidRPr="00BB71AE" w:rsidR="00DC38FB" w:rsidTr="001D4ABA" w14:paraId="3754292B" w14:textId="77777777">
        <w:trPr>
          <w:gridAfter w:val="1"/>
          <w:wAfter w:w="2745" w:type="dxa"/>
          <w:trHeight w:val="450"/>
        </w:trPr>
        <w:tc>
          <w:tcPr>
            <w:tcW w:w="6804" w:type="dxa"/>
            <w:gridSpan w:val="2"/>
            <w:vMerge/>
            <w:tcBorders>
              <w:left w:val="nil"/>
              <w:right w:val="nil"/>
            </w:tcBorders>
            <w:hideMark/>
          </w:tcPr>
          <w:p w:rsidRPr="00BB71AE" w:rsidR="00DC38FB" w:rsidP="001D4ABA" w:rsidRDefault="00DC38FB" w14:paraId="7193348E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916EF7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2BC1A9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7554964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9019375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FECE2C6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4 - Obbligazzjonijiet tas-Sistema Intrafinanzjarja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0DC4912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20142AE9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C82C6DE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Fondi ddepożitati ma’ jew mislufin mingħand istituzzjonijiet finanzjarji oħrajn</w:t>
            </w:r>
          </w:p>
        </w:tc>
      </w:tr>
      <w:tr w:rsidRPr="00BB71AE" w:rsidR="00DC38FB" w:rsidTr="001D4ABA" w14:paraId="0261545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0BEF493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Depożiti dovuti lil istituzzjonijiet depożitarji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8B993A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0547A0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AEE5BB5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Depożiti dovuti lil istituzzjonijiet finanzjarji mhux depożitarji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5412C7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2A4F2F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3D9FE0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Self miksub mingħand istituzzjonijiet finanzjarji oħrajn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CF29E0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538879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D0AD78F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Porzjon mhux użat ta’ linji impenjati miksuba minn istituzzjonijiet finanzjarji oħrajn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3FC684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F3DA58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4B7717F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>c. Skopertura attwali negattiva netta ta’ SFTs ma’ istituzzjonijiet finanzjarji oħrajn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C89D85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698ED5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B04D630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Derivattivi OTC ma' istituzzjonijiet finanzjarji oħra li għandhom valur ġust negattiv nett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399993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C81EF3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3D6DCB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Valur ġust negattiv nett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4DDD00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E36EDB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FC2C89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Skopertura futura potenzjali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E95A71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770212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C4AB509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Indikatur tal-obbligazzjonijiet tas-sistema intrafinanzjarja, inklużi sussidjarji tal-assigurazzjoni (is-somma tal-entrati 4.a.(1) sa 4.d.(2))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9100A8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0ED68E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63B5902A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47688CC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9E2CFB6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EDDA7F3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5 - Titoli Pendenti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18810D2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267DF33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D474F9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Titoli ta' dejn garantiti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3C4F87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A283B3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8E9092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Titoli ta' dejn mhux garantiti superjuri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F102A0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AD203C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475429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Titoli ta' dejn subordinati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18873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C4C5AD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5E709E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Karta kummerċjali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B7400B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FDE82C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846260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Ċertifikati ta' depożitu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62DA34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538309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64B38C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Ekwità komuni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ECCE34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F6434F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7AC5510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g. Ishma ppreferuti u kwalunkwe forma oħra ta’ finanzjament subordinat mhux inklużi fl-entrata 5.c.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94822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61007A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2513C28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h. Indikatur tat-titoli pendenti, inklużi t-titoli maħruġa minn sussidjarji tal-assigurazzjoni (is-somma tal-entrati 5.a. sa 5.g.)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17D7C2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105F41A" w14:textId="77777777">
        <w:trPr>
          <w:trHeight w:val="300"/>
        </w:trPr>
        <w:tc>
          <w:tcPr>
            <w:tcW w:w="680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40019F2E" w14:textId="77777777">
            <w:pPr>
              <w:keepNext/>
              <w:keepLines/>
              <w:spacing w:before="47"/>
              <w:outlineLvl w:val="5"/>
              <w:rPr>
                <w:rFonts w:ascii="Arial" w:hAnsi="Arial" w:cs="Arial" w:eastAsiaTheme="majorEastAsia"/>
                <w:b/>
                <w:bCs/>
                <w:i/>
                <w:iCs/>
                <w:caps/>
                <w:spacing w:val="-2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19446C9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A2EACA1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0C728C33" w14:textId="77777777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BB71AE">
              <w:rPr>
                <w:rFonts w:asciiTheme="majorHAnsi" w:hAnsiTheme="majorHAnsi"/>
                <w:b/>
                <w:i/>
                <w:caps/>
              </w:rPr>
              <w:t>Indikaturi tas-sostitwibbiltà/tal-infrastruttura tal-istituzzjoni finanzjarja</w:t>
            </w:r>
          </w:p>
          <w:p w:rsidRPr="00BB71AE" w:rsidR="00DC38FB" w:rsidP="001D4ABA" w:rsidRDefault="00DC38FB" w14:paraId="217932A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41991E5D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F3F219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BA163F8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6 - Pagamenti magħmula fis-sena tar-rappurtar (esklużi pagamenti intragrupp)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98505D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3BF628B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3F9699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 a. Dollaru Awstraljan (AUD)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25397D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8B922D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D83F09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Dollaru Kanadiż (CAD)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9B2502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22290D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17B2B2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Frank Żvizzeru (CHF)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D33AA8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383923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31BF86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Yuan Ċiniż (CNY)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3154EF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6DFDD6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98CB66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Euro (EUR)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63D407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2648BF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53E1BD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Lira sterlina (GBP)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ABE523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551F61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659DB3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g. Dollaru ta’ Ħong Kong (HKD)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03CBE0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D649F0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45AC65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h. Rupi Indjan (INR)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978E13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076821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8356AD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i. Jen Ġappuniż (JPY)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44FB24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C7D81D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D6A813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j. Dollaru tan-New Zealand (NZD)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9EB8C9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70BDBC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5EB71E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k. Krona Żvediża (SEK)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47E298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411BB8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CFA98C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l. Dollaru Amerikan (USD)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4C3514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ADA513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57530BD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m. Indikatur tal-attività tal-pagamenti (is-somma tal-entrati 6.a sa 6.l)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7FB32D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 </w:t>
            </w:r>
          </w:p>
        </w:tc>
      </w:tr>
      <w:tr w:rsidRPr="00BB71AE" w:rsidR="00DC38FB" w:rsidTr="001D4ABA" w14:paraId="546A30A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546ADFD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231AC0F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0D85D7D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8D95DD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7 - Assi Taħt Kustodja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15F205E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3721863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787223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Indikatur tal-assi taħt kustodja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6639168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98CC06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1C265C8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06B930A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4061D05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7BCFBD0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8 - Tranżazzjonijiet Sottoskritti fi Swieq tad-Dejn u tal-Ekwità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8154BB5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5E17CBF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994207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Attività ta' sottoskrizzjoni tal-ekwità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2AEFC7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78DD64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1F8130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Attività ta' sottoskrizzjoni tad-dejn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4FDCC2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35447F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6761262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>c. Indikatur tal-attività tal-pagamenti (is-somma tal-entrati 8.a sa 8.b)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1502466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202576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2358D6E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2239E49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6B4F7F3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EE0FF1C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9 - Volum tan-Negozjar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28A7C17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511359E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798EE5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Volum tan-negozjar tat-titoli maħruġa minn entitajiet oħrajn fis-settur pubbliku, esklużi tranżazzjonijiet intragrupp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0FC108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C43A0D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6E6D79C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Volum ta’ negozjar ta’ titoli oħra ta’ introjtu fiss, esklużi tranżazzjonijiet intragrupp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8E5358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DC957DA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197D0F8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Subindikatur tal-introjtu fiss tal-volum tan-negozjar (is-somma tal-entrati 9.a. u 9.b.)</w:t>
            </w:r>
          </w:p>
        </w:tc>
      </w:tr>
      <w:tr w:rsidRPr="00BB71AE" w:rsidR="00DC38FB" w:rsidTr="001D4ABA" w14:paraId="427980E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03C2DA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Volum ta’ negozjar ta’ ekwitajiet elenkati, esklużi tranżazzjonijiet intragrupp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FB0F37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AFEA1A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A535292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Volum ta’ negozjar tat-titoli l-oħra kollha, esklużi t-tranżazzjonijiet intragrupp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993826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A7E252D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58D5839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Subindikatur tal-volum tal-kummerċ tal-ekwitajiet u ta’ titoli oħra (is-somma tal-entrati 9.d. u 9.e.)</w:t>
            </w:r>
          </w:p>
        </w:tc>
      </w:tr>
      <w:tr w:rsidRPr="00BB71AE" w:rsidR="00DC38FB" w:rsidTr="001D4ABA" w14:paraId="650AE4A3" w14:textId="77777777">
        <w:trPr>
          <w:trHeight w:val="403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7464F81A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608EE598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5E15954" w14:textId="77777777">
        <w:trPr>
          <w:trHeight w:val="403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B71AE" w:rsidR="00DC38FB" w:rsidP="001D4ABA" w:rsidRDefault="00DC38FB" w14:paraId="6DF23B0C" w14:textId="77777777">
            <w:pPr>
              <w:keepNext/>
              <w:keepLines/>
              <w:spacing w:before="47"/>
              <w:outlineLvl w:val="5"/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BB71AE">
              <w:rPr>
                <w:rFonts w:ascii="Arial" w:hAnsi="Arial"/>
                <w:i/>
                <w:caps/>
                <w:color w:val="172B39" w:themeColor="accent1" w:themeShade="80"/>
                <w:sz w:val="20"/>
              </w:rPr>
              <w:t> </w:t>
            </w:r>
            <w:r w:rsidRPr="00BB71AE">
              <w:rPr>
                <w:rFonts w:asciiTheme="majorHAnsi" w:hAnsiTheme="majorHAnsi"/>
                <w:b/>
                <w:i/>
                <w:caps/>
              </w:rPr>
              <w:t>Indikaturi tal-kumplessità</w:t>
            </w:r>
          </w:p>
          <w:p w:rsidRPr="00BB71AE" w:rsidR="00DC38FB" w:rsidP="001D4ABA" w:rsidRDefault="00DC38FB" w14:paraId="00D0228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B71AE" w:rsidR="00DC38FB" w:rsidP="001D4ABA" w:rsidRDefault="00DC38FB" w14:paraId="4BC9C041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F0BAF36" w14:textId="77777777">
        <w:trPr>
          <w:trHeight w:val="403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12CB70C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i/>
                <w:iCs/>
                <w:caps/>
                <w:color w:val="172B39" w:themeColor="accent1" w:themeShade="80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B76FE6F" w14:textId="77777777">
            <w:pPr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E84114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E4D6326" w14:textId="77777777">
            <w:pPr>
              <w:ind w:firstLine="20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10 - Ammont Nozzjonali ta’ Derivattivi Barra l-Borża (OTC)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9E197A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0DB62D4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B9887D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Derivattivi OTC ikklerjati permezz ta' kontroparti ċentrali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59F5CC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16368C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0F4F75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Derivattivi OTC miftiehma b'mod bilaterali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0C1443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C7E734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DB81A2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Ammont nozzjonali ta’ indikatur tad-derivattivi barra l-Borża (OTC), inklużi sussidjarji tal-assigurazzjoni (is-somma tal-entrati 10.a. u 10.b.)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AD0EF7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FCA992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1A195199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585C162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A5EADCC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A6255D7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11 - Titoli għan-Negozjar u Disponibbli għall-Bejgħ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29840FC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1AF0E95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D3E36C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Titoli miżmuma għan-negozjar (HFT)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6C8A86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74ED8A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734360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Titoli disponibbli għall-bejgħ (AFS)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9095D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546817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6DA56C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Titoli għan-negozjar u tal-AFS li jissodisfaw id-definizzjoni tal-assi tal-ewwel livell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14027E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7AB5A8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CE1517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Titoli għan-negozjar u tal-AFS li jissodisfaw id-definizzjoni tal-assi tat-tieni livell, b'haircuts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AFF855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AE9389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3BC096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Indikatur tat-titoli tan-negozjar u tal-AFS (is-somma tal-entrati 11.a. u 11.b., bit-tnaqqis tas-somma ta’ 11.c. u 11.d.)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FC104F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7D0C49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02C310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2A609F6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A89BBC4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F125381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12 - Assi tal-Livell 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7D1A71B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6C5FF09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10F54E4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a. Indikatur tal-assi tal-Livell 3, inklużi sussidjarji tal-assigurazzjoni 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DC7FDC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E911CB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79ECD1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622FCB2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D978C88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00075CE5" w14:textId="77777777">
            <w:pPr>
              <w:ind w:firstLine="22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Theme="majorHAnsi" w:hAnsiTheme="majorHAnsi"/>
                <w:b/>
                <w:i/>
                <w:caps/>
              </w:rPr>
              <w:t>Indikaturi tal-attività transġuriżdizzjonali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5836A7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5C18BC6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9F6FAD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63022E9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89BB0C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D1C2AF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13 - Pretensjonijiet Transġuriżdizzjonali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4CA9C948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526C55B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7DA02D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It-total tal-pretensjonijiet barranin fuq bażi ta’ riskju finali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1AC84B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3FD91B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1223E2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Pretensjonijiet ta’ derivattivi barranin abbażi ta’ riskju finali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9B65C3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2D600EE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51CBCF21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Indikatur tal-pretensjonijiet transġuriżdizzjonali (is-somma tal-entrati 13.a. u 13.b.)</w:t>
            </w:r>
          </w:p>
        </w:tc>
      </w:tr>
      <w:tr w:rsidRPr="00BB71AE" w:rsidR="00DC38FB" w:rsidTr="001D4ABA" w14:paraId="38859B6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6EE5911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70DBBA43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C2E2F6D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8A8341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14 - Obbligazzjonijiet Transġuriżdizzjonali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67E3E0A6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200CDDE0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2DE2A6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>a. Obbligazzjonijiet barranin fuq bażi ta’ riskju immedjat, esklużi d-derivattivi u inklużi l-obbligazzjonijiet lokali fil-munita lokali</w:t>
            </w:r>
          </w:p>
        </w:tc>
      </w:tr>
      <w:tr w:rsidRPr="00BB71AE" w:rsidR="00DC38FB" w:rsidTr="001D4ABA" w14:paraId="1E4806F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8A89FE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Obbligazzjonijiet derivattivi barranin abbażi ta’ riskju immedjat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80B8DB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D31C1D9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4C40CE2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Indikatur tal-obbligazzjonijiet transġuriżdizzjonali (is-somma tal-entrati 14.a. u 14.b.)</w:t>
            </w:r>
          </w:p>
        </w:tc>
      </w:tr>
      <w:tr w:rsidRPr="00BB71AE" w:rsidR="00DC38FB" w:rsidTr="001D4ABA" w14:paraId="4E340FE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28E6A290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32F7243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D0A166C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E5372FA" w14:textId="77777777">
            <w:pPr>
              <w:keepNext/>
              <w:keepLines/>
              <w:spacing w:before="47"/>
              <w:outlineLvl w:val="5"/>
              <w:rPr>
                <w:rFonts w:ascii="Arial" w:hAnsi="Arial" w:eastAsia="Times New Roman" w:cs="Arial"/>
                <w:b/>
                <w:bCs/>
                <w:i/>
                <w:iCs/>
                <w:caps/>
                <w:color w:val="172B39" w:themeColor="accent1" w:themeShade="80"/>
                <w:sz w:val="20"/>
                <w:szCs w:val="20"/>
              </w:rPr>
            </w:pPr>
            <w:r w:rsidRPr="00BB71AE">
              <w:rPr>
                <w:rFonts w:asciiTheme="majorHAnsi" w:hAnsiTheme="majorHAnsi"/>
                <w:b/>
                <w:i/>
                <w:iCs/>
                <w:caps/>
              </w:rPr>
              <w:t>DATA</w:t>
            </w:r>
            <w:r w:rsidRPr="00BB71AE">
              <w:rPr>
                <w:rFonts w:asciiTheme="majorHAnsi" w:hAnsiTheme="majorHAnsi"/>
                <w:b/>
                <w:i/>
                <w:caps/>
              </w:rPr>
              <w:t xml:space="preserve"> ANĊILLARI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Pr="00BB71AE" w:rsidR="00DC38FB" w:rsidP="001D4ABA" w:rsidRDefault="00DC38FB" w14:paraId="226EBB0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C98E683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70AF204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B71AE" w:rsidR="00DC38FB" w:rsidP="001D4ABA" w:rsidRDefault="00DC38FB" w14:paraId="59F379E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570E4C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0D02DFF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15 - Indikaturi Anċillari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0D81539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0535D98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704A79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Obbligazzjonijiet totali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89E1FC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E393CF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DE7E24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Finanzjament għall-konsumatur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3E0480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23E7450" w14:textId="77777777">
        <w:trPr>
          <w:gridAfter w:val="1"/>
          <w:wAfter w:w="2745" w:type="dxa"/>
          <w:trHeight w:val="54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4E3CD0E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Proporzjon tad-dipendenza tal-finanzjament bl-ingrossa (id-differenza bejn il-partiti 15.a.u 15.b., diviża b’15.a.)</w:t>
            </w:r>
          </w:p>
        </w:tc>
      </w:tr>
      <w:tr w:rsidRPr="00BB71AE" w:rsidR="00DC38FB" w:rsidTr="001D4ABA" w14:paraId="577655A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101264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Dħul gross totali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42696D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012E26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1C1D34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Dħul nett totali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3D3D15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6E58E7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F85580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Dħul nett barrani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98FA62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DB4287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F984254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g. Valur gross ta’ flus kontanti ipprovduti u valur ġust gross ta’ titoli pprovduti f’SFTs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F35601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D877E7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380924D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h. Valur gross ta' flus mislufa u valur ġust gross ta' titoli mislufa f'SFTs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6797B9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A40716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20A7112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i. Valur ġust pożittiv gross ta' tranżazzjonijiet derivattivi barra l-borża (OTC)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5A085F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613691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54B755B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j. Il-valur ġust negattiv gross ta’ tranżazzjonijiet derivattivi barra l-Borża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AE1DE2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5576D0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1B252D3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31200B1F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 f’unitajiet uniċi</w:t>
            </w:r>
          </w:p>
        </w:tc>
      </w:tr>
      <w:tr w:rsidRPr="00BB71AE" w:rsidR="00DC38FB" w:rsidTr="001D4ABA" w14:paraId="314E905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5FE319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k. Għadd ta’ ġuriżdizzjonijiet 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33C1EA8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77C91D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2E03160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47717AB0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CF9CEE9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30F3F87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16 - Entrati anċillari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hideMark/>
          </w:tcPr>
          <w:p w:rsidRPr="00BB71AE" w:rsidR="00DC38FB" w:rsidP="001D4ABA" w:rsidRDefault="00DC38FB" w14:paraId="1A90B844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1C822B3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683A20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Titoli miżmuma sal-maturità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2ECABA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7456F5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8BFC48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Ħlasijiet magħmula fis-sena tar-rappurtar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FE24A32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5309FE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DCDAE08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Real Brażiljan (BRL)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69A36A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958333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5725F71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Peso Messikan (MXN)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FC450B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0D4D77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7B1EFE4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Krona Norveġiża (NOK)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04CE40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26109B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05A611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B71AE">
              <w:rPr>
                <w:rFonts w:ascii="Arial" w:hAnsi="Arial"/>
                <w:sz w:val="20"/>
              </w:rPr>
              <w:t>Rublu Russu (RUB)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64BBB6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1CE1F3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FBD79E9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(5) </w:t>
            </w:r>
            <w:r w:rsidRPr="00BB71AE">
              <w:rPr>
                <w:rFonts w:ascii="Arial" w:hAnsi="Arial"/>
                <w:sz w:val="20"/>
              </w:rPr>
              <w:t>Id-Dollaru Singaporjan (SGD)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2FA925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92F7A7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B90D04E" w14:textId="77777777">
            <w:pPr>
              <w:ind w:firstLine="400" w:firstLineChars="2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(6) </w:t>
            </w:r>
            <w:r w:rsidRPr="00BB71AE">
              <w:rPr>
                <w:rFonts w:ascii="Arial" w:hAnsi="Arial"/>
                <w:sz w:val="20"/>
              </w:rPr>
              <w:t>Il-won tal-Korea t’Isfel (KRW)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D94312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38A7192A" w14:textId="77777777">
        <w:trPr>
          <w:trHeight w:val="403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Pr="00BB71AE" w:rsidR="00DC38FB" w:rsidP="001D4ABA" w:rsidRDefault="00DC38FB" w14:paraId="6D7A0F74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  <w:hideMark/>
          </w:tcPr>
          <w:p w:rsidRPr="00BB71AE" w:rsidR="00DC38FB" w:rsidP="001D4ABA" w:rsidRDefault="00DC38FB" w14:paraId="7EAFC860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DE56326" w14:textId="77777777">
        <w:trPr>
          <w:trHeight w:val="403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B71AE" w:rsidR="00DC38FB" w:rsidP="001D4ABA" w:rsidRDefault="00DC38FB" w14:paraId="7D7D37B2" w14:textId="77777777">
            <w:pPr>
              <w:rPr>
                <w:rFonts w:asciiTheme="majorHAnsi" w:hAnsiTheme="majorHAnsi" w:eastAsiaTheme="majorEastAsia" w:cstheme="majorBidi"/>
                <w:b/>
                <w:bCs/>
                <w:i/>
                <w:iCs/>
                <w:caps/>
                <w:spacing w:val="-2"/>
              </w:rPr>
            </w:pPr>
            <w:r w:rsidRPr="00BB71AE">
              <w:rPr>
                <w:rFonts w:asciiTheme="majorHAnsi" w:hAnsiTheme="majorHAnsi"/>
                <w:b/>
                <w:i/>
                <w:caps/>
              </w:rPr>
              <w:t> Entrati ta’ memorandum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Pr="00BB71AE" w:rsidR="00DC38FB" w:rsidP="001D4ABA" w:rsidRDefault="00DC38FB" w14:paraId="47CEA6E4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B71AE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BB71AE" w:rsidR="00DC38FB" w:rsidTr="001D4ABA" w14:paraId="50C35D8C" w14:textId="77777777">
        <w:trPr>
          <w:trHeight w:val="403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4199F57" w14:textId="77777777">
            <w:pPr>
              <w:ind w:firstLine="241" w:firstLineChars="10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B71AE">
              <w:rPr>
                <w:rFonts w:ascii="Arial" w:hAnsi="Arial"/>
                <w:b/>
                <w:sz w:val="24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602B415" w14:textId="77777777">
            <w:pP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BB71AE">
              <w:rPr>
                <w:rFonts w:ascii="Arial" w:hAnsi="Arial"/>
                <w:b/>
                <w:sz w:val="24"/>
              </w:rPr>
              <w:t> </w:t>
            </w:r>
          </w:p>
        </w:tc>
      </w:tr>
      <w:tr w:rsidRPr="00BB71AE" w:rsidR="00DC38FB" w:rsidTr="001D4ABA" w14:paraId="270F2D1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1E8AE7B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17 - Entrati dwar id-daqs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hideMark/>
          </w:tcPr>
          <w:p w:rsidRPr="00BB71AE" w:rsidR="00DC38FB" w:rsidP="001D4ABA" w:rsidRDefault="00DC38FB" w14:paraId="067A90BC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37D95946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C41154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Skoperturi ta’ sussidjarji tal-assigurazzjoni diġà inklużi fil-kamp ta’ applikazzjoni regolatorju prudenzjali ta’ konsolidazzjoni</w:t>
            </w:r>
          </w:p>
        </w:tc>
      </w:tr>
      <w:tr w:rsidRPr="00BB71AE" w:rsidR="00DC38FB" w:rsidTr="001D4ABA" w14:paraId="3DB32EA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842932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b. Valur medju trimestrali tal-iskoperturi totali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D14B01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7AC8F3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1E128D0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c. Valur medju ta’ kull xahar tal-iskoperturi totali 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48B8E16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EC55D4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1FF773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308E50FA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66D0DC6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5498AAE3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18 - Entrati dwar l-Interkonnettività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7FE0997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7B106BB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0B65C2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>a. Indikatur tal-assi tas-sistema intrafinanzjarja (indikatur antik)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EF9AA8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C4E2DA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000388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b. Valur medju trimestrali tal-assi tas-sistema intrafinanzjarja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386253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DE6B0E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E396F5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c. Valur medju ta’ kull xahar tal-assi tas-sistema intra-finanzjarja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C719E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E23488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61EA81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Indikatur tal-obbligazzjonijiet tas-sistema intrafinanzjarja (indikatur antik)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3122C66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4794736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AA1F8F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e. Valur medju trimestrali tal-obbligazzjonijiet tas-sistema intrafinanzjarja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2DA30F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3F780F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51B244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f. Valur medju ta’ kull xahar tal-obbligazzjonijiet tas-sistema intrafinanzjarja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D4CBCE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13E79B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91C8E60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g. Indikatur ta’ titoli pendenti (indikatur antik)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078EED9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68A3FC9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4D0984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h. Valur medju ta’ kull tliet xhur tat-titoli pendenti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16FC9F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5B642B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761D3FF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i. Valur medju ta’ kull xahar tat-titoli pendenti 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5B2C834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64A645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4C2B531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351F2139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2421AFE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6EF764BE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19 - Infrastruttura ta’ Sostitwibbiltà/Finanzjarja. Entrati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23E0CDC1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46ACCC0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D12266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Volum ta’ negozjar ta’ titoli maħruġa minn sovrani, esklużi tranżazzjonijiet intragrupp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C5792E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817BC3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E1C8727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Marġni inizjali ddepożitat lill-kontropartijiet ċentrali (CCPs) f’isem il-klijenti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779D61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A1BA01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19CBE8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Marġni inizjali ddepożitat lis-CCPs għall-kont proprju tal-grupp tar-rappurtar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547448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82EC4D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60D9780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Kontribuzzjonijiet tal-fond ta’ inadempjenza għas-CCPs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1DEB76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1D33228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542E89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Faċilitajiet oħrajn għas-CCPs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2E2ADD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52D6355B" w14:textId="77777777">
        <w:trPr>
          <w:gridAfter w:val="1"/>
          <w:wAfter w:w="2745" w:type="dxa"/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DBFD188" w14:textId="77777777">
            <w:pPr>
              <w:ind w:left="17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Provvista ta’ servizzi ta’ saldu b’konnessjoni mat-tranżazzjonijiet ikklerjati ċentralment</w:t>
            </w:r>
          </w:p>
        </w:tc>
      </w:tr>
      <w:tr w:rsidRPr="00BB71AE" w:rsidR="00DC38FB" w:rsidTr="001D4ABA" w14:paraId="24E5105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EC9D3E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g. Valur medju trimestrali tal-assi taħt kustodja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1FD40C3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035A816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02AFBCB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h. Valur medju ta’ kull xahar tal-assi taħt kustodja 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  <w:hideMark/>
          </w:tcPr>
          <w:p w:rsidRPr="00BB71AE" w:rsidR="00DC38FB" w:rsidP="001D4ABA" w:rsidRDefault="00DC38FB" w14:paraId="2AE737F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7B3C271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4224381F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</w:tcPr>
          <w:p w:rsidRPr="00BB71AE" w:rsidR="00DC38FB" w:rsidP="001D4ABA" w:rsidRDefault="00DC38FB" w14:paraId="0289CAF7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A528F71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4DB3A001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20 - Entrati dwar il-Kumplessità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hideMark/>
          </w:tcPr>
          <w:p w:rsidRPr="00BB71AE" w:rsidR="00DC38FB" w:rsidP="001D4ABA" w:rsidRDefault="00DC38FB" w14:paraId="7F0E1542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4296B14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2C55D5A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Indikatur tad-derivattivi OTC (indikatur antik)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  <w:hideMark/>
          </w:tcPr>
          <w:p w:rsidRPr="00BB71AE" w:rsidR="00DC38FB" w:rsidP="001D4ABA" w:rsidRDefault="00DC38FB" w14:paraId="73F2BF0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 </w:t>
            </w:r>
          </w:p>
        </w:tc>
      </w:tr>
      <w:tr w:rsidRPr="00BB71AE" w:rsidR="00DC38FB" w:rsidTr="001D4ABA" w14:paraId="2F5EA8C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A1BCCE2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Ammont nozzjonali ta’ derivattivi barra l-borża (OTC), inklużi sussidjarji tal-assigurazzjoni: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78FB6A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9FD5C2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D7E26D9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Ikklerjat permezz ta’ CCP fejn il-grupp (inklużi sussidjarji tal-assigurazzjoni) jaġixxi bħala intermedjarju finanzjarju (komponent tas-CCP)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BA5280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7B2D23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7C5F6B4" w14:textId="77777777">
            <w:pPr>
              <w:ind w:left="313" w:firstLine="58" w:firstLineChars="29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 xml:space="preserve">Ikklerjat permezz ta’ CCP fejn il-grupp (inklużi sussidjarji tal-assigurazzjoni) jaġixxi bħala intermedjarju finanzjarju (komponent tal-klijent)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0960E6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9C0742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2386C1E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 xml:space="preserve">Ikklerjat permezz ta’ CCP fejn il-grupp, inklużi sussidjarji tal-assigurazzjoni, jaġixxi bħala aġent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9987B5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0E095E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735A555" w14:textId="77777777">
            <w:pPr>
              <w:ind w:left="313" w:hanging="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(4) </w:t>
            </w:r>
            <w:r w:rsidRPr="00BB71AE">
              <w:rPr>
                <w:rFonts w:ascii="Arial" w:hAnsi="Arial"/>
                <w:sz w:val="20"/>
              </w:rPr>
              <w:t>Ikklerjat permezz ta’ CCP fejn il-grupp, inklużi sussidjarji tal-assigurazzjoni, jagħmel kummerċ fuq il-kont proprju tiegħu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014968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71B96E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2E3DAB1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Derivattivi OTC ikklerjati permezz ta’ kontroparti ċentrali (esklużjoni mit-tranżizzjoni LIBOR)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A49AA6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D8DFDD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879C396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d. Valur medju trimestrali tal-ammont nozzjonali ta’ derivattivi barra l-Borża (OTC)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25121E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6FDE19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B50356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e. Valur medju ta’ kull xahar tal-ammont nozzjonali ta’ derivattivi barra l-Borża (OTC)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F1D02B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CC0DA1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4C4907C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f. Valur medju ta’ kull tliet xhur tan-negozjar u titoli disponibbli għall-bejgħ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3E7C01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E41F0E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D7AA25B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g. Valur medju ta’ kull xahar tat-titoli kummerċjali u disponibbli għall-bejgħ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4B3514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D5B719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2C48FA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h. Indikatur tal-assi tal-Livell 3 (indikatur antik)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9C81F0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EB407D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82269A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 xml:space="preserve">i. Valur medju trimestrali tal-Assi tal-Livell 3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B3D034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5CD8A9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B9ED59F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j. Valur medju ta’ kull xahar tal-Assi tal-Livell 3 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77605E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6F499A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94BBA7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k. Assi tal-Livell 2,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93D7D1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9068AF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0B6406E" w14:textId="77777777">
            <w:pPr>
              <w:ind w:left="454" w:hanging="14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Assi tal-Livell 2, inklużi sussidjarji tal-assigurazzjoni, ikklerjati permezz ta’ CCP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AD2835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A17214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B0DC2BA" w14:textId="77777777">
            <w:pPr>
              <w:ind w:left="454" w:hanging="141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Assi tal-Livell 2, inklużi sussidjarji tal-assigurazzjoni, miftiehma b’mod bilaterali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9F43EB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3E08F3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464E4CD" w14:textId="77777777">
            <w:pPr>
              <w:ind w:firstLine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Assi oħrajn tal-Livell 2,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DAA934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5E6DB5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8E2FFF5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l. Valur medju ta’ assi tal-Livell 2, inklużi sussidjarji tal-assigurazzjoni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7821ED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B90FAB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2479E815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73C9460B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EBF5D8B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Pr="00BB71AE" w:rsidR="00DC38FB" w:rsidP="001D4ABA" w:rsidRDefault="00DC38FB" w14:paraId="53EF663E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21 - Entrati dwar l-Attività Transġuriżdizzjonali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noWrap/>
          </w:tcPr>
          <w:p w:rsidRPr="00BB71AE" w:rsidR="00DC38FB" w:rsidP="001D4ABA" w:rsidRDefault="00DC38FB" w14:paraId="22324CF7" w14:textId="77777777">
            <w:pPr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Ammont</w:t>
            </w:r>
          </w:p>
        </w:tc>
      </w:tr>
      <w:tr w:rsidRPr="00BB71AE" w:rsidR="00DC38FB" w:rsidTr="001D4ABA" w14:paraId="20BD7F9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E749815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Indikatur tal-obbligazzjonijiet transġuriżdizzjonali (indikatur antik)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9FB176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FD5CDB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0D5A8E4" w14:textId="77777777">
            <w:pPr>
              <w:ind w:left="313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Obbligazzjonijiet barranin (esklużi derivattivi u obbligazzjonijiet lokali fil-munita lokali)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FBCFA2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774A72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8429324" w14:textId="77777777">
            <w:pPr>
              <w:ind w:left="-2" w:leftChars="-1" w:firstLine="312" w:firstLineChars="156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(2) </w:t>
            </w:r>
            <w:r w:rsidRPr="00BB71AE">
              <w:rPr>
                <w:rFonts w:ascii="Arial" w:hAnsi="Arial"/>
                <w:sz w:val="20"/>
              </w:rPr>
              <w:t>Kwalunkwe obbligazzjoni barranija lil uffiċċji relatati inklużi fl-entrata 21.a.(1)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D13B0D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7BB246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13DB56C" w14:textId="77777777">
            <w:pPr>
              <w:ind w:left="-2" w:leftChars="-1" w:firstLine="312" w:firstLineChars="156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(3) </w:t>
            </w:r>
            <w:r w:rsidRPr="00BB71AE">
              <w:rPr>
                <w:rFonts w:ascii="Arial" w:hAnsi="Arial"/>
                <w:sz w:val="20"/>
              </w:rPr>
              <w:t>Obbligazzjonijiet lokali fil-munita lokali (eskluża l-attività tad-derivattivi)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765CEC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430ED7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1714BE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Obbligazzjonijiet lokali fil-munita lokali (inkluż l-attività tad-derivattivi)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279C2C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C012C1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41273B3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c. Pretensjonijiet lokali transġuriżdizzjonali fil-munita lokali (eskluża l-attività tad-derivattivi)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2ED7DD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A1E1D0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4066FA4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d. Pretensjonijiet lokali transġuriżdizzjonali fil-munita lokali (eskluża l-attività tad-derivattivi)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5F599E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A51076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04C041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e. Talbiet barranin totali fuq bażi ta’ riskju aħħari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F458D7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3969D9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195649E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f. Pretensjonijiet ta’ derivattivi barranin fuq bażi ta’ riskju aħħari (b’kunsiderazzjoni tal-SRM bħala ġuriżdizzjoni waħda)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B41BA5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8B1CCC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4292E3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g. Obbligazzjonijiet barranin fuq bażi ta’ riskju immedjat, inklużi derivattivi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ADF6EF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801D9B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809EBA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Obbligazzjonijiet ta’derivattivi barranin fuq bażi ta’ riskju immedjat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FA214B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21D800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A0B347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h. Pretensjonijiet lokali transġuriżdizzjonali fil-munita lokali, bl-esklużjoni tal-attività tad-derivattivi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AE8053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34810E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0C54CFB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i. Pretensjonijiet lokali transġuriżdizzjonali fil-munita lokali, bl-inklużjoni l-attività tad-derivattivi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C271B1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47D1C7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EBC96C8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j. Obbligazzjonijiet barranin, esklużi derivattivi u obbligazzjonijiet lokali fil-munita lokali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3F1209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9E6F47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EB93387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  <w:lang w:eastAsia="en-GB"/>
              </w:rPr>
              <w:t xml:space="preserve">(1) </w:t>
            </w:r>
            <w:r w:rsidRPr="00BB71AE">
              <w:rPr>
                <w:rFonts w:ascii="Arial" w:hAnsi="Arial"/>
                <w:sz w:val="20"/>
              </w:rPr>
              <w:t>Kwalunkwe obbligazzjoni barranija lil uffiċċji relatati inkluża fl-entrata 20.j. (il-kunsiderazzjoni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1FAB46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75899DE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C3E0D91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k. Obbligazzjonijiet lokali fil-munita lokali bl-esklużjoni tad-derivattivi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39B495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D9F96C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D13B3A2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l. Obbligazzjonijiet lokali fil-munita lokali inklużi d-derivattivi (meta wieħed iqis l-SRM bħala ġuriżdizzjoni waħda)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7DF53D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B71DB9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E690585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m. Pożizzjonijiet lokali netti totali fil-munita lokali inklużi d-derivattivi, jekk pożittivi netti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E05B15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00DCCF2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A01AFB5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n. Pożizzjonijiet lokali netti totali fil-munita lokali inklużi d-derivattivi, jekk negattivi netti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DBE7EA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199C44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C7C388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o. Pożizzjonijiet lokali netti totali fil-munita lokali f’pajjiżi li mhumiex fl-SRM inklużi d-derivattivi, jekk pożittivi netti (c. SRM bħala s. j.)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49274D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77004A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30CE0F0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p. Pożizzjonijiet lokali netti totali fil-munita lokali f’pajjiżi li mhumiex fl-SRM inklużi d-derivattivi, jekk negattivi netti (c. SRM bħala s. j.)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01E5A0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B58F5A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F6E384D" w14:textId="77777777">
            <w:pPr>
              <w:ind w:left="171" w:firstLine="28" w:firstLineChars="14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lastRenderedPageBreak/>
              <w:t>q. Pożizzjonijiet lokali netti totali fil-munita lokali f’pajjiżi SRM inklużi derivattivi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272DB6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8B3593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ED5210D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r. Pretensjonijiet fi ħdan l-uffiċċju rreġistrati minn sussidjarji barranin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1619C3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925D30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372DF16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s. Pretensjonijiet fi ħdan l-uffiċċji rreġistrati minn fergħat barranin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8E520B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4AA4F8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B1D3113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t. Obbligazzjonijiet bejn l-uffiċċji rreġistrati minn sussidjarji barranin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9F0599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84C3DE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4B994C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u. Obbligazzjonijiet bejn l-uffiċċji rreġistrati minn fergħat barranin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E8D92F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951BB1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FEF08B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v. Valur medju trimestrali tal-pretensjonijiet transġuriżdizzjonali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02EAA8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EEA47B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F8423D8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w. Valur medju ta’ kull xahar tal-pretensjonijiet transġuriżdizzjonali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B600D4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AF20AC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CCE190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x. Valur medju trimestrali tal-obbligazzjonijiet transġuriżdizzjonali 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9A35B4B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649203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2959ABE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 xml:space="preserve">y. Valur medju ta’ kull xahar ta’ obbligazzjonijiet transġuriżdizzjonali </w:t>
            </w:r>
          </w:p>
        </w:tc>
        <w:tc>
          <w:tcPr>
            <w:tcW w:w="2745" w:type="dxa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05E21F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C57682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3E660658" w14:textId="77777777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6B0E3D6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829AA42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Pr="00BB71AE" w:rsidR="00DC38FB" w:rsidP="001D4ABA" w:rsidRDefault="00DC38FB" w14:paraId="60443746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b/>
                <w:sz w:val="20"/>
              </w:rPr>
              <w:t>Taqsima 22 - Indikaturi Anċillari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noWrap/>
          </w:tcPr>
          <w:p w:rsidRPr="00BB71AE" w:rsidR="00DC38FB" w:rsidP="001D4ABA" w:rsidRDefault="00DC38FB" w14:paraId="340969B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9D18E8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1758DD4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a. Dħul nett barrani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5CECE6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4C1A4F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7559899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="Arial" w:hAnsi="Arial"/>
                <w:sz w:val="20"/>
              </w:rPr>
              <w:t>b. Numru ta’ ġuriżdizzjonijiet (b’kunsiderazzjoni tal-SRM bħala ġuriżdizzjoni unika)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9CC115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74D5B1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43E3B08A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10F8792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120E5E3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5DAB32A0" w14:textId="77777777">
            <w:pPr>
              <w:ind w:firstLine="221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rFonts w:asciiTheme="majorHAnsi" w:hAnsiTheme="majorHAnsi"/>
                <w:b/>
                <w:i/>
                <w:caps/>
              </w:rPr>
              <w:t>Sommarju tal-Kontrolli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Pr="00BB71AE" w:rsidR="00DC38FB" w:rsidP="001D4ABA" w:rsidRDefault="00DC38FB" w14:paraId="0BC21EB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9D2AA99" w14:textId="77777777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6201107" w14:textId="77777777">
            <w:pPr>
              <w:ind w:firstLine="200" w:firstLineChars="10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noWrap/>
          </w:tcPr>
          <w:p w:rsidRPr="00BB71AE" w:rsidR="00DC38FB" w:rsidP="001D4ABA" w:rsidRDefault="00DC38FB" w14:paraId="273A120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A7E4AE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1E7ACC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b/>
              </w:rPr>
              <w:t>Taqsima 23 – Valuri tal-Indikaturi (Metodoloġija riveduta)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FDC88F0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b/>
              </w:rPr>
              <w:t>Valur tal-indikatur fil-munita tar-rapportar</w:t>
            </w:r>
          </w:p>
        </w:tc>
      </w:tr>
      <w:tr w:rsidRPr="00BB71AE" w:rsidR="00DC38FB" w:rsidTr="001D4ABA" w14:paraId="2035B13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A0D944E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a. Taqsima 2 - Indikatur tal-iskoperturi totali,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5FF5A3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D7EAED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6DBBF9A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b. Taqsima 3 - Indikatur tal-assi tas-sistema intrafinanzjarja,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7525B1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15D3AD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0067499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c. Taqsima 4 - Indikatur tal-obbligazzjonijiet tas-sistema intrafinanzjarja,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2B4138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D2AACB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0A82BEB" w14:textId="77777777">
            <w:pPr>
              <w:ind w:left="171" w:firstLine="48" w:firstLineChars="22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d. Taqsima 5 - Indikatur tat-titoli pendenti,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EA9A4F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E44B37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92FB9A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e. Taqsima 6 – Indikatur tal-attività tal-pagamenti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6F2DE3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10CF95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CA48B08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f. Taqsima 7 – Indikatur tal-assi taħt kustodja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F76865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1067FD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9C780DC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g. Taqsima 8 – Indikatur tal-attività tas-sottoskrizzjoni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5A75F79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EAD786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16367F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h. Taqsima 9.c - Sottoindikatur tal-introjtu fiss tal-Volum tan-Negozjar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D988184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79C8C3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FF1AE69" w14:textId="77777777">
            <w:pPr>
              <w:ind w:left="171" w:firstLine="77" w:firstLineChars="35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i. Taqsima 9.f - Ekwitajiet ta’ Volum tan-Negozjar u subindikatur ieħor tat-titoli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5BCD0A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DFD644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BBB66F4" w14:textId="77777777">
            <w:pPr>
              <w:ind w:left="171" w:firstLine="77" w:firstLineChars="35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j. Taqsima 10 - Indikatur tad-derivattivi OTC,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F69841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D2B8E50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CFE118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k. Taqsima 11 - Indikatur tat-titoli tan-negozjar u tal-AFS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9F23D6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CC2B79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AFF555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l. Taqsima 12 - Indikatur tal-assi tal-Livell 3, inklużi sussidjarji tal-assigurazzjoni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07B143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E6719F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509747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m. Taqsima 13 – Indikatur tal-pretensjonijiet transġuriżdizzjonali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6C4FE92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D2FFBE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45C7E16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n. Taqsima 13 – Indikatur tal-obbligazzjonijiet transġuriżdizzjonali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B5DEBE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5A561F6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4E0620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o. Taqsimiet Oħrajn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6F1C8EF6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6FAEDC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4ABF81B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(1) Entrata 1.a - Informazzjoni ġenerali pprovduta mill-awtorità superviżorja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459E03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BF5F71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381B34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lastRenderedPageBreak/>
              <w:t>(2) Entrata 1.b - Informazzjoni ġenerali pprovduta mill-istituzzjoni tar-rapportar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1C6A00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0EE022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61549A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(3) Taqsima 15 - Indikaturi Anċillari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9B7882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06A284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65D5536E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(4) Taqsima 16 - Entrati Anċillari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3EE84D1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798B19F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399252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(5) Taqsima 17 - Entrati dwar id-daqs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532594D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35D4433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07E2E1A7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(6) Taqsima 18 — Entrati dwar l-Interkonnettività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5F782A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C2E05B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C0E1D16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(7) Taqsima 19 - Infrastruttura ta’ Sostitwibbiltà/Finanzjarja. Entrati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47EB68C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BEF6498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C9EADDA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(8) Taqsima 20 — Entrati dwar il-Kumplessità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E8052A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B19B2D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9F32790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(9) Taqsima 21 - Entrati dwar l-Attività Transġuriżdizzjonali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0417B0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24ED63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3EE4F73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(10) Taqsima 22 - Indikaturi Anċillari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86ABFD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1773B8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57C51B9" w14:textId="77777777">
            <w:pPr>
              <w:rPr>
                <w:b/>
                <w:bCs/>
              </w:rPr>
            </w:pP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D57EEF6" w14:textId="77777777">
            <w:pPr>
              <w:jc w:val="center"/>
              <w:rPr>
                <w:b/>
                <w:bCs/>
              </w:rPr>
            </w:pPr>
          </w:p>
        </w:tc>
      </w:tr>
      <w:tr w:rsidRPr="00BB71AE" w:rsidR="00DC38FB" w:rsidTr="001D4ABA" w14:paraId="6D715C5C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633233A" w14:textId="77777777">
            <w:pPr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b/>
              </w:rPr>
              <w:t>Taqsima 24 — Valuri tal-Indikaturi (metodoloġija antika)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2DB2D9B" w14:textId="77777777">
            <w:pPr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rPr>
                <w:b/>
              </w:rPr>
              <w:t>Valur tal-indikatur fil-munita tar-rapportar</w:t>
            </w:r>
          </w:p>
        </w:tc>
      </w:tr>
      <w:tr w:rsidRPr="00BB71AE" w:rsidR="00DC38FB" w:rsidTr="001D4ABA" w14:paraId="723B9FA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0F13972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a. Taqsima 2 - Indikatur tal-iskoperturi totali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135A65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5C6FFD0A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746915D8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b. Taqsima 18 - Indikatur tal-assi tas-sistema intrafinanzjarja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E77FE9E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2871310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4F4B5C65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c. Taqsima 18 - Indikatur tal-obbligazzjonijiet tas-sistema intrafinanzjarja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192480E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C4DC8A7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9737620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d. Taqsima 18 - Indikatur tat-titoli pendenti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D87582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7D154091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F178B81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e. Taqsima 6 - Indikatur tal-attività tal-pagamenti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254FAFBA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8BB419D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35AFE40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f. Taqsima 7 – Indikatur tal-assi taħt kustodja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4D8B59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18BB3619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52D1031E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g. Taqsima 8 – Indikatur tal-attività tas-sottoskrizzjoni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377182FF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D7DC8D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61171F2B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h. Taqsima 20 – Indikatur tad-derivattivi OTC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F139667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65F6442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D8E5DEF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i. Taqsima 11 – Indikatur tat-titoli għan-negozjar u tal-AFS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79B66965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03454AD4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33A13468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j. Taqsima 20 - Indikatur tal-assi tal-Livell 3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4A644203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4F9BEFCB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14546369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k. Taqsima 13 - Indikatur tal-pretensjonijiet transġuriżdizzjonali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04767610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B71AE" w:rsidR="00DC38FB" w:rsidTr="001D4ABA" w14:paraId="3D998BC5" w14:textId="77777777">
        <w:trPr>
          <w:trHeight w:val="300"/>
        </w:trPr>
        <w:tc>
          <w:tcPr>
            <w:tcW w:w="6804" w:type="dxa"/>
            <w:gridSpan w:val="2"/>
            <w:tcBorders>
              <w:left w:val="nil"/>
              <w:bottom w:val="single" w:color="auto" w:sz="4" w:space="0"/>
              <w:right w:val="nil"/>
            </w:tcBorders>
            <w:noWrap/>
          </w:tcPr>
          <w:p w:rsidRPr="00BB71AE" w:rsidR="00DC38FB" w:rsidP="001D4ABA" w:rsidRDefault="00DC38FB" w14:paraId="2C4B307D" w14:textId="77777777">
            <w:pPr>
              <w:ind w:firstLine="220" w:firstLineChars="100"/>
              <w:rPr>
                <w:rFonts w:ascii="Arial" w:hAnsi="Arial" w:eastAsia="Times New Roman" w:cs="Arial"/>
                <w:sz w:val="20"/>
                <w:szCs w:val="20"/>
              </w:rPr>
            </w:pPr>
            <w:r w:rsidRPr="00BB71AE">
              <w:t>l. Taqsima 21 - Indikatur tal-obbligazzjonijiet transġuriżdizzjonali</w:t>
            </w:r>
          </w:p>
        </w:tc>
        <w:tc>
          <w:tcPr>
            <w:tcW w:w="2745" w:type="dxa"/>
            <w:tcBorders>
              <w:left w:val="nil"/>
              <w:right w:val="nil"/>
            </w:tcBorders>
            <w:noWrap/>
          </w:tcPr>
          <w:p w:rsidRPr="00BB71AE" w:rsidR="00DC38FB" w:rsidP="001D4ABA" w:rsidRDefault="00DC38FB" w14:paraId="5B8FFAE8" w14:textId="77777777">
            <w:pPr>
              <w:jc w:val="right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</w:tbl>
    <w:p w:rsidRPr="00BB71AE" w:rsidR="00DC38FB" w:rsidP="00DC38FB" w:rsidRDefault="00DC38FB" w14:paraId="4693D736" w14:textId="77777777">
      <w:pPr>
        <w:widowControl w:val="0"/>
        <w:tabs>
          <w:tab w:val="left" w:pos="1116"/>
        </w:tabs>
        <w:autoSpaceDE w:val="0"/>
        <w:spacing w:before="10"/>
      </w:pPr>
    </w:p>
    <w:bookmarkEnd w:id="14"/>
    <w:sectPr w:rsidRPr="00BB71AE" w:rsidR="00DC38FB" w:rsidSect="000F33D3">
      <w:pgSz w:w="11900" w:h="16840"/>
      <w:pgMar w:top="2268" w:right="1418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4BC9" w14:textId="77777777" w:rsidR="00010766" w:rsidRDefault="00010766" w:rsidP="00A00E34">
      <w:r>
        <w:separator/>
      </w:r>
    </w:p>
    <w:p w14:paraId="41854B57" w14:textId="77777777" w:rsidR="00010766" w:rsidRDefault="00010766"/>
  </w:endnote>
  <w:endnote w:type="continuationSeparator" w:id="0">
    <w:p w14:paraId="1A55400E" w14:textId="77777777" w:rsidR="00010766" w:rsidRDefault="00010766" w:rsidP="00A00E34">
      <w:r>
        <w:continuationSeparator/>
      </w:r>
    </w:p>
    <w:p w14:paraId="53871182" w14:textId="77777777" w:rsidR="00010766" w:rsidRDefault="0001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B5" w:rsidP="0017667F" w:rsidRDefault="002215B5" w14:paraId="142C28E2" w14:textId="77777777">
    <w:pPr>
      <w:pStyle w:val="Footer"/>
      <w:rPr>
        <w:rStyle w:val="PageNumber"/>
        <w:noProof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5B5" w:rsidP="00610305" w:rsidRDefault="002215B5" w14:paraId="7D2916CD" w14:textId="77777777">
    <w:pPr>
      <w:pStyle w:val="Footer"/>
      <w:ind w:right="360"/>
      <w:rPr>
        <w:noProof/>
      </w:rPr>
    </w:pPr>
  </w:p>
</w:ftr>
</file>

<file path=word/footer2.xml><?xml version="1.0" encoding="utf-8"?>
<w:ftr xmlns:a="http://schemas.openxmlformats.org/drawingml/2006/main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330C4" w:rsidR="002215B5" w:rsidP="0017667F" w:rsidRDefault="002215B5" w14:paraId="7C3A9832" w14:textId="6E32C643">
    <w:pPr>
      <w:pStyle w:val="Footer"/>
      <w:rPr>
        <w:rStyle w:val="PageNumber"/>
        <w:noProof/>
      </w:rPr>
    </w:pPr>
    <w:r w:rsidRPr="00E330C4">
      <w:rPr>
        <w:rStyle w:val="PageNumber"/>
      </w:rPr>
      <w:fldChar w:fldCharType="begin"/>
    </w:r>
    <w:r w:rsidRPr="00E330C4">
      <w:rPr>
        <w:rStyle w:val="PageNumber"/>
      </w:rPr>
      <w:instrText xml:space="preserve">PAGE  </w:instrText>
    </w:r>
    <w:r w:rsidRPr="00E330C4">
      <w:rPr>
        <w:rStyle w:val="PageNumber"/>
      </w:rPr>
      <w:fldChar w:fldCharType="separate"/>
    </w:r>
    <w:r w:rsidR="00CD460D">
      <w:rPr>
        <w:rStyle w:val="PageNumber"/>
        <w:noProof/>
      </w:rPr>
      <w:t>6</w:t>
    </w:r>
    <w:r w:rsidRPr="00E330C4">
      <w:rPr>
        <w:rStyle w:val="PageNumber"/>
      </w:rPr>
      <w:fldChar w:fldCharType="end"/>
    </w:r>
  </w:p>
  <w:p w:rsidRPr="00E330C4" w:rsidR="002215B5" w:rsidP="00610305" w:rsidRDefault="002215B5" w14:paraId="6EEDA3DB" w14:textId="77777777">
    <w:pPr>
      <w:pStyle w:val="Footer"/>
      <w:ind w:right="360"/>
      <w:rPr>
        <w:noProof/>
      </w:rPr>
    </w:pPr>
    <w:r w:rsidRPr="00E330C4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1" layoutInCell="1" allowOverlap="1" wp14:editId="03F879D1" wp14:anchorId="127A96D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line id="Straight Connector 10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o:spid="_x0000_s1026" strokecolor="#2f5773 [32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from="-5.6pt,785.3pt" to="445.1pt,785.3pt" w14:anchorId="18EAF944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0C4" w:rsidRDefault="00E330C4" w14:paraId="7E24DF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9FC9" w14:textId="77777777" w:rsidR="00010766" w:rsidRPr="00DB5E8F" w:rsidRDefault="00010766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14:paraId="059B840A" w14:textId="77777777" w:rsidR="00010766" w:rsidRDefault="00010766" w:rsidP="00A00E34">
      <w:r>
        <w:continuationSeparator/>
      </w:r>
    </w:p>
    <w:p w14:paraId="3A2526BC" w14:textId="77777777" w:rsidR="00010766" w:rsidRDefault="00010766"/>
  </w:footnote>
  <w:footnote w:type="continuationNotice" w:id="1">
    <w:p w14:paraId="7D63DC67" w14:textId="77777777" w:rsidR="00010766" w:rsidRDefault="00010766"/>
  </w:footnote>
  <w:footnote w:id="2">
    <w:p w14:paraId="2B9C6101" w14:textId="2B4968B2" w:rsidR="002215B5" w:rsidRPr="00E330C4" w:rsidRDefault="002215B5" w:rsidP="00C92B4B">
      <w:pPr>
        <w:pStyle w:val="FootnoteText"/>
        <w:rPr>
          <w:rFonts w:ascii="Calibri" w:hAnsi="Calibri" w:cs="Calibri"/>
        </w:rPr>
      </w:pPr>
      <w:r w:rsidRPr="00E330C4">
        <w:rPr>
          <w:rStyle w:val="FootnoteReference"/>
          <w:rFonts w:ascii="Calibri" w:hAnsi="Calibri" w:cs="Calibri"/>
          <w:sz w:val="18"/>
        </w:rPr>
        <w:footnoteRef/>
      </w:r>
      <w:r w:rsidRPr="00E330C4">
        <w:rPr>
          <w:rFonts w:ascii="Calibri" w:hAnsi="Calibri"/>
        </w:rPr>
        <w:t xml:space="preserve"> Ir-Regolament (UE) Nru 1093/2010 tal-Parlament Ewropew u tal-Kunsill tal-24 ta’ Novembru 2010 li jistabbilixxi Awtorità Superviżorja Ewropea (Awtorità Bankarja Ewropea) u li jemenda d-Deċiżjoni Nru 716/2009/KE u jħassar id-Deċiżjoni tal-Kummissjoni 2009/78/KE, (ĠU L 331, 15.12.2010, p. 12).</w:t>
      </w:r>
    </w:p>
  </w:footnote>
  <w:footnote w:id="3">
    <w:p w14:paraId="6BDD493F" w14:textId="77777777" w:rsidR="0035231E" w:rsidRPr="00BB71AE" w:rsidRDefault="0035231E" w:rsidP="0035231E">
      <w:pPr>
        <w:pStyle w:val="FootnoteText"/>
      </w:pPr>
      <w:r w:rsidRPr="00BB71AE">
        <w:rPr>
          <w:rStyle w:val="FootnoteReference"/>
          <w:lang w:val="en-GB"/>
        </w:rPr>
        <w:footnoteRef/>
      </w:r>
      <w:r w:rsidRPr="00BB71AE">
        <w:t xml:space="preserve"> https://www.eba.europa.eu/risk-analysis-and-data/global-systemically-important-institutions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B5" w:rsidRDefault="002215B5" w14:paraId="41B1516F" w14:textId="12C57839">
    <w:pPr>
      <w:rPr>
        <w:noProof/>
      </w:rPr>
    </w:pPr>
    <w:r>
      <w:ptab w:alignment="center" w:relativeTo="margin" w:leader="none"/>
    </w:r>
    <w:r>
      <w:ptab w:alignment="right" w:relativeTo="margin" w:leader="none"/>
    </w:r>
  </w:p>
  <w:p w:rsidR="002215B5" w:rsidRDefault="002215B5" w14:paraId="4A8DE438" w14:textId="77777777">
    <w:pPr>
      <w:rPr>
        <w:noProof/>
      </w:rPr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arto="http://schemas.microsoft.com/office/word/2006/arto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330C4" w:rsidR="002215B5" w:rsidP="002215B5" w:rsidRDefault="002215B5" w14:paraId="233A6472" w14:textId="42F4713B">
    <w:pPr>
      <w:pStyle w:val="Runningtitle"/>
      <w:rPr>
        <w:noProof/>
      </w:rPr>
    </w:pPr>
    <w:r w:rsidRPr="00E330C4">
      <w:rPr>
        <w:noProof/>
        <w:lang w:val="en-GB" w:eastAsia="en-GB"/>
      </w:rPr>
      <w:drawing>
        <wp:anchor distT="0" distB="0" distL="114300" distR="114300" simplePos="0" relativeHeight="251671040" behindDoc="0" locked="0" layoutInCell="1" allowOverlap="1" wp14:editId="234C082C" wp14:anchorId="427C9B91">
          <wp:simplePos x="0" y="0"/>
          <wp:positionH relativeFrom="column">
            <wp:posOffset>4739392</wp:posOffset>
          </wp:positionH>
          <wp:positionV relativeFrom="page">
            <wp:posOffset>450215</wp:posOffset>
          </wp:positionV>
          <wp:extent cx="1207770" cy="447675"/>
          <wp:effectExtent l="0" t="0" r="0" b="9525"/>
          <wp:wrapNone/>
          <wp:docPr id="131" name="Pictur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330C4">
      <w:t>RAPPORT finali għal-linji gwida tal-EBA dwar l-ispeċifikazzjoni u d-divulgazzjoni</w:t>
    </w:r>
  </w:p>
  <w:p w:rsidRPr="00E330C4" w:rsidR="002215B5" w:rsidP="002215B5" w:rsidRDefault="002215B5" w14:paraId="122C2463" w14:textId="77777777">
    <w:pPr>
      <w:pStyle w:val="Runningtitle"/>
      <w:rPr>
        <w:noProof/>
      </w:rPr>
    </w:pPr>
    <w:r w:rsidRPr="00E330C4">
      <w:t>tal-indikaturi ta’ importanza sistemika</w:t>
    </w:r>
  </w:p>
  <w:p w:rsidRPr="00E330C4" w:rsidR="002215B5" w:rsidP="002215B5" w:rsidRDefault="002215B5" w14:paraId="750CEC09" w14:textId="5D2D20C5">
    <w:pPr>
      <w:pStyle w:val="Header"/>
      <w:rPr>
        <w:noProof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ma14="http://schemas.microsoft.com/office/mac/drawingml/2011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5B5" w:rsidP="00E677EF" w:rsidRDefault="002215B5" w14:paraId="6E4DF7C2" w14:textId="77777777">
    <w:pPr>
      <w:pStyle w:val="Runningtitle"/>
      <w:rPr>
        <w:noProof/>
      </w:rPr>
    </w:pPr>
    <w:r>
      <w:t>titolu kurrenti jiddaħħal hawn bl-istil tat-titolu kurrenti</w:t>
    </w:r>
    <w:r>
      <w:rPr>
        <w:noProof/>
        <w:lang w:val="en-GB" w:eastAsia="en-GB"/>
      </w:rPr>
      <w:drawing>
        <wp:anchor distT="0" distB="0" distL="114300" distR="114300" simplePos="0" relativeHeight="251653632" behindDoc="1" locked="1" layoutInCell="1" allowOverlap="0" wp14:editId="569AD1BD" wp14:anchorId="6E65E8A4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12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a14="http://schemas.microsoft.com/office/drawing/2010/main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5599"/>
    <w:multiLevelType w:val="multilevel"/>
    <w:tmpl w:val="203AA090"/>
    <w:styleLink w:val="WWOutlineListStyl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008E"/>
    <w:multiLevelType w:val="hybridMultilevel"/>
    <w:tmpl w:val="0CEAE5E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B3A92"/>
    <w:multiLevelType w:val="singleLevel"/>
    <w:tmpl w:val="73D64A0E"/>
    <w:name w:val="Considérant__1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6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35DEC"/>
    <w:multiLevelType w:val="hybridMultilevel"/>
    <w:tmpl w:val="BC2459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84A36"/>
    <w:multiLevelType w:val="hybridMultilevel"/>
    <w:tmpl w:val="95C2B722"/>
    <w:lvl w:ilvl="0" w:tplc="770A29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7BB"/>
    <w:multiLevelType w:val="multilevel"/>
    <w:tmpl w:val="201419E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A1380"/>
    <w:multiLevelType w:val="hybridMultilevel"/>
    <w:tmpl w:val="9D64A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0"/>
  </w:num>
  <w:num w:numId="10">
    <w:abstractNumId w:val="14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9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EBA GL-REC 20XX XX (FINAL GLS-REC ON"/>
  </w:docVars>
  <w:rsids>
    <w:rsidRoot w:val="006307A5"/>
    <w:rsid w:val="00001873"/>
    <w:rsid w:val="00002BCF"/>
    <w:rsid w:val="00003F50"/>
    <w:rsid w:val="00010766"/>
    <w:rsid w:val="0001213D"/>
    <w:rsid w:val="00013281"/>
    <w:rsid w:val="00021E10"/>
    <w:rsid w:val="000231B7"/>
    <w:rsid w:val="00027CA0"/>
    <w:rsid w:val="00030D65"/>
    <w:rsid w:val="00040129"/>
    <w:rsid w:val="00051823"/>
    <w:rsid w:val="00060F40"/>
    <w:rsid w:val="00062830"/>
    <w:rsid w:val="0007574B"/>
    <w:rsid w:val="000774B3"/>
    <w:rsid w:val="000843CD"/>
    <w:rsid w:val="00087EEC"/>
    <w:rsid w:val="000A1C81"/>
    <w:rsid w:val="000A3851"/>
    <w:rsid w:val="000A5345"/>
    <w:rsid w:val="000B1645"/>
    <w:rsid w:val="000B2614"/>
    <w:rsid w:val="000C2B79"/>
    <w:rsid w:val="000C5A8A"/>
    <w:rsid w:val="000C7FD8"/>
    <w:rsid w:val="000D7A44"/>
    <w:rsid w:val="000E0C27"/>
    <w:rsid w:val="000E6D15"/>
    <w:rsid w:val="000F33D3"/>
    <w:rsid w:val="000F3C24"/>
    <w:rsid w:val="000F607B"/>
    <w:rsid w:val="000F6495"/>
    <w:rsid w:val="000F6FD8"/>
    <w:rsid w:val="001061FA"/>
    <w:rsid w:val="00112BF2"/>
    <w:rsid w:val="0011517F"/>
    <w:rsid w:val="00117062"/>
    <w:rsid w:val="0012173D"/>
    <w:rsid w:val="00121BB0"/>
    <w:rsid w:val="0012686C"/>
    <w:rsid w:val="0013090C"/>
    <w:rsid w:val="00131C5D"/>
    <w:rsid w:val="00132059"/>
    <w:rsid w:val="00132F74"/>
    <w:rsid w:val="0014310A"/>
    <w:rsid w:val="00143427"/>
    <w:rsid w:val="00145D24"/>
    <w:rsid w:val="00145E0A"/>
    <w:rsid w:val="00152832"/>
    <w:rsid w:val="001600FC"/>
    <w:rsid w:val="00160815"/>
    <w:rsid w:val="00172007"/>
    <w:rsid w:val="0017446F"/>
    <w:rsid w:val="0017667F"/>
    <w:rsid w:val="00177CB9"/>
    <w:rsid w:val="001834D4"/>
    <w:rsid w:val="00192287"/>
    <w:rsid w:val="00197E14"/>
    <w:rsid w:val="001A016C"/>
    <w:rsid w:val="001A2A81"/>
    <w:rsid w:val="001A32D5"/>
    <w:rsid w:val="001A47D0"/>
    <w:rsid w:val="001A5BD4"/>
    <w:rsid w:val="001A70A8"/>
    <w:rsid w:val="001B2C0D"/>
    <w:rsid w:val="001B3341"/>
    <w:rsid w:val="001B6017"/>
    <w:rsid w:val="001B7A0B"/>
    <w:rsid w:val="001B7EB3"/>
    <w:rsid w:val="001C1FD9"/>
    <w:rsid w:val="001C5BC2"/>
    <w:rsid w:val="001D0179"/>
    <w:rsid w:val="001E0B2E"/>
    <w:rsid w:val="001E1188"/>
    <w:rsid w:val="001E3599"/>
    <w:rsid w:val="001F1CB9"/>
    <w:rsid w:val="001F7501"/>
    <w:rsid w:val="00205878"/>
    <w:rsid w:val="00213D7B"/>
    <w:rsid w:val="00214DEC"/>
    <w:rsid w:val="00215B80"/>
    <w:rsid w:val="002215B5"/>
    <w:rsid w:val="00224761"/>
    <w:rsid w:val="00224A3F"/>
    <w:rsid w:val="00224D96"/>
    <w:rsid w:val="002306C7"/>
    <w:rsid w:val="00231819"/>
    <w:rsid w:val="002351E9"/>
    <w:rsid w:val="00236329"/>
    <w:rsid w:val="00241BD8"/>
    <w:rsid w:val="002422FB"/>
    <w:rsid w:val="002434B0"/>
    <w:rsid w:val="00254CA9"/>
    <w:rsid w:val="0026681D"/>
    <w:rsid w:val="00267452"/>
    <w:rsid w:val="00273421"/>
    <w:rsid w:val="0027418E"/>
    <w:rsid w:val="00290DA3"/>
    <w:rsid w:val="002A3A19"/>
    <w:rsid w:val="002A6F7C"/>
    <w:rsid w:val="002B19D7"/>
    <w:rsid w:val="002C06C1"/>
    <w:rsid w:val="002C0DCF"/>
    <w:rsid w:val="002C1673"/>
    <w:rsid w:val="002C2703"/>
    <w:rsid w:val="002D1867"/>
    <w:rsid w:val="002F2009"/>
    <w:rsid w:val="002F2269"/>
    <w:rsid w:val="00300924"/>
    <w:rsid w:val="003025A8"/>
    <w:rsid w:val="003129B6"/>
    <w:rsid w:val="00314D6E"/>
    <w:rsid w:val="00315AB3"/>
    <w:rsid w:val="00320E57"/>
    <w:rsid w:val="003221EF"/>
    <w:rsid w:val="00322C23"/>
    <w:rsid w:val="003248A2"/>
    <w:rsid w:val="0035231E"/>
    <w:rsid w:val="00352A51"/>
    <w:rsid w:val="0035477B"/>
    <w:rsid w:val="00355E53"/>
    <w:rsid w:val="003604AA"/>
    <w:rsid w:val="00362309"/>
    <w:rsid w:val="00363390"/>
    <w:rsid w:val="0036783B"/>
    <w:rsid w:val="00370D44"/>
    <w:rsid w:val="00372BEC"/>
    <w:rsid w:val="00392385"/>
    <w:rsid w:val="003953B5"/>
    <w:rsid w:val="003A2221"/>
    <w:rsid w:val="003C34A3"/>
    <w:rsid w:val="003C3DE8"/>
    <w:rsid w:val="003D7A72"/>
    <w:rsid w:val="003E318D"/>
    <w:rsid w:val="003F3AA3"/>
    <w:rsid w:val="00412567"/>
    <w:rsid w:val="004172D1"/>
    <w:rsid w:val="00424530"/>
    <w:rsid w:val="0043577F"/>
    <w:rsid w:val="0043675A"/>
    <w:rsid w:val="00441F85"/>
    <w:rsid w:val="00446D76"/>
    <w:rsid w:val="00450D9D"/>
    <w:rsid w:val="00452CF3"/>
    <w:rsid w:val="0045301B"/>
    <w:rsid w:val="00454B24"/>
    <w:rsid w:val="00455E0E"/>
    <w:rsid w:val="004637D3"/>
    <w:rsid w:val="004719B4"/>
    <w:rsid w:val="00471CA1"/>
    <w:rsid w:val="00471CCE"/>
    <w:rsid w:val="00481AC4"/>
    <w:rsid w:val="00482FB6"/>
    <w:rsid w:val="00490251"/>
    <w:rsid w:val="004955E7"/>
    <w:rsid w:val="004A5D8B"/>
    <w:rsid w:val="004A76C6"/>
    <w:rsid w:val="004B2FC0"/>
    <w:rsid w:val="004B7784"/>
    <w:rsid w:val="004C1B19"/>
    <w:rsid w:val="004C6392"/>
    <w:rsid w:val="004D3523"/>
    <w:rsid w:val="004D7668"/>
    <w:rsid w:val="004E405B"/>
    <w:rsid w:val="004F0AB6"/>
    <w:rsid w:val="004F63DB"/>
    <w:rsid w:val="005037F2"/>
    <w:rsid w:val="00505C64"/>
    <w:rsid w:val="005105EF"/>
    <w:rsid w:val="0051571A"/>
    <w:rsid w:val="00522627"/>
    <w:rsid w:val="00523895"/>
    <w:rsid w:val="00526B39"/>
    <w:rsid w:val="00532EBE"/>
    <w:rsid w:val="005410AB"/>
    <w:rsid w:val="00543A44"/>
    <w:rsid w:val="005574DA"/>
    <w:rsid w:val="00565691"/>
    <w:rsid w:val="005706A6"/>
    <w:rsid w:val="00571BB6"/>
    <w:rsid w:val="00574B26"/>
    <w:rsid w:val="00575BA7"/>
    <w:rsid w:val="00582AA7"/>
    <w:rsid w:val="0058477C"/>
    <w:rsid w:val="0058568F"/>
    <w:rsid w:val="005A11A7"/>
    <w:rsid w:val="005A6911"/>
    <w:rsid w:val="005B3658"/>
    <w:rsid w:val="005B5C09"/>
    <w:rsid w:val="005C3DFF"/>
    <w:rsid w:val="005C498B"/>
    <w:rsid w:val="005D033E"/>
    <w:rsid w:val="005D4005"/>
    <w:rsid w:val="005D40D1"/>
    <w:rsid w:val="005D6612"/>
    <w:rsid w:val="005E167D"/>
    <w:rsid w:val="00600024"/>
    <w:rsid w:val="00600065"/>
    <w:rsid w:val="006017FA"/>
    <w:rsid w:val="006059B2"/>
    <w:rsid w:val="00610305"/>
    <w:rsid w:val="00610419"/>
    <w:rsid w:val="00611DDB"/>
    <w:rsid w:val="006124BC"/>
    <w:rsid w:val="00612C7B"/>
    <w:rsid w:val="006209BD"/>
    <w:rsid w:val="006224C1"/>
    <w:rsid w:val="006241B4"/>
    <w:rsid w:val="006269B7"/>
    <w:rsid w:val="006307A5"/>
    <w:rsid w:val="006336C8"/>
    <w:rsid w:val="00633DC7"/>
    <w:rsid w:val="00636E1D"/>
    <w:rsid w:val="00641A7A"/>
    <w:rsid w:val="00645495"/>
    <w:rsid w:val="00655112"/>
    <w:rsid w:val="00663B0A"/>
    <w:rsid w:val="006641F8"/>
    <w:rsid w:val="0066422C"/>
    <w:rsid w:val="00670254"/>
    <w:rsid w:val="00675E42"/>
    <w:rsid w:val="00683BFB"/>
    <w:rsid w:val="006915A4"/>
    <w:rsid w:val="00692AB7"/>
    <w:rsid w:val="00692AD8"/>
    <w:rsid w:val="006973AC"/>
    <w:rsid w:val="006C186D"/>
    <w:rsid w:val="006C6D8E"/>
    <w:rsid w:val="006D4C7C"/>
    <w:rsid w:val="006D7393"/>
    <w:rsid w:val="006E0D7A"/>
    <w:rsid w:val="006E3CE5"/>
    <w:rsid w:val="006E55E1"/>
    <w:rsid w:val="006F2E13"/>
    <w:rsid w:val="006F445D"/>
    <w:rsid w:val="006F72C6"/>
    <w:rsid w:val="006F7529"/>
    <w:rsid w:val="00703E4E"/>
    <w:rsid w:val="007071C6"/>
    <w:rsid w:val="00711E1C"/>
    <w:rsid w:val="00721D07"/>
    <w:rsid w:val="00721FBA"/>
    <w:rsid w:val="00723921"/>
    <w:rsid w:val="00730352"/>
    <w:rsid w:val="00731463"/>
    <w:rsid w:val="0073336B"/>
    <w:rsid w:val="00734CF5"/>
    <w:rsid w:val="007373D2"/>
    <w:rsid w:val="00740F65"/>
    <w:rsid w:val="00742839"/>
    <w:rsid w:val="00755505"/>
    <w:rsid w:val="0076316D"/>
    <w:rsid w:val="00771BCE"/>
    <w:rsid w:val="00772993"/>
    <w:rsid w:val="007815FB"/>
    <w:rsid w:val="00781A37"/>
    <w:rsid w:val="00781D80"/>
    <w:rsid w:val="007850AB"/>
    <w:rsid w:val="00791EAE"/>
    <w:rsid w:val="007A0054"/>
    <w:rsid w:val="007A44A6"/>
    <w:rsid w:val="007A5353"/>
    <w:rsid w:val="007B3D63"/>
    <w:rsid w:val="007B6077"/>
    <w:rsid w:val="007B69D6"/>
    <w:rsid w:val="007B793D"/>
    <w:rsid w:val="007C08B0"/>
    <w:rsid w:val="007C3A00"/>
    <w:rsid w:val="007C55D0"/>
    <w:rsid w:val="007D2626"/>
    <w:rsid w:val="007F5092"/>
    <w:rsid w:val="007F6B00"/>
    <w:rsid w:val="007F7895"/>
    <w:rsid w:val="00804A88"/>
    <w:rsid w:val="00813BAC"/>
    <w:rsid w:val="00813CD4"/>
    <w:rsid w:val="00817C42"/>
    <w:rsid w:val="00821B9D"/>
    <w:rsid w:val="0084468C"/>
    <w:rsid w:val="008552A0"/>
    <w:rsid w:val="008651AA"/>
    <w:rsid w:val="00865492"/>
    <w:rsid w:val="00865A3C"/>
    <w:rsid w:val="00867CB4"/>
    <w:rsid w:val="008708AB"/>
    <w:rsid w:val="00870A33"/>
    <w:rsid w:val="00871962"/>
    <w:rsid w:val="008725EC"/>
    <w:rsid w:val="00874ED5"/>
    <w:rsid w:val="008A4100"/>
    <w:rsid w:val="008A7288"/>
    <w:rsid w:val="008B6155"/>
    <w:rsid w:val="008C1A94"/>
    <w:rsid w:val="008C567C"/>
    <w:rsid w:val="008C5B82"/>
    <w:rsid w:val="008E297F"/>
    <w:rsid w:val="008F3908"/>
    <w:rsid w:val="009014B6"/>
    <w:rsid w:val="009041D9"/>
    <w:rsid w:val="00907439"/>
    <w:rsid w:val="00907D57"/>
    <w:rsid w:val="00911860"/>
    <w:rsid w:val="0091231C"/>
    <w:rsid w:val="00912882"/>
    <w:rsid w:val="00912895"/>
    <w:rsid w:val="00913422"/>
    <w:rsid w:val="009210DE"/>
    <w:rsid w:val="009257BE"/>
    <w:rsid w:val="00943B87"/>
    <w:rsid w:val="00944AD8"/>
    <w:rsid w:val="009549FF"/>
    <w:rsid w:val="00954FC6"/>
    <w:rsid w:val="0096160F"/>
    <w:rsid w:val="009642A9"/>
    <w:rsid w:val="00965B80"/>
    <w:rsid w:val="009730FB"/>
    <w:rsid w:val="00976A15"/>
    <w:rsid w:val="00980519"/>
    <w:rsid w:val="009846C5"/>
    <w:rsid w:val="0099008B"/>
    <w:rsid w:val="00993B1E"/>
    <w:rsid w:val="00993BAA"/>
    <w:rsid w:val="00994F87"/>
    <w:rsid w:val="009A1966"/>
    <w:rsid w:val="009A294D"/>
    <w:rsid w:val="009A5AF6"/>
    <w:rsid w:val="009B7C11"/>
    <w:rsid w:val="009C12C9"/>
    <w:rsid w:val="009C1CE7"/>
    <w:rsid w:val="009D55F7"/>
    <w:rsid w:val="009E300F"/>
    <w:rsid w:val="009E38A2"/>
    <w:rsid w:val="009E697F"/>
    <w:rsid w:val="009E76BE"/>
    <w:rsid w:val="009E79BF"/>
    <w:rsid w:val="009F12DA"/>
    <w:rsid w:val="009F3FE6"/>
    <w:rsid w:val="009F53AF"/>
    <w:rsid w:val="00A00E34"/>
    <w:rsid w:val="00A02BBA"/>
    <w:rsid w:val="00A062C7"/>
    <w:rsid w:val="00A10257"/>
    <w:rsid w:val="00A13558"/>
    <w:rsid w:val="00A14332"/>
    <w:rsid w:val="00A2290D"/>
    <w:rsid w:val="00A23608"/>
    <w:rsid w:val="00A23D22"/>
    <w:rsid w:val="00A25403"/>
    <w:rsid w:val="00A27B9D"/>
    <w:rsid w:val="00A27D88"/>
    <w:rsid w:val="00A304D0"/>
    <w:rsid w:val="00A41338"/>
    <w:rsid w:val="00A4361D"/>
    <w:rsid w:val="00A44695"/>
    <w:rsid w:val="00A4607D"/>
    <w:rsid w:val="00A53EC9"/>
    <w:rsid w:val="00A725D6"/>
    <w:rsid w:val="00A72C7D"/>
    <w:rsid w:val="00A81586"/>
    <w:rsid w:val="00A92440"/>
    <w:rsid w:val="00AA435E"/>
    <w:rsid w:val="00AA796D"/>
    <w:rsid w:val="00AB104D"/>
    <w:rsid w:val="00AB21B0"/>
    <w:rsid w:val="00AB2476"/>
    <w:rsid w:val="00AB4B80"/>
    <w:rsid w:val="00AC2312"/>
    <w:rsid w:val="00AD0C73"/>
    <w:rsid w:val="00AD3179"/>
    <w:rsid w:val="00AE1A2D"/>
    <w:rsid w:val="00AE5347"/>
    <w:rsid w:val="00AE55F6"/>
    <w:rsid w:val="00AE56DB"/>
    <w:rsid w:val="00AF0781"/>
    <w:rsid w:val="00AF21F6"/>
    <w:rsid w:val="00AF2BCB"/>
    <w:rsid w:val="00AF4C86"/>
    <w:rsid w:val="00B025DB"/>
    <w:rsid w:val="00B13C87"/>
    <w:rsid w:val="00B1710D"/>
    <w:rsid w:val="00B2771A"/>
    <w:rsid w:val="00B32510"/>
    <w:rsid w:val="00B33222"/>
    <w:rsid w:val="00B3595C"/>
    <w:rsid w:val="00B36D5E"/>
    <w:rsid w:val="00B43E07"/>
    <w:rsid w:val="00B51926"/>
    <w:rsid w:val="00B51BB3"/>
    <w:rsid w:val="00B526A8"/>
    <w:rsid w:val="00B55FAB"/>
    <w:rsid w:val="00B56F17"/>
    <w:rsid w:val="00B57936"/>
    <w:rsid w:val="00B6734E"/>
    <w:rsid w:val="00B76198"/>
    <w:rsid w:val="00B77DC8"/>
    <w:rsid w:val="00B77F65"/>
    <w:rsid w:val="00B82515"/>
    <w:rsid w:val="00B83D9D"/>
    <w:rsid w:val="00B84529"/>
    <w:rsid w:val="00B954E5"/>
    <w:rsid w:val="00B96F7F"/>
    <w:rsid w:val="00BB2111"/>
    <w:rsid w:val="00BC1D4B"/>
    <w:rsid w:val="00BC3450"/>
    <w:rsid w:val="00BC3FB5"/>
    <w:rsid w:val="00BC7FD2"/>
    <w:rsid w:val="00BD1538"/>
    <w:rsid w:val="00BD1DD9"/>
    <w:rsid w:val="00BE2989"/>
    <w:rsid w:val="00BF4906"/>
    <w:rsid w:val="00BF4EC0"/>
    <w:rsid w:val="00BF78EE"/>
    <w:rsid w:val="00C03AE7"/>
    <w:rsid w:val="00C05D9D"/>
    <w:rsid w:val="00C12FA8"/>
    <w:rsid w:val="00C35592"/>
    <w:rsid w:val="00C356AF"/>
    <w:rsid w:val="00C41927"/>
    <w:rsid w:val="00C439D6"/>
    <w:rsid w:val="00C43FD9"/>
    <w:rsid w:val="00C44EB2"/>
    <w:rsid w:val="00C47E8F"/>
    <w:rsid w:val="00C57BC4"/>
    <w:rsid w:val="00C60915"/>
    <w:rsid w:val="00C60EEB"/>
    <w:rsid w:val="00C64E27"/>
    <w:rsid w:val="00C84497"/>
    <w:rsid w:val="00C91A9F"/>
    <w:rsid w:val="00C92B4B"/>
    <w:rsid w:val="00C95F54"/>
    <w:rsid w:val="00C964B8"/>
    <w:rsid w:val="00CA1DF9"/>
    <w:rsid w:val="00CB6121"/>
    <w:rsid w:val="00CB6EBB"/>
    <w:rsid w:val="00CD460D"/>
    <w:rsid w:val="00CD4AF7"/>
    <w:rsid w:val="00CE3517"/>
    <w:rsid w:val="00CE3F04"/>
    <w:rsid w:val="00CF15C6"/>
    <w:rsid w:val="00D01670"/>
    <w:rsid w:val="00D0474C"/>
    <w:rsid w:val="00D05C26"/>
    <w:rsid w:val="00D062AC"/>
    <w:rsid w:val="00D152E7"/>
    <w:rsid w:val="00D21F91"/>
    <w:rsid w:val="00D251D0"/>
    <w:rsid w:val="00D3796C"/>
    <w:rsid w:val="00D43C43"/>
    <w:rsid w:val="00D44360"/>
    <w:rsid w:val="00D53948"/>
    <w:rsid w:val="00D549B9"/>
    <w:rsid w:val="00D557EE"/>
    <w:rsid w:val="00D56058"/>
    <w:rsid w:val="00D57F4B"/>
    <w:rsid w:val="00D656AD"/>
    <w:rsid w:val="00D6692C"/>
    <w:rsid w:val="00D76E91"/>
    <w:rsid w:val="00D823B5"/>
    <w:rsid w:val="00D849AA"/>
    <w:rsid w:val="00D872D1"/>
    <w:rsid w:val="00D873F3"/>
    <w:rsid w:val="00D90F63"/>
    <w:rsid w:val="00DA6122"/>
    <w:rsid w:val="00DB4809"/>
    <w:rsid w:val="00DB5E8F"/>
    <w:rsid w:val="00DC38FB"/>
    <w:rsid w:val="00DC3E99"/>
    <w:rsid w:val="00DC5214"/>
    <w:rsid w:val="00DC7C3E"/>
    <w:rsid w:val="00DD247B"/>
    <w:rsid w:val="00DE0FE1"/>
    <w:rsid w:val="00DE30E0"/>
    <w:rsid w:val="00DE46D0"/>
    <w:rsid w:val="00E21FC7"/>
    <w:rsid w:val="00E22BCE"/>
    <w:rsid w:val="00E255BF"/>
    <w:rsid w:val="00E2590B"/>
    <w:rsid w:val="00E26355"/>
    <w:rsid w:val="00E326FF"/>
    <w:rsid w:val="00E330C4"/>
    <w:rsid w:val="00E337DC"/>
    <w:rsid w:val="00E35F55"/>
    <w:rsid w:val="00E361B0"/>
    <w:rsid w:val="00E410F0"/>
    <w:rsid w:val="00E5738D"/>
    <w:rsid w:val="00E5771C"/>
    <w:rsid w:val="00E62DB8"/>
    <w:rsid w:val="00E677EF"/>
    <w:rsid w:val="00E859DF"/>
    <w:rsid w:val="00E87041"/>
    <w:rsid w:val="00E90EDD"/>
    <w:rsid w:val="00E94506"/>
    <w:rsid w:val="00E95201"/>
    <w:rsid w:val="00EA13B4"/>
    <w:rsid w:val="00EA16F3"/>
    <w:rsid w:val="00EA1807"/>
    <w:rsid w:val="00EA4947"/>
    <w:rsid w:val="00EA7576"/>
    <w:rsid w:val="00EC0C41"/>
    <w:rsid w:val="00EC11F0"/>
    <w:rsid w:val="00EC1594"/>
    <w:rsid w:val="00ED2521"/>
    <w:rsid w:val="00ED2FB9"/>
    <w:rsid w:val="00ED41FD"/>
    <w:rsid w:val="00ED4A40"/>
    <w:rsid w:val="00ED675F"/>
    <w:rsid w:val="00EE456B"/>
    <w:rsid w:val="00EF35BF"/>
    <w:rsid w:val="00F00C37"/>
    <w:rsid w:val="00F00C8E"/>
    <w:rsid w:val="00F01EA6"/>
    <w:rsid w:val="00F02D51"/>
    <w:rsid w:val="00F033B6"/>
    <w:rsid w:val="00F034AC"/>
    <w:rsid w:val="00F160D2"/>
    <w:rsid w:val="00F221AB"/>
    <w:rsid w:val="00F23DC0"/>
    <w:rsid w:val="00F311CD"/>
    <w:rsid w:val="00F3669D"/>
    <w:rsid w:val="00F42F3F"/>
    <w:rsid w:val="00F4748D"/>
    <w:rsid w:val="00F56DC4"/>
    <w:rsid w:val="00F612B3"/>
    <w:rsid w:val="00F647A3"/>
    <w:rsid w:val="00F653FF"/>
    <w:rsid w:val="00F7064A"/>
    <w:rsid w:val="00F720FF"/>
    <w:rsid w:val="00F747AD"/>
    <w:rsid w:val="00F764A1"/>
    <w:rsid w:val="00F86AD4"/>
    <w:rsid w:val="00F87FF5"/>
    <w:rsid w:val="00F9329F"/>
    <w:rsid w:val="00F942CA"/>
    <w:rsid w:val="00F9452C"/>
    <w:rsid w:val="00FA459D"/>
    <w:rsid w:val="00FB28E1"/>
    <w:rsid w:val="00FB43F9"/>
    <w:rsid w:val="00FB7206"/>
    <w:rsid w:val="00FC1255"/>
    <w:rsid w:val="00FC1D72"/>
    <w:rsid w:val="00FE0C92"/>
    <w:rsid w:val="00FE0E60"/>
    <w:rsid w:val="00FE438F"/>
    <w:rsid w:val="00FE5577"/>
    <w:rsid w:val="00FF0C19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6184604"/>
  <w15:docId w15:val="{5360B0C9-EE82-4159-9B6F-36D4F77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mt-M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DA3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215B80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qFormat/>
    <w:rsid w:val="00C92B4B"/>
    <w:pPr>
      <w:spacing w:before="80" w:after="0" w:line="200" w:lineRule="exact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C92B4B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mt-MT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customStyle="1" w:styleId="Default">
    <w:name w:val="Default"/>
    <w:rsid w:val="000C7FD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TOCHeading">
    <w:name w:val="TOC Heading"/>
    <w:basedOn w:val="Heading1"/>
    <w:next w:val="Normal"/>
    <w:uiPriority w:val="39"/>
    <w:semiHidden/>
    <w:qFormat/>
    <w:rsid w:val="00B43E07"/>
    <w:pPr>
      <w:spacing w:before="480"/>
      <w:outlineLvl w:val="9"/>
    </w:pPr>
    <w:rPr>
      <w:caps w:val="0"/>
      <w:color w:val="234156" w:themeColor="accent1" w:themeShade="BF"/>
      <w:sz w:val="28"/>
      <w:szCs w:val="28"/>
    </w:rPr>
  </w:style>
  <w:style w:type="character" w:customStyle="1" w:styleId="Marker">
    <w:name w:val="Marker"/>
    <w:rsid w:val="00B43E07"/>
    <w:rPr>
      <w:color w:val="0000FF"/>
      <w:shd w:val="clear" w:color="auto" w:fill="auto"/>
    </w:rPr>
  </w:style>
  <w:style w:type="character" w:customStyle="1" w:styleId="Marker2">
    <w:name w:val="Marker2"/>
    <w:rsid w:val="00B43E07"/>
    <w:rPr>
      <w:color w:val="FF0000"/>
      <w:shd w:val="clear" w:color="auto" w:fill="auto"/>
    </w:rPr>
  </w:style>
  <w:style w:type="paragraph" w:customStyle="1" w:styleId="Annexetitre">
    <w:name w:val="Annexe titre"/>
    <w:basedOn w:val="Normal"/>
    <w:next w:val="Normal"/>
    <w:rsid w:val="00B43E07"/>
    <w:pPr>
      <w:spacing w:before="120" w:after="120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pplicationdirecte">
    <w:name w:val="Application directe"/>
    <w:basedOn w:val="Normal"/>
    <w:next w:val="Fait"/>
    <w:rsid w:val="00B43E07"/>
    <w:pPr>
      <w:spacing w:before="48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nsidrant">
    <w:name w:val="Considérant"/>
    <w:basedOn w:val="Normal"/>
    <w:rsid w:val="00B43E07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rsid w:val="00B43E07"/>
    <w:pPr>
      <w:spacing w:before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Fait">
    <w:name w:val="Fait à"/>
    <w:basedOn w:val="Normal"/>
    <w:next w:val="Institutionquisigne"/>
    <w:rsid w:val="00B43E07"/>
    <w:pPr>
      <w:keepNext/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rmuledadoption">
    <w:name w:val="Formule d'adoption"/>
    <w:basedOn w:val="Normal"/>
    <w:next w:val="Titrearticle"/>
    <w:rsid w:val="00B43E07"/>
    <w:pPr>
      <w:keepNext/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rsid w:val="00B43E07"/>
    <w:pPr>
      <w:keepNext/>
      <w:tabs>
        <w:tab w:val="left" w:pos="4252"/>
      </w:tabs>
      <w:spacing w:before="720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rsid w:val="00B43E07"/>
    <w:pPr>
      <w:tabs>
        <w:tab w:val="left" w:pos="4252"/>
      </w:tabs>
    </w:pPr>
    <w:rPr>
      <w:rFonts w:ascii="Times New Roman" w:eastAsia="Times New Roman" w:hAnsi="Times New Roman" w:cs="Times New Roman"/>
      <w:i/>
      <w:sz w:val="24"/>
    </w:rPr>
  </w:style>
  <w:style w:type="paragraph" w:customStyle="1" w:styleId="Titrearticle">
    <w:name w:val="Titre article"/>
    <w:basedOn w:val="Normal"/>
    <w:next w:val="Normal"/>
    <w:rsid w:val="00B43E07"/>
    <w:pPr>
      <w:keepNext/>
      <w:spacing w:before="360" w:after="120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Titreobjet">
    <w:name w:val="Titre objet"/>
    <w:basedOn w:val="Normal"/>
    <w:next w:val="Normal"/>
    <w:rsid w:val="00B43E07"/>
    <w:pPr>
      <w:spacing w:before="360" w:after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rsid w:val="00B43E07"/>
    <w:pPr>
      <w:spacing w:before="360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agedecouverture">
    <w:name w:val="Page de couverture"/>
    <w:basedOn w:val="Normal"/>
    <w:next w:val="Normal"/>
    <w:rsid w:val="00B43E07"/>
    <w:pPr>
      <w:spacing w:before="120" w:after="1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rsid w:val="00B43E07"/>
    <w:pPr>
      <w:keepNext/>
      <w:spacing w:before="600" w:after="120"/>
      <w:jc w:val="both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  <w:rsid w:val="009F12DA"/>
    <w:pPr>
      <w:ind w:left="720"/>
    </w:pPr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6C8"/>
    <w:rPr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AD8"/>
    <w:rPr>
      <w:b/>
      <w:bCs/>
      <w:sz w:val="20"/>
      <w:szCs w:val="20"/>
      <w:lang w:val="mt-MT"/>
    </w:rPr>
  </w:style>
  <w:style w:type="paragraph" w:styleId="Revision">
    <w:name w:val="Revision"/>
    <w:hidden/>
    <w:uiPriority w:val="99"/>
    <w:semiHidden/>
    <w:rsid w:val="00944AD8"/>
    <w:rPr>
      <w:sz w:val="22"/>
    </w:rPr>
  </w:style>
  <w:style w:type="paragraph" w:customStyle="1" w:styleId="Text1">
    <w:name w:val="Text 1"/>
    <w:basedOn w:val="Normal"/>
    <w:rsid w:val="00454B24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723921"/>
    <w:pPr>
      <w:widowControl w:val="0"/>
      <w:autoSpaceDE w:val="0"/>
      <w:autoSpaceDN w:val="0"/>
    </w:pPr>
    <w:rPr>
      <w:rFonts w:ascii="Calibri" w:eastAsia="Calibri" w:hAnsi="Calibri" w:cs="Calibri"/>
      <w:szCs w:val="22"/>
      <w:lang w:eastAsia="en-GB" w:bidi="en-GB"/>
    </w:rPr>
  </w:style>
  <w:style w:type="numbering" w:customStyle="1" w:styleId="WWOutlineListStyle4">
    <w:name w:val="WW_OutlineListStyle_4"/>
    <w:basedOn w:val="NoList"/>
    <w:rsid w:val="00DC38FB"/>
    <w:pPr>
      <w:numPr>
        <w:numId w:val="16"/>
      </w:numPr>
    </w:pPr>
  </w:style>
  <w:style w:type="table" w:customStyle="1" w:styleId="TableGrid1">
    <w:name w:val="Table Grid1"/>
    <w:basedOn w:val="TableNormal"/>
    <w:next w:val="TableGrid"/>
    <w:uiPriority w:val="39"/>
    <w:rsid w:val="00DC38FB"/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57936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57936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8527D-8887-4E74-A2D9-D2C7BA7A2BB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50</ap:TotalTime>
  <ap:Pages>17</ap:Pages>
  <ap:Words>4097</ap:Words>
  <ap:Characters>23356</ap:Characters>
  <ap:Application>Microsoft Office Word</ap:Application>
  <ap:DocSecurity>0</ap:DocSecurity>
  <ap:Lines>194</ap:Lines>
  <ap:Paragraphs>54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CDT</ap:Company>
  <ap:LinksUpToDate>false</ap:LinksUpToDate>
  <ap:CharactersWithSpaces>27399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CDT</dc:creator>
  <lastModifiedBy>CDT</lastModifiedBy>
  <revision>25</revision>
  <lastPrinted>2020-11-04T10:23:00.0000000Z</lastPrinted>
  <dcterms:created xsi:type="dcterms:W3CDTF">2020-11-04T10:04:00.0000000Z</dcterms:created>
  <dcterms:modified xsi:type="dcterms:W3CDTF">2024-04-22T07:28:00.0000000Z</dcterms:modified>
</coreProperties>
</file>