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98787969" w:displacedByCustomXml="next" w:id="0"/>
    <w:bookmarkStart w:name="_Toc298788158" w:displacedByCustomXml="next" w:id="1"/>
    <w:bookmarkStart w:name="_Toc298788641" w:displacedByCustomXml="next" w:id="2"/>
    <w:bookmarkStart w:name="_Toc305686691" w:displacedByCustomXml="next" w:id="3"/>
    <w:bookmarkStart w:name="_Toc306350093" w:displacedByCustomXml="next" w:id="4"/>
    <w:bookmarkStart w:name="_Toc306350113" w:displacedByCustomXml="next" w:id="5"/>
    <w:bookmarkStart w:name="_Toc331517265" w:displacedByCustomXml="next" w:id="6"/>
    <w:bookmarkStart w:name="_Toc245891774" w:displacedByCustomXml="next" w:id="7"/>
    <w:bookmarkStart w:name="_Toc238803087" w:displacedByCustomXml="next" w:id="8"/>
    <w:bookmarkStart w:name="_Toc238803888" w:displacedByCustomXml="next" w:id="9"/>
    <w:sdt>
      <w:sdtPr>
        <w:id w:val="1024973533"/>
        <w:docPartObj>
          <w:docPartGallery w:val="Cover Pages"/>
          <w:docPartUnique/>
        </w:docPartObj>
      </w:sdtPr>
      <w:sdtEndPr/>
      <w:sdtContent>
        <w:p w:rsidRPr="0069119B"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686"/>
          </w:tblGrid>
          <w:tr w:rsidRPr="0069119B" w:rsidR="005B3658" w:rsidTr="00993B1E" w14:paraId="3170F2D8" w14:textId="77777777">
            <w:tc>
              <w:tcPr>
                <w:tcW w:w="3686" w:type="dxa"/>
                <w:tcBorders>
                  <w:bottom w:val="single" w:color="A6A6A6" w:themeColor="background1" w:themeShade="A6" w:sz="4" w:space="0"/>
                </w:tcBorders>
                <w:shd w:val="clear" w:color="auto" w:fill="auto"/>
              </w:tcPr>
              <w:p w:rsidRPr="0069119B" w:rsidR="005B3658" w:rsidP="005B3658" w:rsidRDefault="005B3658" w14:paraId="6AAE07DF" w14:textId="79B7F6FF">
                <w:r w:rsidRPr="0069119B">
                  <w:t>EBA/GL/2020/14</w:t>
                </w:r>
                <w:r w:rsidRPr="005C3496" w:rsidR="005C3496">
                  <w:t xml:space="preserve"> (konsolidētā versija)</w:t>
                </w:r>
              </w:p>
            </w:tc>
          </w:tr>
          <w:tr w:rsidRPr="0069119B" w:rsidR="005B3658" w:rsidTr="00993B1E" w14:paraId="70F4DBFA" w14:textId="77777777">
            <w:tc>
              <w:tcPr>
                <w:tcW w:w="3686" w:type="dxa"/>
                <w:tcBorders>
                  <w:top w:val="single" w:color="A6A6A6" w:themeColor="background1" w:themeShade="A6" w:sz="4" w:space="0"/>
                  <w:bottom w:val="single" w:color="A6A6A6" w:themeColor="background1" w:themeShade="A6" w:sz="4" w:space="0"/>
                </w:tcBorders>
                <w:shd w:val="clear" w:color="auto" w:fill="auto"/>
              </w:tcPr>
              <w:p w:rsidRPr="0069119B" w:rsidR="005B3658" w:rsidP="005B3658" w:rsidRDefault="005B3658" w14:paraId="55211379" w14:textId="73FFF2EB">
                <w:r w:rsidRPr="0069119B">
                  <w:rPr>
                    <w:color w:val="000000"/>
                  </w:rPr>
                  <w:t>2020. gada 4. novembris</w:t>
                </w:r>
              </w:p>
            </w:tc>
          </w:tr>
        </w:tbl>
        <w:p w:rsidRPr="0069119B"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69119B"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444BF7" w:rsidP="00444BF7" w:rsidRDefault="00444BF7" w14:paraId="34AF2829"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69119B" w:rsidR="00B43E07" w:rsidP="00721D07" w:rsidRDefault="00A81586" w14:paraId="6E80AD78" w14:textId="1CA22651">
                <w:pPr>
                  <w:pStyle w:val="Contenttitle"/>
                </w:pPr>
                <w:r w:rsidRPr="0069119B">
                  <w:t xml:space="preserve">Pamatnostādnes </w:t>
                </w:r>
              </w:p>
            </w:tc>
          </w:tr>
          <w:tr w:rsidRPr="0069119B" w:rsidR="00B43E07" w:rsidTr="00993B1E" w14:paraId="15A7E3AC" w14:textId="77777777">
            <w:tc>
              <w:tcPr>
                <w:tcW w:w="8781" w:type="dxa"/>
                <w:tcMar>
                  <w:left w:w="0" w:type="dxa"/>
                  <w:right w:w="0" w:type="dxa"/>
                </w:tcMar>
                <w:vAlign w:val="top"/>
              </w:tcPr>
              <w:p w:rsidRPr="00FD30DA" w:rsidR="00B43E07" w:rsidP="00E410F0" w:rsidRDefault="00B43E07" w14:paraId="0720F01B" w14:textId="502EF582">
                <w:pPr>
                  <w:pStyle w:val="Titlelevel4"/>
                  <w:rPr>
                    <w:lang w:val="lv-LV"/>
                  </w:rPr>
                </w:pPr>
                <w:r w:rsidRPr="00FD30DA">
                  <w:rPr>
                    <w:rFonts w:asciiTheme="majorHAnsi" w:hAnsiTheme="majorHAnsi"/>
                    <w:bCs/>
                    <w:color w:val="2F5773" w:themeColor="text2"/>
                    <w:sz w:val="52"/>
                    <w:szCs w:val="52"/>
                    <w:lang w:val="lv-LV"/>
                  </w:rPr>
                  <w:t>attiecībā uz sistēmiski nozīmīgu rādītāju specifikāciju un informācijas atklāšanu</w:t>
                </w:r>
              </w:p>
            </w:tc>
          </w:tr>
        </w:tbl>
        <w:p w:rsidRPr="005C3496" w:rsidR="00B43E07" w:rsidP="00B43E07" w:rsidRDefault="00B43E07" w14:paraId="41F2A21B" w14:textId="77777777">
          <w:pPr>
            <w:rPr>
              <w:sz w:val="52"/>
              <w:szCs w:val="52"/>
            </w:rPr>
          </w:pPr>
        </w:p>
        <w:p w:rsidRPr="005C3496" w:rsidR="00B43E07" w:rsidP="00B43E07" w:rsidRDefault="00B43E07" w14:paraId="1441AC18" w14:textId="218B8A20">
          <w:pPr>
            <w:rPr>
              <w:sz w:val="52"/>
              <w:szCs w:val="52"/>
            </w:rPr>
          </w:pPr>
        </w:p>
        <w:p w:rsidRPr="005C3496" w:rsidR="005C3496" w:rsidP="00B43E07" w:rsidRDefault="005C3496" w14:paraId="013EC046" w14:textId="5F62FE51">
          <w:pPr>
            <w:rPr>
              <w:sz w:val="52"/>
              <w:szCs w:val="52"/>
            </w:rPr>
          </w:pPr>
        </w:p>
        <w:p w:rsidRPr="005C3496" w:rsidR="005C3496" w:rsidP="00B43E07" w:rsidRDefault="005C3496" w14:paraId="73C34ECD" w14:textId="26B310ED">
          <w:pPr>
            <w:rPr>
              <w:sz w:val="52"/>
              <w:szCs w:val="52"/>
            </w:rPr>
          </w:pPr>
        </w:p>
        <w:p w:rsidR="005C3496" w:rsidP="00B43E07" w:rsidRDefault="005C3496" w14:paraId="3E9D10B7" w14:textId="2A97144C"/>
        <w:tbl>
          <w:tblPr>
            <w:tblStyle w:val="EBAtable"/>
            <w:tblW w:w="9125" w:type="dxa"/>
            <w:tblLook w:val="04A0" w:firstRow="1" w:lastRow="0" w:firstColumn="1" w:lastColumn="0" w:noHBand="0" w:noVBand="1"/>
          </w:tblPr>
          <w:tblGrid>
            <w:gridCol w:w="824"/>
            <w:gridCol w:w="2563"/>
            <w:gridCol w:w="5738"/>
          </w:tblGrid>
          <w:tr w:rsidRPr="00D13DB3" w:rsidR="005C3496" w:rsidTr="005C3496" w14:paraId="782AD5B3" w14:textId="77777777">
            <w:trPr>
              <w:cnfStyle w:val="100000000000" w:firstRow="1" w:lastRow="0" w:firstColumn="0" w:lastColumn="0" w:oddVBand="0" w:evenVBand="0" w:oddHBand="0" w:evenHBand="0" w:firstRowFirstColumn="0" w:firstRowLastColumn="0" w:lastRowFirstColumn="0" w:lastRowLastColumn="0"/>
              <w:trHeight w:val="300"/>
            </w:trPr>
            <w:tc>
              <w:tcPr>
                <w:tcW w:w="3387" w:type="dxa"/>
                <w:gridSpan w:val="2"/>
                <w:tcBorders>
                  <w:top w:val="single" w:color="auto" w:sz="12" w:space="0"/>
                  <w:left w:val="single" w:color="auto" w:sz="12" w:space="0"/>
                </w:tcBorders>
              </w:tcPr>
              <w:p w:rsidRPr="00D13DB3" w:rsidR="005C3496" w:rsidP="005D18C0" w:rsidRDefault="005C3496" w14:paraId="76AD9D95" w14:textId="77777777">
                <w:pPr>
                  <w:spacing w:before="240" w:after="120" w:line="276" w:lineRule="auto"/>
                  <w:jc w:val="both"/>
                  <w:rPr>
                    <w:rFonts w:eastAsia="MS PGothic" w:cs="Times New Roman"/>
                    <w:lang w:eastAsia="en-GB"/>
                  </w:rPr>
                </w:pPr>
              </w:p>
              <w:p w:rsidRPr="00D13DB3" w:rsidR="005C3496" w:rsidP="005D18C0" w:rsidRDefault="005C3496" w14:paraId="7D835935" w14:textId="77777777">
                <w:pPr>
                  <w:rPr>
                    <w:rFonts w:eastAsia="MS PGothic" w:cs="Times New Roman"/>
                    <w:lang w:val="en-GB" w:eastAsia="en-GB"/>
                  </w:rPr>
                </w:pPr>
              </w:p>
            </w:tc>
            <w:tc>
              <w:tcPr>
                <w:tcW w:w="5738" w:type="dxa"/>
                <w:tcBorders>
                  <w:top w:val="single" w:color="auto" w:sz="12" w:space="0"/>
                  <w:right w:val="single" w:color="auto" w:sz="12" w:space="0"/>
                </w:tcBorders>
              </w:tcPr>
              <w:p w:rsidRPr="005C3496" w:rsidR="005C3496" w:rsidP="005C3496" w:rsidRDefault="005C3496" w14:paraId="33023EAA" w14:textId="478E69DE">
                <w:pPr>
                  <w:rPr>
                    <w:rFonts w:ascii="Calibri" w:hAnsi="Calibri" w:cs="Calibri"/>
                    <w:color w:val="000000"/>
                    <w:szCs w:val="22"/>
                  </w:rPr>
                </w:pPr>
                <w:r>
                  <w:rPr>
                    <w:rFonts w:ascii="Calibri" w:hAnsi="Calibri" w:cs="Calibri"/>
                    <w:color w:val="000000"/>
                    <w:szCs w:val="22"/>
                  </w:rPr>
                  <w:t>Piemērošanas datums</w:t>
                </w:r>
              </w:p>
            </w:tc>
          </w:tr>
          <w:tr w:rsidRPr="00D13DB3" w:rsidR="005C3496" w:rsidTr="005C3496" w14:paraId="02A378CA" w14:textId="77777777">
            <w:trPr>
              <w:trHeight w:val="300"/>
            </w:trPr>
            <w:tc>
              <w:tcPr>
                <w:tcW w:w="3387" w:type="dxa"/>
                <w:gridSpan w:val="2"/>
                <w:tcBorders>
                  <w:left w:val="single" w:color="auto" w:sz="12" w:space="0"/>
                </w:tcBorders>
              </w:tcPr>
              <w:p w:rsidRPr="00D13DB3" w:rsidR="005C3496" w:rsidP="005D18C0" w:rsidRDefault="005C3496" w14:paraId="1E551AFB"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5738" w:type="dxa"/>
                <w:tcBorders>
                  <w:right w:val="single" w:color="auto" w:sz="12" w:space="0"/>
                </w:tcBorders>
              </w:tcPr>
              <w:p w:rsidRPr="00D13DB3" w:rsidR="005C3496" w:rsidP="005D18C0" w:rsidRDefault="005C3496" w14:paraId="41F8D8D7"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5C3496" w:rsidTr="005C3496" w14:paraId="3E5655E6" w14:textId="77777777">
            <w:trPr>
              <w:trHeight w:val="300"/>
            </w:trPr>
            <w:tc>
              <w:tcPr>
                <w:tcW w:w="3387" w:type="dxa"/>
                <w:gridSpan w:val="2"/>
                <w:tcBorders>
                  <w:left w:val="single" w:color="auto" w:sz="12" w:space="0"/>
                </w:tcBorders>
              </w:tcPr>
              <w:p w:rsidRPr="005C3496" w:rsidR="005C3496" w:rsidP="005C3496" w:rsidRDefault="005C3496" w14:paraId="545D9833" w14:textId="7649DC47">
                <w:pPr>
                  <w:rPr>
                    <w:rFonts w:ascii="Calibri" w:hAnsi="Calibri" w:cs="Calibri"/>
                    <w:color w:val="000000"/>
                    <w:szCs w:val="22"/>
                  </w:rPr>
                </w:pPr>
                <w:r>
                  <w:rPr>
                    <w:rFonts w:ascii="Calibri" w:hAnsi="Calibri" w:cs="Calibri"/>
                    <w:color w:val="000000"/>
                    <w:szCs w:val="22"/>
                  </w:rPr>
                  <w:t>Grozījumi izdarīti ar šādiem aktiem:</w:t>
                </w:r>
              </w:p>
            </w:tc>
            <w:tc>
              <w:tcPr>
                <w:tcW w:w="5738" w:type="dxa"/>
                <w:tcBorders>
                  <w:right w:val="single" w:color="auto" w:sz="12" w:space="0"/>
                </w:tcBorders>
              </w:tcPr>
              <w:p w:rsidRPr="00D13DB3" w:rsidR="005C3496" w:rsidP="005D18C0" w:rsidRDefault="005C3496" w14:paraId="25A4CCED" w14:textId="77777777">
                <w:pPr>
                  <w:rPr>
                    <w:rFonts w:eastAsia="MS PGothic" w:cs="Times New Roman"/>
                    <w:lang w:val="en-GB" w:eastAsia="en-GB"/>
                  </w:rPr>
                </w:pPr>
              </w:p>
            </w:tc>
          </w:tr>
          <w:tr w:rsidRPr="00D13DB3" w:rsidR="005C3496" w:rsidTr="005C3496" w14:paraId="11C8C327" w14:textId="77777777">
            <w:trPr>
              <w:trHeight w:val="58"/>
            </w:trPr>
            <w:tc>
              <w:tcPr>
                <w:tcW w:w="824" w:type="dxa"/>
                <w:tcBorders>
                  <w:left w:val="single" w:color="auto" w:sz="12" w:space="0"/>
                  <w:bottom w:val="single" w:color="auto" w:sz="12" w:space="0"/>
                </w:tcBorders>
              </w:tcPr>
              <w:p w:rsidRPr="00D13DB3" w:rsidR="005C3496" w:rsidP="005D18C0" w:rsidRDefault="005C3496" w14:paraId="112A1C11"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563" w:type="dxa"/>
                <w:tcBorders>
                  <w:bottom w:val="single" w:color="auto" w:sz="12" w:space="0"/>
                </w:tcBorders>
              </w:tcPr>
              <w:p w:rsidRPr="00D13DB3" w:rsidR="005C3496" w:rsidP="005D18C0" w:rsidRDefault="005C3496" w14:paraId="178384E8" w14:textId="77777777">
                <w:pPr>
                  <w:rPr>
                    <w:rFonts w:eastAsia="MS PGothic" w:cs="Times New Roman"/>
                  </w:rPr>
                </w:pPr>
                <w:r w:rsidRPr="00D13DB3">
                  <w:rPr>
                    <w:rFonts w:eastAsia="MS PGothic" w:cs="Times New Roman"/>
                  </w:rPr>
                  <w:t>EBA/GL</w:t>
                </w:r>
                <w:r w:rsidRPr="005261FC">
                  <w:t>/2023/10</w:t>
                </w:r>
              </w:p>
            </w:tc>
            <w:tc>
              <w:tcPr>
                <w:tcW w:w="5738" w:type="dxa"/>
                <w:tcBorders>
                  <w:bottom w:val="single" w:color="auto" w:sz="12" w:space="0"/>
                  <w:right w:val="single" w:color="auto" w:sz="12" w:space="0"/>
                </w:tcBorders>
              </w:tcPr>
              <w:p w:rsidRPr="00D13DB3" w:rsidR="005C3496" w:rsidP="005D18C0" w:rsidRDefault="005C3496" w14:paraId="2B8E6BC2" w14:textId="77777777">
                <w:pPr>
                  <w:rPr>
                    <w:rFonts w:eastAsia="MS PGothic" w:cs="Times New Roman"/>
                    <w:lang w:val="en-GB" w:eastAsia="en-GB"/>
                  </w:rPr>
                </w:pPr>
              </w:p>
            </w:tc>
          </w:tr>
        </w:tbl>
        <w:p w:rsidRPr="0069119B" w:rsidR="005C3496" w:rsidP="00B43E07" w:rsidRDefault="005C3496" w14:paraId="00F27CF5" w14:textId="77777777"/>
        <w:p w:rsidRPr="0069119B" w:rsidR="00B43E07" w:rsidP="00B43E07" w:rsidRDefault="00B43E07" w14:paraId="3673D6BB" w14:textId="77777777">
          <w:r w:rsidRPr="0069119B">
            <w:br w:type="page"/>
          </w:r>
        </w:p>
      </w:sdtContent>
    </w:sdt>
    <w:p w:rsidRPr="0069119B" w:rsidR="00B43E07" w:rsidP="00C3071B" w:rsidRDefault="00B43E07" w14:paraId="72D6F5BF" w14:textId="77777777">
      <w:pPr>
        <w:pStyle w:val="Numberedtilelevel1"/>
        <w:numPr>
          <w:ilvl w:val="0"/>
          <w:numId w:val="12"/>
        </w:numPr>
      </w:pPr>
      <w:r w:rsidRPr="0069119B">
        <w:lastRenderedPageBreak/>
        <w:t>Atbilstības nodrošināšanas un ziņošanas prasības</w:t>
      </w:r>
    </w:p>
    <w:p w:rsidRPr="0069119B" w:rsidR="00B43E07" w:rsidP="00B43E07" w:rsidRDefault="00B43E07" w14:paraId="3B9E826E" w14:textId="5EE3EC56">
      <w:pPr>
        <w:pStyle w:val="Titlelevel2"/>
      </w:pPr>
      <w:r w:rsidRPr="0069119B">
        <w:t>Pamatnostādņu statuss</w:t>
      </w:r>
    </w:p>
    <w:p w:rsidRPr="0069119B" w:rsidR="00B43E07" w:rsidP="00C3071B" w:rsidRDefault="00B43E07" w14:paraId="4AFE96B1" w14:textId="13B187BE">
      <w:pPr>
        <w:pStyle w:val="body"/>
        <w:numPr>
          <w:ilvl w:val="0"/>
          <w:numId w:val="10"/>
        </w:numPr>
      </w:pPr>
      <w:r w:rsidRPr="0069119B">
        <w:t>Šis dokuments ietver pamatnostādnes, kas izdotas saskaņā ar Regulas (ES) Nr. 1093/2010</w:t>
      </w:r>
      <w:r w:rsidRPr="0069119B">
        <w:rPr>
          <w:rStyle w:val="FootnoteReference"/>
          <w:lang w:val="en-GB"/>
        </w:rPr>
        <w:footnoteReference w:id="2"/>
      </w:r>
      <w:r w:rsidRPr="0069119B">
        <w:t xml:space="preserve"> 16. pantu. Kompetentajām iestādēm un finanšu iestādēm saskaņā ar Regulas (ES) Nr. 1093/2010 16. panta 3. punktu jādara viss iespējamais, lai ievērotu šīs pamatnostādnes.</w:t>
      </w:r>
    </w:p>
    <w:p w:rsidRPr="0069119B" w:rsidR="00B43E07" w:rsidP="00C3071B" w:rsidRDefault="00B43E07" w14:paraId="23E7F140" w14:textId="591D7378">
      <w:pPr>
        <w:pStyle w:val="body"/>
        <w:numPr>
          <w:ilvl w:val="0"/>
          <w:numId w:val="10"/>
        </w:numPr>
      </w:pPr>
      <w:r w:rsidRPr="0069119B">
        <w:t>Pamatnostādnēs izklāstīts EBI viedoklis par attiecīgām uzraudzības praksēm Eiropas finanšu uzraudzības sistēmā jeb par to, kā Savienības tiesību akti ir jāpiemēro konkrētā jomā. Kompetentajām iestādēm, kas minētas Regulas (ES) Nr. 1093/2010 4. panta 2. punktā, uz kurām attiecas šīs pamatnostādnes, tās būtu jāievēro, iekļaujot tās attiecīgi savā praksē (piem., izdarot grozījumus savā tiesiskajā regulējumā vai uzraudzības procesos), tostarp gadījumos, kad pamatnostādnes ir paredzētas galvenokārt iestādēm.</w:t>
      </w:r>
    </w:p>
    <w:p w:rsidRPr="0069119B" w:rsidR="00B43E07" w:rsidP="00B43E07" w:rsidRDefault="00B43E07" w14:paraId="141EDBC6" w14:textId="77777777">
      <w:pPr>
        <w:pStyle w:val="Titlelevel2"/>
      </w:pPr>
      <w:r w:rsidRPr="0069119B">
        <w:t>Ziņojumu iesniegšanas prasības</w:t>
      </w:r>
    </w:p>
    <w:p w:rsidRPr="0069119B" w:rsidR="00B43E07" w:rsidP="00C3071B" w:rsidRDefault="00236329" w14:paraId="7EE20541" w14:textId="2CBAF329">
      <w:pPr>
        <w:pStyle w:val="body"/>
        <w:numPr>
          <w:ilvl w:val="0"/>
          <w:numId w:val="10"/>
        </w:numPr>
      </w:pPr>
      <w:r w:rsidRPr="0069119B">
        <w:t xml:space="preserve">Saskaņā ar Regulas (ES) Nr. 1093/2010 16. panta 3. punktu kompetentajām iestādēm līdz </w:t>
      </w:r>
      <w:r w:rsidR="00D42CD4">
        <w:t>16.02.2021</w:t>
      </w:r>
      <w:r w:rsidRPr="0069119B">
        <w:t xml:space="preserve"> jāpaziņo EBI, ka tās ievēro vai paredz ievērot šīs pamatnostādnes, vai jānorāda to neievērošanas iemesli. Ja attiecīgajā termiņā šāds paziņojums netiek saņemts, EBI uzskata, ka kompetentās iestādes neievēro šīs pamatnostādnes. Paziņojumi jānosūta, iesniedzot EBI tīmekļa vietnē pieejamo veidlapu ar norādi “EBA/GL/2020/14”. Ziņojumi ir jāiesniedz personām, kuras ir attiecīgi pilnvarotas kompetento iestāžu vārdā ziņot par atbilstību. Par jebkurām izmaiņām atbilstības statusā arī ir jāziņo EBI.</w:t>
      </w:r>
    </w:p>
    <w:p w:rsidRPr="0069119B" w:rsidR="00B43E07" w:rsidP="00C3071B" w:rsidRDefault="00B43E07" w14:paraId="3FF09602" w14:textId="563622BD">
      <w:pPr>
        <w:pStyle w:val="body"/>
        <w:numPr>
          <w:ilvl w:val="0"/>
          <w:numId w:val="10"/>
        </w:numPr>
      </w:pPr>
      <w:r w:rsidRPr="0069119B">
        <w:t>Paziņojumus publicēs EBI tīmekļa vietnē saskaņā ar 16. panta 3. punktu.</w:t>
      </w:r>
    </w:p>
    <w:p w:rsidRPr="0069119B" w:rsidR="00B43E07" w:rsidP="00B43E07" w:rsidRDefault="00B43E07" w14:paraId="0BB7AD43" w14:textId="77777777">
      <w:pPr>
        <w:pStyle w:val="Titlelevel2"/>
      </w:pPr>
      <w:r w:rsidRPr="0069119B">
        <w:br w:type="page"/>
      </w:r>
    </w:p>
    <w:p w:rsidRPr="0069119B" w:rsidR="00B43E07" w:rsidP="00CE3517" w:rsidRDefault="00B43E07" w14:paraId="207E9159" w14:textId="77777777">
      <w:pPr>
        <w:pStyle w:val="Numberedtilelevel1"/>
      </w:pPr>
      <w:r w:rsidRPr="0069119B">
        <w:lastRenderedPageBreak/>
        <w:t>Priekšmets, piemērošanas joma un definīcijas</w:t>
      </w:r>
    </w:p>
    <w:p w:rsidRPr="0069119B" w:rsidR="00B43E07" w:rsidP="00B43E07" w:rsidRDefault="00B43E07" w14:paraId="329ACB0A" w14:textId="77777777">
      <w:pPr>
        <w:pStyle w:val="Titlelevel2"/>
      </w:pPr>
      <w:r w:rsidRPr="0069119B">
        <w:t>Priekšmets</w:t>
      </w:r>
    </w:p>
    <w:p w:rsidRPr="0069119B" w:rsidR="00DE0FE1" w:rsidP="00C3071B" w:rsidRDefault="00DE0FE1" w14:paraId="667A5E79" w14:textId="75DF9FF9">
      <w:pPr>
        <w:pStyle w:val="body"/>
        <w:numPr>
          <w:ilvl w:val="0"/>
          <w:numId w:val="10"/>
        </w:numPr>
      </w:pPr>
      <w:r w:rsidRPr="0069119B">
        <w:t>Šīs pamatnostādnes attiecas uz:</w:t>
      </w:r>
    </w:p>
    <w:p w:rsidRPr="0069119B" w:rsidR="00DE0FE1" w:rsidP="00C3071B" w:rsidRDefault="00DE0FE1" w14:paraId="7F872996" w14:textId="017F20C9">
      <w:pPr>
        <w:pStyle w:val="body"/>
        <w:numPr>
          <w:ilvl w:val="1"/>
          <w:numId w:val="13"/>
        </w:numPr>
      </w:pPr>
      <w:r w:rsidRPr="0069119B">
        <w:t>to rādītāju specifikāciju, kurus izmanto globālu sistēmiski nozīmīgu iestāžu (G-SNI) identifikācijai, kā noteikts Regulā (ES) Nr. 1222/2014 (“rādītāji”); un</w:t>
      </w:r>
    </w:p>
    <w:p w:rsidRPr="0069119B" w:rsidR="00B43E07" w:rsidP="00C3071B" w:rsidRDefault="00DE0FE1" w14:paraId="776C11F3" w14:textId="58E74370">
      <w:pPr>
        <w:pStyle w:val="body"/>
        <w:numPr>
          <w:ilvl w:val="1"/>
          <w:numId w:val="13"/>
        </w:numPr>
      </w:pPr>
      <w:r w:rsidRPr="0069119B">
        <w:t>pamatā esošo datu (rādītāju, papildu informācijas un ārpusbilances posteņu) ziņošanu un iegūto rādītāju vērtību, ko izmanto G-SNI identificēšanai, ikgadēju atklāšanu.</w:t>
      </w:r>
    </w:p>
    <w:p w:rsidRPr="0069119B" w:rsidR="00B43E07" w:rsidP="00B43E07" w:rsidRDefault="00B43E07" w14:paraId="07F996E2" w14:textId="77777777">
      <w:pPr>
        <w:pStyle w:val="Titlelevel2"/>
      </w:pPr>
      <w:r w:rsidRPr="0069119B">
        <w:t>Piemērošanas joma</w:t>
      </w:r>
    </w:p>
    <w:p w:rsidRPr="0069119B" w:rsidR="00DE0FE1" w:rsidP="00C3071B" w:rsidRDefault="00B43E07" w14:paraId="71B629CF" w14:textId="05197A71">
      <w:pPr>
        <w:pStyle w:val="body"/>
        <w:numPr>
          <w:ilvl w:val="0"/>
          <w:numId w:val="10"/>
        </w:numPr>
      </w:pPr>
      <w:r w:rsidRPr="0069119B">
        <w:t>Šīs pamatnostādnes ir piemērojamas attiecībā uz</w:t>
      </w:r>
    </w:p>
    <w:p w:rsidRPr="0069119B" w:rsidR="00DE0FE1" w:rsidP="00C3071B" w:rsidRDefault="000F3C24" w14:paraId="73EAD676" w14:textId="3140197F">
      <w:pPr>
        <w:pStyle w:val="body"/>
        <w:numPr>
          <w:ilvl w:val="0"/>
          <w:numId w:val="14"/>
        </w:numPr>
      </w:pPr>
      <w:r w:rsidRPr="0069119B">
        <w:t>grupām, ko vada ES mātes iestāde, ES mātes finanšu pārvaldītājsabiedrība vai ES mātes jaukta finanšu pārvaldītājsabiedrība; un</w:t>
      </w:r>
    </w:p>
    <w:p w:rsidRPr="0069119B" w:rsidR="00B43E07" w:rsidP="00C3071B" w:rsidRDefault="00DE0FE1" w14:paraId="0D1E1C78" w14:textId="031EF3C2">
      <w:pPr>
        <w:pStyle w:val="body"/>
        <w:numPr>
          <w:ilvl w:val="0"/>
          <w:numId w:val="14"/>
        </w:numPr>
      </w:pPr>
      <w:r w:rsidRPr="0069119B">
        <w:t>iestādēm, kas nav ES mātes iestādes, ES mātes finanšu pārvaldītājsabiedrības vai ES mātes jauktas finanšu pārvaldītājsabiedrības meitassabiedrības,</w:t>
      </w:r>
    </w:p>
    <w:p w:rsidRPr="0069119B" w:rsidR="00B43E07" w:rsidP="00DE0FE1" w:rsidRDefault="003A2221" w14:paraId="5736DC31" w14:textId="54A8D23B">
      <w:pPr>
        <w:pStyle w:val="body"/>
      </w:pPr>
      <w:r w:rsidRPr="0069119B">
        <w:t>kuras ievēro kopējās riska darījumu vērtības mēru, kas konsolidēti vai individuāli pārsniedz 200 miljardus eiro (ieskaitot apdrošināšanas meitassabiedrības), izmantojot atbilstošu valūtas maiņas kursu, kurā ņemts vērā Eiropas Centrālās bankas publicētais atsauces valūtas maiņas kurss, kas piemērojams finanšu gada beigās, un starptautiskie standarti (“attiecīgās sabiedrības”).</w:t>
      </w:r>
    </w:p>
    <w:p w:rsidRPr="0069119B" w:rsidR="00B43E07" w:rsidP="00B43E07" w:rsidRDefault="00B43E07" w14:paraId="6EAA3145" w14:textId="77777777">
      <w:pPr>
        <w:pStyle w:val="Titlelevel2"/>
      </w:pPr>
      <w:r w:rsidRPr="0069119B">
        <w:t>Adresāti</w:t>
      </w:r>
    </w:p>
    <w:p w:rsidRPr="0069119B" w:rsidR="00B43E07" w:rsidP="00C3071B" w:rsidRDefault="00DE0FE1" w14:paraId="12310C5F" w14:textId="42F50B99">
      <w:pPr>
        <w:pStyle w:val="body"/>
        <w:numPr>
          <w:ilvl w:val="0"/>
          <w:numId w:val="10"/>
        </w:numPr>
      </w:pPr>
      <w:r w:rsidRPr="0069119B">
        <w:t>Šīs pamatnostādnes ir adresētas kompetentajām iestādēm, kā noteikts Regulas (ES) Nr. 1093/2010 4. panta 2. punkta i) apakšpunktā, un finanšu iestādēm, uz kurām attiecas šīs pamatnostādnes. Direktīvas 2013/36/ES 131. panta 1. punktā minētās izraudzītās iestādes, kas nav kompetentās iestādes, tiek mudinātas piemērot šīs pamatnostādnes. Gan kompetentās, gan izraudzītās iestādes šajās pamatnostādnēs minētas kā “attiecīgās iestādes”.</w:t>
      </w:r>
    </w:p>
    <w:p w:rsidRPr="0069119B" w:rsidR="00DE0FE1" w:rsidP="00C3071B" w:rsidRDefault="00DE0FE1" w14:paraId="52A8B3D5" w14:textId="77777777">
      <w:pPr>
        <w:pStyle w:val="ListParagraph"/>
        <w:numPr>
          <w:ilvl w:val="0"/>
          <w:numId w:val="10"/>
        </w:numPr>
      </w:pPr>
      <w:r w:rsidRPr="0069119B">
        <w:br w:type="page"/>
      </w:r>
    </w:p>
    <w:p w:rsidRPr="0069119B" w:rsidR="00B43E07" w:rsidP="00CE3517" w:rsidRDefault="00B43E07" w14:paraId="25D099DB" w14:textId="77777777">
      <w:pPr>
        <w:pStyle w:val="Numberedtilelevel1"/>
      </w:pPr>
      <w:r w:rsidRPr="0069119B">
        <w:lastRenderedPageBreak/>
        <w:t>Īstenošana</w:t>
      </w:r>
    </w:p>
    <w:p w:rsidRPr="0069119B" w:rsidR="00B43E07" w:rsidP="00B43E07" w:rsidRDefault="00B43E07" w14:paraId="4EAB2FB0" w14:textId="77777777">
      <w:pPr>
        <w:pStyle w:val="Titlelevel2"/>
      </w:pPr>
      <w:r w:rsidRPr="0069119B">
        <w:t>Piemērošanas datums</w:t>
      </w:r>
    </w:p>
    <w:p w:rsidRPr="0069119B" w:rsidR="00B43E07" w:rsidP="00C3071B" w:rsidRDefault="00DE0FE1" w14:paraId="18515792" w14:textId="1873E1D0">
      <w:pPr>
        <w:pStyle w:val="body"/>
        <w:numPr>
          <w:ilvl w:val="0"/>
          <w:numId w:val="15"/>
        </w:numPr>
      </w:pPr>
      <w:r w:rsidRPr="0069119B">
        <w:t xml:space="preserve">Šīs pamatnostādnes tiek piemērotas no </w:t>
      </w:r>
      <w:r w:rsidR="00D42CD4">
        <w:t>16.12.2020.</w:t>
      </w:r>
    </w:p>
    <w:p w:rsidRPr="0069119B" w:rsidR="00B43E07" w:rsidP="00B43E07" w:rsidRDefault="00B43E07" w14:paraId="4AB150AF" w14:textId="64BC8239">
      <w:pPr>
        <w:pStyle w:val="Titlelevel2"/>
      </w:pPr>
      <w:r w:rsidRPr="0069119B">
        <w:t>Atcelšana</w:t>
      </w:r>
    </w:p>
    <w:p w:rsidRPr="0069119B" w:rsidR="00B43E07" w:rsidP="00A41338" w:rsidRDefault="00BD1538" w14:paraId="0F71334D" w14:textId="4DCAC658">
      <w:r w:rsidRPr="0069119B">
        <w:t>Ar šo tiek atceltas 2016. gada 29. februāra pārskatītās pamatnostādnes par globāli sistēmiski nozīmīgu rādītāju un to atspoguļošanas papildu specifikācijām (EBI/PN/2016/01).</w:t>
      </w:r>
    </w:p>
    <w:p w:rsidRPr="0069119B" w:rsidR="00BD1538" w:rsidP="00B43E07" w:rsidRDefault="00BD1538" w14:paraId="30F30A96" w14:textId="77777777">
      <w:pPr>
        <w:pStyle w:val="body"/>
        <w:sectPr w:rsidRPr="0069119B" w:rsidR="00BD1538" w:rsidSect="000F33D3">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Pr="0069119B" w:rsidR="00B43E07" w:rsidP="00BD1538" w:rsidRDefault="00BD1538" w14:paraId="4D344DEC" w14:textId="3CE1317D">
      <w:pPr>
        <w:pStyle w:val="Numberedtilelevel1"/>
        <w:jc w:val="both"/>
      </w:pPr>
      <w:r w:rsidRPr="0069119B">
        <w:lastRenderedPageBreak/>
        <w:t>Pamatā esošo datu un rādītāju specifikācija, kurus izmanto G-SNI identifikācijai</w:t>
      </w:r>
    </w:p>
    <w:p w:rsidR="00444BF7" w:rsidP="00444BF7" w:rsidRDefault="00444BF7" w14:paraId="09815EAB" w14:textId="431970E8">
      <w:pPr>
        <w:pStyle w:val="body"/>
        <w:rPr>
          <w:iCs/>
        </w:rPr>
      </w:pPr>
      <w:r w:rsidRPr="007B541C">
        <w:rPr>
          <w:spacing w:val="-1"/>
          <w:highlight w:val="green"/>
        </w:rPr>
        <w:sym w:font="Wingdings" w:char="F0DA"/>
      </w:r>
      <w:r w:rsidRPr="007B541C">
        <w:rPr>
          <w:spacing w:val="-1"/>
          <w:highlight w:val="green"/>
        </w:rPr>
        <w:t>A1</w:t>
      </w:r>
    </w:p>
    <w:p w:rsidRPr="00FD30DA" w:rsidR="00B43E07" w:rsidP="00C3071B" w:rsidRDefault="00FD30DA" w14:paraId="50643877" w14:textId="7C7AAE65">
      <w:pPr>
        <w:pStyle w:val="body"/>
        <w:numPr>
          <w:ilvl w:val="0"/>
          <w:numId w:val="15"/>
        </w:numPr>
        <w:rPr>
          <w:iCs/>
        </w:rPr>
      </w:pPr>
      <w:r w:rsidRPr="00FD30DA">
        <w:rPr>
          <w:iCs/>
        </w:rPr>
        <w:t>Attiecīgajām iestādēm un attiecīgajām vienībām būtu jāievēro norādījumi un specifikācijas attiecībā uz pielikumā uzskaitītajiem datu posteņiem, kā izklāstīts saitē ar nosaukumu “Ziņošanas norādījumi” EBI tīmekļa vietnē G-SNI sadaļā</w:t>
      </w:r>
      <w:r w:rsidRPr="00FD30DA">
        <w:rPr>
          <w:rStyle w:val="FootnoteReference"/>
          <w:iCs/>
        </w:rPr>
        <w:footnoteReference w:id="3"/>
      </w:r>
      <w:r>
        <w:rPr>
          <w:iCs/>
        </w:rPr>
        <w:t>.</w:t>
      </w:r>
    </w:p>
    <w:p w:rsidR="00B43E07" w:rsidP="00C3071B" w:rsidRDefault="00FD30DA" w14:paraId="2FD6FE4E" w14:textId="2CC7800F">
      <w:pPr>
        <w:pStyle w:val="body"/>
        <w:numPr>
          <w:ilvl w:val="0"/>
          <w:numId w:val="15"/>
        </w:numPr>
        <w:rPr>
          <w:iCs/>
        </w:rPr>
      </w:pPr>
      <w:r w:rsidRPr="00FD30DA">
        <w:rPr>
          <w:iCs/>
        </w:rPr>
        <w:t>Attiecīgajām iestādēm būtu jāizmanto papildu dati (šo pamatnostādņu pielikuma 15. un 16. iedaļa), lai pamatotu savu uzraudzības vērtējumu saskaņā ar Direktīvas 2013/36/ES 131. panta 10. punktu un izziņas posteņi (pielikuma 17. līdz 22. iedaļa), lai uzlabotu datu kvalitāti un palīdzētu izstrādāt turpmākos identifikācijas metodikas uzlabojumus. Ārpusbilances posteņi tiek papildināti ar detalizētiem attiecīgo iestāžu komentāriem par datu kvalitāti un pieejamību, kur nepieciešams.</w:t>
      </w:r>
    </w:p>
    <w:p w:rsidR="00FD30DA" w:rsidP="00C3071B" w:rsidRDefault="00FD30DA" w14:paraId="6077E3FE" w14:textId="28386A37">
      <w:pPr>
        <w:pStyle w:val="body"/>
        <w:numPr>
          <w:ilvl w:val="0"/>
          <w:numId w:val="16"/>
        </w:numPr>
      </w:pPr>
      <w:r w:rsidRPr="00BA627B">
        <w:rPr>
          <w:iCs/>
        </w:rPr>
        <w:t xml:space="preserve">a </w:t>
      </w:r>
      <w:r w:rsidRPr="00BA627B">
        <w:t>Saskaņā</w:t>
      </w:r>
      <w:r w:rsidRPr="00FD30DA">
        <w:t xml:space="preserve"> ar Direktīvas 2013/36/ES 131. panta 2.a punktu, kurā prasīta papildu identifikācijas metodika, kas izslēdz pārrobežu darbības vienotā noregulējuma mehānisma (VNM) ietvaros, un saskaņā ar Bāzeles komitejas 2022. gada 31. maija starptautisko vienošanos atzīt Eiropas banku savienības attīstības progresu, datu posteņi, kas ir nozīmīgi koriģēto VNM pārjurisdikciju rādītāju aprēķināšanai attiecībā uz iestādēm, kuru galvenais birojs atrodas dalībvalstīs, kas piedalās VNM, būtu jāuzskata par daļu no pārjurisdikciju darbības rādītājiem un kā tādi jāatklāj saskaņā ar 12. punktu, nevis kā papildu vai izziņas posteņi G-SNI identifikācijai un apakškategoriju sadalījuma metodikai.</w:t>
      </w:r>
    </w:p>
    <w:p w:rsidR="00BD1538" w:rsidP="00505C64" w:rsidRDefault="00BD1538" w14:paraId="454DAAE2" w14:textId="77777777">
      <w:pPr>
        <w:pStyle w:val="Titlelevel2"/>
      </w:pPr>
    </w:p>
    <w:p w:rsidRPr="0069119B" w:rsidR="00FD30DA" w:rsidP="00505C64" w:rsidRDefault="00FD30DA" w14:paraId="2DFFA9BA" w14:textId="7192868B">
      <w:pPr>
        <w:pStyle w:val="Titlelevel2"/>
        <w:sectPr w:rsidRPr="0069119B" w:rsidR="00FD30DA" w:rsidSect="000F33D3">
          <w:pgSz w:w="11900" w:h="16840"/>
          <w:pgMar w:top="2268" w:right="1418" w:bottom="1134" w:left="1701" w:header="709" w:footer="709" w:gutter="0"/>
          <w:cols w:space="708"/>
          <w:docGrid w:linePitch="299"/>
        </w:sectPr>
      </w:pPr>
    </w:p>
    <w:p w:rsidRPr="0069119B" w:rsidR="00B43E07" w:rsidP="00BD1538" w:rsidRDefault="00BD1538" w14:paraId="6CDBC73A" w14:textId="63126AA5">
      <w:pPr>
        <w:pStyle w:val="Numberedtilelevel1"/>
        <w:jc w:val="both"/>
      </w:pPr>
      <w:r w:rsidRPr="0069119B">
        <w:lastRenderedPageBreak/>
        <w:t>Prasības attiecībā uz ziņojumu sniegšanu un informācijas atklāšanu, ko veic attiecīgās iestādes</w:t>
      </w:r>
    </w:p>
    <w:p w:rsidR="00000D92" w:rsidP="00000D92" w:rsidRDefault="00000D92" w14:paraId="31D19221" w14:textId="77777777">
      <w:pPr>
        <w:pStyle w:val="body"/>
        <w:numPr>
          <w:ilvl w:val="0"/>
          <w:numId w:val="16"/>
        </w:numPr>
        <w:rPr>
          <w:iCs/>
        </w:rPr>
      </w:pPr>
      <w:r w:rsidRPr="00FD30DA">
        <w:rPr>
          <w:iCs/>
        </w:rPr>
        <w:t>Attiecīgajām iestādēm ir jānodrošina, ka tās vāc visus šo pamatnostādņu pielikumā norādītos datu posteņus no attiecīgajām iestādēm, kuras katra gada 31. decembrī atbilst šo pamatnostādņu 6. punktā noteiktajiem kritērijiem.</w:t>
      </w:r>
    </w:p>
    <w:p w:rsidR="00000D92" w:rsidP="00000D92" w:rsidRDefault="00000D92" w14:paraId="4FDFCDA9" w14:textId="3F350637">
      <w:pPr>
        <w:pStyle w:val="body"/>
        <w:numPr>
          <w:ilvl w:val="0"/>
          <w:numId w:val="16"/>
        </w:numPr>
        <w:rPr>
          <w:iCs/>
        </w:rPr>
      </w:pPr>
      <w:r w:rsidRPr="00FD30DA">
        <w:rPr>
          <w:iCs/>
        </w:rPr>
        <w:t>Attiecīgajām iestādēm ir jānodrošina, ka attiecīgās vienības savās tīmekļa vietnēs katru gadu publisko informāciju par rādītāju vērtībām, kas norādītas šo pamatnostādņu pielikuma 1.–14. iedaļā, un, ja ir nepieciešama VNM papildu identifikācijas metodika, 21. iedaļas e), f) un g) punktā, kā arī visus citus 21. iedaļas posteņus, kas attiecas uz VNM pārrobežu jurisdikcijas darbībām un ko attiecīgā kompetentā iestāde var uzskatīt par būtiskiem šādas metodikas aprēķināšanai.</w:t>
      </w:r>
    </w:p>
    <w:p w:rsidRPr="00FD30DA" w:rsidR="00444BF7" w:rsidP="00444BF7" w:rsidRDefault="00444BF7" w14:paraId="703C4CA3" w14:textId="0DCB46A4">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0007574B" w:rsidP="00C3071B" w:rsidRDefault="0007574B" w14:paraId="59D95C2C" w14:textId="7054B40B">
      <w:pPr>
        <w:pStyle w:val="body"/>
        <w:numPr>
          <w:ilvl w:val="0"/>
          <w:numId w:val="16"/>
        </w:numPr>
      </w:pPr>
      <w:r w:rsidRPr="0069119B">
        <w:t>Paziņojot un atspoguļojot 11. un 12. punktā minēto informāciju, attiecīgajām sabiedrībām jāizmanto elektroniskā veidne un jāievēro ikgadējie norādījumi, kas šim nolūkam publicēti EBI tīmekļa vietnē.</w:t>
      </w:r>
    </w:p>
    <w:p w:rsidRPr="0069119B" w:rsidR="00444BF7" w:rsidP="00444BF7" w:rsidRDefault="00444BF7" w14:paraId="7C8BED93" w14:textId="1F2609AE">
      <w:pPr>
        <w:pStyle w:val="body"/>
      </w:pPr>
      <w:r w:rsidRPr="007B541C">
        <w:rPr>
          <w:spacing w:val="-1"/>
          <w:highlight w:val="green"/>
        </w:rPr>
        <w:sym w:font="Wingdings" w:char="F0DA"/>
      </w:r>
      <w:r w:rsidRPr="007B541C">
        <w:rPr>
          <w:spacing w:val="-1"/>
          <w:highlight w:val="green"/>
        </w:rPr>
        <w:t>A1</w:t>
      </w:r>
    </w:p>
    <w:p w:rsidR="006C6D8E" w:rsidP="00C3071B" w:rsidRDefault="001E072A" w14:paraId="5F511C1E" w14:textId="12ED7900">
      <w:pPr>
        <w:pStyle w:val="body"/>
        <w:numPr>
          <w:ilvl w:val="0"/>
          <w:numId w:val="16"/>
        </w:numPr>
      </w:pPr>
      <w:r w:rsidRPr="001E072A">
        <w:t>Attiecīgajām vienībām būtu jāiesniedz 11. punktā minētā informācija attiecīgajām iestādēm un publiski jāatklāj 12. punktā minētā informācija reizi gadā ne vēlāk kā četrus mēnešus pēc katra finanšu gada beigu datuma, sākot no otrā secīgā finanšu gada beigu dienas, kurā ir pārsniegta šo pamatnostādņu 6. punktā noteiktā robežvērtība. Veicot šo darbību, attiecīgajām vienībām jāidentificē sevi, izmantojot juridiskās personas identifikatorus (LEI).</w:t>
      </w:r>
    </w:p>
    <w:p w:rsidRPr="0069119B" w:rsidR="00444BF7" w:rsidP="00444BF7" w:rsidRDefault="00444BF7" w14:paraId="3B47B909" w14:textId="605E3694">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Pr="0069119B" w:rsidR="0007574B" w:rsidP="00C3071B" w:rsidRDefault="003A2221" w14:paraId="02B1DBBB" w14:textId="35B7F7D9">
      <w:pPr>
        <w:pStyle w:val="body"/>
        <w:numPr>
          <w:ilvl w:val="0"/>
          <w:numId w:val="16"/>
        </w:numPr>
      </w:pPr>
      <w:r w:rsidRPr="0069119B">
        <w:t>Attiecīgās iestādes var ļaut attiecīgajām sabiedrībām, kuru finanšu gada beigas nesakrīt ar 31. decembri, paziņot un atspoguļot šo informāciju, pamatojoties uz savu situāciju datumā, kas ir pēc iespējas tuvāk 31. decembrim. Jebkurā gadījumā, informācijas atspoguļošana notiek ne vēlāk kā 31. jūlijā.</w:t>
      </w:r>
    </w:p>
    <w:p w:rsidRPr="0069119B" w:rsidR="00B43E07" w:rsidP="00C3071B" w:rsidRDefault="003A2221" w14:paraId="0BE8B0EA" w14:textId="3AD888C3">
      <w:pPr>
        <w:pStyle w:val="body"/>
        <w:numPr>
          <w:ilvl w:val="0"/>
          <w:numId w:val="16"/>
        </w:numPr>
      </w:pPr>
      <w:r w:rsidRPr="0069119B">
        <w:t>Attiecīgās iestādes nodrošina, ka paziņotie un atspoguļotie dati – attiecīgos gadījumos – ir identiski tiem, kas iesniegti Bāzeles Banku uzraudzības komitejai.</w:t>
      </w:r>
    </w:p>
    <w:p w:rsidRPr="0069119B" w:rsidR="006C6D8E" w:rsidP="006C6D8E" w:rsidRDefault="006C6D8E" w14:paraId="304AED26" w14:textId="0684F911">
      <w:pPr>
        <w:pStyle w:val="body"/>
      </w:pPr>
    </w:p>
    <w:p w:rsidRPr="0069119B" w:rsidR="006C6D8E" w:rsidP="006C6D8E" w:rsidRDefault="006C6D8E" w14:paraId="3653C3DD" w14:textId="77777777">
      <w:pPr>
        <w:pStyle w:val="body"/>
        <w:sectPr w:rsidRPr="0069119B" w:rsidR="006C6D8E" w:rsidSect="000F33D3">
          <w:pgSz w:w="11900" w:h="16840"/>
          <w:pgMar w:top="2268" w:right="1418" w:bottom="1134" w:left="1701" w:header="709" w:footer="709" w:gutter="0"/>
          <w:cols w:space="708"/>
          <w:docGrid w:linePitch="299"/>
        </w:sectPr>
      </w:pPr>
    </w:p>
    <w:p w:rsidRPr="0069119B" w:rsidR="00B43E07" w:rsidP="006C6D8E" w:rsidRDefault="006C6D8E" w14:paraId="78D7CAE2" w14:textId="0D9CA5B9">
      <w:pPr>
        <w:pStyle w:val="Numberedtilelevel1"/>
        <w:jc w:val="both"/>
      </w:pPr>
      <w:r w:rsidRPr="0069119B">
        <w:lastRenderedPageBreak/>
        <w:t>Informācija EBI</w:t>
      </w:r>
    </w:p>
    <w:p w:rsidRPr="0069119B" w:rsidR="006C6D8E" w:rsidP="00C3071B" w:rsidRDefault="003A2221" w14:paraId="0966C959" w14:textId="52E7A3EF">
      <w:pPr>
        <w:pStyle w:val="body"/>
        <w:numPr>
          <w:ilvl w:val="0"/>
          <w:numId w:val="16"/>
        </w:numPr>
      </w:pPr>
      <w:r w:rsidRPr="0069119B">
        <w:t xml:space="preserve">Attiecīgajām iestādēm jāsniedz EBI visi dati, tostarp papildu informācija un ārpusbilances posteņi, kas ievākti saskaņā ar šīm pamatnostādnēm, lai tos varētu apkopot EBI tīmekļa vietnē. Attiecīgajām sabiedrībām jāidentificē sevi, izmantojot </w:t>
      </w:r>
      <w:r w:rsidRPr="0069119B">
        <w:rPr>
          <w:i/>
          <w:iCs/>
        </w:rPr>
        <w:t>LEI</w:t>
      </w:r>
      <w:r w:rsidRPr="0069119B">
        <w:t>. EBI neatspoguļo papildu datus un ārpusbilances posteņus.</w:t>
      </w:r>
    </w:p>
    <w:p w:rsidRPr="0069119B" w:rsidR="006C6D8E" w:rsidP="00B43E07" w:rsidRDefault="006C6D8E" w14:paraId="001293F4" w14:textId="77777777">
      <w:pPr>
        <w:pStyle w:val="body"/>
        <w:rPr>
          <w:lang w:eastAsia="en-GB"/>
        </w:rPr>
        <w:sectPr w:rsidRPr="0069119B" w:rsidR="006C6D8E" w:rsidSect="000F33D3">
          <w:pgSz w:w="11900" w:h="16840"/>
          <w:pgMar w:top="2268" w:right="1418" w:bottom="1134" w:left="1701" w:header="709" w:footer="709" w:gutter="0"/>
          <w:cols w:space="708"/>
          <w:docGrid w:linePitch="299"/>
        </w:sectPr>
      </w:pPr>
    </w:p>
    <w:p w:rsidRPr="0069119B" w:rsidR="006C6D8E" w:rsidP="006C6D8E" w:rsidRDefault="006C6D8E" w14:paraId="6FBD395E" w14:textId="77777777">
      <w:pPr>
        <w:pStyle w:val="Contenttitle"/>
      </w:pPr>
      <w:r w:rsidRPr="0069119B">
        <w:lastRenderedPageBreak/>
        <w:t>Pielikums</w:t>
      </w:r>
    </w:p>
    <w:tbl>
      <w:tblPr>
        <w:tblStyle w:val="TableGrid1"/>
        <w:tblW w:w="9549" w:type="dxa"/>
        <w:tblLook w:val="04A0" w:firstRow="1" w:lastRow="0" w:firstColumn="1" w:lastColumn="0" w:noHBand="0" w:noVBand="1"/>
      </w:tblPr>
      <w:tblGrid>
        <w:gridCol w:w="6804"/>
        <w:gridCol w:w="2745"/>
      </w:tblGrid>
      <w:tr w:rsidRPr="00C3071B" w:rsidR="00C3071B" w:rsidTr="00495D7D" w14:paraId="5D7F5C79" w14:textId="77777777">
        <w:trPr>
          <w:trHeight w:val="420"/>
        </w:trPr>
        <w:tc>
          <w:tcPr>
            <w:tcW w:w="9549" w:type="dxa"/>
            <w:gridSpan w:val="2"/>
            <w:tcBorders>
              <w:top w:val="nil"/>
              <w:left w:val="nil"/>
              <w:bottom w:val="nil"/>
              <w:right w:val="nil"/>
            </w:tcBorders>
            <w:noWrap/>
            <w:hideMark/>
          </w:tcPr>
          <w:p w:rsidR="00A12CD0" w:rsidP="00C3071B" w:rsidRDefault="00A12CD0" w14:paraId="2C910E41" w14:textId="53DC98D9">
            <w:pPr>
              <w:keepNext/>
              <w:keepLines/>
              <w:spacing w:before="47"/>
              <w:outlineLvl w:val="5"/>
              <w:rPr>
                <w:rFonts w:ascii="Arial" w:hAnsi="Arial" w:cs="Arial"/>
                <w:b/>
                <w:i/>
                <w:caps/>
                <w:color w:val="1F3864"/>
                <w:sz w:val="24"/>
              </w:rPr>
            </w:pPr>
            <w:r w:rsidRPr="007B541C">
              <w:rPr>
                <w:spacing w:val="-1"/>
                <w:highlight w:val="green"/>
              </w:rPr>
              <w:sym w:font="Wingdings" w:char="F0DA"/>
            </w:r>
            <w:r w:rsidRPr="007B541C">
              <w:rPr>
                <w:spacing w:val="-1"/>
                <w:highlight w:val="green"/>
              </w:rPr>
              <w:t>A1</w:t>
            </w:r>
          </w:p>
          <w:p w:rsidRPr="00C3071B" w:rsidR="00C3071B" w:rsidP="00C3071B" w:rsidRDefault="00C3071B" w14:paraId="45BF7885" w14:textId="06BD707D">
            <w:pPr>
              <w:keepNext/>
              <w:keepLines/>
              <w:spacing w:before="47"/>
              <w:outlineLvl w:val="5"/>
              <w:rPr>
                <w:rFonts w:ascii="Arial" w:hAnsi="Arial" w:eastAsia="Times New Roman" w:cs="Arial"/>
                <w:b/>
                <w:bCs/>
                <w:sz w:val="24"/>
              </w:rPr>
            </w:pPr>
            <w:r w:rsidRPr="00C3071B">
              <w:rPr>
                <w:rFonts w:ascii="Arial" w:hAnsi="Arial" w:cs="Arial"/>
                <w:b/>
                <w:i/>
                <w:caps/>
                <w:color w:val="1F3864"/>
                <w:sz w:val="24"/>
              </w:rPr>
              <w:t> </w:t>
            </w:r>
            <w:r w:rsidRPr="00C3071B">
              <w:rPr>
                <w:rFonts w:ascii="Calibri Light" w:hAnsi="Calibri Light" w:cs="Arial"/>
                <w:b/>
                <w:i/>
                <w:caps/>
              </w:rPr>
              <w:t>Vispārējie banku dati</w:t>
            </w:r>
            <w:r w:rsidRPr="00C3071B">
              <w:rPr>
                <w:rFonts w:ascii="Arial" w:hAnsi="Arial" w:cs="Arial"/>
                <w:i/>
                <w:caps/>
                <w:color w:val="1F3864"/>
                <w:sz w:val="20"/>
              </w:rPr>
              <w:t> </w:t>
            </w:r>
            <w:r w:rsidRPr="00C3071B">
              <w:rPr>
                <w:rFonts w:ascii="Arial" w:hAnsi="Arial" w:cs="Arial"/>
                <w:sz w:val="20"/>
              </w:rPr>
              <w:t> </w:t>
            </w:r>
          </w:p>
        </w:tc>
      </w:tr>
      <w:tr w:rsidRPr="00C3071B" w:rsidR="00C3071B" w:rsidTr="00495D7D" w14:paraId="326210B6" w14:textId="77777777">
        <w:trPr>
          <w:trHeight w:val="300"/>
        </w:trPr>
        <w:tc>
          <w:tcPr>
            <w:tcW w:w="6804" w:type="dxa"/>
            <w:tcBorders>
              <w:top w:val="nil"/>
              <w:left w:val="nil"/>
              <w:bottom w:val="single" w:color="auto" w:sz="4" w:space="0"/>
              <w:right w:val="nil"/>
            </w:tcBorders>
            <w:noWrap/>
          </w:tcPr>
          <w:p w:rsidRPr="00C3071B" w:rsidR="00C3071B" w:rsidP="00C3071B" w:rsidRDefault="00C3071B" w14:paraId="7A0B7A86"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C3071B" w:rsidR="00C3071B" w:rsidP="00C3071B" w:rsidRDefault="00C3071B" w14:paraId="25686E74" w14:textId="77777777">
            <w:pPr>
              <w:jc w:val="center"/>
              <w:rPr>
                <w:rFonts w:ascii="Arial" w:hAnsi="Arial" w:eastAsia="Times New Roman" w:cs="Arial"/>
                <w:b/>
                <w:bCs/>
                <w:sz w:val="20"/>
                <w:szCs w:val="20"/>
                <w:lang w:eastAsia="en-GB"/>
              </w:rPr>
            </w:pPr>
          </w:p>
        </w:tc>
      </w:tr>
      <w:tr w:rsidRPr="00C3071B" w:rsidR="00C3071B" w:rsidTr="00495D7D" w14:paraId="46AA338D" w14:textId="77777777">
        <w:trPr>
          <w:trHeight w:val="300"/>
        </w:trPr>
        <w:tc>
          <w:tcPr>
            <w:tcW w:w="6804" w:type="dxa"/>
            <w:tcBorders>
              <w:top w:val="single" w:color="auto" w:sz="4" w:space="0"/>
              <w:left w:val="nil"/>
              <w:bottom w:val="single" w:color="auto" w:sz="4" w:space="0"/>
              <w:right w:val="nil"/>
            </w:tcBorders>
            <w:noWrap/>
            <w:hideMark/>
          </w:tcPr>
          <w:p w:rsidRPr="00C3071B" w:rsidR="00C3071B" w:rsidP="00C3071B" w:rsidRDefault="00C3071B" w14:paraId="7727F546" w14:textId="77777777">
            <w:pPr>
              <w:rPr>
                <w:rFonts w:ascii="Arial" w:hAnsi="Arial" w:eastAsia="Times New Roman" w:cs="Arial"/>
                <w:b/>
                <w:bCs/>
                <w:sz w:val="20"/>
                <w:szCs w:val="20"/>
              </w:rPr>
            </w:pPr>
            <w:r w:rsidRPr="00C3071B">
              <w:rPr>
                <w:rFonts w:ascii="Arial" w:hAnsi="Arial" w:cs="Arial"/>
                <w:b/>
                <w:sz w:val="20"/>
              </w:rPr>
              <w:t>1.sadaļa. Vispārīga informācija</w:t>
            </w:r>
          </w:p>
        </w:tc>
        <w:tc>
          <w:tcPr>
            <w:tcW w:w="2745" w:type="dxa"/>
            <w:tcBorders>
              <w:top w:val="single" w:color="auto" w:sz="4" w:space="0"/>
              <w:left w:val="nil"/>
              <w:right w:val="nil"/>
            </w:tcBorders>
            <w:noWrap/>
            <w:hideMark/>
          </w:tcPr>
          <w:p w:rsidRPr="00C3071B" w:rsidR="00C3071B" w:rsidP="00C3071B" w:rsidRDefault="00C3071B" w14:paraId="52F9727E" w14:textId="77777777">
            <w:pPr>
              <w:jc w:val="center"/>
              <w:rPr>
                <w:rFonts w:ascii="Arial" w:hAnsi="Arial" w:eastAsia="Times New Roman" w:cs="Arial"/>
                <w:b/>
                <w:bCs/>
                <w:sz w:val="20"/>
                <w:szCs w:val="20"/>
              </w:rPr>
            </w:pPr>
            <w:r w:rsidRPr="00C3071B">
              <w:rPr>
                <w:rFonts w:ascii="Arial" w:hAnsi="Arial" w:cs="Arial"/>
                <w:b/>
                <w:sz w:val="20"/>
              </w:rPr>
              <w:t>Atbilde</w:t>
            </w:r>
          </w:p>
        </w:tc>
      </w:tr>
      <w:tr w:rsidRPr="00C3071B" w:rsidR="00C3071B" w:rsidTr="00495D7D" w14:paraId="2F7CEDCF"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C3071B" w:rsidR="00C3071B" w:rsidP="00C3071B" w:rsidRDefault="00C3071B" w14:paraId="0A8871A8" w14:textId="77777777">
            <w:pPr>
              <w:ind w:firstLine="200" w:firstLineChars="100"/>
              <w:rPr>
                <w:rFonts w:ascii="Arial" w:hAnsi="Arial" w:eastAsia="Times New Roman" w:cs="Arial"/>
                <w:sz w:val="20"/>
                <w:szCs w:val="20"/>
              </w:rPr>
            </w:pPr>
            <w:r w:rsidRPr="00C3071B">
              <w:rPr>
                <w:rFonts w:ascii="Arial" w:hAnsi="Arial" w:cs="Arial"/>
                <w:sz w:val="20"/>
              </w:rPr>
              <w:t>a) Vispārīga informācija, ko sniedz attiecīgā uzraudzības iestāde:</w:t>
            </w:r>
          </w:p>
        </w:tc>
      </w:tr>
      <w:tr w:rsidRPr="00C3071B" w:rsidR="00C3071B" w:rsidTr="00495D7D" w14:paraId="4482AFF3" w14:textId="77777777">
        <w:trPr>
          <w:trHeight w:val="300"/>
        </w:trPr>
        <w:tc>
          <w:tcPr>
            <w:tcW w:w="6804" w:type="dxa"/>
            <w:tcBorders>
              <w:left w:val="nil"/>
              <w:right w:val="nil"/>
            </w:tcBorders>
            <w:noWrap/>
            <w:hideMark/>
          </w:tcPr>
          <w:p w:rsidRPr="00C3071B" w:rsidR="00C3071B" w:rsidP="00C3071B" w:rsidRDefault="00C3071B" w14:paraId="66BBE561"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Valsts kods</w:t>
            </w:r>
          </w:p>
        </w:tc>
        <w:tc>
          <w:tcPr>
            <w:tcW w:w="2745" w:type="dxa"/>
            <w:tcBorders>
              <w:left w:val="nil"/>
              <w:bottom w:val="single" w:color="auto" w:sz="4" w:space="0"/>
              <w:right w:val="nil"/>
            </w:tcBorders>
            <w:noWrap/>
            <w:hideMark/>
          </w:tcPr>
          <w:p w:rsidRPr="00C3071B" w:rsidR="00C3071B" w:rsidP="00C3071B" w:rsidRDefault="00C3071B" w14:paraId="515BA982"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38DCDA8F" w14:textId="77777777">
        <w:trPr>
          <w:trHeight w:val="300"/>
        </w:trPr>
        <w:tc>
          <w:tcPr>
            <w:tcW w:w="6804" w:type="dxa"/>
            <w:tcBorders>
              <w:left w:val="nil"/>
              <w:right w:val="nil"/>
            </w:tcBorders>
            <w:noWrap/>
            <w:hideMark/>
          </w:tcPr>
          <w:p w:rsidRPr="00C3071B" w:rsidR="00C3071B" w:rsidP="00C3071B" w:rsidRDefault="00C3071B" w14:paraId="64A4E14E"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Bankas nosaukums</w:t>
            </w:r>
          </w:p>
        </w:tc>
        <w:tc>
          <w:tcPr>
            <w:tcW w:w="2745" w:type="dxa"/>
            <w:tcBorders>
              <w:left w:val="nil"/>
              <w:bottom w:val="single" w:color="auto" w:sz="4" w:space="0"/>
              <w:right w:val="nil"/>
            </w:tcBorders>
            <w:hideMark/>
          </w:tcPr>
          <w:p w:rsidRPr="00C3071B" w:rsidR="00C3071B" w:rsidP="00C3071B" w:rsidRDefault="00C3071B" w14:paraId="246459FC"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62A8AF0D" w14:textId="77777777">
        <w:trPr>
          <w:trHeight w:val="300"/>
        </w:trPr>
        <w:tc>
          <w:tcPr>
            <w:tcW w:w="6804" w:type="dxa"/>
            <w:tcBorders>
              <w:left w:val="nil"/>
              <w:right w:val="nil"/>
            </w:tcBorders>
            <w:noWrap/>
            <w:hideMark/>
          </w:tcPr>
          <w:p w:rsidRPr="00C3071B" w:rsidR="00C3071B" w:rsidP="00C3071B" w:rsidRDefault="00C3071B" w14:paraId="0BB97AC4"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Pārskata sniegšanas datums (gggg-mm-dd)</w:t>
            </w:r>
          </w:p>
        </w:tc>
        <w:tc>
          <w:tcPr>
            <w:tcW w:w="2745" w:type="dxa"/>
            <w:tcBorders>
              <w:left w:val="nil"/>
              <w:bottom w:val="single" w:color="auto" w:sz="4" w:space="0"/>
              <w:right w:val="nil"/>
            </w:tcBorders>
            <w:noWrap/>
            <w:hideMark/>
          </w:tcPr>
          <w:p w:rsidRPr="00C3071B" w:rsidR="00C3071B" w:rsidP="00C3071B" w:rsidRDefault="00C3071B" w14:paraId="65A76A5F" w14:textId="77777777">
            <w:pPr>
              <w:jc w:val="center"/>
              <w:rPr>
                <w:rFonts w:ascii="Arial" w:hAnsi="Arial" w:eastAsia="Times New Roman" w:cs="Arial"/>
                <w:sz w:val="20"/>
                <w:szCs w:val="20"/>
                <w:lang w:eastAsia="en-GB"/>
              </w:rPr>
            </w:pPr>
          </w:p>
        </w:tc>
      </w:tr>
      <w:tr w:rsidRPr="00C3071B" w:rsidR="00C3071B" w:rsidTr="00495D7D" w14:paraId="2BFF72CC" w14:textId="77777777">
        <w:trPr>
          <w:trHeight w:val="300"/>
        </w:trPr>
        <w:tc>
          <w:tcPr>
            <w:tcW w:w="6804" w:type="dxa"/>
            <w:tcBorders>
              <w:left w:val="nil"/>
              <w:right w:val="nil"/>
            </w:tcBorders>
            <w:noWrap/>
            <w:hideMark/>
          </w:tcPr>
          <w:p w:rsidRPr="00C3071B" w:rsidR="00C3071B" w:rsidP="00C3071B" w:rsidRDefault="00C3071B" w14:paraId="7C507F2E"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(4) </w:t>
            </w:r>
            <w:r w:rsidRPr="00C3071B">
              <w:rPr>
                <w:rFonts w:ascii="Arial" w:hAnsi="Arial" w:cs="Arial"/>
                <w:sz w:val="20"/>
              </w:rPr>
              <w:t>Pārskata sniegšanas valūta</w:t>
            </w:r>
          </w:p>
        </w:tc>
        <w:tc>
          <w:tcPr>
            <w:tcW w:w="2745" w:type="dxa"/>
            <w:tcBorders>
              <w:left w:val="nil"/>
              <w:bottom w:val="single" w:color="auto" w:sz="4" w:space="0"/>
              <w:right w:val="nil"/>
            </w:tcBorders>
            <w:noWrap/>
            <w:hideMark/>
          </w:tcPr>
          <w:p w:rsidRPr="00C3071B" w:rsidR="00C3071B" w:rsidP="00C3071B" w:rsidRDefault="00C3071B" w14:paraId="372BF269" w14:textId="77777777">
            <w:pPr>
              <w:jc w:val="center"/>
              <w:rPr>
                <w:rFonts w:ascii="Arial" w:hAnsi="Arial" w:eastAsia="Times New Roman" w:cs="Arial"/>
                <w:sz w:val="20"/>
                <w:szCs w:val="20"/>
                <w:lang w:eastAsia="en-GB"/>
              </w:rPr>
            </w:pPr>
          </w:p>
        </w:tc>
      </w:tr>
      <w:tr w:rsidRPr="00C3071B" w:rsidR="00C3071B" w:rsidTr="00495D7D" w14:paraId="566477D6" w14:textId="77777777">
        <w:trPr>
          <w:trHeight w:val="300"/>
        </w:trPr>
        <w:tc>
          <w:tcPr>
            <w:tcW w:w="6804" w:type="dxa"/>
            <w:tcBorders>
              <w:left w:val="nil"/>
              <w:right w:val="nil"/>
            </w:tcBorders>
            <w:noWrap/>
            <w:hideMark/>
          </w:tcPr>
          <w:p w:rsidRPr="00C3071B" w:rsidR="00C3071B" w:rsidP="00C3071B" w:rsidRDefault="00C3071B" w14:paraId="01E3CEFC"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(5) </w:t>
            </w:r>
            <w:r w:rsidRPr="00C3071B">
              <w:rPr>
                <w:rFonts w:ascii="Arial" w:hAnsi="Arial" w:cs="Arial"/>
                <w:sz w:val="20"/>
              </w:rPr>
              <w:t>Eiro konvertācijas koeficients</w:t>
            </w:r>
          </w:p>
        </w:tc>
        <w:tc>
          <w:tcPr>
            <w:tcW w:w="2745" w:type="dxa"/>
            <w:tcBorders>
              <w:left w:val="nil"/>
              <w:bottom w:val="single" w:color="auto" w:sz="4" w:space="0"/>
              <w:right w:val="nil"/>
            </w:tcBorders>
            <w:noWrap/>
            <w:hideMark/>
          </w:tcPr>
          <w:p w:rsidRPr="00C3071B" w:rsidR="00C3071B" w:rsidP="00C3071B" w:rsidRDefault="00C3071B" w14:paraId="1B8848FB" w14:textId="77777777">
            <w:pPr>
              <w:rPr>
                <w:rFonts w:ascii="Arial" w:hAnsi="Arial" w:eastAsia="Times New Roman" w:cs="Arial"/>
                <w:sz w:val="20"/>
                <w:szCs w:val="20"/>
              </w:rPr>
            </w:pPr>
            <w:r w:rsidRPr="00C3071B">
              <w:rPr>
                <w:rFonts w:ascii="Arial" w:hAnsi="Arial" w:cs="Arial"/>
                <w:sz w:val="20"/>
              </w:rPr>
              <w:t> </w:t>
            </w:r>
          </w:p>
        </w:tc>
      </w:tr>
      <w:tr w:rsidRPr="00C3071B" w:rsidR="00C3071B" w:rsidTr="00495D7D" w14:paraId="7DDC291A" w14:textId="77777777">
        <w:trPr>
          <w:trHeight w:val="300"/>
        </w:trPr>
        <w:tc>
          <w:tcPr>
            <w:tcW w:w="6804" w:type="dxa"/>
            <w:tcBorders>
              <w:left w:val="nil"/>
              <w:right w:val="nil"/>
            </w:tcBorders>
            <w:noWrap/>
            <w:hideMark/>
          </w:tcPr>
          <w:p w:rsidRPr="00C3071B" w:rsidR="00C3071B" w:rsidP="00C3071B" w:rsidRDefault="00C3071B" w14:paraId="6756357D"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(6) </w:t>
            </w:r>
            <w:r w:rsidRPr="00C3071B">
              <w:rPr>
                <w:rFonts w:ascii="Arial" w:hAnsi="Arial" w:cs="Arial"/>
                <w:sz w:val="20"/>
              </w:rPr>
              <w:t>Pārskata iesniegšanas datums (gggg-mm-dd)</w:t>
            </w:r>
          </w:p>
        </w:tc>
        <w:tc>
          <w:tcPr>
            <w:tcW w:w="2745" w:type="dxa"/>
            <w:tcBorders>
              <w:left w:val="nil"/>
              <w:bottom w:val="single" w:color="auto" w:sz="4" w:space="0"/>
              <w:right w:val="nil"/>
            </w:tcBorders>
            <w:noWrap/>
            <w:hideMark/>
          </w:tcPr>
          <w:p w:rsidRPr="00C3071B" w:rsidR="00C3071B" w:rsidP="00C3071B" w:rsidRDefault="00C3071B" w14:paraId="714EFA10"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2239FB34" w14:textId="77777777">
        <w:trPr>
          <w:trHeight w:val="300"/>
        </w:trPr>
        <w:tc>
          <w:tcPr>
            <w:tcW w:w="6804" w:type="dxa"/>
            <w:tcBorders>
              <w:left w:val="nil"/>
              <w:right w:val="nil"/>
            </w:tcBorders>
            <w:noWrap/>
            <w:hideMark/>
          </w:tcPr>
          <w:p w:rsidRPr="00C3071B" w:rsidR="00C3071B" w:rsidP="00C3071B" w:rsidRDefault="00C3071B" w14:paraId="0221BCDD" w14:textId="77777777">
            <w:pPr>
              <w:ind w:firstLine="200" w:firstLineChars="100"/>
              <w:rPr>
                <w:rFonts w:ascii="Arial" w:hAnsi="Arial" w:eastAsia="Times New Roman" w:cs="Arial"/>
                <w:sz w:val="20"/>
                <w:szCs w:val="20"/>
              </w:rPr>
            </w:pPr>
            <w:r w:rsidRPr="00C3071B">
              <w:rPr>
                <w:rFonts w:ascii="Arial" w:hAnsi="Arial" w:cs="Arial"/>
                <w:sz w:val="20"/>
              </w:rPr>
              <w:t>b. Vispārīga informācija, ko sniedz pārskata sniedzēja iestāde:</w:t>
            </w:r>
          </w:p>
        </w:tc>
        <w:tc>
          <w:tcPr>
            <w:tcW w:w="2745" w:type="dxa"/>
            <w:tcBorders>
              <w:left w:val="nil"/>
              <w:bottom w:val="single" w:color="auto" w:sz="4" w:space="0"/>
              <w:right w:val="nil"/>
            </w:tcBorders>
            <w:noWrap/>
            <w:hideMark/>
          </w:tcPr>
          <w:p w:rsidRPr="00C3071B" w:rsidR="00C3071B" w:rsidP="00C3071B" w:rsidRDefault="00C3071B" w14:paraId="63572BD8" w14:textId="77777777">
            <w:pPr>
              <w:ind w:firstLine="200" w:firstLineChars="100"/>
              <w:rPr>
                <w:rFonts w:ascii="Arial" w:hAnsi="Arial" w:eastAsia="Times New Roman" w:cs="Arial"/>
                <w:sz w:val="20"/>
                <w:szCs w:val="20"/>
              </w:rPr>
            </w:pPr>
            <w:r w:rsidRPr="00C3071B">
              <w:rPr>
                <w:rFonts w:ascii="Arial" w:hAnsi="Arial" w:cs="Arial"/>
                <w:sz w:val="20"/>
              </w:rPr>
              <w:t> </w:t>
            </w:r>
          </w:p>
        </w:tc>
      </w:tr>
      <w:tr w:rsidRPr="00C3071B" w:rsidR="00C3071B" w:rsidTr="00495D7D" w14:paraId="45DC35B4" w14:textId="77777777">
        <w:trPr>
          <w:trHeight w:val="300"/>
        </w:trPr>
        <w:tc>
          <w:tcPr>
            <w:tcW w:w="6804" w:type="dxa"/>
            <w:tcBorders>
              <w:left w:val="nil"/>
              <w:right w:val="nil"/>
            </w:tcBorders>
            <w:noWrap/>
            <w:hideMark/>
          </w:tcPr>
          <w:p w:rsidRPr="00C3071B" w:rsidR="00C3071B" w:rsidP="00C3071B" w:rsidRDefault="00C3071B" w14:paraId="2566BC6E"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Pārskata vienība</w:t>
            </w:r>
          </w:p>
        </w:tc>
        <w:tc>
          <w:tcPr>
            <w:tcW w:w="2745" w:type="dxa"/>
            <w:tcBorders>
              <w:left w:val="nil"/>
              <w:bottom w:val="single" w:color="auto" w:sz="4" w:space="0"/>
              <w:right w:val="nil"/>
            </w:tcBorders>
            <w:noWrap/>
            <w:hideMark/>
          </w:tcPr>
          <w:p w:rsidRPr="00C3071B" w:rsidR="00C3071B" w:rsidP="00C3071B" w:rsidRDefault="00C3071B" w14:paraId="715786D3"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4D76D901" w14:textId="77777777">
        <w:trPr>
          <w:trHeight w:val="300"/>
        </w:trPr>
        <w:tc>
          <w:tcPr>
            <w:tcW w:w="6804" w:type="dxa"/>
            <w:tcBorders>
              <w:left w:val="nil"/>
              <w:right w:val="nil"/>
            </w:tcBorders>
            <w:noWrap/>
            <w:hideMark/>
          </w:tcPr>
          <w:p w:rsidRPr="00C3071B" w:rsidR="00C3071B" w:rsidP="00C3071B" w:rsidRDefault="00C3071B" w14:paraId="2C050758"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Grāmatvedības standarts</w:t>
            </w:r>
          </w:p>
        </w:tc>
        <w:tc>
          <w:tcPr>
            <w:tcW w:w="2745" w:type="dxa"/>
            <w:tcBorders>
              <w:left w:val="nil"/>
              <w:bottom w:val="single" w:color="auto" w:sz="4" w:space="0"/>
              <w:right w:val="nil"/>
            </w:tcBorders>
            <w:hideMark/>
          </w:tcPr>
          <w:p w:rsidRPr="00C3071B" w:rsidR="00C3071B" w:rsidP="00C3071B" w:rsidRDefault="00C3071B" w14:paraId="57F78359"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6F500FB7" w14:textId="77777777">
        <w:trPr>
          <w:trHeight w:val="300"/>
        </w:trPr>
        <w:tc>
          <w:tcPr>
            <w:tcW w:w="6804" w:type="dxa"/>
            <w:tcBorders>
              <w:left w:val="nil"/>
              <w:right w:val="nil"/>
            </w:tcBorders>
            <w:noWrap/>
            <w:hideMark/>
          </w:tcPr>
          <w:p w:rsidRPr="00C3071B" w:rsidR="00C3071B" w:rsidP="00C3071B" w:rsidRDefault="00C3071B" w14:paraId="636FD5E0"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Publicēšanas datums (gggg-mm-dd)</w:t>
            </w:r>
          </w:p>
        </w:tc>
        <w:tc>
          <w:tcPr>
            <w:tcW w:w="2745" w:type="dxa"/>
            <w:tcBorders>
              <w:left w:val="nil"/>
              <w:bottom w:val="single" w:color="auto" w:sz="4" w:space="0"/>
              <w:right w:val="nil"/>
            </w:tcBorders>
            <w:noWrap/>
            <w:hideMark/>
          </w:tcPr>
          <w:p w:rsidRPr="00C3071B" w:rsidR="00C3071B" w:rsidP="00C3071B" w:rsidRDefault="00C3071B" w14:paraId="546CDC66"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3569C040" w14:textId="77777777">
        <w:trPr>
          <w:trHeight w:val="300"/>
        </w:trPr>
        <w:tc>
          <w:tcPr>
            <w:tcW w:w="6804" w:type="dxa"/>
            <w:tcBorders>
              <w:left w:val="nil"/>
              <w:right w:val="nil"/>
            </w:tcBorders>
            <w:noWrap/>
            <w:hideMark/>
          </w:tcPr>
          <w:p w:rsidRPr="00C3071B" w:rsidR="00C3071B" w:rsidP="00C3071B" w:rsidRDefault="00C3071B" w14:paraId="6D77D770"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(4) </w:t>
            </w:r>
            <w:r w:rsidRPr="00C3071B">
              <w:rPr>
                <w:rFonts w:ascii="Arial" w:hAnsi="Arial" w:cs="Arial"/>
                <w:sz w:val="20"/>
              </w:rPr>
              <w:t>Publicēšanas valoda</w:t>
            </w:r>
          </w:p>
        </w:tc>
        <w:tc>
          <w:tcPr>
            <w:tcW w:w="2745" w:type="dxa"/>
            <w:tcBorders>
              <w:left w:val="nil"/>
              <w:bottom w:val="single" w:color="auto" w:sz="4" w:space="0"/>
              <w:right w:val="nil"/>
            </w:tcBorders>
            <w:hideMark/>
          </w:tcPr>
          <w:p w:rsidRPr="00C3071B" w:rsidR="00C3071B" w:rsidP="00C3071B" w:rsidRDefault="00C3071B" w14:paraId="2990DC8C"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2388F5E2" w14:textId="77777777">
        <w:trPr>
          <w:trHeight w:val="300"/>
        </w:trPr>
        <w:tc>
          <w:tcPr>
            <w:tcW w:w="6804" w:type="dxa"/>
            <w:tcBorders>
              <w:left w:val="nil"/>
              <w:bottom w:val="single" w:color="auto" w:sz="4" w:space="0"/>
              <w:right w:val="nil"/>
            </w:tcBorders>
            <w:noWrap/>
            <w:hideMark/>
          </w:tcPr>
          <w:p w:rsidRPr="00C3071B" w:rsidR="00C3071B" w:rsidP="00C3071B" w:rsidRDefault="00C3071B" w14:paraId="3501257A"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(5) </w:t>
            </w:r>
            <w:r w:rsidRPr="00C3071B">
              <w:rPr>
                <w:rFonts w:ascii="Arial" w:hAnsi="Arial" w:cs="Arial"/>
                <w:sz w:val="20"/>
              </w:rPr>
              <w:t>Publicēšanas tīmekļa vietnes adrese</w:t>
            </w:r>
          </w:p>
        </w:tc>
        <w:tc>
          <w:tcPr>
            <w:tcW w:w="2745" w:type="dxa"/>
            <w:tcBorders>
              <w:left w:val="nil"/>
              <w:bottom w:val="single" w:color="auto" w:sz="4" w:space="0"/>
              <w:right w:val="nil"/>
            </w:tcBorders>
            <w:noWrap/>
            <w:hideMark/>
          </w:tcPr>
          <w:p w:rsidRPr="00C3071B" w:rsidR="00C3071B" w:rsidP="00C3071B" w:rsidRDefault="00C3071B" w14:paraId="08078514" w14:textId="77777777">
            <w:pPr>
              <w:jc w:val="center"/>
              <w:rPr>
                <w:rFonts w:ascii="Arial" w:hAnsi="Arial" w:eastAsia="Times New Roman" w:cs="Arial"/>
                <w:color w:val="0000FF"/>
                <w:sz w:val="20"/>
                <w:szCs w:val="20"/>
                <w:u w:val="single"/>
                <w:lang w:eastAsia="en-GB"/>
              </w:rPr>
            </w:pPr>
          </w:p>
        </w:tc>
      </w:tr>
      <w:tr w:rsidRPr="00C3071B" w:rsidR="00C3071B" w:rsidTr="00495D7D" w14:paraId="2E3AC8CD" w14:textId="77777777">
        <w:trPr>
          <w:trHeight w:val="300"/>
        </w:trPr>
        <w:tc>
          <w:tcPr>
            <w:tcW w:w="6804" w:type="dxa"/>
            <w:tcBorders>
              <w:left w:val="nil"/>
              <w:bottom w:val="single" w:color="auto" w:sz="4" w:space="0"/>
              <w:right w:val="nil"/>
            </w:tcBorders>
            <w:noWrap/>
            <w:hideMark/>
          </w:tcPr>
          <w:p w:rsidRPr="00C3071B" w:rsidR="00C3071B" w:rsidP="00C3071B" w:rsidRDefault="00C3071B" w14:paraId="584D999F"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(6) </w:t>
            </w:r>
            <w:r w:rsidRPr="00C3071B">
              <w:rPr>
                <w:rFonts w:ascii="Arial" w:hAnsi="Arial" w:cs="Arial"/>
                <w:sz w:val="20"/>
              </w:rPr>
              <w:t>LEI kods</w:t>
            </w:r>
          </w:p>
        </w:tc>
        <w:tc>
          <w:tcPr>
            <w:tcW w:w="2745" w:type="dxa"/>
            <w:tcBorders>
              <w:left w:val="nil"/>
              <w:bottom w:val="single" w:color="auto" w:sz="4" w:space="0"/>
              <w:right w:val="nil"/>
            </w:tcBorders>
            <w:hideMark/>
          </w:tcPr>
          <w:p w:rsidRPr="00C3071B" w:rsidR="00C3071B" w:rsidP="00C3071B" w:rsidRDefault="00C3071B" w14:paraId="340B3D48" w14:textId="77777777">
            <w:pPr>
              <w:jc w:val="center"/>
              <w:rPr>
                <w:rFonts w:ascii="Arial" w:hAnsi="Arial" w:eastAsia="Times New Roman" w:cs="Arial"/>
                <w:sz w:val="20"/>
                <w:szCs w:val="20"/>
              </w:rPr>
            </w:pPr>
            <w:r w:rsidRPr="00C3071B">
              <w:rPr>
                <w:rFonts w:ascii="Arial" w:hAnsi="Arial" w:cs="Arial"/>
                <w:sz w:val="20"/>
              </w:rPr>
              <w:t> </w:t>
            </w:r>
          </w:p>
        </w:tc>
      </w:tr>
      <w:tr w:rsidRPr="00C3071B" w:rsidR="00C3071B" w:rsidTr="00495D7D" w14:paraId="5EF5E939" w14:textId="77777777">
        <w:trPr>
          <w:trHeight w:val="300"/>
        </w:trPr>
        <w:tc>
          <w:tcPr>
            <w:tcW w:w="6804" w:type="dxa"/>
            <w:tcBorders>
              <w:left w:val="nil"/>
              <w:bottom w:val="nil"/>
              <w:right w:val="nil"/>
            </w:tcBorders>
            <w:noWrap/>
          </w:tcPr>
          <w:p w:rsidRPr="00C3071B" w:rsidR="00C3071B" w:rsidP="00C3071B" w:rsidRDefault="00C3071B" w14:paraId="20362B8E"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C3071B" w:rsidR="00C3071B" w:rsidP="00C3071B" w:rsidRDefault="00C3071B" w14:paraId="59319A36" w14:textId="77777777">
            <w:pPr>
              <w:jc w:val="center"/>
              <w:rPr>
                <w:rFonts w:ascii="Arial" w:hAnsi="Arial" w:eastAsia="Times New Roman" w:cs="Arial"/>
                <w:sz w:val="20"/>
                <w:szCs w:val="20"/>
                <w:lang w:eastAsia="en-GB"/>
              </w:rPr>
            </w:pPr>
          </w:p>
        </w:tc>
      </w:tr>
      <w:tr w:rsidRPr="00C3071B" w:rsidR="00C3071B" w:rsidTr="00495D7D" w14:paraId="3E113480" w14:textId="77777777">
        <w:trPr>
          <w:trHeight w:val="300"/>
        </w:trPr>
        <w:tc>
          <w:tcPr>
            <w:tcW w:w="6804" w:type="dxa"/>
            <w:tcBorders>
              <w:top w:val="nil"/>
              <w:left w:val="nil"/>
              <w:bottom w:val="nil"/>
              <w:right w:val="nil"/>
            </w:tcBorders>
            <w:noWrap/>
          </w:tcPr>
          <w:p w:rsidRPr="00C3071B" w:rsidR="00C3071B" w:rsidP="00C3071B" w:rsidRDefault="00C3071B" w14:paraId="1B012738" w14:textId="77777777">
            <w:pPr>
              <w:keepNext/>
              <w:keepLines/>
              <w:spacing w:before="47"/>
              <w:outlineLvl w:val="5"/>
              <w:rPr>
                <w:rFonts w:ascii="Arial" w:hAnsi="Arial" w:eastAsia="Times New Roman" w:cs="Arial"/>
                <w:i/>
                <w:iCs/>
                <w:caps/>
                <w:color w:val="1F3864"/>
                <w:sz w:val="20"/>
                <w:szCs w:val="20"/>
              </w:rPr>
            </w:pPr>
            <w:r w:rsidRPr="00C3071B">
              <w:rPr>
                <w:rFonts w:ascii="Calibri Light" w:hAnsi="Calibri Light" w:cs="Arial"/>
                <w:b/>
                <w:i/>
                <w:caps/>
              </w:rPr>
              <w:t>Lieluma rādītāji</w:t>
            </w:r>
          </w:p>
        </w:tc>
        <w:tc>
          <w:tcPr>
            <w:tcW w:w="2745" w:type="dxa"/>
            <w:tcBorders>
              <w:top w:val="nil"/>
              <w:left w:val="nil"/>
              <w:bottom w:val="nil"/>
              <w:right w:val="nil"/>
            </w:tcBorders>
          </w:tcPr>
          <w:p w:rsidRPr="00C3071B" w:rsidR="00C3071B" w:rsidP="00C3071B" w:rsidRDefault="00C3071B" w14:paraId="164A5E52" w14:textId="77777777">
            <w:pPr>
              <w:jc w:val="center"/>
              <w:rPr>
                <w:rFonts w:ascii="Arial" w:hAnsi="Arial" w:eastAsia="Times New Roman" w:cs="Arial"/>
                <w:sz w:val="20"/>
                <w:szCs w:val="20"/>
                <w:lang w:eastAsia="en-GB"/>
              </w:rPr>
            </w:pPr>
          </w:p>
        </w:tc>
      </w:tr>
      <w:tr w:rsidRPr="00C3071B" w:rsidR="00C3071B" w:rsidTr="00495D7D" w14:paraId="27AC1A91" w14:textId="77777777">
        <w:trPr>
          <w:trHeight w:val="300"/>
        </w:trPr>
        <w:tc>
          <w:tcPr>
            <w:tcW w:w="6804" w:type="dxa"/>
            <w:tcBorders>
              <w:top w:val="nil"/>
              <w:left w:val="nil"/>
              <w:bottom w:val="single" w:color="auto" w:sz="4" w:space="0"/>
              <w:right w:val="nil"/>
            </w:tcBorders>
            <w:noWrap/>
          </w:tcPr>
          <w:p w:rsidRPr="00C3071B" w:rsidR="00C3071B" w:rsidP="00C3071B" w:rsidRDefault="00C3071B" w14:paraId="3517DBA2"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C3071B" w:rsidR="00C3071B" w:rsidP="00C3071B" w:rsidRDefault="00C3071B" w14:paraId="6F51941D" w14:textId="77777777">
            <w:pPr>
              <w:jc w:val="center"/>
              <w:rPr>
                <w:rFonts w:ascii="Arial" w:hAnsi="Arial" w:eastAsia="Times New Roman" w:cs="Arial"/>
                <w:sz w:val="20"/>
                <w:szCs w:val="20"/>
                <w:lang w:eastAsia="en-GB"/>
              </w:rPr>
            </w:pPr>
          </w:p>
        </w:tc>
      </w:tr>
      <w:tr w:rsidRPr="00C3071B" w:rsidR="00C3071B" w:rsidTr="00495D7D" w14:paraId="1BAC3132" w14:textId="77777777">
        <w:trPr>
          <w:trHeight w:val="300"/>
        </w:trPr>
        <w:tc>
          <w:tcPr>
            <w:tcW w:w="6804" w:type="dxa"/>
            <w:tcBorders>
              <w:left w:val="nil"/>
              <w:right w:val="nil"/>
            </w:tcBorders>
            <w:noWrap/>
          </w:tcPr>
          <w:p w:rsidRPr="00C3071B" w:rsidR="00C3071B" w:rsidP="00C3071B" w:rsidRDefault="00C3071B" w14:paraId="1083F43C" w14:textId="77777777">
            <w:pPr>
              <w:rPr>
                <w:rFonts w:ascii="Arial" w:hAnsi="Arial" w:eastAsia="Times New Roman" w:cs="Arial"/>
                <w:sz w:val="20"/>
                <w:szCs w:val="20"/>
              </w:rPr>
            </w:pPr>
            <w:r w:rsidRPr="00C3071B">
              <w:rPr>
                <w:rFonts w:ascii="Arial" w:hAnsi="Arial" w:cs="Arial"/>
                <w:b/>
                <w:sz w:val="20"/>
              </w:rPr>
              <w:t>2. sadaļa. Kopējie riska darījumi</w:t>
            </w:r>
          </w:p>
        </w:tc>
        <w:tc>
          <w:tcPr>
            <w:tcW w:w="2745" w:type="dxa"/>
            <w:tcBorders>
              <w:left w:val="nil"/>
              <w:right w:val="nil"/>
            </w:tcBorders>
            <w:noWrap/>
          </w:tcPr>
          <w:p w:rsidRPr="00C3071B" w:rsidR="00C3071B" w:rsidP="00C3071B" w:rsidRDefault="00C3071B" w14:paraId="313D672F" w14:textId="77777777">
            <w:pPr>
              <w:ind w:firstLine="201" w:firstLineChars="100"/>
              <w:jc w:val="center"/>
              <w:rPr>
                <w:rFonts w:ascii="Arial" w:hAnsi="Arial" w:eastAsia="Times New Roman" w:cs="Arial"/>
                <w:sz w:val="20"/>
                <w:szCs w:val="20"/>
              </w:rPr>
            </w:pPr>
            <w:r w:rsidRPr="00C3071B">
              <w:rPr>
                <w:rFonts w:ascii="Arial" w:hAnsi="Arial" w:cs="Arial"/>
                <w:b/>
                <w:sz w:val="20"/>
              </w:rPr>
              <w:t>Summa</w:t>
            </w:r>
          </w:p>
        </w:tc>
      </w:tr>
      <w:tr w:rsidRPr="00C3071B" w:rsidR="00C3071B" w:rsidTr="00495D7D" w14:paraId="0C9F280A" w14:textId="77777777">
        <w:trPr>
          <w:trHeight w:val="300"/>
        </w:trPr>
        <w:tc>
          <w:tcPr>
            <w:tcW w:w="6804" w:type="dxa"/>
            <w:tcBorders>
              <w:left w:val="nil"/>
              <w:right w:val="nil"/>
            </w:tcBorders>
            <w:noWrap/>
            <w:hideMark/>
          </w:tcPr>
          <w:p w:rsidRPr="00C3071B" w:rsidR="00C3071B" w:rsidP="00C3071B" w:rsidRDefault="00C3071B" w14:paraId="37E80AB4" w14:textId="77777777">
            <w:pPr>
              <w:ind w:firstLine="200" w:firstLineChars="100"/>
              <w:rPr>
                <w:rFonts w:ascii="Arial" w:hAnsi="Arial" w:eastAsia="Times New Roman" w:cs="Arial"/>
                <w:sz w:val="20"/>
                <w:szCs w:val="20"/>
              </w:rPr>
            </w:pPr>
            <w:r w:rsidRPr="00C3071B">
              <w:rPr>
                <w:rFonts w:ascii="Arial" w:hAnsi="Arial" w:cs="Arial"/>
                <w:sz w:val="20"/>
              </w:rPr>
              <w:t>a) Atvasinātie instrumenti</w:t>
            </w:r>
          </w:p>
        </w:tc>
        <w:tc>
          <w:tcPr>
            <w:tcW w:w="2745" w:type="dxa"/>
            <w:tcBorders>
              <w:left w:val="nil"/>
              <w:right w:val="nil"/>
            </w:tcBorders>
            <w:noWrap/>
            <w:hideMark/>
          </w:tcPr>
          <w:p w:rsidRPr="00C3071B" w:rsidR="00C3071B" w:rsidP="00C3071B" w:rsidRDefault="00C3071B" w14:paraId="5BEF766D" w14:textId="77777777">
            <w:pPr>
              <w:ind w:firstLine="200" w:firstLineChars="100"/>
              <w:rPr>
                <w:rFonts w:ascii="Arial" w:hAnsi="Arial" w:eastAsia="Times New Roman" w:cs="Arial"/>
                <w:sz w:val="20"/>
                <w:szCs w:val="20"/>
              </w:rPr>
            </w:pPr>
            <w:r w:rsidRPr="00C3071B">
              <w:rPr>
                <w:rFonts w:ascii="Arial" w:hAnsi="Arial" w:cs="Arial"/>
                <w:sz w:val="20"/>
              </w:rPr>
              <w:t> </w:t>
            </w:r>
          </w:p>
        </w:tc>
      </w:tr>
      <w:tr w:rsidRPr="00C3071B" w:rsidR="00C3071B" w:rsidTr="00495D7D" w14:paraId="3DEB36C5" w14:textId="77777777">
        <w:trPr>
          <w:trHeight w:val="300"/>
        </w:trPr>
        <w:tc>
          <w:tcPr>
            <w:tcW w:w="6804" w:type="dxa"/>
            <w:tcBorders>
              <w:left w:val="nil"/>
              <w:right w:val="nil"/>
            </w:tcBorders>
            <w:noWrap/>
            <w:hideMark/>
          </w:tcPr>
          <w:p w:rsidRPr="00C3071B" w:rsidR="00C3071B" w:rsidP="00C3071B" w:rsidRDefault="00C3071B" w14:paraId="50CFC573"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Darījuma partneru no atvasināto instrumentu līgumiem izrietošu riska darījumu vērtības</w:t>
            </w:r>
          </w:p>
        </w:tc>
        <w:tc>
          <w:tcPr>
            <w:tcW w:w="2745" w:type="dxa"/>
            <w:tcBorders>
              <w:left w:val="nil"/>
              <w:right w:val="nil"/>
            </w:tcBorders>
            <w:noWrap/>
            <w:hideMark/>
          </w:tcPr>
          <w:p w:rsidRPr="00C3071B" w:rsidR="00C3071B" w:rsidP="00C3071B" w:rsidRDefault="00C3071B" w14:paraId="4DD6A0FF"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B3CCF05" w14:textId="77777777">
        <w:trPr>
          <w:trHeight w:val="300"/>
        </w:trPr>
        <w:tc>
          <w:tcPr>
            <w:tcW w:w="6804" w:type="dxa"/>
            <w:tcBorders>
              <w:left w:val="nil"/>
              <w:right w:val="nil"/>
            </w:tcBorders>
            <w:noWrap/>
            <w:hideMark/>
          </w:tcPr>
          <w:p w:rsidRPr="00C3071B" w:rsidR="00C3071B" w:rsidP="00C3071B" w:rsidRDefault="00C3071B" w14:paraId="03A0FF22"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Maksimālā nosacītā kredītu atvasināto instrumentu summa</w:t>
            </w:r>
          </w:p>
        </w:tc>
        <w:tc>
          <w:tcPr>
            <w:tcW w:w="2745" w:type="dxa"/>
            <w:tcBorders>
              <w:left w:val="nil"/>
              <w:right w:val="nil"/>
            </w:tcBorders>
            <w:noWrap/>
            <w:hideMark/>
          </w:tcPr>
          <w:p w:rsidRPr="00C3071B" w:rsidR="00C3071B" w:rsidP="00C3071B" w:rsidRDefault="00C3071B" w14:paraId="52686D7A"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95EF123" w14:textId="77777777">
        <w:trPr>
          <w:trHeight w:val="300"/>
        </w:trPr>
        <w:tc>
          <w:tcPr>
            <w:tcW w:w="6804" w:type="dxa"/>
            <w:tcBorders>
              <w:left w:val="nil"/>
              <w:right w:val="nil"/>
            </w:tcBorders>
            <w:noWrap/>
            <w:hideMark/>
          </w:tcPr>
          <w:p w:rsidRPr="00C3071B" w:rsidR="00C3071B" w:rsidP="00C3071B" w:rsidRDefault="00C3071B" w14:paraId="36DEA34C"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Potenciālie nākotnes atvasināto instrumentu riska darījumi</w:t>
            </w:r>
          </w:p>
        </w:tc>
        <w:tc>
          <w:tcPr>
            <w:tcW w:w="2745" w:type="dxa"/>
            <w:tcBorders>
              <w:left w:val="nil"/>
              <w:right w:val="nil"/>
            </w:tcBorders>
            <w:noWrap/>
            <w:hideMark/>
          </w:tcPr>
          <w:p w:rsidRPr="00C3071B" w:rsidR="00C3071B" w:rsidP="00C3071B" w:rsidRDefault="00C3071B" w14:paraId="162B6218"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D9A882E" w14:textId="77777777">
        <w:trPr>
          <w:trHeight w:val="300"/>
        </w:trPr>
        <w:tc>
          <w:tcPr>
            <w:tcW w:w="6804" w:type="dxa"/>
            <w:tcBorders>
              <w:left w:val="nil"/>
              <w:right w:val="nil"/>
            </w:tcBorders>
            <w:noWrap/>
            <w:hideMark/>
          </w:tcPr>
          <w:p w:rsidRPr="00C3071B" w:rsidR="00C3071B" w:rsidP="00C3071B" w:rsidRDefault="00C3071B" w14:paraId="6A558AF4" w14:textId="77777777">
            <w:pPr>
              <w:ind w:firstLine="200" w:firstLineChars="100"/>
              <w:rPr>
                <w:rFonts w:ascii="Arial" w:hAnsi="Arial" w:eastAsia="Times New Roman" w:cs="Arial"/>
                <w:sz w:val="20"/>
                <w:szCs w:val="20"/>
              </w:rPr>
            </w:pPr>
            <w:r w:rsidRPr="00C3071B">
              <w:rPr>
                <w:rFonts w:ascii="Arial" w:hAnsi="Arial" w:cs="Arial"/>
                <w:sz w:val="20"/>
              </w:rPr>
              <w:t>b) Vērtspapīru finansēšanas darījumi (VFD)</w:t>
            </w:r>
          </w:p>
        </w:tc>
        <w:tc>
          <w:tcPr>
            <w:tcW w:w="2745" w:type="dxa"/>
            <w:tcBorders>
              <w:left w:val="nil"/>
              <w:right w:val="nil"/>
            </w:tcBorders>
            <w:noWrap/>
            <w:hideMark/>
          </w:tcPr>
          <w:p w:rsidRPr="00C3071B" w:rsidR="00C3071B" w:rsidP="00C3071B" w:rsidRDefault="00C3071B" w14:paraId="6EC0982A" w14:textId="77777777">
            <w:pPr>
              <w:ind w:firstLine="200" w:firstLineChars="100"/>
              <w:rPr>
                <w:rFonts w:ascii="Arial" w:hAnsi="Arial" w:eastAsia="Times New Roman" w:cs="Arial"/>
                <w:sz w:val="20"/>
                <w:szCs w:val="20"/>
              </w:rPr>
            </w:pPr>
            <w:r w:rsidRPr="00C3071B">
              <w:rPr>
                <w:rFonts w:ascii="Arial" w:hAnsi="Arial" w:cs="Arial"/>
                <w:sz w:val="20"/>
              </w:rPr>
              <w:t> </w:t>
            </w:r>
          </w:p>
        </w:tc>
      </w:tr>
      <w:tr w:rsidRPr="00C3071B" w:rsidR="00C3071B" w:rsidTr="00495D7D" w14:paraId="3F7F6D55" w14:textId="77777777">
        <w:trPr>
          <w:trHeight w:val="300"/>
        </w:trPr>
        <w:tc>
          <w:tcPr>
            <w:tcW w:w="6804" w:type="dxa"/>
            <w:tcBorders>
              <w:left w:val="nil"/>
              <w:right w:val="nil"/>
            </w:tcBorders>
            <w:noWrap/>
            <w:hideMark/>
          </w:tcPr>
          <w:p w:rsidRPr="00C3071B" w:rsidR="00C3071B" w:rsidP="00C3071B" w:rsidRDefault="00C3071B" w14:paraId="5C672F8A"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VFD koriģētā bruto vērtība</w:t>
            </w:r>
          </w:p>
        </w:tc>
        <w:tc>
          <w:tcPr>
            <w:tcW w:w="2745" w:type="dxa"/>
            <w:tcBorders>
              <w:left w:val="nil"/>
              <w:right w:val="nil"/>
            </w:tcBorders>
            <w:noWrap/>
            <w:hideMark/>
          </w:tcPr>
          <w:p w:rsidRPr="00C3071B" w:rsidR="00C3071B" w:rsidP="00C3071B" w:rsidRDefault="00C3071B" w14:paraId="7D97B17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D1D3976" w14:textId="77777777">
        <w:trPr>
          <w:trHeight w:val="300"/>
        </w:trPr>
        <w:tc>
          <w:tcPr>
            <w:tcW w:w="6804" w:type="dxa"/>
            <w:tcBorders>
              <w:left w:val="nil"/>
              <w:right w:val="nil"/>
            </w:tcBorders>
            <w:noWrap/>
            <w:hideMark/>
          </w:tcPr>
          <w:p w:rsidRPr="00C3071B" w:rsidR="00C3071B" w:rsidP="00C3071B" w:rsidRDefault="00C3071B" w14:paraId="169226BB"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Darījuma partnera vērtspapīru finansēšanas riska darījumi</w:t>
            </w:r>
          </w:p>
        </w:tc>
        <w:tc>
          <w:tcPr>
            <w:tcW w:w="2745" w:type="dxa"/>
            <w:tcBorders>
              <w:left w:val="nil"/>
              <w:right w:val="nil"/>
            </w:tcBorders>
            <w:noWrap/>
            <w:hideMark/>
          </w:tcPr>
          <w:p w:rsidRPr="00C3071B" w:rsidR="00C3071B" w:rsidP="00C3071B" w:rsidRDefault="00C3071B" w14:paraId="7FE48708"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3272F56" w14:textId="77777777">
        <w:trPr>
          <w:trHeight w:val="300"/>
        </w:trPr>
        <w:tc>
          <w:tcPr>
            <w:tcW w:w="6804" w:type="dxa"/>
            <w:tcBorders>
              <w:left w:val="nil"/>
              <w:right w:val="nil"/>
            </w:tcBorders>
            <w:noWrap/>
            <w:hideMark/>
          </w:tcPr>
          <w:p w:rsidRPr="00C3071B" w:rsidR="00C3071B" w:rsidP="00C3071B" w:rsidRDefault="00C3071B" w14:paraId="653251EF" w14:textId="77777777">
            <w:pPr>
              <w:ind w:firstLine="200" w:firstLineChars="100"/>
              <w:rPr>
                <w:rFonts w:ascii="Arial" w:hAnsi="Arial" w:eastAsia="Times New Roman" w:cs="Arial"/>
                <w:sz w:val="20"/>
                <w:szCs w:val="20"/>
              </w:rPr>
            </w:pPr>
            <w:r w:rsidRPr="00C3071B">
              <w:rPr>
                <w:rFonts w:ascii="Arial" w:hAnsi="Arial" w:cs="Arial"/>
                <w:sz w:val="20"/>
              </w:rPr>
              <w:t>c) Citi aktīvi</w:t>
            </w:r>
          </w:p>
        </w:tc>
        <w:tc>
          <w:tcPr>
            <w:tcW w:w="2745" w:type="dxa"/>
            <w:tcBorders>
              <w:left w:val="nil"/>
              <w:right w:val="nil"/>
            </w:tcBorders>
            <w:noWrap/>
            <w:hideMark/>
          </w:tcPr>
          <w:p w:rsidRPr="00C3071B" w:rsidR="00C3071B" w:rsidP="00C3071B" w:rsidRDefault="00C3071B" w14:paraId="567E379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AB169AE" w14:textId="77777777">
        <w:trPr>
          <w:trHeight w:val="300"/>
        </w:trPr>
        <w:tc>
          <w:tcPr>
            <w:tcW w:w="6804" w:type="dxa"/>
            <w:tcBorders>
              <w:left w:val="nil"/>
              <w:right w:val="nil"/>
            </w:tcBorders>
            <w:noWrap/>
            <w:hideMark/>
          </w:tcPr>
          <w:p w:rsidRPr="00C3071B" w:rsidR="00C3071B" w:rsidP="00C3071B" w:rsidRDefault="00C3071B" w14:paraId="514FD8C6" w14:textId="77777777">
            <w:pPr>
              <w:ind w:firstLine="200" w:firstLineChars="100"/>
              <w:rPr>
                <w:rFonts w:ascii="Arial" w:hAnsi="Arial" w:eastAsia="Times New Roman" w:cs="Arial"/>
                <w:sz w:val="20"/>
                <w:szCs w:val="20"/>
              </w:rPr>
            </w:pPr>
            <w:r w:rsidRPr="00C3071B">
              <w:rPr>
                <w:rFonts w:ascii="Arial" w:hAnsi="Arial" w:cs="Arial"/>
                <w:sz w:val="20"/>
              </w:rPr>
              <w:t>d) Ārpusbilances posteņu nosacītā bruto summa</w:t>
            </w:r>
          </w:p>
        </w:tc>
        <w:tc>
          <w:tcPr>
            <w:tcW w:w="2745" w:type="dxa"/>
            <w:tcBorders>
              <w:left w:val="nil"/>
              <w:right w:val="nil"/>
            </w:tcBorders>
            <w:noWrap/>
            <w:hideMark/>
          </w:tcPr>
          <w:p w:rsidRPr="00C3071B" w:rsidR="00C3071B" w:rsidP="00C3071B" w:rsidRDefault="00C3071B" w14:paraId="7F3BF84C" w14:textId="77777777">
            <w:pPr>
              <w:ind w:firstLine="200" w:firstLineChars="100"/>
              <w:rPr>
                <w:rFonts w:ascii="Arial" w:hAnsi="Arial" w:eastAsia="Times New Roman" w:cs="Arial"/>
                <w:sz w:val="20"/>
                <w:szCs w:val="20"/>
              </w:rPr>
            </w:pPr>
            <w:r w:rsidRPr="00C3071B">
              <w:rPr>
                <w:rFonts w:ascii="Arial" w:hAnsi="Arial" w:cs="Arial"/>
                <w:sz w:val="20"/>
              </w:rPr>
              <w:t> </w:t>
            </w:r>
          </w:p>
        </w:tc>
      </w:tr>
      <w:tr w:rsidRPr="00C3071B" w:rsidR="00C3071B" w:rsidTr="00495D7D" w14:paraId="40F1BF7C" w14:textId="77777777">
        <w:trPr>
          <w:trHeight w:val="300"/>
        </w:trPr>
        <w:tc>
          <w:tcPr>
            <w:tcW w:w="6804" w:type="dxa"/>
            <w:tcBorders>
              <w:left w:val="nil"/>
              <w:right w:val="nil"/>
            </w:tcBorders>
            <w:noWrap/>
            <w:hideMark/>
          </w:tcPr>
          <w:p w:rsidRPr="00C3071B" w:rsidR="00C3071B" w:rsidP="00C3071B" w:rsidRDefault="00C3071B" w14:paraId="43300B9B"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Posteņi, kuriem piemērojams 0 % kredīta konvertācijas faktors (</w:t>
            </w:r>
            <w:r w:rsidRPr="00C3071B">
              <w:rPr>
                <w:rFonts w:ascii="Arial" w:hAnsi="Arial" w:cs="Arial"/>
                <w:i/>
                <w:iCs/>
                <w:sz w:val="20"/>
              </w:rPr>
              <w:t>CCF</w:t>
            </w:r>
            <w:r w:rsidRPr="00C3071B">
              <w:rPr>
                <w:rFonts w:ascii="Arial" w:hAnsi="Arial" w:cs="Arial"/>
                <w:sz w:val="20"/>
              </w:rPr>
              <w:t>)</w:t>
            </w:r>
          </w:p>
        </w:tc>
        <w:tc>
          <w:tcPr>
            <w:tcW w:w="2745" w:type="dxa"/>
            <w:tcBorders>
              <w:left w:val="nil"/>
              <w:right w:val="nil"/>
            </w:tcBorders>
            <w:noWrap/>
            <w:hideMark/>
          </w:tcPr>
          <w:p w:rsidRPr="00C3071B" w:rsidR="00C3071B" w:rsidP="00C3071B" w:rsidRDefault="00C3071B" w14:paraId="253A198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D99BD17" w14:textId="77777777">
        <w:trPr>
          <w:trHeight w:val="300"/>
        </w:trPr>
        <w:tc>
          <w:tcPr>
            <w:tcW w:w="6804" w:type="dxa"/>
            <w:tcBorders>
              <w:left w:val="nil"/>
              <w:right w:val="nil"/>
            </w:tcBorders>
            <w:noWrap/>
            <w:hideMark/>
          </w:tcPr>
          <w:p w:rsidRPr="00C3071B" w:rsidR="00C3071B" w:rsidP="00C3071B" w:rsidRDefault="00C3071B" w14:paraId="154BCC6B"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Posteņi, kuriem piemērojams 20 % kredīta konvertācijas faktors</w:t>
            </w:r>
          </w:p>
        </w:tc>
        <w:tc>
          <w:tcPr>
            <w:tcW w:w="2745" w:type="dxa"/>
            <w:tcBorders>
              <w:left w:val="nil"/>
              <w:right w:val="nil"/>
            </w:tcBorders>
            <w:noWrap/>
            <w:hideMark/>
          </w:tcPr>
          <w:p w:rsidRPr="00C3071B" w:rsidR="00C3071B" w:rsidP="00C3071B" w:rsidRDefault="00C3071B" w14:paraId="17EDEC9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8D0E3FC" w14:textId="77777777">
        <w:trPr>
          <w:trHeight w:val="300"/>
        </w:trPr>
        <w:tc>
          <w:tcPr>
            <w:tcW w:w="6804" w:type="dxa"/>
            <w:tcBorders>
              <w:left w:val="nil"/>
              <w:right w:val="nil"/>
            </w:tcBorders>
            <w:noWrap/>
            <w:hideMark/>
          </w:tcPr>
          <w:p w:rsidRPr="00C3071B" w:rsidR="00C3071B" w:rsidP="00C3071B" w:rsidRDefault="00C3071B" w14:paraId="2DF7CE3C"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Posteņi, kuriem piemērojams 50 % kredīta konvertācijas faktors</w:t>
            </w:r>
          </w:p>
        </w:tc>
        <w:tc>
          <w:tcPr>
            <w:tcW w:w="2745" w:type="dxa"/>
            <w:tcBorders>
              <w:left w:val="nil"/>
              <w:right w:val="nil"/>
            </w:tcBorders>
            <w:noWrap/>
            <w:hideMark/>
          </w:tcPr>
          <w:p w:rsidRPr="00C3071B" w:rsidR="00C3071B" w:rsidP="00C3071B" w:rsidRDefault="00C3071B" w14:paraId="16AF9417"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E3EC4F2" w14:textId="77777777">
        <w:trPr>
          <w:trHeight w:val="300"/>
        </w:trPr>
        <w:tc>
          <w:tcPr>
            <w:tcW w:w="6804" w:type="dxa"/>
            <w:tcBorders>
              <w:left w:val="nil"/>
              <w:right w:val="nil"/>
            </w:tcBorders>
            <w:noWrap/>
            <w:hideMark/>
          </w:tcPr>
          <w:p w:rsidRPr="00C3071B" w:rsidR="00C3071B" w:rsidP="00C3071B" w:rsidRDefault="00C3071B" w14:paraId="30C72C24"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(4) </w:t>
            </w:r>
            <w:r w:rsidRPr="00C3071B">
              <w:rPr>
                <w:rFonts w:ascii="Arial" w:hAnsi="Arial" w:cs="Arial"/>
                <w:sz w:val="20"/>
              </w:rPr>
              <w:t>Posteņi, kuriem piemērojams 100 % kredīta konvertācijas faktors</w:t>
            </w:r>
          </w:p>
        </w:tc>
        <w:tc>
          <w:tcPr>
            <w:tcW w:w="2745" w:type="dxa"/>
            <w:tcBorders>
              <w:left w:val="nil"/>
              <w:right w:val="nil"/>
            </w:tcBorders>
            <w:noWrap/>
            <w:hideMark/>
          </w:tcPr>
          <w:p w:rsidRPr="00C3071B" w:rsidR="00C3071B" w:rsidP="00C3071B" w:rsidRDefault="00C3071B" w14:paraId="63F522A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D8D61FF" w14:textId="77777777">
        <w:trPr>
          <w:trHeight w:val="300"/>
        </w:trPr>
        <w:tc>
          <w:tcPr>
            <w:tcW w:w="6804" w:type="dxa"/>
            <w:tcBorders>
              <w:left w:val="nil"/>
              <w:right w:val="nil"/>
            </w:tcBorders>
            <w:noWrap/>
            <w:hideMark/>
          </w:tcPr>
          <w:p w:rsidRPr="00C3071B" w:rsidR="00C3071B" w:rsidP="00C3071B" w:rsidRDefault="00C3071B" w14:paraId="591649CF" w14:textId="77777777">
            <w:pPr>
              <w:ind w:firstLine="200" w:firstLineChars="100"/>
              <w:rPr>
                <w:rFonts w:ascii="Arial" w:hAnsi="Arial" w:eastAsia="Times New Roman" w:cs="Arial"/>
                <w:sz w:val="20"/>
                <w:szCs w:val="20"/>
              </w:rPr>
            </w:pPr>
            <w:r w:rsidRPr="00C3071B">
              <w:rPr>
                <w:rFonts w:ascii="Arial" w:hAnsi="Arial" w:cs="Arial"/>
                <w:sz w:val="20"/>
              </w:rPr>
              <w:t>e) Normatīvajos aktos noteiktās korekcijas</w:t>
            </w:r>
          </w:p>
        </w:tc>
        <w:tc>
          <w:tcPr>
            <w:tcW w:w="2745" w:type="dxa"/>
            <w:tcBorders>
              <w:left w:val="nil"/>
              <w:right w:val="nil"/>
            </w:tcBorders>
            <w:noWrap/>
            <w:hideMark/>
          </w:tcPr>
          <w:p w:rsidRPr="00C3071B" w:rsidR="00C3071B" w:rsidP="00C3071B" w:rsidRDefault="00C3071B" w14:paraId="471A787E"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2E5AC99" w14:textId="77777777">
        <w:trPr>
          <w:trHeight w:val="300"/>
        </w:trPr>
        <w:tc>
          <w:tcPr>
            <w:tcW w:w="6804" w:type="dxa"/>
            <w:tcBorders>
              <w:left w:val="nil"/>
              <w:right w:val="nil"/>
            </w:tcBorders>
            <w:noWrap/>
          </w:tcPr>
          <w:p w:rsidRPr="00C3071B" w:rsidR="00C3071B" w:rsidP="00C3071B" w:rsidRDefault="00C3071B" w14:paraId="13F566E1" w14:textId="77777777">
            <w:pPr>
              <w:ind w:left="171" w:firstLine="28" w:firstLineChars="14"/>
              <w:rPr>
                <w:rFonts w:ascii="Arial" w:hAnsi="Arial" w:eastAsia="Times New Roman" w:cs="Arial"/>
                <w:sz w:val="20"/>
                <w:szCs w:val="20"/>
              </w:rPr>
            </w:pPr>
            <w:r w:rsidRPr="00C3071B">
              <w:rPr>
                <w:rFonts w:ascii="Arial" w:hAnsi="Arial" w:cs="Arial"/>
                <w:sz w:val="20"/>
              </w:rPr>
              <w:lastRenderedPageBreak/>
              <w:t>f) Kopējie riska darījumi pirms regulatīvajām korekcijām (posteņu 2.a.1. līdz 2.c summa, 0,1 reizi 2.d.(1), 0,2 reizes 2.d.(2), 0,5 reizes 2.d. (3) un 2.d.(4))</w:t>
            </w:r>
          </w:p>
        </w:tc>
        <w:tc>
          <w:tcPr>
            <w:tcW w:w="2745" w:type="dxa"/>
            <w:tcBorders>
              <w:left w:val="nil"/>
              <w:right w:val="nil"/>
            </w:tcBorders>
            <w:noWrap/>
          </w:tcPr>
          <w:p w:rsidRPr="00C3071B" w:rsidR="00C3071B" w:rsidP="00C3071B" w:rsidRDefault="00C3071B" w14:paraId="48788727" w14:textId="77777777">
            <w:pPr>
              <w:jc w:val="right"/>
              <w:rPr>
                <w:rFonts w:ascii="Arial" w:hAnsi="Arial" w:eastAsia="Times New Roman" w:cs="Arial"/>
                <w:sz w:val="20"/>
                <w:szCs w:val="20"/>
                <w:lang w:eastAsia="en-GB"/>
              </w:rPr>
            </w:pPr>
          </w:p>
        </w:tc>
      </w:tr>
      <w:tr w:rsidRPr="00C3071B" w:rsidR="00C3071B" w:rsidTr="00495D7D" w14:paraId="7EB0E03B" w14:textId="77777777">
        <w:trPr>
          <w:trHeight w:val="300"/>
        </w:trPr>
        <w:tc>
          <w:tcPr>
            <w:tcW w:w="6804" w:type="dxa"/>
            <w:tcBorders>
              <w:left w:val="nil"/>
              <w:right w:val="nil"/>
            </w:tcBorders>
            <w:noWrap/>
          </w:tcPr>
          <w:p w:rsidRPr="00C3071B" w:rsidR="00C3071B" w:rsidP="00C3071B" w:rsidRDefault="00C3071B" w14:paraId="501B43B8" w14:textId="77777777">
            <w:pPr>
              <w:ind w:left="171" w:firstLine="28" w:firstLineChars="14"/>
              <w:rPr>
                <w:rFonts w:ascii="Arial" w:hAnsi="Arial" w:eastAsia="Times New Roman" w:cs="Arial"/>
                <w:sz w:val="20"/>
                <w:szCs w:val="20"/>
              </w:rPr>
            </w:pPr>
            <w:r w:rsidRPr="00C3071B">
              <w:rPr>
                <w:rFonts w:ascii="Arial" w:hAnsi="Arial" w:cs="Arial"/>
                <w:sz w:val="20"/>
              </w:rPr>
              <w:t>g) Apdrošināšanas meitasuzņēmumu riska darījumi, kas nav iekļauti 2. punkta f) apakšpunktā, atskaitot grupas iekšējos darījumus:</w:t>
            </w:r>
          </w:p>
        </w:tc>
        <w:tc>
          <w:tcPr>
            <w:tcW w:w="2745" w:type="dxa"/>
            <w:tcBorders>
              <w:left w:val="nil"/>
              <w:right w:val="nil"/>
            </w:tcBorders>
            <w:noWrap/>
          </w:tcPr>
          <w:p w:rsidRPr="00C3071B" w:rsidR="00C3071B" w:rsidP="00C3071B" w:rsidRDefault="00C3071B" w14:paraId="4101D764" w14:textId="77777777">
            <w:pPr>
              <w:jc w:val="right"/>
              <w:rPr>
                <w:rFonts w:ascii="Arial" w:hAnsi="Arial" w:eastAsia="Times New Roman" w:cs="Arial"/>
                <w:sz w:val="20"/>
                <w:szCs w:val="20"/>
                <w:lang w:eastAsia="en-GB"/>
              </w:rPr>
            </w:pPr>
          </w:p>
        </w:tc>
      </w:tr>
      <w:tr w:rsidRPr="00C3071B" w:rsidR="00C3071B" w:rsidTr="00495D7D" w14:paraId="6D1DBB9D" w14:textId="77777777">
        <w:trPr>
          <w:trHeight w:val="300"/>
        </w:trPr>
        <w:tc>
          <w:tcPr>
            <w:tcW w:w="6804" w:type="dxa"/>
            <w:tcBorders>
              <w:left w:val="nil"/>
              <w:right w:val="nil"/>
            </w:tcBorders>
            <w:noWrap/>
          </w:tcPr>
          <w:p w:rsidRPr="00C3071B" w:rsidR="00C3071B" w:rsidP="00C3071B" w:rsidRDefault="00C3071B" w14:paraId="62972D85" w14:textId="77777777">
            <w:pPr>
              <w:ind w:left="720" w:firstLine="28" w:firstLineChars="14"/>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Apdrošināšanas meitasuzņēmumu bilances un ārpusbilances aktīvi</w:t>
            </w:r>
          </w:p>
        </w:tc>
        <w:tc>
          <w:tcPr>
            <w:tcW w:w="2745" w:type="dxa"/>
            <w:tcBorders>
              <w:left w:val="nil"/>
              <w:right w:val="nil"/>
            </w:tcBorders>
            <w:noWrap/>
          </w:tcPr>
          <w:p w:rsidRPr="00C3071B" w:rsidR="00C3071B" w:rsidP="00C3071B" w:rsidRDefault="00C3071B" w14:paraId="5CBA2B58" w14:textId="77777777">
            <w:pPr>
              <w:jc w:val="right"/>
              <w:rPr>
                <w:rFonts w:ascii="Arial" w:hAnsi="Arial" w:eastAsia="Times New Roman" w:cs="Arial"/>
                <w:sz w:val="20"/>
                <w:szCs w:val="20"/>
                <w:lang w:eastAsia="en-GB"/>
              </w:rPr>
            </w:pPr>
          </w:p>
        </w:tc>
      </w:tr>
      <w:tr w:rsidRPr="00C3071B" w:rsidR="00C3071B" w:rsidTr="00495D7D" w14:paraId="3615C269" w14:textId="77777777">
        <w:trPr>
          <w:trHeight w:val="300"/>
        </w:trPr>
        <w:tc>
          <w:tcPr>
            <w:tcW w:w="6804" w:type="dxa"/>
            <w:tcBorders>
              <w:left w:val="nil"/>
              <w:right w:val="nil"/>
            </w:tcBorders>
            <w:noWrap/>
          </w:tcPr>
          <w:p w:rsidRPr="00C3071B" w:rsidR="00C3071B" w:rsidP="00C3071B" w:rsidRDefault="00C3071B" w14:paraId="28B35E69" w14:textId="77777777">
            <w:pPr>
              <w:ind w:left="720" w:firstLine="28" w:firstLineChars="14"/>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Apdrošināšanas meitasuzņēmumu atvasināto instrumentu līgumu potenciālā nākotnes riska darījumu vērtība</w:t>
            </w:r>
          </w:p>
        </w:tc>
        <w:tc>
          <w:tcPr>
            <w:tcW w:w="2745" w:type="dxa"/>
            <w:tcBorders>
              <w:left w:val="nil"/>
              <w:right w:val="nil"/>
            </w:tcBorders>
            <w:noWrap/>
          </w:tcPr>
          <w:p w:rsidRPr="00C3071B" w:rsidR="00C3071B" w:rsidP="00C3071B" w:rsidRDefault="00C3071B" w14:paraId="0439BD09" w14:textId="77777777">
            <w:pPr>
              <w:jc w:val="right"/>
              <w:rPr>
                <w:rFonts w:ascii="Arial" w:hAnsi="Arial" w:eastAsia="Times New Roman" w:cs="Arial"/>
                <w:sz w:val="20"/>
                <w:szCs w:val="20"/>
                <w:lang w:eastAsia="en-GB"/>
              </w:rPr>
            </w:pPr>
          </w:p>
        </w:tc>
      </w:tr>
      <w:tr w:rsidRPr="00C3071B" w:rsidR="00C3071B" w:rsidTr="00495D7D" w14:paraId="4864F2BF" w14:textId="77777777">
        <w:trPr>
          <w:trHeight w:val="300"/>
        </w:trPr>
        <w:tc>
          <w:tcPr>
            <w:tcW w:w="6804" w:type="dxa"/>
            <w:tcBorders>
              <w:left w:val="nil"/>
              <w:right w:val="nil"/>
            </w:tcBorders>
            <w:noWrap/>
          </w:tcPr>
          <w:p w:rsidRPr="00C3071B" w:rsidR="00C3071B" w:rsidP="00C3071B" w:rsidRDefault="00C3071B" w14:paraId="7BCFFC33" w14:textId="77777777">
            <w:pPr>
              <w:ind w:left="720" w:firstLine="28" w:firstLineChars="14"/>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Ieguldījumu vērtība konsolidētajās sabiedrībās</w:t>
            </w:r>
          </w:p>
        </w:tc>
        <w:tc>
          <w:tcPr>
            <w:tcW w:w="2745" w:type="dxa"/>
            <w:tcBorders>
              <w:left w:val="nil"/>
              <w:right w:val="nil"/>
            </w:tcBorders>
            <w:noWrap/>
          </w:tcPr>
          <w:p w:rsidRPr="00C3071B" w:rsidR="00C3071B" w:rsidP="00C3071B" w:rsidRDefault="00C3071B" w14:paraId="750B2A5C" w14:textId="77777777">
            <w:pPr>
              <w:jc w:val="right"/>
              <w:rPr>
                <w:rFonts w:ascii="Arial" w:hAnsi="Arial" w:eastAsia="Times New Roman" w:cs="Arial"/>
                <w:sz w:val="20"/>
                <w:szCs w:val="20"/>
                <w:lang w:eastAsia="en-GB"/>
              </w:rPr>
            </w:pPr>
          </w:p>
        </w:tc>
      </w:tr>
      <w:tr w:rsidRPr="00C3071B" w:rsidR="00C3071B" w:rsidTr="00495D7D" w14:paraId="6D69DC4B" w14:textId="77777777">
        <w:trPr>
          <w:trHeight w:val="300"/>
        </w:trPr>
        <w:tc>
          <w:tcPr>
            <w:tcW w:w="6804" w:type="dxa"/>
            <w:tcBorders>
              <w:left w:val="nil"/>
              <w:right w:val="nil"/>
            </w:tcBorders>
            <w:noWrap/>
          </w:tcPr>
          <w:p w:rsidRPr="00C3071B" w:rsidR="00C3071B" w:rsidP="00C3071B" w:rsidRDefault="00C3071B" w14:paraId="63C175CE" w14:textId="77777777">
            <w:pPr>
              <w:ind w:left="171"/>
              <w:rPr>
                <w:rFonts w:ascii="Arial" w:hAnsi="Arial" w:eastAsia="Times New Roman" w:cs="Arial"/>
                <w:sz w:val="20"/>
                <w:szCs w:val="20"/>
              </w:rPr>
            </w:pPr>
            <w:r w:rsidRPr="00C3071B">
              <w:rPr>
                <w:rFonts w:ascii="Arial" w:hAnsi="Arial" w:cs="Arial"/>
                <w:sz w:val="20"/>
              </w:rPr>
              <w:t>h) Grupas iekšējie riska darījumi, kas iekļauti 2. punkta f) apakšpunktā, ar apdrošināšanas meitasuzņēmumiem, kas norādīti 2. punkta g) apakšpunktā.</w:t>
            </w:r>
          </w:p>
        </w:tc>
        <w:tc>
          <w:tcPr>
            <w:tcW w:w="2745" w:type="dxa"/>
            <w:tcBorders>
              <w:left w:val="nil"/>
              <w:right w:val="nil"/>
            </w:tcBorders>
            <w:noWrap/>
          </w:tcPr>
          <w:p w:rsidRPr="00C3071B" w:rsidR="00C3071B" w:rsidP="00C3071B" w:rsidRDefault="00C3071B" w14:paraId="0FD159AC" w14:textId="77777777">
            <w:pPr>
              <w:jc w:val="right"/>
              <w:rPr>
                <w:rFonts w:ascii="Arial" w:hAnsi="Arial" w:eastAsia="Times New Roman" w:cs="Arial"/>
                <w:sz w:val="20"/>
                <w:szCs w:val="20"/>
                <w:lang w:eastAsia="en-GB"/>
              </w:rPr>
            </w:pPr>
          </w:p>
        </w:tc>
      </w:tr>
      <w:tr w:rsidRPr="00C3071B" w:rsidR="00C3071B" w:rsidTr="00495D7D" w14:paraId="0AC03A80" w14:textId="77777777">
        <w:trPr>
          <w:trHeight w:val="300"/>
        </w:trPr>
        <w:tc>
          <w:tcPr>
            <w:tcW w:w="6804" w:type="dxa"/>
            <w:tcBorders>
              <w:left w:val="nil"/>
              <w:bottom w:val="single" w:color="auto" w:sz="4" w:space="0"/>
              <w:right w:val="nil"/>
            </w:tcBorders>
            <w:noWrap/>
          </w:tcPr>
          <w:p w:rsidRPr="00C3071B" w:rsidR="00C3071B" w:rsidP="00C3071B" w:rsidRDefault="00C3071B" w14:paraId="11352E06" w14:textId="77777777">
            <w:pPr>
              <w:ind w:left="171"/>
              <w:rPr>
                <w:rFonts w:ascii="Arial" w:hAnsi="Arial" w:eastAsia="Times New Roman" w:cs="Arial"/>
                <w:sz w:val="20"/>
                <w:szCs w:val="20"/>
              </w:rPr>
            </w:pPr>
            <w:r w:rsidRPr="00C3071B">
              <w:rPr>
                <w:rFonts w:ascii="Arial" w:hAnsi="Arial" w:cs="Arial"/>
                <w:sz w:val="20"/>
              </w:rPr>
              <w:t>i) Kopējo riska darījumu rādītājs, ieskaitot apdrošināšanas meitasuzņēmumus (posteņu 2.f., 2.g.(1) līdz 2.g(2) summa mīnus 2.g.(3) līdz 2.h)</w:t>
            </w:r>
          </w:p>
        </w:tc>
        <w:tc>
          <w:tcPr>
            <w:tcW w:w="2745" w:type="dxa"/>
            <w:tcBorders>
              <w:left w:val="nil"/>
              <w:bottom w:val="single" w:color="auto" w:sz="4" w:space="0"/>
              <w:right w:val="nil"/>
            </w:tcBorders>
            <w:noWrap/>
          </w:tcPr>
          <w:p w:rsidRPr="00C3071B" w:rsidR="00C3071B" w:rsidP="00C3071B" w:rsidRDefault="00C3071B" w14:paraId="40334A90" w14:textId="77777777">
            <w:pPr>
              <w:jc w:val="right"/>
              <w:rPr>
                <w:rFonts w:ascii="Arial" w:hAnsi="Arial" w:eastAsia="Times New Roman" w:cs="Arial"/>
                <w:sz w:val="20"/>
                <w:szCs w:val="20"/>
                <w:lang w:eastAsia="en-GB"/>
              </w:rPr>
            </w:pPr>
          </w:p>
        </w:tc>
      </w:tr>
      <w:tr w:rsidRPr="00C3071B" w:rsidR="00C3071B" w:rsidTr="00495D7D" w14:paraId="0C624DE7" w14:textId="77777777">
        <w:trPr>
          <w:trHeight w:val="403"/>
        </w:trPr>
        <w:tc>
          <w:tcPr>
            <w:tcW w:w="9549" w:type="dxa"/>
            <w:gridSpan w:val="2"/>
            <w:tcBorders>
              <w:left w:val="nil"/>
              <w:right w:val="nil"/>
            </w:tcBorders>
            <w:noWrap/>
            <w:hideMark/>
          </w:tcPr>
          <w:p w:rsidRPr="00C3071B" w:rsidR="00C3071B" w:rsidP="00C3071B" w:rsidRDefault="00C3071B" w14:paraId="0B90FF38" w14:textId="77777777">
            <w:pPr>
              <w:keepNext/>
              <w:keepLines/>
              <w:spacing w:before="47"/>
              <w:outlineLvl w:val="5"/>
              <w:rPr>
                <w:rFonts w:ascii="Arial" w:hAnsi="Arial" w:eastAsia="Times New Roman" w:cs="Arial"/>
                <w:b/>
                <w:bCs/>
                <w:i/>
                <w:iCs/>
                <w:caps/>
                <w:color w:val="1F3864"/>
                <w:sz w:val="20"/>
                <w:szCs w:val="20"/>
                <w:lang w:eastAsia="en-GB"/>
              </w:rPr>
            </w:pPr>
          </w:p>
          <w:p w:rsidRPr="00C3071B" w:rsidR="00C3071B" w:rsidP="00C3071B" w:rsidRDefault="00C3071B" w14:paraId="549BBC18" w14:textId="77777777">
            <w:pPr>
              <w:keepNext/>
              <w:keepLines/>
              <w:spacing w:before="47"/>
              <w:outlineLvl w:val="5"/>
              <w:rPr>
                <w:rFonts w:ascii="Arial" w:hAnsi="Arial" w:eastAsia="Times New Roman" w:cs="Arial"/>
                <w:i/>
                <w:iCs/>
                <w:caps/>
                <w:color w:val="1F3864"/>
                <w:sz w:val="20"/>
                <w:szCs w:val="20"/>
              </w:rPr>
            </w:pPr>
            <w:r w:rsidRPr="00C3071B">
              <w:rPr>
                <w:rFonts w:ascii="Arial" w:hAnsi="Arial" w:cs="Arial"/>
                <w:b/>
                <w:i/>
                <w:caps/>
                <w:color w:val="1F3864"/>
                <w:sz w:val="24"/>
              </w:rPr>
              <w:t> </w:t>
            </w:r>
            <w:r w:rsidRPr="00C3071B">
              <w:rPr>
                <w:rFonts w:ascii="Calibri Light" w:hAnsi="Calibri Light" w:cs="Arial"/>
                <w:b/>
                <w:i/>
                <w:caps/>
              </w:rPr>
              <w:t>Savstarpējās saistības rādītāji</w:t>
            </w:r>
          </w:p>
          <w:p w:rsidRPr="00C3071B" w:rsidR="00C3071B" w:rsidP="00C3071B" w:rsidRDefault="00C3071B" w14:paraId="758BB9C2" w14:textId="77777777">
            <w:pPr>
              <w:rPr>
                <w:rFonts w:ascii="Arial" w:hAnsi="Arial" w:eastAsia="Times New Roman" w:cs="Arial"/>
                <w:b/>
                <w:bCs/>
                <w:sz w:val="24"/>
              </w:rPr>
            </w:pPr>
            <w:r w:rsidRPr="00C3071B">
              <w:rPr>
                <w:rFonts w:ascii="Arial" w:hAnsi="Arial" w:cs="Arial"/>
                <w:b/>
                <w:sz w:val="24"/>
              </w:rPr>
              <w:t> </w:t>
            </w:r>
          </w:p>
        </w:tc>
      </w:tr>
      <w:tr w:rsidRPr="00C3071B" w:rsidR="00C3071B" w:rsidTr="00495D7D" w14:paraId="06CD669D" w14:textId="77777777">
        <w:trPr>
          <w:trHeight w:val="300"/>
        </w:trPr>
        <w:tc>
          <w:tcPr>
            <w:tcW w:w="6804" w:type="dxa"/>
            <w:tcBorders>
              <w:left w:val="nil"/>
              <w:bottom w:val="single" w:color="auto" w:sz="4" w:space="0"/>
              <w:right w:val="nil"/>
            </w:tcBorders>
            <w:noWrap/>
            <w:hideMark/>
          </w:tcPr>
          <w:p w:rsidRPr="00C3071B" w:rsidR="00C3071B" w:rsidP="00C3071B" w:rsidRDefault="00C3071B" w14:paraId="3253454D" w14:textId="77777777">
            <w:pPr>
              <w:rPr>
                <w:rFonts w:ascii="Arial" w:hAnsi="Arial" w:eastAsia="Times New Roman" w:cs="Arial"/>
                <w:b/>
                <w:bCs/>
                <w:sz w:val="20"/>
                <w:szCs w:val="20"/>
              </w:rPr>
            </w:pPr>
            <w:r w:rsidRPr="00C3071B">
              <w:rPr>
                <w:rFonts w:ascii="Arial" w:hAnsi="Arial" w:cs="Arial"/>
                <w:b/>
                <w:sz w:val="20"/>
              </w:rPr>
              <w:t>3. sadaļa. Iekšējās finanšu sistēmas aktīvi</w:t>
            </w:r>
          </w:p>
        </w:tc>
        <w:tc>
          <w:tcPr>
            <w:tcW w:w="2745" w:type="dxa"/>
            <w:tcBorders>
              <w:left w:val="nil"/>
              <w:bottom w:val="single" w:color="auto" w:sz="4" w:space="0"/>
              <w:right w:val="nil"/>
            </w:tcBorders>
            <w:hideMark/>
          </w:tcPr>
          <w:p w:rsidRPr="00C3071B" w:rsidR="00C3071B" w:rsidP="00C3071B" w:rsidRDefault="00C3071B" w14:paraId="3F965F28"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19963AE0" w14:textId="77777777">
        <w:trPr>
          <w:trHeight w:val="300"/>
        </w:trPr>
        <w:tc>
          <w:tcPr>
            <w:tcW w:w="6804" w:type="dxa"/>
            <w:tcBorders>
              <w:left w:val="nil"/>
              <w:right w:val="nil"/>
            </w:tcBorders>
            <w:noWrap/>
            <w:hideMark/>
          </w:tcPr>
          <w:p w:rsidRPr="00C3071B" w:rsidR="00C3071B" w:rsidP="00C3071B" w:rsidRDefault="00C3071B" w14:paraId="10E649CA" w14:textId="77777777">
            <w:pPr>
              <w:ind w:firstLine="200" w:firstLineChars="100"/>
              <w:rPr>
                <w:rFonts w:ascii="Arial" w:hAnsi="Arial" w:eastAsia="Times New Roman" w:cs="Arial"/>
                <w:sz w:val="20"/>
                <w:szCs w:val="20"/>
              </w:rPr>
            </w:pPr>
            <w:r w:rsidRPr="00C3071B">
              <w:rPr>
                <w:rFonts w:ascii="Arial" w:hAnsi="Arial" w:cs="Arial"/>
                <w:sz w:val="20"/>
              </w:rPr>
              <w:t>a) Citās finanšu iestādēs noguldītie vai tām aizdotie līdzekļi</w:t>
            </w:r>
          </w:p>
        </w:tc>
        <w:tc>
          <w:tcPr>
            <w:tcW w:w="2745" w:type="dxa"/>
            <w:tcBorders>
              <w:left w:val="nil"/>
              <w:right w:val="nil"/>
            </w:tcBorders>
            <w:noWrap/>
            <w:hideMark/>
          </w:tcPr>
          <w:p w:rsidRPr="00C3071B" w:rsidR="00C3071B" w:rsidP="00C3071B" w:rsidRDefault="00C3071B" w14:paraId="6DA9791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72E8F79" w14:textId="77777777">
        <w:trPr>
          <w:trHeight w:val="300"/>
        </w:trPr>
        <w:tc>
          <w:tcPr>
            <w:tcW w:w="6804" w:type="dxa"/>
            <w:tcBorders>
              <w:left w:val="nil"/>
              <w:bottom w:val="single" w:color="auto" w:sz="4" w:space="0"/>
              <w:right w:val="nil"/>
            </w:tcBorders>
            <w:noWrap/>
            <w:hideMark/>
          </w:tcPr>
          <w:p w:rsidRPr="00C3071B" w:rsidR="00C3071B" w:rsidP="00C3071B" w:rsidRDefault="00C3071B" w14:paraId="335D51C2"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 xml:space="preserve">Noguldījuma sertifikāti </w:t>
            </w:r>
          </w:p>
        </w:tc>
        <w:tc>
          <w:tcPr>
            <w:tcW w:w="2745" w:type="dxa"/>
            <w:tcBorders>
              <w:left w:val="nil"/>
              <w:right w:val="nil"/>
            </w:tcBorders>
            <w:noWrap/>
            <w:hideMark/>
          </w:tcPr>
          <w:p w:rsidRPr="00C3071B" w:rsidR="00C3071B" w:rsidP="00C3071B" w:rsidRDefault="00C3071B" w14:paraId="1E1643AA"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300B796" w14:textId="77777777">
        <w:trPr>
          <w:gridAfter w:val="1"/>
          <w:wAfter w:w="2745" w:type="dxa"/>
          <w:trHeight w:val="300"/>
        </w:trPr>
        <w:tc>
          <w:tcPr>
            <w:tcW w:w="6804" w:type="dxa"/>
            <w:tcBorders>
              <w:left w:val="nil"/>
              <w:right w:val="nil"/>
            </w:tcBorders>
            <w:noWrap/>
            <w:hideMark/>
          </w:tcPr>
          <w:p w:rsidRPr="00C3071B" w:rsidR="00C3071B" w:rsidP="00C3071B" w:rsidRDefault="00C3071B" w14:paraId="3042F012" w14:textId="77777777">
            <w:pPr>
              <w:ind w:left="171" w:firstLine="28" w:firstLineChars="14"/>
              <w:rPr>
                <w:rFonts w:ascii="Arial" w:hAnsi="Arial" w:eastAsia="Times New Roman" w:cs="Arial"/>
                <w:sz w:val="20"/>
                <w:szCs w:val="20"/>
              </w:rPr>
            </w:pPr>
            <w:r w:rsidRPr="00C3071B">
              <w:rPr>
                <w:rFonts w:ascii="Arial" w:hAnsi="Arial" w:cs="Arial"/>
                <w:sz w:val="20"/>
              </w:rPr>
              <w:t>b) Neizmantotā piešķirto līniju, kas paplašinātas uz citām finanšu iestādēm, daļa</w:t>
            </w:r>
          </w:p>
        </w:tc>
      </w:tr>
      <w:tr w:rsidRPr="00C3071B" w:rsidR="00C3071B" w:rsidTr="00495D7D" w14:paraId="453BA485" w14:textId="77777777">
        <w:trPr>
          <w:trHeight w:val="300"/>
        </w:trPr>
        <w:tc>
          <w:tcPr>
            <w:tcW w:w="6804" w:type="dxa"/>
            <w:tcBorders>
              <w:left w:val="nil"/>
              <w:right w:val="nil"/>
            </w:tcBorders>
            <w:noWrap/>
            <w:hideMark/>
          </w:tcPr>
          <w:p w:rsidRPr="00C3071B" w:rsidR="00C3071B" w:rsidP="00C3071B" w:rsidRDefault="00C3071B" w14:paraId="1D8FAF30" w14:textId="77777777">
            <w:pPr>
              <w:ind w:firstLine="200" w:firstLineChars="100"/>
              <w:rPr>
                <w:rFonts w:ascii="Arial" w:hAnsi="Arial" w:eastAsia="Times New Roman" w:cs="Arial"/>
                <w:sz w:val="20"/>
                <w:szCs w:val="20"/>
              </w:rPr>
            </w:pPr>
            <w:r w:rsidRPr="00C3071B">
              <w:rPr>
                <w:rFonts w:ascii="Arial" w:hAnsi="Arial" w:cs="Arial"/>
                <w:sz w:val="20"/>
              </w:rPr>
              <w:t>c) Citu finanšu iestāžu emitētu vērtspapīru turējumi:</w:t>
            </w:r>
          </w:p>
        </w:tc>
        <w:tc>
          <w:tcPr>
            <w:tcW w:w="2745" w:type="dxa"/>
            <w:tcBorders>
              <w:left w:val="nil"/>
              <w:right w:val="nil"/>
            </w:tcBorders>
            <w:noWrap/>
            <w:hideMark/>
          </w:tcPr>
          <w:p w:rsidRPr="00C3071B" w:rsidR="00C3071B" w:rsidP="00C3071B" w:rsidRDefault="00C3071B" w14:paraId="2C409908" w14:textId="77777777">
            <w:pPr>
              <w:ind w:firstLine="200" w:firstLineChars="100"/>
              <w:rPr>
                <w:rFonts w:ascii="Arial" w:hAnsi="Arial" w:eastAsia="Times New Roman" w:cs="Arial"/>
                <w:sz w:val="20"/>
                <w:szCs w:val="20"/>
              </w:rPr>
            </w:pPr>
            <w:r w:rsidRPr="00C3071B">
              <w:rPr>
                <w:rFonts w:ascii="Arial" w:hAnsi="Arial" w:cs="Arial"/>
                <w:sz w:val="20"/>
              </w:rPr>
              <w:t> </w:t>
            </w:r>
          </w:p>
        </w:tc>
      </w:tr>
      <w:tr w:rsidRPr="00C3071B" w:rsidR="00C3071B" w:rsidTr="00495D7D" w14:paraId="052933D6" w14:textId="77777777">
        <w:trPr>
          <w:trHeight w:val="300"/>
        </w:trPr>
        <w:tc>
          <w:tcPr>
            <w:tcW w:w="6804" w:type="dxa"/>
            <w:tcBorders>
              <w:left w:val="nil"/>
              <w:right w:val="nil"/>
            </w:tcBorders>
            <w:noWrap/>
            <w:hideMark/>
          </w:tcPr>
          <w:p w:rsidRPr="00C3071B" w:rsidR="00C3071B" w:rsidP="00C3071B" w:rsidRDefault="00C3071B" w14:paraId="1C234947"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Nodrošinātie parāda vērtspapīri</w:t>
            </w:r>
          </w:p>
        </w:tc>
        <w:tc>
          <w:tcPr>
            <w:tcW w:w="2745" w:type="dxa"/>
            <w:tcBorders>
              <w:left w:val="nil"/>
              <w:right w:val="nil"/>
            </w:tcBorders>
            <w:noWrap/>
            <w:hideMark/>
          </w:tcPr>
          <w:p w:rsidRPr="00C3071B" w:rsidR="00C3071B" w:rsidP="00C3071B" w:rsidRDefault="00C3071B" w14:paraId="10BEDCCC"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84BC99C" w14:textId="77777777">
        <w:trPr>
          <w:trHeight w:val="300"/>
        </w:trPr>
        <w:tc>
          <w:tcPr>
            <w:tcW w:w="6804" w:type="dxa"/>
            <w:tcBorders>
              <w:left w:val="nil"/>
              <w:right w:val="nil"/>
            </w:tcBorders>
            <w:noWrap/>
            <w:hideMark/>
          </w:tcPr>
          <w:p w:rsidRPr="00C3071B" w:rsidR="00C3071B" w:rsidP="00C3071B" w:rsidRDefault="00C3071B" w14:paraId="18B65549"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Augsta līmeņa nenodrošinātie parāda vērtspapīri</w:t>
            </w:r>
          </w:p>
        </w:tc>
        <w:tc>
          <w:tcPr>
            <w:tcW w:w="2745" w:type="dxa"/>
            <w:tcBorders>
              <w:left w:val="nil"/>
              <w:right w:val="nil"/>
            </w:tcBorders>
            <w:noWrap/>
            <w:hideMark/>
          </w:tcPr>
          <w:p w:rsidRPr="00C3071B" w:rsidR="00C3071B" w:rsidP="00C3071B" w:rsidRDefault="00C3071B" w14:paraId="25F2A25E"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C7F4487" w14:textId="77777777">
        <w:trPr>
          <w:trHeight w:val="300"/>
        </w:trPr>
        <w:tc>
          <w:tcPr>
            <w:tcW w:w="6804" w:type="dxa"/>
            <w:tcBorders>
              <w:left w:val="nil"/>
              <w:right w:val="nil"/>
            </w:tcBorders>
            <w:noWrap/>
            <w:hideMark/>
          </w:tcPr>
          <w:p w:rsidRPr="00C3071B" w:rsidR="00C3071B" w:rsidP="00C3071B" w:rsidRDefault="00C3071B" w14:paraId="3E82613B"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Pakārtotie parāda vērtspapīri</w:t>
            </w:r>
          </w:p>
        </w:tc>
        <w:tc>
          <w:tcPr>
            <w:tcW w:w="2745" w:type="dxa"/>
            <w:tcBorders>
              <w:left w:val="nil"/>
              <w:right w:val="nil"/>
            </w:tcBorders>
            <w:noWrap/>
            <w:hideMark/>
          </w:tcPr>
          <w:p w:rsidRPr="00C3071B" w:rsidR="00C3071B" w:rsidP="00C3071B" w:rsidRDefault="00C3071B" w14:paraId="2AD8DC1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460912F" w14:textId="77777777">
        <w:trPr>
          <w:trHeight w:val="300"/>
        </w:trPr>
        <w:tc>
          <w:tcPr>
            <w:tcW w:w="6804" w:type="dxa"/>
            <w:tcBorders>
              <w:left w:val="nil"/>
              <w:right w:val="nil"/>
            </w:tcBorders>
            <w:noWrap/>
            <w:hideMark/>
          </w:tcPr>
          <w:p w:rsidRPr="00C3071B" w:rsidR="00C3071B" w:rsidP="00C3071B" w:rsidRDefault="00C3071B" w14:paraId="1974CC68"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(4) </w:t>
            </w:r>
            <w:r w:rsidRPr="00C3071B">
              <w:rPr>
                <w:rFonts w:ascii="Arial" w:hAnsi="Arial" w:cs="Arial"/>
                <w:sz w:val="20"/>
              </w:rPr>
              <w:t xml:space="preserve">Komerciālie vērtspapīri </w:t>
            </w:r>
          </w:p>
        </w:tc>
        <w:tc>
          <w:tcPr>
            <w:tcW w:w="2745" w:type="dxa"/>
            <w:tcBorders>
              <w:left w:val="nil"/>
              <w:right w:val="nil"/>
            </w:tcBorders>
            <w:noWrap/>
            <w:hideMark/>
          </w:tcPr>
          <w:p w:rsidRPr="00C3071B" w:rsidR="00C3071B" w:rsidP="00C3071B" w:rsidRDefault="00C3071B" w14:paraId="30D271B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8622ED5" w14:textId="77777777">
        <w:trPr>
          <w:trHeight w:val="300"/>
        </w:trPr>
        <w:tc>
          <w:tcPr>
            <w:tcW w:w="6804" w:type="dxa"/>
            <w:tcBorders>
              <w:left w:val="nil"/>
              <w:bottom w:val="single" w:color="auto" w:sz="4" w:space="0"/>
              <w:right w:val="nil"/>
            </w:tcBorders>
            <w:noWrap/>
            <w:hideMark/>
          </w:tcPr>
          <w:p w:rsidRPr="00C3071B" w:rsidR="00C3071B" w:rsidP="00C3071B" w:rsidRDefault="00C3071B" w14:paraId="57AE718B"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(5) </w:t>
            </w:r>
            <w:r w:rsidRPr="00C3071B">
              <w:rPr>
                <w:rFonts w:ascii="Arial" w:hAnsi="Arial" w:cs="Arial"/>
                <w:sz w:val="20"/>
              </w:rPr>
              <w:t>Pašu kapitāla vērtspapīri</w:t>
            </w:r>
          </w:p>
        </w:tc>
        <w:tc>
          <w:tcPr>
            <w:tcW w:w="2745" w:type="dxa"/>
            <w:tcBorders>
              <w:left w:val="nil"/>
              <w:right w:val="nil"/>
            </w:tcBorders>
            <w:noWrap/>
            <w:hideMark/>
          </w:tcPr>
          <w:p w:rsidRPr="00C3071B" w:rsidR="00C3071B" w:rsidP="00C3071B" w:rsidRDefault="00C3071B" w14:paraId="5A46C78C"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279BFB0F" w14:textId="77777777">
        <w:trPr>
          <w:trHeight w:val="300"/>
        </w:trPr>
        <w:tc>
          <w:tcPr>
            <w:tcW w:w="6804" w:type="dxa"/>
            <w:tcBorders>
              <w:left w:val="nil"/>
              <w:bottom w:val="single" w:color="auto" w:sz="4" w:space="0"/>
              <w:right w:val="nil"/>
            </w:tcBorders>
            <w:noWrap/>
          </w:tcPr>
          <w:p w:rsidRPr="00C3071B" w:rsidR="00C3071B" w:rsidP="00C3071B" w:rsidRDefault="00C3071B" w14:paraId="19AB8D94" w14:textId="77777777">
            <w:pPr>
              <w:ind w:left="313" w:firstLine="86" w:firstLineChars="43"/>
              <w:rPr>
                <w:rFonts w:ascii="Arial" w:hAnsi="Arial" w:eastAsia="Times New Roman" w:cs="Arial"/>
                <w:sz w:val="20"/>
                <w:szCs w:val="20"/>
              </w:rPr>
            </w:pPr>
            <w:r w:rsidRPr="00C3071B">
              <w:rPr>
                <w:rFonts w:ascii="Arial" w:hAnsi="Arial" w:cs="Arial"/>
                <w:sz w:val="20"/>
                <w:lang w:eastAsia="en-GB"/>
              </w:rPr>
              <w:t xml:space="preserve">(6) </w:t>
            </w:r>
            <w:r w:rsidRPr="00C3071B">
              <w:rPr>
                <w:rFonts w:ascii="Arial" w:hAnsi="Arial" w:cs="Arial"/>
                <w:sz w:val="20"/>
              </w:rPr>
              <w:t>Īso pozīciju izlīdzināšana attiecībā uz speciālajiem kapitāla vērtspapīriem, kas iekļautas 3.c.(5) postenī.</w:t>
            </w:r>
          </w:p>
        </w:tc>
        <w:tc>
          <w:tcPr>
            <w:tcW w:w="2745" w:type="dxa"/>
            <w:tcBorders>
              <w:left w:val="nil"/>
              <w:right w:val="nil"/>
            </w:tcBorders>
            <w:noWrap/>
          </w:tcPr>
          <w:p w:rsidRPr="00C3071B" w:rsidR="00C3071B" w:rsidP="00C3071B" w:rsidRDefault="00C3071B" w14:paraId="65632554" w14:textId="77777777">
            <w:pPr>
              <w:jc w:val="right"/>
              <w:rPr>
                <w:rFonts w:ascii="Arial" w:hAnsi="Arial" w:eastAsia="Times New Roman" w:cs="Arial"/>
                <w:sz w:val="20"/>
                <w:szCs w:val="20"/>
                <w:lang w:eastAsia="en-GB"/>
              </w:rPr>
            </w:pPr>
          </w:p>
        </w:tc>
      </w:tr>
      <w:tr w:rsidRPr="00C3071B" w:rsidR="00C3071B" w:rsidTr="00495D7D" w14:paraId="51882FED" w14:textId="77777777">
        <w:trPr>
          <w:trHeight w:val="300"/>
        </w:trPr>
        <w:tc>
          <w:tcPr>
            <w:tcW w:w="6804" w:type="dxa"/>
            <w:tcBorders>
              <w:left w:val="nil"/>
              <w:bottom w:val="single" w:color="auto" w:sz="4" w:space="0"/>
              <w:right w:val="nil"/>
            </w:tcBorders>
            <w:noWrap/>
          </w:tcPr>
          <w:p w:rsidRPr="00C3071B" w:rsidR="00C3071B" w:rsidP="00C3071B" w:rsidRDefault="00C3071B" w14:paraId="25FB2560" w14:textId="77777777">
            <w:pPr>
              <w:ind w:firstLine="171"/>
              <w:rPr>
                <w:rFonts w:ascii="Arial" w:hAnsi="Arial" w:eastAsia="Times New Roman" w:cs="Arial"/>
                <w:sz w:val="20"/>
                <w:szCs w:val="20"/>
              </w:rPr>
            </w:pPr>
            <w:r w:rsidRPr="00C3071B">
              <w:rPr>
                <w:rFonts w:ascii="Arial" w:hAnsi="Arial" w:cs="Arial"/>
                <w:sz w:val="20"/>
              </w:rPr>
              <w:t>d) Esošo VFD ar citām finanšu iestādēm pozitīvā neto vērtība</w:t>
            </w:r>
          </w:p>
        </w:tc>
        <w:tc>
          <w:tcPr>
            <w:tcW w:w="2745" w:type="dxa"/>
            <w:tcBorders>
              <w:left w:val="nil"/>
              <w:right w:val="nil"/>
            </w:tcBorders>
            <w:noWrap/>
          </w:tcPr>
          <w:p w:rsidRPr="00C3071B" w:rsidR="00C3071B" w:rsidP="00C3071B" w:rsidRDefault="00C3071B" w14:paraId="2ED58CD2" w14:textId="77777777">
            <w:pPr>
              <w:jc w:val="right"/>
              <w:rPr>
                <w:rFonts w:ascii="Arial" w:hAnsi="Arial" w:eastAsia="Times New Roman" w:cs="Arial"/>
                <w:sz w:val="20"/>
                <w:szCs w:val="20"/>
                <w:lang w:eastAsia="en-GB"/>
              </w:rPr>
            </w:pPr>
          </w:p>
        </w:tc>
      </w:tr>
      <w:tr w:rsidRPr="00C3071B" w:rsidR="00C3071B" w:rsidTr="00495D7D" w14:paraId="323A6F30" w14:textId="77777777">
        <w:trPr>
          <w:trHeight w:val="300"/>
        </w:trPr>
        <w:tc>
          <w:tcPr>
            <w:tcW w:w="6804" w:type="dxa"/>
            <w:tcBorders>
              <w:left w:val="nil"/>
              <w:bottom w:val="single" w:color="auto" w:sz="4" w:space="0"/>
              <w:right w:val="nil"/>
            </w:tcBorders>
            <w:noWrap/>
          </w:tcPr>
          <w:p w:rsidRPr="00C3071B" w:rsidR="00C3071B" w:rsidP="00C3071B" w:rsidRDefault="00C3071B" w14:paraId="70A3768E" w14:textId="77777777">
            <w:pPr>
              <w:ind w:left="171"/>
              <w:rPr>
                <w:rFonts w:ascii="Arial" w:hAnsi="Arial" w:eastAsia="Times New Roman" w:cs="Arial"/>
                <w:sz w:val="20"/>
                <w:szCs w:val="20"/>
              </w:rPr>
            </w:pPr>
            <w:r w:rsidRPr="00C3071B">
              <w:rPr>
                <w:rFonts w:ascii="Arial" w:hAnsi="Arial" w:cs="Arial"/>
                <w:sz w:val="20"/>
              </w:rPr>
              <w:t>e) Ārpusbiržas atvasinātie instrumenti ar citām finanšu iestādēm, kam ir pozitīva patiesā neto vērtība</w:t>
            </w:r>
          </w:p>
        </w:tc>
        <w:tc>
          <w:tcPr>
            <w:tcW w:w="2745" w:type="dxa"/>
            <w:tcBorders>
              <w:left w:val="nil"/>
              <w:right w:val="nil"/>
            </w:tcBorders>
            <w:noWrap/>
          </w:tcPr>
          <w:p w:rsidRPr="00C3071B" w:rsidR="00C3071B" w:rsidP="00C3071B" w:rsidRDefault="00C3071B" w14:paraId="4A080F29" w14:textId="77777777">
            <w:pPr>
              <w:jc w:val="right"/>
              <w:rPr>
                <w:rFonts w:ascii="Arial" w:hAnsi="Arial" w:eastAsia="Times New Roman" w:cs="Arial"/>
                <w:sz w:val="20"/>
                <w:szCs w:val="20"/>
                <w:lang w:eastAsia="en-GB"/>
              </w:rPr>
            </w:pPr>
          </w:p>
        </w:tc>
      </w:tr>
      <w:tr w:rsidRPr="00C3071B" w:rsidR="00C3071B" w:rsidTr="00495D7D" w14:paraId="17FDAD61" w14:textId="77777777">
        <w:trPr>
          <w:trHeight w:val="300"/>
        </w:trPr>
        <w:tc>
          <w:tcPr>
            <w:tcW w:w="6804" w:type="dxa"/>
            <w:tcBorders>
              <w:left w:val="nil"/>
              <w:bottom w:val="single" w:color="auto" w:sz="4" w:space="0"/>
              <w:right w:val="nil"/>
            </w:tcBorders>
            <w:noWrap/>
          </w:tcPr>
          <w:p w:rsidRPr="00C3071B" w:rsidR="00C3071B" w:rsidP="00C3071B" w:rsidRDefault="00C3071B" w14:paraId="06C84F5F" w14:textId="77777777">
            <w:pPr>
              <w:ind w:left="313" w:firstLine="86" w:firstLineChars="43"/>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Pozitīva patiesā neto vērtība</w:t>
            </w:r>
          </w:p>
        </w:tc>
        <w:tc>
          <w:tcPr>
            <w:tcW w:w="2745" w:type="dxa"/>
            <w:tcBorders>
              <w:left w:val="nil"/>
              <w:right w:val="nil"/>
            </w:tcBorders>
            <w:noWrap/>
          </w:tcPr>
          <w:p w:rsidRPr="00C3071B" w:rsidR="00C3071B" w:rsidP="00C3071B" w:rsidRDefault="00C3071B" w14:paraId="4D999533" w14:textId="77777777">
            <w:pPr>
              <w:jc w:val="right"/>
              <w:rPr>
                <w:rFonts w:ascii="Arial" w:hAnsi="Arial" w:eastAsia="Times New Roman" w:cs="Arial"/>
                <w:sz w:val="20"/>
                <w:szCs w:val="20"/>
                <w:lang w:eastAsia="en-GB"/>
              </w:rPr>
            </w:pPr>
          </w:p>
        </w:tc>
      </w:tr>
      <w:tr w:rsidRPr="00C3071B" w:rsidR="00C3071B" w:rsidTr="00495D7D" w14:paraId="1DDB5E5B" w14:textId="77777777">
        <w:trPr>
          <w:trHeight w:val="300"/>
        </w:trPr>
        <w:tc>
          <w:tcPr>
            <w:tcW w:w="6804" w:type="dxa"/>
            <w:tcBorders>
              <w:left w:val="nil"/>
              <w:bottom w:val="single" w:color="auto" w:sz="4" w:space="0"/>
              <w:right w:val="nil"/>
            </w:tcBorders>
            <w:noWrap/>
          </w:tcPr>
          <w:p w:rsidRPr="00C3071B" w:rsidR="00C3071B" w:rsidP="00C3071B" w:rsidRDefault="00C3071B" w14:paraId="79F132A2" w14:textId="77777777">
            <w:pPr>
              <w:ind w:left="313" w:firstLine="86" w:firstLineChars="43"/>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Potenciālo nākotnes riska darījumu vērtība</w:t>
            </w:r>
          </w:p>
        </w:tc>
        <w:tc>
          <w:tcPr>
            <w:tcW w:w="2745" w:type="dxa"/>
            <w:tcBorders>
              <w:left w:val="nil"/>
              <w:right w:val="nil"/>
            </w:tcBorders>
            <w:noWrap/>
          </w:tcPr>
          <w:p w:rsidRPr="00C3071B" w:rsidR="00C3071B" w:rsidP="00C3071B" w:rsidRDefault="00C3071B" w14:paraId="35306D3C" w14:textId="77777777">
            <w:pPr>
              <w:jc w:val="right"/>
              <w:rPr>
                <w:rFonts w:ascii="Arial" w:hAnsi="Arial" w:eastAsia="Times New Roman" w:cs="Arial"/>
                <w:sz w:val="20"/>
                <w:szCs w:val="20"/>
                <w:lang w:eastAsia="en-GB"/>
              </w:rPr>
            </w:pPr>
          </w:p>
        </w:tc>
      </w:tr>
      <w:tr w:rsidRPr="00C3071B" w:rsidR="00C3071B" w:rsidTr="00495D7D" w14:paraId="66C86688" w14:textId="77777777">
        <w:trPr>
          <w:gridAfter w:val="1"/>
          <w:wAfter w:w="2745" w:type="dxa"/>
          <w:trHeight w:val="450"/>
        </w:trPr>
        <w:tc>
          <w:tcPr>
            <w:tcW w:w="6804" w:type="dxa"/>
            <w:vMerge w:val="restart"/>
            <w:tcBorders>
              <w:left w:val="nil"/>
              <w:right w:val="nil"/>
            </w:tcBorders>
            <w:hideMark/>
          </w:tcPr>
          <w:p w:rsidRPr="00C3071B" w:rsidR="00C3071B" w:rsidP="00C3071B" w:rsidRDefault="00C3071B" w14:paraId="03BF8E72" w14:textId="77777777">
            <w:pPr>
              <w:ind w:left="171" w:firstLine="28" w:firstLineChars="14"/>
              <w:rPr>
                <w:rFonts w:ascii="Arial" w:hAnsi="Arial" w:eastAsia="Times New Roman" w:cs="Arial"/>
                <w:sz w:val="20"/>
                <w:szCs w:val="20"/>
              </w:rPr>
            </w:pPr>
            <w:r w:rsidRPr="00C3071B">
              <w:rPr>
                <w:rFonts w:ascii="Arial" w:hAnsi="Arial" w:cs="Arial"/>
                <w:sz w:val="20"/>
              </w:rPr>
              <w:t>f) Iekšējās finanšu sistēmas aktīvu rādītājs, tostarp apdrošināšanas meitasuzņēmumi (posteņu 3.a., 3.b. līdz 3.c.(5), 3.d., 3.e.(1) un 3.e.(2) summa, mīnus 3.c.(6))</w:t>
            </w:r>
          </w:p>
        </w:tc>
      </w:tr>
      <w:tr w:rsidRPr="00C3071B" w:rsidR="00C3071B" w:rsidTr="00495D7D" w14:paraId="275F92BD" w14:textId="77777777">
        <w:trPr>
          <w:gridAfter w:val="1"/>
          <w:wAfter w:w="2745" w:type="dxa"/>
          <w:trHeight w:val="450"/>
        </w:trPr>
        <w:tc>
          <w:tcPr>
            <w:tcW w:w="6804" w:type="dxa"/>
            <w:vMerge/>
            <w:tcBorders>
              <w:left w:val="nil"/>
              <w:right w:val="nil"/>
            </w:tcBorders>
            <w:hideMark/>
          </w:tcPr>
          <w:p w:rsidRPr="00C3071B" w:rsidR="00C3071B" w:rsidP="00C3071B" w:rsidRDefault="00C3071B" w14:paraId="3112554F" w14:textId="77777777">
            <w:pPr>
              <w:rPr>
                <w:rFonts w:ascii="Arial" w:hAnsi="Arial" w:eastAsia="Times New Roman" w:cs="Arial"/>
                <w:sz w:val="20"/>
                <w:szCs w:val="20"/>
                <w:lang w:eastAsia="en-GB"/>
              </w:rPr>
            </w:pPr>
          </w:p>
        </w:tc>
      </w:tr>
      <w:tr w:rsidRPr="00C3071B" w:rsidR="00C3071B" w:rsidTr="00495D7D" w14:paraId="6641E68A" w14:textId="77777777">
        <w:trPr>
          <w:trHeight w:val="300"/>
        </w:trPr>
        <w:tc>
          <w:tcPr>
            <w:tcW w:w="6804" w:type="dxa"/>
            <w:tcBorders>
              <w:left w:val="nil"/>
              <w:bottom w:val="nil"/>
              <w:right w:val="nil"/>
            </w:tcBorders>
            <w:noWrap/>
          </w:tcPr>
          <w:p w:rsidRPr="00C3071B" w:rsidR="00C3071B" w:rsidP="00C3071B" w:rsidRDefault="00C3071B" w14:paraId="188D2ABD"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7AAD5279" w14:textId="77777777">
            <w:pPr>
              <w:jc w:val="center"/>
              <w:rPr>
                <w:rFonts w:ascii="Arial" w:hAnsi="Arial" w:eastAsia="Times New Roman" w:cs="Arial"/>
                <w:b/>
                <w:bCs/>
                <w:sz w:val="20"/>
                <w:szCs w:val="20"/>
                <w:lang w:eastAsia="en-GB"/>
              </w:rPr>
            </w:pPr>
          </w:p>
        </w:tc>
      </w:tr>
      <w:tr w:rsidRPr="00C3071B" w:rsidR="00C3071B" w:rsidTr="00495D7D" w14:paraId="70666131"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09361C45" w14:textId="77777777">
            <w:pPr>
              <w:rPr>
                <w:rFonts w:ascii="Arial" w:hAnsi="Arial" w:eastAsia="Times New Roman" w:cs="Arial"/>
                <w:b/>
                <w:bCs/>
                <w:sz w:val="20"/>
                <w:szCs w:val="20"/>
              </w:rPr>
            </w:pPr>
            <w:r w:rsidRPr="00C3071B">
              <w:rPr>
                <w:rFonts w:ascii="Arial" w:hAnsi="Arial" w:cs="Arial"/>
                <w:b/>
                <w:sz w:val="20"/>
              </w:rPr>
              <w:t>4. sadaļa. Iekšējās finanšu sistēmas pasīvi</w:t>
            </w:r>
          </w:p>
        </w:tc>
        <w:tc>
          <w:tcPr>
            <w:tcW w:w="2745" w:type="dxa"/>
            <w:tcBorders>
              <w:top w:val="nil"/>
              <w:left w:val="nil"/>
              <w:right w:val="nil"/>
            </w:tcBorders>
            <w:hideMark/>
          </w:tcPr>
          <w:p w:rsidRPr="00C3071B" w:rsidR="00C3071B" w:rsidP="00C3071B" w:rsidRDefault="00C3071B" w14:paraId="7BE73843"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28BCF8ED" w14:textId="77777777">
        <w:trPr>
          <w:gridAfter w:val="1"/>
          <w:wAfter w:w="2745" w:type="dxa"/>
          <w:trHeight w:val="300"/>
        </w:trPr>
        <w:tc>
          <w:tcPr>
            <w:tcW w:w="6804" w:type="dxa"/>
            <w:tcBorders>
              <w:left w:val="nil"/>
              <w:right w:val="nil"/>
            </w:tcBorders>
            <w:noWrap/>
            <w:hideMark/>
          </w:tcPr>
          <w:p w:rsidRPr="00C3071B" w:rsidR="00C3071B" w:rsidP="00C3071B" w:rsidRDefault="00C3071B" w14:paraId="22AB8293" w14:textId="77777777">
            <w:pPr>
              <w:ind w:left="171" w:firstLine="28" w:firstLineChars="14"/>
              <w:rPr>
                <w:rFonts w:ascii="Arial" w:hAnsi="Arial" w:eastAsia="Times New Roman" w:cs="Arial"/>
                <w:sz w:val="20"/>
                <w:szCs w:val="20"/>
              </w:rPr>
            </w:pPr>
            <w:r w:rsidRPr="00C3071B">
              <w:rPr>
                <w:rFonts w:ascii="Arial" w:hAnsi="Arial" w:cs="Arial"/>
                <w:sz w:val="20"/>
              </w:rPr>
              <w:t>a) Noguldītie vai aizņemtie līdzekļi no citām finanšu iestādēm</w:t>
            </w:r>
          </w:p>
        </w:tc>
      </w:tr>
      <w:tr w:rsidRPr="00C3071B" w:rsidR="00C3071B" w:rsidTr="00495D7D" w14:paraId="54B9B705" w14:textId="77777777">
        <w:trPr>
          <w:trHeight w:val="300"/>
        </w:trPr>
        <w:tc>
          <w:tcPr>
            <w:tcW w:w="6804" w:type="dxa"/>
            <w:tcBorders>
              <w:left w:val="nil"/>
              <w:right w:val="nil"/>
            </w:tcBorders>
            <w:noWrap/>
            <w:hideMark/>
          </w:tcPr>
          <w:p w:rsidRPr="00C3071B" w:rsidR="00C3071B" w:rsidP="00C3071B" w:rsidRDefault="00C3071B" w14:paraId="74A6666C"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Noguldījumi depozitārijos</w:t>
            </w:r>
          </w:p>
        </w:tc>
        <w:tc>
          <w:tcPr>
            <w:tcW w:w="2745" w:type="dxa"/>
            <w:tcBorders>
              <w:left w:val="nil"/>
              <w:right w:val="nil"/>
            </w:tcBorders>
            <w:noWrap/>
            <w:hideMark/>
          </w:tcPr>
          <w:p w:rsidRPr="00C3071B" w:rsidR="00C3071B" w:rsidP="00C3071B" w:rsidRDefault="00C3071B" w14:paraId="2EB444A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2BCF9AD7" w14:textId="77777777">
        <w:trPr>
          <w:trHeight w:val="300"/>
        </w:trPr>
        <w:tc>
          <w:tcPr>
            <w:tcW w:w="6804" w:type="dxa"/>
            <w:tcBorders>
              <w:left w:val="nil"/>
              <w:right w:val="nil"/>
            </w:tcBorders>
            <w:noWrap/>
            <w:hideMark/>
          </w:tcPr>
          <w:p w:rsidRPr="00C3071B" w:rsidR="00C3071B" w:rsidP="00C3071B" w:rsidRDefault="00C3071B" w14:paraId="73AF0F2F"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Noguldījumi finanšu iestādēs, kas nav depozitāriji</w:t>
            </w:r>
          </w:p>
        </w:tc>
        <w:tc>
          <w:tcPr>
            <w:tcW w:w="2745" w:type="dxa"/>
            <w:tcBorders>
              <w:left w:val="nil"/>
              <w:right w:val="nil"/>
            </w:tcBorders>
            <w:noWrap/>
            <w:hideMark/>
          </w:tcPr>
          <w:p w:rsidRPr="00C3071B" w:rsidR="00C3071B" w:rsidP="00C3071B" w:rsidRDefault="00C3071B" w14:paraId="1DE66C2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9F0B092" w14:textId="77777777">
        <w:trPr>
          <w:trHeight w:val="300"/>
        </w:trPr>
        <w:tc>
          <w:tcPr>
            <w:tcW w:w="6804" w:type="dxa"/>
            <w:tcBorders>
              <w:left w:val="nil"/>
              <w:right w:val="nil"/>
            </w:tcBorders>
            <w:noWrap/>
            <w:hideMark/>
          </w:tcPr>
          <w:p w:rsidRPr="00C3071B" w:rsidR="00C3071B" w:rsidP="00C3071B" w:rsidRDefault="00C3071B" w14:paraId="5673E3F3"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Aizņēmumi no citām finanšu iestādēm</w:t>
            </w:r>
          </w:p>
        </w:tc>
        <w:tc>
          <w:tcPr>
            <w:tcW w:w="2745" w:type="dxa"/>
            <w:tcBorders>
              <w:left w:val="nil"/>
              <w:right w:val="nil"/>
            </w:tcBorders>
            <w:noWrap/>
            <w:hideMark/>
          </w:tcPr>
          <w:p w:rsidRPr="00C3071B" w:rsidR="00C3071B" w:rsidP="00C3071B" w:rsidRDefault="00C3071B" w14:paraId="36FCC3CF"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793BAFE" w14:textId="77777777">
        <w:trPr>
          <w:trHeight w:val="300"/>
        </w:trPr>
        <w:tc>
          <w:tcPr>
            <w:tcW w:w="6804" w:type="dxa"/>
            <w:tcBorders>
              <w:left w:val="nil"/>
              <w:right w:val="nil"/>
            </w:tcBorders>
            <w:noWrap/>
          </w:tcPr>
          <w:p w:rsidRPr="00C3071B" w:rsidR="00C3071B" w:rsidP="00C3071B" w:rsidRDefault="00C3071B" w14:paraId="41B298BF" w14:textId="77777777">
            <w:pPr>
              <w:ind w:left="171"/>
              <w:rPr>
                <w:rFonts w:ascii="Arial" w:hAnsi="Arial" w:eastAsia="Times New Roman" w:cs="Arial"/>
                <w:sz w:val="20"/>
                <w:szCs w:val="20"/>
              </w:rPr>
            </w:pPr>
            <w:r w:rsidRPr="00C3071B">
              <w:rPr>
                <w:rFonts w:ascii="Arial" w:hAnsi="Arial" w:cs="Arial"/>
                <w:sz w:val="20"/>
              </w:rPr>
              <w:t>b) Neizmantotā piešķirto līniju, kas iegūtas no citām finanšu iestādēm, daļa</w:t>
            </w:r>
          </w:p>
        </w:tc>
        <w:tc>
          <w:tcPr>
            <w:tcW w:w="2745" w:type="dxa"/>
            <w:tcBorders>
              <w:left w:val="nil"/>
              <w:right w:val="nil"/>
            </w:tcBorders>
            <w:noWrap/>
          </w:tcPr>
          <w:p w:rsidRPr="00C3071B" w:rsidR="00C3071B" w:rsidP="00C3071B" w:rsidRDefault="00C3071B" w14:paraId="7B9AAAB4" w14:textId="77777777">
            <w:pPr>
              <w:jc w:val="right"/>
              <w:rPr>
                <w:rFonts w:ascii="Arial" w:hAnsi="Arial" w:eastAsia="Times New Roman" w:cs="Arial"/>
                <w:sz w:val="20"/>
                <w:szCs w:val="20"/>
                <w:lang w:eastAsia="en-GB"/>
              </w:rPr>
            </w:pPr>
          </w:p>
        </w:tc>
      </w:tr>
      <w:tr w:rsidRPr="00C3071B" w:rsidR="00C3071B" w:rsidTr="00495D7D" w14:paraId="28CD6DC9" w14:textId="77777777">
        <w:trPr>
          <w:trHeight w:val="300"/>
        </w:trPr>
        <w:tc>
          <w:tcPr>
            <w:tcW w:w="6804" w:type="dxa"/>
            <w:tcBorders>
              <w:left w:val="nil"/>
              <w:right w:val="nil"/>
            </w:tcBorders>
            <w:noWrap/>
          </w:tcPr>
          <w:p w:rsidRPr="00C3071B" w:rsidR="00C3071B" w:rsidP="00C3071B" w:rsidRDefault="00C3071B" w14:paraId="797988FF" w14:textId="77777777">
            <w:pPr>
              <w:ind w:left="171"/>
              <w:rPr>
                <w:rFonts w:ascii="Arial" w:hAnsi="Arial" w:eastAsia="Times New Roman" w:cs="Arial"/>
                <w:sz w:val="20"/>
                <w:szCs w:val="20"/>
              </w:rPr>
            </w:pPr>
            <w:r w:rsidRPr="00C3071B">
              <w:rPr>
                <w:rFonts w:ascii="Arial" w:hAnsi="Arial" w:cs="Arial"/>
                <w:sz w:val="20"/>
              </w:rPr>
              <w:lastRenderedPageBreak/>
              <w:t>c) Esošo VFD ar citām finanšu iestādēm negatīvā neto vērtība</w:t>
            </w:r>
          </w:p>
        </w:tc>
        <w:tc>
          <w:tcPr>
            <w:tcW w:w="2745" w:type="dxa"/>
            <w:tcBorders>
              <w:left w:val="nil"/>
              <w:right w:val="nil"/>
            </w:tcBorders>
            <w:noWrap/>
          </w:tcPr>
          <w:p w:rsidRPr="00C3071B" w:rsidR="00C3071B" w:rsidP="00C3071B" w:rsidRDefault="00C3071B" w14:paraId="4689A00A" w14:textId="77777777">
            <w:pPr>
              <w:jc w:val="right"/>
              <w:rPr>
                <w:rFonts w:ascii="Arial" w:hAnsi="Arial" w:eastAsia="Times New Roman" w:cs="Arial"/>
                <w:sz w:val="20"/>
                <w:szCs w:val="20"/>
                <w:lang w:eastAsia="en-GB"/>
              </w:rPr>
            </w:pPr>
          </w:p>
        </w:tc>
      </w:tr>
      <w:tr w:rsidRPr="00C3071B" w:rsidR="00C3071B" w:rsidTr="00495D7D" w14:paraId="71514367" w14:textId="77777777">
        <w:trPr>
          <w:trHeight w:val="300"/>
        </w:trPr>
        <w:tc>
          <w:tcPr>
            <w:tcW w:w="6804" w:type="dxa"/>
            <w:tcBorders>
              <w:left w:val="nil"/>
              <w:bottom w:val="single" w:color="auto" w:sz="4" w:space="0"/>
              <w:right w:val="nil"/>
            </w:tcBorders>
            <w:noWrap/>
          </w:tcPr>
          <w:p w:rsidRPr="00C3071B" w:rsidR="00C3071B" w:rsidP="00C3071B" w:rsidRDefault="00C3071B" w14:paraId="6BF97CCD" w14:textId="77777777">
            <w:pPr>
              <w:ind w:left="171"/>
              <w:rPr>
                <w:rFonts w:ascii="Arial" w:hAnsi="Arial" w:eastAsia="Times New Roman" w:cs="Arial"/>
                <w:sz w:val="20"/>
                <w:szCs w:val="20"/>
              </w:rPr>
            </w:pPr>
            <w:r w:rsidRPr="00C3071B">
              <w:rPr>
                <w:rFonts w:ascii="Arial" w:hAnsi="Arial" w:cs="Arial"/>
                <w:sz w:val="20"/>
              </w:rPr>
              <w:t>d) Ārpusbiržas atvasinātie instrumenti ar citām finanšu iestādēm, kuriem ir negatīva neto patiesā vērtība:</w:t>
            </w:r>
          </w:p>
        </w:tc>
        <w:tc>
          <w:tcPr>
            <w:tcW w:w="2745" w:type="dxa"/>
            <w:tcBorders>
              <w:left w:val="nil"/>
              <w:bottom w:val="single" w:color="auto" w:sz="4" w:space="0"/>
              <w:right w:val="nil"/>
            </w:tcBorders>
            <w:noWrap/>
          </w:tcPr>
          <w:p w:rsidRPr="00C3071B" w:rsidR="00C3071B" w:rsidP="00C3071B" w:rsidRDefault="00C3071B" w14:paraId="5D35BAEF" w14:textId="77777777">
            <w:pPr>
              <w:jc w:val="right"/>
              <w:rPr>
                <w:rFonts w:ascii="Arial" w:hAnsi="Arial" w:eastAsia="Times New Roman" w:cs="Arial"/>
                <w:sz w:val="20"/>
                <w:szCs w:val="20"/>
                <w:lang w:eastAsia="en-GB"/>
              </w:rPr>
            </w:pPr>
          </w:p>
        </w:tc>
      </w:tr>
      <w:tr w:rsidRPr="00C3071B" w:rsidR="00C3071B" w:rsidTr="00495D7D" w14:paraId="251A6D2C" w14:textId="77777777">
        <w:trPr>
          <w:trHeight w:val="300"/>
        </w:trPr>
        <w:tc>
          <w:tcPr>
            <w:tcW w:w="6804" w:type="dxa"/>
            <w:tcBorders>
              <w:left w:val="nil"/>
              <w:right w:val="nil"/>
            </w:tcBorders>
            <w:noWrap/>
            <w:hideMark/>
          </w:tcPr>
          <w:p w:rsidRPr="00C3071B" w:rsidR="00C3071B" w:rsidP="00C3071B" w:rsidRDefault="00C3071B" w14:paraId="5593CBCA"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Negatīva patiesā neto vērtība</w:t>
            </w:r>
          </w:p>
        </w:tc>
        <w:tc>
          <w:tcPr>
            <w:tcW w:w="2745" w:type="dxa"/>
            <w:tcBorders>
              <w:left w:val="nil"/>
              <w:right w:val="nil"/>
            </w:tcBorders>
            <w:noWrap/>
            <w:hideMark/>
          </w:tcPr>
          <w:p w:rsidRPr="00C3071B" w:rsidR="00C3071B" w:rsidP="00C3071B" w:rsidRDefault="00C3071B" w14:paraId="21FDEA8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FA9A2BF" w14:textId="77777777">
        <w:trPr>
          <w:trHeight w:val="300"/>
        </w:trPr>
        <w:tc>
          <w:tcPr>
            <w:tcW w:w="6804" w:type="dxa"/>
            <w:tcBorders>
              <w:left w:val="nil"/>
              <w:right w:val="nil"/>
            </w:tcBorders>
            <w:noWrap/>
            <w:hideMark/>
          </w:tcPr>
          <w:p w:rsidRPr="00C3071B" w:rsidR="00C3071B" w:rsidP="00C3071B" w:rsidRDefault="00C3071B" w14:paraId="01DAF2B3"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Potenciālo nākotnes riska darījumu vērtība</w:t>
            </w:r>
          </w:p>
        </w:tc>
        <w:tc>
          <w:tcPr>
            <w:tcW w:w="2745" w:type="dxa"/>
            <w:tcBorders>
              <w:left w:val="nil"/>
              <w:right w:val="nil"/>
            </w:tcBorders>
            <w:noWrap/>
            <w:hideMark/>
          </w:tcPr>
          <w:p w:rsidRPr="00C3071B" w:rsidR="00C3071B" w:rsidP="00C3071B" w:rsidRDefault="00C3071B" w14:paraId="479D7BF8"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D55A2C7" w14:textId="77777777">
        <w:trPr>
          <w:trHeight w:val="300"/>
        </w:trPr>
        <w:tc>
          <w:tcPr>
            <w:tcW w:w="6804" w:type="dxa"/>
            <w:tcBorders>
              <w:left w:val="nil"/>
              <w:bottom w:val="single" w:color="auto" w:sz="4" w:space="0"/>
              <w:right w:val="nil"/>
            </w:tcBorders>
            <w:noWrap/>
          </w:tcPr>
          <w:p w:rsidRPr="00C3071B" w:rsidR="00C3071B" w:rsidP="00C3071B" w:rsidRDefault="00C3071B" w14:paraId="29D57F6F" w14:textId="77777777">
            <w:pPr>
              <w:ind w:left="171"/>
              <w:rPr>
                <w:rFonts w:ascii="Arial" w:hAnsi="Arial" w:eastAsia="Times New Roman" w:cs="Arial"/>
                <w:sz w:val="20"/>
                <w:szCs w:val="20"/>
              </w:rPr>
            </w:pPr>
            <w:r w:rsidRPr="00C3071B">
              <w:rPr>
                <w:rFonts w:ascii="Arial" w:hAnsi="Arial" w:cs="Arial"/>
                <w:sz w:val="20"/>
              </w:rPr>
              <w:t>e) Iekšējās finanšu sistēmas pasīvu rādītājs, tostarp apdrošināšanas meitasuzņēmumi (posteņu 4.a.(1) līdz 4.d.(2) summa)</w:t>
            </w:r>
          </w:p>
        </w:tc>
        <w:tc>
          <w:tcPr>
            <w:tcW w:w="2745" w:type="dxa"/>
            <w:tcBorders>
              <w:left w:val="nil"/>
              <w:bottom w:val="single" w:color="auto" w:sz="4" w:space="0"/>
              <w:right w:val="nil"/>
            </w:tcBorders>
            <w:noWrap/>
          </w:tcPr>
          <w:p w:rsidRPr="00C3071B" w:rsidR="00C3071B" w:rsidP="00C3071B" w:rsidRDefault="00C3071B" w14:paraId="7E869D83" w14:textId="77777777">
            <w:pPr>
              <w:jc w:val="right"/>
              <w:rPr>
                <w:rFonts w:ascii="Arial" w:hAnsi="Arial" w:eastAsia="Times New Roman" w:cs="Arial"/>
                <w:sz w:val="20"/>
                <w:szCs w:val="20"/>
                <w:lang w:eastAsia="en-GB"/>
              </w:rPr>
            </w:pPr>
          </w:p>
        </w:tc>
      </w:tr>
      <w:tr w:rsidRPr="00C3071B" w:rsidR="00C3071B" w:rsidTr="00495D7D" w14:paraId="6EB3A3DE" w14:textId="77777777">
        <w:trPr>
          <w:trHeight w:val="300"/>
        </w:trPr>
        <w:tc>
          <w:tcPr>
            <w:tcW w:w="6804" w:type="dxa"/>
            <w:tcBorders>
              <w:left w:val="nil"/>
              <w:bottom w:val="nil"/>
              <w:right w:val="nil"/>
            </w:tcBorders>
            <w:noWrap/>
          </w:tcPr>
          <w:p w:rsidRPr="00C3071B" w:rsidR="00C3071B" w:rsidP="00C3071B" w:rsidRDefault="00C3071B" w14:paraId="29526D4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5A3642F5" w14:textId="77777777">
            <w:pPr>
              <w:jc w:val="center"/>
              <w:rPr>
                <w:rFonts w:ascii="Arial" w:hAnsi="Arial" w:eastAsia="Times New Roman" w:cs="Arial"/>
                <w:b/>
                <w:bCs/>
                <w:sz w:val="20"/>
                <w:szCs w:val="20"/>
                <w:lang w:eastAsia="en-GB"/>
              </w:rPr>
            </w:pPr>
          </w:p>
        </w:tc>
      </w:tr>
      <w:tr w:rsidRPr="00C3071B" w:rsidR="00C3071B" w:rsidTr="00495D7D" w14:paraId="21C0559F" w14:textId="77777777">
        <w:trPr>
          <w:trHeight w:val="300"/>
        </w:trPr>
        <w:tc>
          <w:tcPr>
            <w:tcW w:w="6804" w:type="dxa"/>
            <w:tcBorders>
              <w:top w:val="nil"/>
              <w:left w:val="nil"/>
              <w:right w:val="nil"/>
            </w:tcBorders>
            <w:noWrap/>
            <w:hideMark/>
          </w:tcPr>
          <w:p w:rsidRPr="00C3071B" w:rsidR="00C3071B" w:rsidP="00C3071B" w:rsidRDefault="00C3071B" w14:paraId="7CA266F1" w14:textId="77777777">
            <w:pPr>
              <w:rPr>
                <w:rFonts w:ascii="Arial" w:hAnsi="Arial" w:eastAsia="Times New Roman" w:cs="Arial"/>
                <w:b/>
                <w:bCs/>
                <w:sz w:val="20"/>
                <w:szCs w:val="20"/>
              </w:rPr>
            </w:pPr>
            <w:r w:rsidRPr="00C3071B">
              <w:rPr>
                <w:rFonts w:ascii="Arial" w:hAnsi="Arial" w:cs="Arial"/>
                <w:b/>
                <w:sz w:val="20"/>
              </w:rPr>
              <w:t>5.sadaļa. Nesamaksātie vērtspapīri</w:t>
            </w:r>
          </w:p>
        </w:tc>
        <w:tc>
          <w:tcPr>
            <w:tcW w:w="2745" w:type="dxa"/>
            <w:tcBorders>
              <w:top w:val="nil"/>
              <w:left w:val="nil"/>
              <w:right w:val="nil"/>
            </w:tcBorders>
            <w:hideMark/>
          </w:tcPr>
          <w:p w:rsidRPr="00C3071B" w:rsidR="00C3071B" w:rsidP="00C3071B" w:rsidRDefault="00C3071B" w14:paraId="7D542FF2"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25088506" w14:textId="77777777">
        <w:trPr>
          <w:trHeight w:val="300"/>
        </w:trPr>
        <w:tc>
          <w:tcPr>
            <w:tcW w:w="6804" w:type="dxa"/>
            <w:tcBorders>
              <w:left w:val="nil"/>
              <w:right w:val="nil"/>
            </w:tcBorders>
            <w:noWrap/>
            <w:hideMark/>
          </w:tcPr>
          <w:p w:rsidRPr="00C3071B" w:rsidR="00C3071B" w:rsidP="00C3071B" w:rsidRDefault="00C3071B" w14:paraId="6AA16E3B" w14:textId="77777777">
            <w:pPr>
              <w:ind w:firstLine="200" w:firstLineChars="100"/>
              <w:rPr>
                <w:rFonts w:ascii="Arial" w:hAnsi="Arial" w:eastAsia="Times New Roman" w:cs="Arial"/>
                <w:sz w:val="20"/>
                <w:szCs w:val="20"/>
              </w:rPr>
            </w:pPr>
            <w:r w:rsidRPr="00C3071B">
              <w:rPr>
                <w:rFonts w:ascii="Arial" w:hAnsi="Arial" w:cs="Arial"/>
                <w:sz w:val="20"/>
              </w:rPr>
              <w:t>a. Nodrošināta parāda vērtspapīri</w:t>
            </w:r>
          </w:p>
        </w:tc>
        <w:tc>
          <w:tcPr>
            <w:tcW w:w="2745" w:type="dxa"/>
            <w:tcBorders>
              <w:left w:val="nil"/>
              <w:right w:val="nil"/>
            </w:tcBorders>
            <w:noWrap/>
            <w:hideMark/>
          </w:tcPr>
          <w:p w:rsidRPr="00C3071B" w:rsidR="00C3071B" w:rsidP="00C3071B" w:rsidRDefault="00C3071B" w14:paraId="4E0EB37C"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3C129FF" w14:textId="77777777">
        <w:trPr>
          <w:trHeight w:val="300"/>
        </w:trPr>
        <w:tc>
          <w:tcPr>
            <w:tcW w:w="6804" w:type="dxa"/>
            <w:tcBorders>
              <w:left w:val="nil"/>
              <w:right w:val="nil"/>
            </w:tcBorders>
            <w:noWrap/>
            <w:hideMark/>
          </w:tcPr>
          <w:p w:rsidRPr="00C3071B" w:rsidR="00C3071B" w:rsidP="00C3071B" w:rsidRDefault="00C3071B" w14:paraId="52E3FD03" w14:textId="77777777">
            <w:pPr>
              <w:ind w:firstLine="200" w:firstLineChars="100"/>
              <w:rPr>
                <w:rFonts w:ascii="Arial" w:hAnsi="Arial" w:eastAsia="Times New Roman" w:cs="Arial"/>
                <w:sz w:val="20"/>
                <w:szCs w:val="20"/>
              </w:rPr>
            </w:pPr>
            <w:r w:rsidRPr="00C3071B">
              <w:rPr>
                <w:rFonts w:ascii="Arial" w:hAnsi="Arial" w:cs="Arial"/>
                <w:sz w:val="20"/>
              </w:rPr>
              <w:t>b. Augstākas prioritātes parāda vērtspapīri</w:t>
            </w:r>
          </w:p>
        </w:tc>
        <w:tc>
          <w:tcPr>
            <w:tcW w:w="2745" w:type="dxa"/>
            <w:tcBorders>
              <w:left w:val="nil"/>
              <w:right w:val="nil"/>
            </w:tcBorders>
            <w:noWrap/>
            <w:hideMark/>
          </w:tcPr>
          <w:p w:rsidRPr="00C3071B" w:rsidR="00C3071B" w:rsidP="00C3071B" w:rsidRDefault="00C3071B" w14:paraId="0F6E4106"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ABD9A9D" w14:textId="77777777">
        <w:trPr>
          <w:trHeight w:val="300"/>
        </w:trPr>
        <w:tc>
          <w:tcPr>
            <w:tcW w:w="6804" w:type="dxa"/>
            <w:tcBorders>
              <w:left w:val="nil"/>
              <w:right w:val="nil"/>
            </w:tcBorders>
            <w:noWrap/>
            <w:hideMark/>
          </w:tcPr>
          <w:p w:rsidRPr="00C3071B" w:rsidR="00C3071B" w:rsidP="00C3071B" w:rsidRDefault="00C3071B" w14:paraId="7474D28E" w14:textId="77777777">
            <w:pPr>
              <w:ind w:firstLine="200" w:firstLineChars="100"/>
              <w:rPr>
                <w:rFonts w:ascii="Arial" w:hAnsi="Arial" w:eastAsia="Times New Roman" w:cs="Arial"/>
                <w:sz w:val="20"/>
                <w:szCs w:val="20"/>
              </w:rPr>
            </w:pPr>
            <w:r w:rsidRPr="00C3071B">
              <w:rPr>
                <w:rFonts w:ascii="Arial" w:hAnsi="Arial" w:cs="Arial"/>
                <w:sz w:val="20"/>
              </w:rPr>
              <w:t>c. Pakārtota parāda vērtspapīri</w:t>
            </w:r>
          </w:p>
        </w:tc>
        <w:tc>
          <w:tcPr>
            <w:tcW w:w="2745" w:type="dxa"/>
            <w:tcBorders>
              <w:left w:val="nil"/>
              <w:right w:val="nil"/>
            </w:tcBorders>
            <w:noWrap/>
            <w:hideMark/>
          </w:tcPr>
          <w:p w:rsidRPr="00C3071B" w:rsidR="00C3071B" w:rsidP="00C3071B" w:rsidRDefault="00C3071B" w14:paraId="40BE974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AAF048D" w14:textId="77777777">
        <w:trPr>
          <w:trHeight w:val="300"/>
        </w:trPr>
        <w:tc>
          <w:tcPr>
            <w:tcW w:w="6804" w:type="dxa"/>
            <w:tcBorders>
              <w:left w:val="nil"/>
              <w:right w:val="nil"/>
            </w:tcBorders>
            <w:noWrap/>
            <w:hideMark/>
          </w:tcPr>
          <w:p w:rsidRPr="00C3071B" w:rsidR="00C3071B" w:rsidP="00C3071B" w:rsidRDefault="00C3071B" w14:paraId="06E1587F" w14:textId="77777777">
            <w:pPr>
              <w:ind w:firstLine="200" w:firstLineChars="100"/>
              <w:rPr>
                <w:rFonts w:ascii="Arial" w:hAnsi="Arial" w:eastAsia="Times New Roman" w:cs="Arial"/>
                <w:sz w:val="20"/>
                <w:szCs w:val="20"/>
              </w:rPr>
            </w:pPr>
            <w:r w:rsidRPr="00C3071B">
              <w:rPr>
                <w:rFonts w:ascii="Arial" w:hAnsi="Arial" w:cs="Arial"/>
                <w:sz w:val="20"/>
              </w:rPr>
              <w:t>d. Komerciāli vērtspapīri</w:t>
            </w:r>
          </w:p>
        </w:tc>
        <w:tc>
          <w:tcPr>
            <w:tcW w:w="2745" w:type="dxa"/>
            <w:tcBorders>
              <w:left w:val="nil"/>
              <w:right w:val="nil"/>
            </w:tcBorders>
            <w:noWrap/>
            <w:hideMark/>
          </w:tcPr>
          <w:p w:rsidRPr="00C3071B" w:rsidR="00C3071B" w:rsidP="00C3071B" w:rsidRDefault="00C3071B" w14:paraId="0E0CC35A"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F07C85D" w14:textId="77777777">
        <w:trPr>
          <w:trHeight w:val="300"/>
        </w:trPr>
        <w:tc>
          <w:tcPr>
            <w:tcW w:w="6804" w:type="dxa"/>
            <w:tcBorders>
              <w:left w:val="nil"/>
              <w:right w:val="nil"/>
            </w:tcBorders>
            <w:noWrap/>
            <w:hideMark/>
          </w:tcPr>
          <w:p w:rsidRPr="00C3071B" w:rsidR="00C3071B" w:rsidP="00C3071B" w:rsidRDefault="00C3071B" w14:paraId="474E592F" w14:textId="77777777">
            <w:pPr>
              <w:ind w:firstLine="200" w:firstLineChars="100"/>
              <w:rPr>
                <w:rFonts w:ascii="Arial" w:hAnsi="Arial" w:eastAsia="Times New Roman" w:cs="Arial"/>
                <w:sz w:val="20"/>
                <w:szCs w:val="20"/>
              </w:rPr>
            </w:pPr>
            <w:r w:rsidRPr="00C3071B">
              <w:rPr>
                <w:rFonts w:ascii="Arial" w:hAnsi="Arial" w:cs="Arial"/>
                <w:sz w:val="20"/>
              </w:rPr>
              <w:t>e. Noguldījumu sertifikāti</w:t>
            </w:r>
          </w:p>
        </w:tc>
        <w:tc>
          <w:tcPr>
            <w:tcW w:w="2745" w:type="dxa"/>
            <w:tcBorders>
              <w:left w:val="nil"/>
              <w:right w:val="nil"/>
            </w:tcBorders>
            <w:noWrap/>
            <w:hideMark/>
          </w:tcPr>
          <w:p w:rsidRPr="00C3071B" w:rsidR="00C3071B" w:rsidP="00C3071B" w:rsidRDefault="00C3071B" w14:paraId="23C0304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2C43622" w14:textId="77777777">
        <w:trPr>
          <w:trHeight w:val="300"/>
        </w:trPr>
        <w:tc>
          <w:tcPr>
            <w:tcW w:w="6804" w:type="dxa"/>
            <w:tcBorders>
              <w:left w:val="nil"/>
              <w:right w:val="nil"/>
            </w:tcBorders>
            <w:noWrap/>
            <w:hideMark/>
          </w:tcPr>
          <w:p w:rsidRPr="00C3071B" w:rsidR="00C3071B" w:rsidP="00C3071B" w:rsidRDefault="00C3071B" w14:paraId="089E6BB5" w14:textId="77777777">
            <w:pPr>
              <w:ind w:firstLine="200" w:firstLineChars="100"/>
              <w:rPr>
                <w:rFonts w:ascii="Arial" w:hAnsi="Arial" w:eastAsia="Times New Roman" w:cs="Arial"/>
                <w:sz w:val="20"/>
                <w:szCs w:val="20"/>
              </w:rPr>
            </w:pPr>
            <w:r w:rsidRPr="00C3071B">
              <w:rPr>
                <w:rFonts w:ascii="Arial" w:hAnsi="Arial" w:cs="Arial"/>
                <w:sz w:val="20"/>
              </w:rPr>
              <w:t>f. Pamata kapitāls</w:t>
            </w:r>
          </w:p>
        </w:tc>
        <w:tc>
          <w:tcPr>
            <w:tcW w:w="2745" w:type="dxa"/>
            <w:tcBorders>
              <w:left w:val="nil"/>
              <w:right w:val="nil"/>
            </w:tcBorders>
            <w:noWrap/>
            <w:hideMark/>
          </w:tcPr>
          <w:p w:rsidRPr="00C3071B" w:rsidR="00C3071B" w:rsidP="00C3071B" w:rsidRDefault="00C3071B" w14:paraId="4096C304"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6B0E078" w14:textId="77777777">
        <w:trPr>
          <w:trHeight w:val="300"/>
        </w:trPr>
        <w:tc>
          <w:tcPr>
            <w:tcW w:w="6804" w:type="dxa"/>
            <w:tcBorders>
              <w:left w:val="nil"/>
              <w:right w:val="nil"/>
            </w:tcBorders>
            <w:noWrap/>
          </w:tcPr>
          <w:p w:rsidRPr="00C3071B" w:rsidR="00C3071B" w:rsidP="00C3071B" w:rsidRDefault="00C3071B" w14:paraId="6C5DB3B4" w14:textId="77777777">
            <w:pPr>
              <w:ind w:left="171"/>
              <w:rPr>
                <w:rFonts w:ascii="Arial" w:hAnsi="Arial" w:eastAsia="Times New Roman" w:cs="Arial"/>
                <w:sz w:val="20"/>
                <w:szCs w:val="20"/>
              </w:rPr>
            </w:pPr>
            <w:r w:rsidRPr="00C3071B">
              <w:rPr>
                <w:rFonts w:ascii="Arial" w:hAnsi="Arial" w:cs="Arial"/>
                <w:sz w:val="20"/>
              </w:rPr>
              <w:t>g) Priekšrocību akcijas un citas pakārtotā finansējuma formas, kas nav iekļautas 5.c postenī.</w:t>
            </w:r>
          </w:p>
        </w:tc>
        <w:tc>
          <w:tcPr>
            <w:tcW w:w="2745" w:type="dxa"/>
            <w:tcBorders>
              <w:left w:val="nil"/>
              <w:right w:val="nil"/>
            </w:tcBorders>
            <w:noWrap/>
          </w:tcPr>
          <w:p w:rsidRPr="00C3071B" w:rsidR="00C3071B" w:rsidP="00C3071B" w:rsidRDefault="00C3071B" w14:paraId="61C3FC3F" w14:textId="77777777">
            <w:pPr>
              <w:jc w:val="right"/>
              <w:rPr>
                <w:rFonts w:ascii="Arial" w:hAnsi="Arial" w:eastAsia="Times New Roman" w:cs="Arial"/>
                <w:sz w:val="20"/>
                <w:szCs w:val="20"/>
                <w:lang w:eastAsia="en-GB"/>
              </w:rPr>
            </w:pPr>
          </w:p>
        </w:tc>
      </w:tr>
      <w:tr w:rsidRPr="00C3071B" w:rsidR="00C3071B" w:rsidTr="00495D7D" w14:paraId="6F717797" w14:textId="77777777">
        <w:trPr>
          <w:trHeight w:val="300"/>
        </w:trPr>
        <w:tc>
          <w:tcPr>
            <w:tcW w:w="6804" w:type="dxa"/>
            <w:tcBorders>
              <w:left w:val="nil"/>
              <w:bottom w:val="single" w:color="auto" w:sz="4" w:space="0"/>
              <w:right w:val="nil"/>
            </w:tcBorders>
            <w:noWrap/>
          </w:tcPr>
          <w:p w:rsidRPr="00C3071B" w:rsidR="00C3071B" w:rsidP="00C3071B" w:rsidRDefault="00C3071B" w14:paraId="3AA01E6E" w14:textId="77777777">
            <w:pPr>
              <w:ind w:left="171"/>
              <w:rPr>
                <w:rFonts w:ascii="Arial" w:hAnsi="Arial" w:eastAsia="Times New Roman" w:cs="Arial"/>
                <w:sz w:val="20"/>
                <w:szCs w:val="20"/>
              </w:rPr>
            </w:pPr>
            <w:r w:rsidRPr="00C3071B">
              <w:rPr>
                <w:rFonts w:ascii="Arial" w:hAnsi="Arial" w:cs="Arial"/>
                <w:sz w:val="20"/>
              </w:rPr>
              <w:t>h) Neatmaksāto vērtspapīru rādītājs, t. sk. apdrošināšanas meitasuzņēmumu emitētie vērtspapīri (posteņu 5.a līdz 5.g summa)</w:t>
            </w:r>
          </w:p>
        </w:tc>
        <w:tc>
          <w:tcPr>
            <w:tcW w:w="2745" w:type="dxa"/>
            <w:tcBorders>
              <w:left w:val="nil"/>
              <w:bottom w:val="single" w:color="auto" w:sz="4" w:space="0"/>
              <w:right w:val="nil"/>
            </w:tcBorders>
            <w:noWrap/>
          </w:tcPr>
          <w:p w:rsidRPr="00C3071B" w:rsidR="00C3071B" w:rsidP="00C3071B" w:rsidRDefault="00C3071B" w14:paraId="2BBC3CB3" w14:textId="77777777">
            <w:pPr>
              <w:jc w:val="right"/>
              <w:rPr>
                <w:rFonts w:ascii="Arial" w:hAnsi="Arial" w:eastAsia="Times New Roman" w:cs="Arial"/>
                <w:sz w:val="20"/>
                <w:szCs w:val="20"/>
                <w:lang w:eastAsia="en-GB"/>
              </w:rPr>
            </w:pPr>
          </w:p>
        </w:tc>
      </w:tr>
      <w:tr w:rsidRPr="00C3071B" w:rsidR="00C3071B" w:rsidTr="00495D7D" w14:paraId="78BD946E" w14:textId="77777777">
        <w:trPr>
          <w:trHeight w:val="300"/>
        </w:trPr>
        <w:tc>
          <w:tcPr>
            <w:tcW w:w="6804" w:type="dxa"/>
            <w:tcBorders>
              <w:top w:val="single" w:color="auto" w:sz="4" w:space="0"/>
              <w:left w:val="nil"/>
              <w:bottom w:val="nil"/>
              <w:right w:val="nil"/>
            </w:tcBorders>
            <w:noWrap/>
          </w:tcPr>
          <w:p w:rsidRPr="00C3071B" w:rsidR="00C3071B" w:rsidP="00C3071B" w:rsidRDefault="00C3071B" w14:paraId="6F05D084" w14:textId="77777777">
            <w:pPr>
              <w:keepNext/>
              <w:keepLines/>
              <w:spacing w:before="47"/>
              <w:outlineLvl w:val="5"/>
              <w:rPr>
                <w:rFonts w:ascii="Arial" w:hAnsi="Arial" w:eastAsia="Times New Roman" w:cs="Arial"/>
                <w:b/>
                <w:bCs/>
                <w:i/>
                <w:iCs/>
                <w:caps/>
                <w:spacing w:val="-2"/>
                <w:sz w:val="20"/>
                <w:szCs w:val="20"/>
              </w:rPr>
            </w:pPr>
          </w:p>
        </w:tc>
        <w:tc>
          <w:tcPr>
            <w:tcW w:w="2745" w:type="dxa"/>
            <w:tcBorders>
              <w:top w:val="single" w:color="auto" w:sz="4" w:space="0"/>
              <w:left w:val="nil"/>
              <w:bottom w:val="nil"/>
              <w:right w:val="nil"/>
            </w:tcBorders>
            <w:noWrap/>
          </w:tcPr>
          <w:p w:rsidRPr="00C3071B" w:rsidR="00C3071B" w:rsidP="00C3071B" w:rsidRDefault="00C3071B" w14:paraId="4D1D511D" w14:textId="77777777">
            <w:pPr>
              <w:jc w:val="center"/>
              <w:rPr>
                <w:rFonts w:ascii="Arial" w:hAnsi="Arial" w:eastAsia="Times New Roman" w:cs="Arial"/>
                <w:b/>
                <w:bCs/>
                <w:sz w:val="20"/>
                <w:szCs w:val="20"/>
                <w:lang w:eastAsia="en-GB"/>
              </w:rPr>
            </w:pPr>
          </w:p>
        </w:tc>
      </w:tr>
      <w:tr w:rsidRPr="00C3071B" w:rsidR="00C3071B" w:rsidTr="00495D7D" w14:paraId="52883833" w14:textId="77777777">
        <w:trPr>
          <w:trHeight w:val="300"/>
        </w:trPr>
        <w:tc>
          <w:tcPr>
            <w:tcW w:w="6804" w:type="dxa"/>
            <w:tcBorders>
              <w:top w:val="nil"/>
              <w:left w:val="nil"/>
              <w:bottom w:val="nil"/>
              <w:right w:val="nil"/>
            </w:tcBorders>
            <w:noWrap/>
          </w:tcPr>
          <w:p w:rsidRPr="00C3071B" w:rsidR="00C3071B" w:rsidP="00C3071B" w:rsidRDefault="00C3071B" w14:paraId="1BF44A6E" w14:textId="77777777">
            <w:pPr>
              <w:keepNext/>
              <w:keepLines/>
              <w:spacing w:before="47"/>
              <w:outlineLvl w:val="5"/>
              <w:rPr>
                <w:rFonts w:ascii="Calibri Light" w:hAnsi="Calibri Light" w:eastAsia="Times New Roman" w:cs="Times New Roman"/>
                <w:b/>
                <w:bCs/>
                <w:i/>
                <w:iCs/>
                <w:caps/>
                <w:spacing w:val="-2"/>
              </w:rPr>
            </w:pPr>
            <w:r w:rsidRPr="00C3071B">
              <w:rPr>
                <w:rFonts w:ascii="Calibri Light" w:hAnsi="Calibri Light" w:cs="Arial"/>
                <w:b/>
                <w:i/>
                <w:caps/>
              </w:rPr>
              <w:t>Aizvietojamība / finanšu iestādes infrastruktūras rādītāji</w:t>
            </w:r>
          </w:p>
          <w:p w:rsidRPr="00C3071B" w:rsidR="00C3071B" w:rsidP="00C3071B" w:rsidRDefault="00C3071B" w14:paraId="05D82B37"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C3071B" w:rsidR="00C3071B" w:rsidP="00C3071B" w:rsidRDefault="00C3071B" w14:paraId="50FE9ADF" w14:textId="77777777">
            <w:pPr>
              <w:jc w:val="center"/>
              <w:rPr>
                <w:rFonts w:ascii="Arial" w:hAnsi="Arial" w:eastAsia="Times New Roman" w:cs="Arial"/>
                <w:b/>
                <w:bCs/>
                <w:sz w:val="20"/>
                <w:szCs w:val="20"/>
                <w:lang w:eastAsia="en-GB"/>
              </w:rPr>
            </w:pPr>
          </w:p>
        </w:tc>
      </w:tr>
      <w:tr w:rsidRPr="00C3071B" w:rsidR="00C3071B" w:rsidTr="00495D7D" w14:paraId="06BC4183" w14:textId="77777777">
        <w:trPr>
          <w:trHeight w:val="300"/>
        </w:trPr>
        <w:tc>
          <w:tcPr>
            <w:tcW w:w="6804" w:type="dxa"/>
            <w:tcBorders>
              <w:left w:val="nil"/>
              <w:bottom w:val="single" w:color="auto" w:sz="4" w:space="0"/>
              <w:right w:val="nil"/>
            </w:tcBorders>
            <w:noWrap/>
          </w:tcPr>
          <w:p w:rsidRPr="00C3071B" w:rsidR="00C3071B" w:rsidP="00C3071B" w:rsidRDefault="00C3071B" w14:paraId="4EE0D88A" w14:textId="77777777">
            <w:pPr>
              <w:rPr>
                <w:rFonts w:ascii="Arial" w:hAnsi="Arial" w:eastAsia="Times New Roman" w:cs="Arial"/>
                <w:sz w:val="20"/>
                <w:szCs w:val="20"/>
              </w:rPr>
            </w:pPr>
            <w:r w:rsidRPr="00C3071B">
              <w:rPr>
                <w:rFonts w:ascii="Arial" w:hAnsi="Arial" w:cs="Arial"/>
                <w:b/>
                <w:sz w:val="20"/>
              </w:rPr>
              <w:t>6. sadaļa. Pārskata gadā veiktie maksājumi (izņemot grupas iekšējos maksājumus)</w:t>
            </w:r>
          </w:p>
        </w:tc>
        <w:tc>
          <w:tcPr>
            <w:tcW w:w="2745" w:type="dxa"/>
            <w:tcBorders>
              <w:left w:val="nil"/>
              <w:bottom w:val="single" w:color="auto" w:sz="4" w:space="0"/>
              <w:right w:val="nil"/>
            </w:tcBorders>
            <w:noWrap/>
          </w:tcPr>
          <w:p w:rsidRPr="00C3071B" w:rsidR="00C3071B" w:rsidP="00C3071B" w:rsidRDefault="00C3071B" w14:paraId="22E00212"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46690651" w14:textId="77777777">
        <w:trPr>
          <w:trHeight w:val="300"/>
        </w:trPr>
        <w:tc>
          <w:tcPr>
            <w:tcW w:w="6804" w:type="dxa"/>
            <w:tcBorders>
              <w:left w:val="nil"/>
              <w:right w:val="nil"/>
            </w:tcBorders>
            <w:noWrap/>
            <w:hideMark/>
          </w:tcPr>
          <w:p w:rsidRPr="00C3071B" w:rsidR="00C3071B" w:rsidP="00C3071B" w:rsidRDefault="00C3071B" w14:paraId="7F29F150" w14:textId="77777777">
            <w:pPr>
              <w:ind w:firstLine="200" w:firstLineChars="100"/>
              <w:rPr>
                <w:rFonts w:ascii="Arial" w:hAnsi="Arial" w:eastAsia="Times New Roman" w:cs="Arial"/>
                <w:sz w:val="20"/>
                <w:szCs w:val="20"/>
              </w:rPr>
            </w:pPr>
            <w:r w:rsidRPr="00C3071B">
              <w:rPr>
                <w:rFonts w:ascii="Arial" w:hAnsi="Arial" w:cs="Arial"/>
                <w:sz w:val="20"/>
              </w:rPr>
              <w:t xml:space="preserve"> a) Austrālijas dolārs (AUD)</w:t>
            </w:r>
          </w:p>
        </w:tc>
        <w:tc>
          <w:tcPr>
            <w:tcW w:w="2745" w:type="dxa"/>
            <w:tcBorders>
              <w:left w:val="nil"/>
              <w:right w:val="nil"/>
            </w:tcBorders>
            <w:noWrap/>
            <w:hideMark/>
          </w:tcPr>
          <w:p w:rsidRPr="00C3071B" w:rsidR="00C3071B" w:rsidP="00C3071B" w:rsidRDefault="00C3071B" w14:paraId="071B892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984EDAD" w14:textId="77777777">
        <w:trPr>
          <w:trHeight w:val="300"/>
        </w:trPr>
        <w:tc>
          <w:tcPr>
            <w:tcW w:w="6804" w:type="dxa"/>
            <w:tcBorders>
              <w:left w:val="nil"/>
              <w:right w:val="nil"/>
            </w:tcBorders>
            <w:noWrap/>
            <w:hideMark/>
          </w:tcPr>
          <w:p w:rsidRPr="00C3071B" w:rsidR="00C3071B" w:rsidP="00C3071B" w:rsidRDefault="00C3071B" w14:paraId="46241BE8" w14:textId="77777777">
            <w:pPr>
              <w:ind w:firstLine="200" w:firstLineChars="100"/>
              <w:rPr>
                <w:rFonts w:ascii="Arial" w:hAnsi="Arial" w:eastAsia="Times New Roman" w:cs="Arial"/>
                <w:sz w:val="20"/>
                <w:szCs w:val="20"/>
              </w:rPr>
            </w:pPr>
            <w:r w:rsidRPr="00C3071B">
              <w:rPr>
                <w:rFonts w:ascii="Arial" w:hAnsi="Arial" w:cs="Arial"/>
                <w:sz w:val="20"/>
              </w:rPr>
              <w:t>b) Kanādas dolārs (CAD)</w:t>
            </w:r>
          </w:p>
        </w:tc>
        <w:tc>
          <w:tcPr>
            <w:tcW w:w="2745" w:type="dxa"/>
            <w:tcBorders>
              <w:left w:val="nil"/>
              <w:right w:val="nil"/>
            </w:tcBorders>
            <w:noWrap/>
            <w:hideMark/>
          </w:tcPr>
          <w:p w:rsidRPr="00C3071B" w:rsidR="00C3071B" w:rsidP="00C3071B" w:rsidRDefault="00C3071B" w14:paraId="724F5BE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EF25F24" w14:textId="77777777">
        <w:trPr>
          <w:trHeight w:val="300"/>
        </w:trPr>
        <w:tc>
          <w:tcPr>
            <w:tcW w:w="6804" w:type="dxa"/>
            <w:tcBorders>
              <w:left w:val="nil"/>
              <w:right w:val="nil"/>
            </w:tcBorders>
            <w:noWrap/>
            <w:hideMark/>
          </w:tcPr>
          <w:p w:rsidRPr="00C3071B" w:rsidR="00C3071B" w:rsidP="00C3071B" w:rsidRDefault="00C3071B" w14:paraId="2B9EFA5D" w14:textId="77777777">
            <w:pPr>
              <w:ind w:firstLine="200" w:firstLineChars="100"/>
              <w:rPr>
                <w:rFonts w:ascii="Arial" w:hAnsi="Arial" w:eastAsia="Times New Roman" w:cs="Arial"/>
                <w:sz w:val="20"/>
                <w:szCs w:val="20"/>
              </w:rPr>
            </w:pPr>
            <w:r w:rsidRPr="00C3071B">
              <w:rPr>
                <w:rFonts w:ascii="Arial" w:hAnsi="Arial" w:cs="Arial"/>
                <w:sz w:val="20"/>
              </w:rPr>
              <w:t>c) Šveices franks (CHF)</w:t>
            </w:r>
          </w:p>
        </w:tc>
        <w:tc>
          <w:tcPr>
            <w:tcW w:w="2745" w:type="dxa"/>
            <w:tcBorders>
              <w:left w:val="nil"/>
              <w:right w:val="nil"/>
            </w:tcBorders>
            <w:noWrap/>
            <w:hideMark/>
          </w:tcPr>
          <w:p w:rsidRPr="00C3071B" w:rsidR="00C3071B" w:rsidP="00C3071B" w:rsidRDefault="00C3071B" w14:paraId="0CF7869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38B55A3" w14:textId="77777777">
        <w:trPr>
          <w:trHeight w:val="300"/>
        </w:trPr>
        <w:tc>
          <w:tcPr>
            <w:tcW w:w="6804" w:type="dxa"/>
            <w:tcBorders>
              <w:left w:val="nil"/>
              <w:right w:val="nil"/>
            </w:tcBorders>
            <w:noWrap/>
            <w:hideMark/>
          </w:tcPr>
          <w:p w:rsidRPr="00C3071B" w:rsidR="00C3071B" w:rsidP="00C3071B" w:rsidRDefault="00C3071B" w14:paraId="0338A23A" w14:textId="77777777">
            <w:pPr>
              <w:ind w:firstLine="200" w:firstLineChars="100"/>
              <w:rPr>
                <w:rFonts w:ascii="Arial" w:hAnsi="Arial" w:eastAsia="Times New Roman" w:cs="Arial"/>
                <w:sz w:val="20"/>
                <w:szCs w:val="20"/>
              </w:rPr>
            </w:pPr>
            <w:r w:rsidRPr="00C3071B">
              <w:rPr>
                <w:rFonts w:ascii="Arial" w:hAnsi="Arial" w:cs="Arial"/>
                <w:sz w:val="20"/>
              </w:rPr>
              <w:t>d) Ķīnas juaņa (CNY)</w:t>
            </w:r>
          </w:p>
        </w:tc>
        <w:tc>
          <w:tcPr>
            <w:tcW w:w="2745" w:type="dxa"/>
            <w:tcBorders>
              <w:left w:val="nil"/>
              <w:right w:val="nil"/>
            </w:tcBorders>
            <w:noWrap/>
            <w:hideMark/>
          </w:tcPr>
          <w:p w:rsidRPr="00C3071B" w:rsidR="00C3071B" w:rsidP="00C3071B" w:rsidRDefault="00C3071B" w14:paraId="2EB43CC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D827E93" w14:textId="77777777">
        <w:trPr>
          <w:trHeight w:val="300"/>
        </w:trPr>
        <w:tc>
          <w:tcPr>
            <w:tcW w:w="6804" w:type="dxa"/>
            <w:tcBorders>
              <w:left w:val="nil"/>
              <w:right w:val="nil"/>
            </w:tcBorders>
            <w:noWrap/>
            <w:hideMark/>
          </w:tcPr>
          <w:p w:rsidRPr="00C3071B" w:rsidR="00C3071B" w:rsidP="00C3071B" w:rsidRDefault="00C3071B" w14:paraId="23612E6D" w14:textId="77777777">
            <w:pPr>
              <w:ind w:firstLine="200" w:firstLineChars="100"/>
              <w:rPr>
                <w:rFonts w:ascii="Arial" w:hAnsi="Arial" w:eastAsia="Times New Roman" w:cs="Arial"/>
                <w:sz w:val="20"/>
                <w:szCs w:val="20"/>
              </w:rPr>
            </w:pPr>
            <w:r w:rsidRPr="00C3071B">
              <w:rPr>
                <w:rFonts w:ascii="Arial" w:hAnsi="Arial" w:cs="Arial"/>
                <w:sz w:val="20"/>
              </w:rPr>
              <w:t>e) Eiro (EUR)</w:t>
            </w:r>
          </w:p>
        </w:tc>
        <w:tc>
          <w:tcPr>
            <w:tcW w:w="2745" w:type="dxa"/>
            <w:tcBorders>
              <w:left w:val="nil"/>
              <w:right w:val="nil"/>
            </w:tcBorders>
            <w:noWrap/>
            <w:hideMark/>
          </w:tcPr>
          <w:p w:rsidRPr="00C3071B" w:rsidR="00C3071B" w:rsidP="00C3071B" w:rsidRDefault="00C3071B" w14:paraId="623EC7C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9308903" w14:textId="77777777">
        <w:trPr>
          <w:trHeight w:val="300"/>
        </w:trPr>
        <w:tc>
          <w:tcPr>
            <w:tcW w:w="6804" w:type="dxa"/>
            <w:tcBorders>
              <w:left w:val="nil"/>
              <w:right w:val="nil"/>
            </w:tcBorders>
            <w:noWrap/>
            <w:hideMark/>
          </w:tcPr>
          <w:p w:rsidRPr="00C3071B" w:rsidR="00C3071B" w:rsidP="00C3071B" w:rsidRDefault="00C3071B" w14:paraId="323E951C" w14:textId="77777777">
            <w:pPr>
              <w:ind w:firstLine="200" w:firstLineChars="100"/>
              <w:rPr>
                <w:rFonts w:ascii="Arial" w:hAnsi="Arial" w:eastAsia="Times New Roman" w:cs="Arial"/>
                <w:sz w:val="20"/>
                <w:szCs w:val="20"/>
              </w:rPr>
            </w:pPr>
            <w:r w:rsidRPr="00C3071B">
              <w:rPr>
                <w:rFonts w:ascii="Arial" w:hAnsi="Arial" w:cs="Arial"/>
                <w:sz w:val="20"/>
              </w:rPr>
              <w:t>f) Lielbritānijas mārciņa (GBP)</w:t>
            </w:r>
          </w:p>
        </w:tc>
        <w:tc>
          <w:tcPr>
            <w:tcW w:w="2745" w:type="dxa"/>
            <w:tcBorders>
              <w:left w:val="nil"/>
              <w:right w:val="nil"/>
            </w:tcBorders>
            <w:noWrap/>
            <w:hideMark/>
          </w:tcPr>
          <w:p w:rsidRPr="00C3071B" w:rsidR="00C3071B" w:rsidP="00C3071B" w:rsidRDefault="00C3071B" w14:paraId="25EB267E"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DA7120B" w14:textId="77777777">
        <w:trPr>
          <w:trHeight w:val="300"/>
        </w:trPr>
        <w:tc>
          <w:tcPr>
            <w:tcW w:w="6804" w:type="dxa"/>
            <w:tcBorders>
              <w:left w:val="nil"/>
              <w:right w:val="nil"/>
            </w:tcBorders>
            <w:noWrap/>
            <w:hideMark/>
          </w:tcPr>
          <w:p w:rsidRPr="00C3071B" w:rsidR="00C3071B" w:rsidP="00C3071B" w:rsidRDefault="00C3071B" w14:paraId="66051EBD" w14:textId="77777777">
            <w:pPr>
              <w:ind w:firstLine="200" w:firstLineChars="100"/>
              <w:rPr>
                <w:rFonts w:ascii="Arial" w:hAnsi="Arial" w:eastAsia="Times New Roman" w:cs="Arial"/>
                <w:sz w:val="20"/>
                <w:szCs w:val="20"/>
              </w:rPr>
            </w:pPr>
            <w:r w:rsidRPr="00C3071B">
              <w:rPr>
                <w:rFonts w:ascii="Arial" w:hAnsi="Arial" w:cs="Arial"/>
                <w:sz w:val="20"/>
              </w:rPr>
              <w:t>g) Honkongas dolārs (HKD)</w:t>
            </w:r>
          </w:p>
        </w:tc>
        <w:tc>
          <w:tcPr>
            <w:tcW w:w="2745" w:type="dxa"/>
            <w:tcBorders>
              <w:left w:val="nil"/>
              <w:right w:val="nil"/>
            </w:tcBorders>
            <w:noWrap/>
            <w:hideMark/>
          </w:tcPr>
          <w:p w:rsidRPr="00C3071B" w:rsidR="00C3071B" w:rsidP="00C3071B" w:rsidRDefault="00C3071B" w14:paraId="6D793304"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34B077F" w14:textId="77777777">
        <w:trPr>
          <w:trHeight w:val="300"/>
        </w:trPr>
        <w:tc>
          <w:tcPr>
            <w:tcW w:w="6804" w:type="dxa"/>
            <w:tcBorders>
              <w:left w:val="nil"/>
              <w:right w:val="nil"/>
            </w:tcBorders>
            <w:noWrap/>
            <w:hideMark/>
          </w:tcPr>
          <w:p w:rsidRPr="00C3071B" w:rsidR="00C3071B" w:rsidP="00C3071B" w:rsidRDefault="00C3071B" w14:paraId="6D6C17EB" w14:textId="77777777">
            <w:pPr>
              <w:ind w:firstLine="200" w:firstLineChars="100"/>
              <w:rPr>
                <w:rFonts w:ascii="Arial" w:hAnsi="Arial" w:eastAsia="Times New Roman" w:cs="Arial"/>
                <w:sz w:val="20"/>
                <w:szCs w:val="20"/>
              </w:rPr>
            </w:pPr>
            <w:r w:rsidRPr="00C3071B">
              <w:rPr>
                <w:rFonts w:ascii="Arial" w:hAnsi="Arial" w:cs="Arial"/>
                <w:sz w:val="20"/>
              </w:rPr>
              <w:t>h) Indijas rūpija (INR)</w:t>
            </w:r>
          </w:p>
        </w:tc>
        <w:tc>
          <w:tcPr>
            <w:tcW w:w="2745" w:type="dxa"/>
            <w:tcBorders>
              <w:left w:val="nil"/>
              <w:right w:val="nil"/>
            </w:tcBorders>
            <w:noWrap/>
            <w:hideMark/>
          </w:tcPr>
          <w:p w:rsidRPr="00C3071B" w:rsidR="00C3071B" w:rsidP="00C3071B" w:rsidRDefault="00C3071B" w14:paraId="66DE9019"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8C011F1" w14:textId="77777777">
        <w:trPr>
          <w:trHeight w:val="300"/>
        </w:trPr>
        <w:tc>
          <w:tcPr>
            <w:tcW w:w="6804" w:type="dxa"/>
            <w:tcBorders>
              <w:left w:val="nil"/>
              <w:right w:val="nil"/>
            </w:tcBorders>
            <w:noWrap/>
            <w:hideMark/>
          </w:tcPr>
          <w:p w:rsidRPr="00C3071B" w:rsidR="00C3071B" w:rsidP="00C3071B" w:rsidRDefault="00C3071B" w14:paraId="706B42A3" w14:textId="77777777">
            <w:pPr>
              <w:ind w:firstLine="200" w:firstLineChars="100"/>
              <w:rPr>
                <w:rFonts w:ascii="Arial" w:hAnsi="Arial" w:eastAsia="Times New Roman" w:cs="Arial"/>
                <w:sz w:val="20"/>
                <w:szCs w:val="20"/>
              </w:rPr>
            </w:pPr>
            <w:r w:rsidRPr="00C3071B">
              <w:rPr>
                <w:rFonts w:ascii="Arial" w:hAnsi="Arial" w:cs="Arial"/>
                <w:sz w:val="20"/>
              </w:rPr>
              <w:t>i) Japānas jena (JPY)</w:t>
            </w:r>
          </w:p>
        </w:tc>
        <w:tc>
          <w:tcPr>
            <w:tcW w:w="2745" w:type="dxa"/>
            <w:tcBorders>
              <w:left w:val="nil"/>
              <w:right w:val="nil"/>
            </w:tcBorders>
            <w:noWrap/>
            <w:hideMark/>
          </w:tcPr>
          <w:p w:rsidRPr="00C3071B" w:rsidR="00C3071B" w:rsidP="00C3071B" w:rsidRDefault="00C3071B" w14:paraId="5DE86D9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B95F490" w14:textId="77777777">
        <w:trPr>
          <w:trHeight w:val="300"/>
        </w:trPr>
        <w:tc>
          <w:tcPr>
            <w:tcW w:w="6804" w:type="dxa"/>
            <w:tcBorders>
              <w:left w:val="nil"/>
              <w:right w:val="nil"/>
            </w:tcBorders>
            <w:noWrap/>
            <w:hideMark/>
          </w:tcPr>
          <w:p w:rsidRPr="00C3071B" w:rsidR="00C3071B" w:rsidP="00C3071B" w:rsidRDefault="00C3071B" w14:paraId="3B7D2238" w14:textId="77777777">
            <w:pPr>
              <w:ind w:firstLine="200" w:firstLineChars="100"/>
              <w:rPr>
                <w:rFonts w:ascii="Arial" w:hAnsi="Arial" w:eastAsia="Times New Roman" w:cs="Arial"/>
                <w:sz w:val="20"/>
                <w:szCs w:val="20"/>
              </w:rPr>
            </w:pPr>
            <w:r w:rsidRPr="00C3071B">
              <w:rPr>
                <w:rFonts w:ascii="Arial" w:hAnsi="Arial" w:cs="Arial"/>
                <w:sz w:val="20"/>
              </w:rPr>
              <w:t>j) Jaunzēlandes dolārs (NZD)</w:t>
            </w:r>
          </w:p>
        </w:tc>
        <w:tc>
          <w:tcPr>
            <w:tcW w:w="2745" w:type="dxa"/>
            <w:tcBorders>
              <w:left w:val="nil"/>
              <w:right w:val="nil"/>
            </w:tcBorders>
            <w:noWrap/>
            <w:hideMark/>
          </w:tcPr>
          <w:p w:rsidRPr="00C3071B" w:rsidR="00C3071B" w:rsidP="00C3071B" w:rsidRDefault="00C3071B" w14:paraId="4A9685C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352814C" w14:textId="77777777">
        <w:trPr>
          <w:trHeight w:val="300"/>
        </w:trPr>
        <w:tc>
          <w:tcPr>
            <w:tcW w:w="6804" w:type="dxa"/>
            <w:tcBorders>
              <w:left w:val="nil"/>
              <w:right w:val="nil"/>
            </w:tcBorders>
            <w:noWrap/>
            <w:hideMark/>
          </w:tcPr>
          <w:p w:rsidRPr="00C3071B" w:rsidR="00C3071B" w:rsidP="00C3071B" w:rsidRDefault="00C3071B" w14:paraId="12D3FBAD" w14:textId="77777777">
            <w:pPr>
              <w:ind w:firstLine="200" w:firstLineChars="100"/>
              <w:rPr>
                <w:rFonts w:ascii="Arial" w:hAnsi="Arial" w:eastAsia="Times New Roman" w:cs="Arial"/>
                <w:sz w:val="20"/>
                <w:szCs w:val="20"/>
              </w:rPr>
            </w:pPr>
            <w:r w:rsidRPr="00C3071B">
              <w:rPr>
                <w:rFonts w:ascii="Arial" w:hAnsi="Arial" w:cs="Arial"/>
                <w:sz w:val="20"/>
              </w:rPr>
              <w:t>k) Zviedrijas krona (SEK)</w:t>
            </w:r>
          </w:p>
        </w:tc>
        <w:tc>
          <w:tcPr>
            <w:tcW w:w="2745" w:type="dxa"/>
            <w:tcBorders>
              <w:left w:val="nil"/>
              <w:right w:val="nil"/>
            </w:tcBorders>
            <w:noWrap/>
            <w:hideMark/>
          </w:tcPr>
          <w:p w:rsidRPr="00C3071B" w:rsidR="00C3071B" w:rsidP="00C3071B" w:rsidRDefault="00C3071B" w14:paraId="696ADAA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EB0FF2D" w14:textId="77777777">
        <w:trPr>
          <w:trHeight w:val="300"/>
        </w:trPr>
        <w:tc>
          <w:tcPr>
            <w:tcW w:w="6804" w:type="dxa"/>
            <w:tcBorders>
              <w:left w:val="nil"/>
              <w:right w:val="nil"/>
            </w:tcBorders>
            <w:noWrap/>
            <w:hideMark/>
          </w:tcPr>
          <w:p w:rsidRPr="00C3071B" w:rsidR="00C3071B" w:rsidP="00C3071B" w:rsidRDefault="00C3071B" w14:paraId="4F371188" w14:textId="77777777">
            <w:pPr>
              <w:ind w:firstLine="200" w:firstLineChars="100"/>
              <w:rPr>
                <w:rFonts w:ascii="Arial" w:hAnsi="Arial" w:eastAsia="Times New Roman" w:cs="Arial"/>
                <w:sz w:val="20"/>
                <w:szCs w:val="20"/>
              </w:rPr>
            </w:pPr>
            <w:r w:rsidRPr="00C3071B">
              <w:rPr>
                <w:rFonts w:ascii="Arial" w:hAnsi="Arial" w:cs="Arial"/>
                <w:sz w:val="20"/>
              </w:rPr>
              <w:t>l) Amerikas Savienoto Valstu dolārs (USD)</w:t>
            </w:r>
          </w:p>
        </w:tc>
        <w:tc>
          <w:tcPr>
            <w:tcW w:w="2745" w:type="dxa"/>
            <w:tcBorders>
              <w:left w:val="nil"/>
              <w:right w:val="nil"/>
            </w:tcBorders>
            <w:noWrap/>
            <w:hideMark/>
          </w:tcPr>
          <w:p w:rsidRPr="00C3071B" w:rsidR="00C3071B" w:rsidP="00C3071B" w:rsidRDefault="00C3071B" w14:paraId="0EA86ED8"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06FAB7A" w14:textId="77777777">
        <w:trPr>
          <w:trHeight w:val="300"/>
        </w:trPr>
        <w:tc>
          <w:tcPr>
            <w:tcW w:w="6804" w:type="dxa"/>
            <w:tcBorders>
              <w:left w:val="nil"/>
              <w:bottom w:val="single" w:color="auto" w:sz="4" w:space="0"/>
              <w:right w:val="nil"/>
            </w:tcBorders>
            <w:noWrap/>
            <w:hideMark/>
          </w:tcPr>
          <w:p w:rsidRPr="00C3071B" w:rsidR="00C3071B" w:rsidP="00C3071B" w:rsidRDefault="00C3071B" w14:paraId="173A4FB8" w14:textId="77777777">
            <w:pPr>
              <w:ind w:firstLine="200" w:firstLineChars="100"/>
              <w:rPr>
                <w:rFonts w:ascii="Arial" w:hAnsi="Arial" w:eastAsia="Times New Roman" w:cs="Arial"/>
                <w:sz w:val="20"/>
                <w:szCs w:val="20"/>
              </w:rPr>
            </w:pPr>
            <w:r w:rsidRPr="00C3071B">
              <w:rPr>
                <w:rFonts w:ascii="Arial" w:hAnsi="Arial" w:cs="Arial"/>
                <w:sz w:val="20"/>
              </w:rPr>
              <w:t>n) Maksājumu darbību rādītājs (posteņu 6.a līdz 6.l summa)</w:t>
            </w:r>
          </w:p>
        </w:tc>
        <w:tc>
          <w:tcPr>
            <w:tcW w:w="2745" w:type="dxa"/>
            <w:tcBorders>
              <w:left w:val="nil"/>
              <w:bottom w:val="single" w:color="auto" w:sz="4" w:space="0"/>
              <w:right w:val="nil"/>
            </w:tcBorders>
            <w:noWrap/>
            <w:hideMark/>
          </w:tcPr>
          <w:p w:rsidRPr="00C3071B" w:rsidR="00C3071B" w:rsidP="00C3071B" w:rsidRDefault="00C3071B" w14:paraId="33110EC0" w14:textId="77777777">
            <w:pPr>
              <w:jc w:val="right"/>
              <w:rPr>
                <w:rFonts w:ascii="Arial" w:hAnsi="Arial" w:eastAsia="Times New Roman" w:cs="Arial"/>
                <w:sz w:val="20"/>
                <w:szCs w:val="20"/>
              </w:rPr>
            </w:pPr>
            <w:r w:rsidRPr="00C3071B">
              <w:rPr>
                <w:rFonts w:ascii="Arial" w:hAnsi="Arial" w:cs="Arial"/>
                <w:sz w:val="20"/>
              </w:rPr>
              <w:t xml:space="preserve"> </w:t>
            </w:r>
          </w:p>
        </w:tc>
      </w:tr>
      <w:tr w:rsidRPr="00C3071B" w:rsidR="00C3071B" w:rsidTr="00495D7D" w14:paraId="1070742E" w14:textId="77777777">
        <w:trPr>
          <w:trHeight w:val="300"/>
        </w:trPr>
        <w:tc>
          <w:tcPr>
            <w:tcW w:w="6804" w:type="dxa"/>
            <w:tcBorders>
              <w:left w:val="nil"/>
              <w:bottom w:val="nil"/>
              <w:right w:val="nil"/>
            </w:tcBorders>
            <w:noWrap/>
          </w:tcPr>
          <w:p w:rsidRPr="00C3071B" w:rsidR="00C3071B" w:rsidP="00C3071B" w:rsidRDefault="00C3071B" w14:paraId="471224F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1E21C432" w14:textId="77777777">
            <w:pPr>
              <w:jc w:val="center"/>
              <w:rPr>
                <w:rFonts w:ascii="Arial" w:hAnsi="Arial" w:eastAsia="Times New Roman" w:cs="Arial"/>
                <w:b/>
                <w:bCs/>
                <w:sz w:val="20"/>
                <w:szCs w:val="20"/>
                <w:lang w:eastAsia="en-GB"/>
              </w:rPr>
            </w:pPr>
          </w:p>
        </w:tc>
      </w:tr>
      <w:tr w:rsidRPr="00C3071B" w:rsidR="00C3071B" w:rsidTr="00495D7D" w14:paraId="6DC81F23"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4525BD29" w14:textId="77777777">
            <w:pPr>
              <w:rPr>
                <w:rFonts w:ascii="Arial" w:hAnsi="Arial" w:eastAsia="Times New Roman" w:cs="Arial"/>
                <w:b/>
                <w:bCs/>
                <w:sz w:val="20"/>
                <w:szCs w:val="20"/>
              </w:rPr>
            </w:pPr>
            <w:r w:rsidRPr="00C3071B">
              <w:rPr>
                <w:rFonts w:ascii="Arial" w:hAnsi="Arial" w:cs="Arial"/>
                <w:b/>
                <w:sz w:val="20"/>
              </w:rPr>
              <w:t>7. sadaļa. Glabāšanā esošie aktīvi</w:t>
            </w:r>
          </w:p>
        </w:tc>
        <w:tc>
          <w:tcPr>
            <w:tcW w:w="2745" w:type="dxa"/>
            <w:tcBorders>
              <w:top w:val="nil"/>
              <w:left w:val="nil"/>
              <w:bottom w:val="single" w:color="auto" w:sz="4" w:space="0"/>
              <w:right w:val="nil"/>
            </w:tcBorders>
            <w:hideMark/>
          </w:tcPr>
          <w:p w:rsidRPr="00C3071B" w:rsidR="00C3071B" w:rsidP="00C3071B" w:rsidRDefault="00C3071B" w14:paraId="53D6AD6D"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5D52B318" w14:textId="77777777">
        <w:trPr>
          <w:trHeight w:val="300"/>
        </w:trPr>
        <w:tc>
          <w:tcPr>
            <w:tcW w:w="6804" w:type="dxa"/>
            <w:tcBorders>
              <w:left w:val="nil"/>
              <w:bottom w:val="single" w:color="auto" w:sz="4" w:space="0"/>
              <w:right w:val="nil"/>
            </w:tcBorders>
            <w:noWrap/>
            <w:hideMark/>
          </w:tcPr>
          <w:p w:rsidRPr="00C3071B" w:rsidR="00C3071B" w:rsidP="00C3071B" w:rsidRDefault="00C3071B" w14:paraId="315F7B2D" w14:textId="77777777">
            <w:pPr>
              <w:ind w:firstLine="200" w:firstLineChars="100"/>
              <w:rPr>
                <w:rFonts w:ascii="Arial" w:hAnsi="Arial" w:eastAsia="Times New Roman" w:cs="Arial"/>
                <w:sz w:val="20"/>
                <w:szCs w:val="20"/>
              </w:rPr>
            </w:pPr>
            <w:r w:rsidRPr="00C3071B">
              <w:rPr>
                <w:rFonts w:ascii="Arial" w:hAnsi="Arial" w:cs="Arial"/>
                <w:sz w:val="20"/>
              </w:rPr>
              <w:t>a. Glabāšanā esošo aktīvu rādītājs</w:t>
            </w:r>
          </w:p>
        </w:tc>
        <w:tc>
          <w:tcPr>
            <w:tcW w:w="2745" w:type="dxa"/>
            <w:tcBorders>
              <w:left w:val="nil"/>
              <w:bottom w:val="single" w:color="auto" w:sz="4" w:space="0"/>
              <w:right w:val="nil"/>
            </w:tcBorders>
            <w:noWrap/>
            <w:hideMark/>
          </w:tcPr>
          <w:p w:rsidRPr="00C3071B" w:rsidR="00C3071B" w:rsidP="00C3071B" w:rsidRDefault="00C3071B" w14:paraId="370531C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197215A" w14:textId="77777777">
        <w:trPr>
          <w:trHeight w:val="300"/>
        </w:trPr>
        <w:tc>
          <w:tcPr>
            <w:tcW w:w="6804" w:type="dxa"/>
            <w:tcBorders>
              <w:left w:val="nil"/>
              <w:bottom w:val="nil"/>
              <w:right w:val="nil"/>
            </w:tcBorders>
            <w:noWrap/>
          </w:tcPr>
          <w:p w:rsidRPr="00C3071B" w:rsidR="00C3071B" w:rsidP="00C3071B" w:rsidRDefault="00C3071B" w14:paraId="48AD94D5"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C3071B" w:rsidR="00C3071B" w:rsidP="00C3071B" w:rsidRDefault="00C3071B" w14:paraId="4633858C" w14:textId="77777777">
            <w:pPr>
              <w:jc w:val="center"/>
              <w:rPr>
                <w:rFonts w:ascii="Arial" w:hAnsi="Arial" w:eastAsia="Times New Roman" w:cs="Arial"/>
                <w:b/>
                <w:bCs/>
                <w:sz w:val="20"/>
                <w:szCs w:val="20"/>
                <w:lang w:eastAsia="en-GB"/>
              </w:rPr>
            </w:pPr>
          </w:p>
        </w:tc>
      </w:tr>
      <w:tr w:rsidRPr="00C3071B" w:rsidR="00C3071B" w:rsidTr="00495D7D" w14:paraId="6AD3A455" w14:textId="77777777">
        <w:trPr>
          <w:trHeight w:val="300"/>
        </w:trPr>
        <w:tc>
          <w:tcPr>
            <w:tcW w:w="6804" w:type="dxa"/>
            <w:tcBorders>
              <w:top w:val="nil"/>
              <w:left w:val="nil"/>
              <w:bottom w:val="single" w:color="auto" w:sz="4" w:space="0"/>
              <w:right w:val="nil"/>
            </w:tcBorders>
            <w:noWrap/>
          </w:tcPr>
          <w:p w:rsidRPr="00C3071B" w:rsidR="00C3071B" w:rsidP="00C3071B" w:rsidRDefault="00C3071B" w14:paraId="5DE75D33" w14:textId="77777777">
            <w:pPr>
              <w:rPr>
                <w:rFonts w:ascii="Arial" w:hAnsi="Arial" w:eastAsia="Times New Roman" w:cs="Arial"/>
                <w:sz w:val="20"/>
                <w:szCs w:val="20"/>
              </w:rPr>
            </w:pPr>
            <w:r w:rsidRPr="00C3071B">
              <w:rPr>
                <w:rFonts w:ascii="Arial" w:hAnsi="Arial" w:cs="Arial"/>
                <w:b/>
                <w:sz w:val="20"/>
              </w:rPr>
              <w:t>8. sadaļa. Sākotnējās izvietošanas darījumi parāda un kapitāla tirgos</w:t>
            </w:r>
          </w:p>
        </w:tc>
        <w:tc>
          <w:tcPr>
            <w:tcW w:w="2745" w:type="dxa"/>
            <w:tcBorders>
              <w:top w:val="nil"/>
              <w:left w:val="nil"/>
              <w:bottom w:val="single" w:color="auto" w:sz="4" w:space="0"/>
              <w:right w:val="nil"/>
            </w:tcBorders>
            <w:noWrap/>
          </w:tcPr>
          <w:p w:rsidRPr="00C3071B" w:rsidR="00C3071B" w:rsidP="00C3071B" w:rsidRDefault="00C3071B" w14:paraId="0FEF4FC3"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39857DA4" w14:textId="77777777">
        <w:trPr>
          <w:trHeight w:val="300"/>
        </w:trPr>
        <w:tc>
          <w:tcPr>
            <w:tcW w:w="6804" w:type="dxa"/>
            <w:tcBorders>
              <w:left w:val="nil"/>
              <w:right w:val="nil"/>
            </w:tcBorders>
            <w:noWrap/>
            <w:hideMark/>
          </w:tcPr>
          <w:p w:rsidRPr="00C3071B" w:rsidR="00C3071B" w:rsidP="00C3071B" w:rsidRDefault="00C3071B" w14:paraId="54544F6F" w14:textId="77777777">
            <w:pPr>
              <w:ind w:firstLine="200" w:firstLineChars="100"/>
              <w:rPr>
                <w:rFonts w:ascii="Arial" w:hAnsi="Arial" w:eastAsia="Times New Roman" w:cs="Arial"/>
                <w:sz w:val="20"/>
                <w:szCs w:val="20"/>
              </w:rPr>
            </w:pPr>
            <w:r w:rsidRPr="00C3071B">
              <w:rPr>
                <w:rFonts w:ascii="Arial" w:hAnsi="Arial" w:cs="Arial"/>
                <w:sz w:val="20"/>
              </w:rPr>
              <w:t>a) Kapitāla instrumentu sākotnējās izvietošanas darbības</w:t>
            </w:r>
          </w:p>
        </w:tc>
        <w:tc>
          <w:tcPr>
            <w:tcW w:w="2745" w:type="dxa"/>
            <w:tcBorders>
              <w:left w:val="nil"/>
              <w:right w:val="nil"/>
            </w:tcBorders>
            <w:noWrap/>
            <w:hideMark/>
          </w:tcPr>
          <w:p w:rsidRPr="00C3071B" w:rsidR="00C3071B" w:rsidP="00C3071B" w:rsidRDefault="00C3071B" w14:paraId="41782739"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A1388E0" w14:textId="77777777">
        <w:trPr>
          <w:trHeight w:val="300"/>
        </w:trPr>
        <w:tc>
          <w:tcPr>
            <w:tcW w:w="6804" w:type="dxa"/>
            <w:tcBorders>
              <w:left w:val="nil"/>
              <w:right w:val="nil"/>
            </w:tcBorders>
            <w:noWrap/>
            <w:hideMark/>
          </w:tcPr>
          <w:p w:rsidRPr="00C3071B" w:rsidR="00C3071B" w:rsidP="00C3071B" w:rsidRDefault="00C3071B" w14:paraId="5131BE70" w14:textId="77777777">
            <w:pPr>
              <w:ind w:firstLine="200" w:firstLineChars="100"/>
              <w:rPr>
                <w:rFonts w:ascii="Arial" w:hAnsi="Arial" w:eastAsia="Times New Roman" w:cs="Arial"/>
                <w:sz w:val="20"/>
                <w:szCs w:val="20"/>
              </w:rPr>
            </w:pPr>
            <w:r w:rsidRPr="00C3071B">
              <w:rPr>
                <w:rFonts w:ascii="Arial" w:hAnsi="Arial" w:cs="Arial"/>
                <w:sz w:val="20"/>
              </w:rPr>
              <w:t>b) Parāda instrumentu sākotnējās izvietošanas darbības</w:t>
            </w:r>
          </w:p>
        </w:tc>
        <w:tc>
          <w:tcPr>
            <w:tcW w:w="2745" w:type="dxa"/>
            <w:tcBorders>
              <w:left w:val="nil"/>
              <w:right w:val="nil"/>
            </w:tcBorders>
            <w:noWrap/>
            <w:hideMark/>
          </w:tcPr>
          <w:p w:rsidRPr="00C3071B" w:rsidR="00C3071B" w:rsidP="00C3071B" w:rsidRDefault="00C3071B" w14:paraId="7C63C1ED"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822D1E4" w14:textId="77777777">
        <w:trPr>
          <w:trHeight w:val="300"/>
        </w:trPr>
        <w:tc>
          <w:tcPr>
            <w:tcW w:w="6804" w:type="dxa"/>
            <w:tcBorders>
              <w:left w:val="nil"/>
              <w:bottom w:val="single" w:color="auto" w:sz="4" w:space="0"/>
              <w:right w:val="nil"/>
            </w:tcBorders>
            <w:noWrap/>
            <w:hideMark/>
          </w:tcPr>
          <w:p w:rsidRPr="00C3071B" w:rsidR="00C3071B" w:rsidP="00C3071B" w:rsidRDefault="00C3071B" w14:paraId="7A76C2E0" w14:textId="77777777">
            <w:pPr>
              <w:ind w:firstLine="200" w:firstLineChars="100"/>
              <w:rPr>
                <w:rFonts w:ascii="Arial" w:hAnsi="Arial" w:eastAsia="Times New Roman" w:cs="Arial"/>
                <w:sz w:val="20"/>
                <w:szCs w:val="20"/>
              </w:rPr>
            </w:pPr>
            <w:r w:rsidRPr="00C3071B">
              <w:rPr>
                <w:rFonts w:ascii="Arial" w:hAnsi="Arial" w:cs="Arial"/>
                <w:sz w:val="20"/>
              </w:rPr>
              <w:t>c) Sākotnējās izvietošanas darbību rādītājs (posteņu 8.a un 8.b summa)</w:t>
            </w:r>
          </w:p>
        </w:tc>
        <w:tc>
          <w:tcPr>
            <w:tcW w:w="2745" w:type="dxa"/>
            <w:tcBorders>
              <w:left w:val="nil"/>
              <w:bottom w:val="single" w:color="auto" w:sz="4" w:space="0"/>
              <w:right w:val="nil"/>
            </w:tcBorders>
            <w:noWrap/>
            <w:hideMark/>
          </w:tcPr>
          <w:p w:rsidRPr="00C3071B" w:rsidR="00C3071B" w:rsidP="00C3071B" w:rsidRDefault="00C3071B" w14:paraId="391F12D9"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FCCA922" w14:textId="77777777">
        <w:trPr>
          <w:trHeight w:val="300"/>
        </w:trPr>
        <w:tc>
          <w:tcPr>
            <w:tcW w:w="6804" w:type="dxa"/>
            <w:tcBorders>
              <w:left w:val="nil"/>
              <w:bottom w:val="nil"/>
              <w:right w:val="nil"/>
            </w:tcBorders>
            <w:noWrap/>
          </w:tcPr>
          <w:p w:rsidRPr="00C3071B" w:rsidR="00C3071B" w:rsidP="00C3071B" w:rsidRDefault="00C3071B" w14:paraId="6ADB077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6FBA794E" w14:textId="77777777">
            <w:pPr>
              <w:jc w:val="center"/>
              <w:rPr>
                <w:rFonts w:ascii="Arial" w:hAnsi="Arial" w:eastAsia="Times New Roman" w:cs="Arial"/>
                <w:b/>
                <w:bCs/>
                <w:sz w:val="20"/>
                <w:szCs w:val="20"/>
                <w:lang w:eastAsia="en-GB"/>
              </w:rPr>
            </w:pPr>
          </w:p>
        </w:tc>
      </w:tr>
      <w:tr w:rsidRPr="00C3071B" w:rsidR="00C3071B" w:rsidTr="00495D7D" w14:paraId="0BD3BAEC" w14:textId="77777777">
        <w:trPr>
          <w:trHeight w:val="300"/>
        </w:trPr>
        <w:tc>
          <w:tcPr>
            <w:tcW w:w="6804" w:type="dxa"/>
            <w:tcBorders>
              <w:top w:val="nil"/>
              <w:left w:val="nil"/>
              <w:right w:val="nil"/>
            </w:tcBorders>
            <w:noWrap/>
            <w:hideMark/>
          </w:tcPr>
          <w:p w:rsidRPr="00C3071B" w:rsidR="00C3071B" w:rsidP="00C3071B" w:rsidRDefault="00C3071B" w14:paraId="49816AAC" w14:textId="77777777">
            <w:pPr>
              <w:rPr>
                <w:rFonts w:ascii="Arial" w:hAnsi="Arial" w:eastAsia="Times New Roman" w:cs="Arial"/>
                <w:b/>
                <w:bCs/>
                <w:sz w:val="20"/>
                <w:szCs w:val="20"/>
              </w:rPr>
            </w:pPr>
            <w:r w:rsidRPr="00C3071B">
              <w:rPr>
                <w:rFonts w:ascii="Arial" w:hAnsi="Arial" w:cs="Arial"/>
                <w:b/>
                <w:sz w:val="20"/>
              </w:rPr>
              <w:t>9. sadaļa. Tirdzniecības apjoms</w:t>
            </w:r>
          </w:p>
        </w:tc>
        <w:tc>
          <w:tcPr>
            <w:tcW w:w="2745" w:type="dxa"/>
            <w:tcBorders>
              <w:top w:val="nil"/>
              <w:left w:val="nil"/>
              <w:right w:val="nil"/>
            </w:tcBorders>
            <w:hideMark/>
          </w:tcPr>
          <w:p w:rsidRPr="00C3071B" w:rsidR="00C3071B" w:rsidP="00C3071B" w:rsidRDefault="00C3071B" w14:paraId="04E622DA"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224B9D0B" w14:textId="77777777">
        <w:trPr>
          <w:trHeight w:val="300"/>
        </w:trPr>
        <w:tc>
          <w:tcPr>
            <w:tcW w:w="6804" w:type="dxa"/>
            <w:tcBorders>
              <w:left w:val="nil"/>
              <w:right w:val="nil"/>
            </w:tcBorders>
            <w:noWrap/>
          </w:tcPr>
          <w:p w:rsidRPr="00C3071B" w:rsidR="00C3071B" w:rsidP="00C3071B" w:rsidRDefault="00C3071B" w14:paraId="54B6AC47" w14:textId="77777777">
            <w:pPr>
              <w:ind w:left="171" w:firstLine="28" w:firstLineChars="14"/>
              <w:rPr>
                <w:rFonts w:ascii="Arial" w:hAnsi="Arial" w:eastAsia="Times New Roman" w:cs="Arial"/>
                <w:sz w:val="20"/>
                <w:szCs w:val="20"/>
              </w:rPr>
            </w:pPr>
            <w:r w:rsidRPr="00C3071B">
              <w:rPr>
                <w:rFonts w:ascii="Arial" w:hAnsi="Arial" w:cs="Arial"/>
                <w:sz w:val="20"/>
              </w:rPr>
              <w:t>a) Citu publiskā sektora struktūru emitēto vērtspapīru tirdzniecības apjoms, izņemot grupas iekšējos darījumus</w:t>
            </w:r>
          </w:p>
        </w:tc>
        <w:tc>
          <w:tcPr>
            <w:tcW w:w="2745" w:type="dxa"/>
            <w:tcBorders>
              <w:left w:val="nil"/>
              <w:right w:val="nil"/>
            </w:tcBorders>
            <w:noWrap/>
          </w:tcPr>
          <w:p w:rsidRPr="00C3071B" w:rsidR="00C3071B" w:rsidP="00C3071B" w:rsidRDefault="00C3071B" w14:paraId="7EFBF0A3" w14:textId="77777777">
            <w:pPr>
              <w:jc w:val="right"/>
              <w:rPr>
                <w:rFonts w:ascii="Arial" w:hAnsi="Arial" w:eastAsia="Times New Roman" w:cs="Arial"/>
                <w:sz w:val="20"/>
                <w:szCs w:val="20"/>
                <w:lang w:eastAsia="en-GB"/>
              </w:rPr>
            </w:pPr>
          </w:p>
        </w:tc>
      </w:tr>
      <w:tr w:rsidRPr="00C3071B" w:rsidR="00C3071B" w:rsidTr="00495D7D" w14:paraId="23E32976" w14:textId="77777777">
        <w:trPr>
          <w:trHeight w:val="300"/>
        </w:trPr>
        <w:tc>
          <w:tcPr>
            <w:tcW w:w="6804" w:type="dxa"/>
            <w:tcBorders>
              <w:left w:val="nil"/>
              <w:bottom w:val="single" w:color="auto" w:sz="4" w:space="0"/>
              <w:right w:val="nil"/>
            </w:tcBorders>
            <w:noWrap/>
            <w:hideMark/>
          </w:tcPr>
          <w:p w:rsidRPr="00C3071B" w:rsidR="00C3071B" w:rsidP="00C3071B" w:rsidRDefault="00C3071B" w14:paraId="49D48457" w14:textId="77777777">
            <w:pPr>
              <w:ind w:left="171" w:firstLine="28" w:firstLineChars="14"/>
              <w:rPr>
                <w:rFonts w:ascii="Arial" w:hAnsi="Arial" w:eastAsia="Times New Roman" w:cs="Arial"/>
                <w:sz w:val="20"/>
                <w:szCs w:val="20"/>
              </w:rPr>
            </w:pPr>
            <w:r w:rsidRPr="00C3071B">
              <w:rPr>
                <w:rFonts w:ascii="Arial" w:hAnsi="Arial" w:cs="Arial"/>
                <w:sz w:val="20"/>
              </w:rPr>
              <w:t>b) Citu fiksētā ienākuma vērtspapīru, izņemot grupas iekšējos darījumus, tirdzniecības apjoms</w:t>
            </w:r>
          </w:p>
        </w:tc>
        <w:tc>
          <w:tcPr>
            <w:tcW w:w="2745" w:type="dxa"/>
            <w:tcBorders>
              <w:left w:val="nil"/>
              <w:right w:val="nil"/>
            </w:tcBorders>
            <w:noWrap/>
            <w:hideMark/>
          </w:tcPr>
          <w:p w:rsidRPr="00C3071B" w:rsidR="00C3071B" w:rsidP="00C3071B" w:rsidRDefault="00C3071B" w14:paraId="78E5D32C"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1F68523" w14:textId="77777777">
        <w:trPr>
          <w:gridAfter w:val="1"/>
          <w:wAfter w:w="2745" w:type="dxa"/>
          <w:trHeight w:val="300"/>
        </w:trPr>
        <w:tc>
          <w:tcPr>
            <w:tcW w:w="6804" w:type="dxa"/>
            <w:tcBorders>
              <w:left w:val="nil"/>
              <w:bottom w:val="single" w:color="auto" w:sz="4" w:space="0"/>
              <w:right w:val="nil"/>
            </w:tcBorders>
            <w:noWrap/>
            <w:hideMark/>
          </w:tcPr>
          <w:p w:rsidRPr="00C3071B" w:rsidR="00C3071B" w:rsidP="00C3071B" w:rsidRDefault="00C3071B" w14:paraId="5CBA4BB0" w14:textId="77777777">
            <w:pPr>
              <w:ind w:firstLine="200" w:firstLineChars="100"/>
              <w:rPr>
                <w:rFonts w:ascii="Arial" w:hAnsi="Arial" w:eastAsia="Times New Roman" w:cs="Arial"/>
                <w:sz w:val="20"/>
                <w:szCs w:val="20"/>
              </w:rPr>
            </w:pPr>
            <w:r w:rsidRPr="00C3071B">
              <w:rPr>
                <w:rFonts w:ascii="Arial" w:hAnsi="Arial" w:cs="Arial"/>
                <w:sz w:val="20"/>
              </w:rPr>
              <w:t>c) Tirdzniecības apjoma fiksētā ienākuma apakšrādītājs (posteņu 9.a un 9.b summa)</w:t>
            </w:r>
          </w:p>
        </w:tc>
      </w:tr>
      <w:tr w:rsidRPr="00C3071B" w:rsidR="00C3071B" w:rsidTr="00495D7D" w14:paraId="1E90A0D1" w14:textId="77777777">
        <w:trPr>
          <w:trHeight w:val="300"/>
        </w:trPr>
        <w:tc>
          <w:tcPr>
            <w:tcW w:w="6804" w:type="dxa"/>
            <w:tcBorders>
              <w:left w:val="nil"/>
              <w:right w:val="nil"/>
            </w:tcBorders>
            <w:noWrap/>
            <w:hideMark/>
          </w:tcPr>
          <w:p w:rsidRPr="00C3071B" w:rsidR="00C3071B" w:rsidP="00C3071B" w:rsidRDefault="00C3071B" w14:paraId="195E86A1" w14:textId="77777777">
            <w:pPr>
              <w:ind w:firstLine="200" w:firstLineChars="100"/>
              <w:rPr>
                <w:rFonts w:ascii="Arial" w:hAnsi="Arial" w:eastAsia="Times New Roman" w:cs="Arial"/>
                <w:sz w:val="20"/>
                <w:szCs w:val="20"/>
              </w:rPr>
            </w:pPr>
            <w:r w:rsidRPr="00C3071B">
              <w:rPr>
                <w:rFonts w:ascii="Arial" w:hAnsi="Arial" w:cs="Arial"/>
                <w:sz w:val="20"/>
              </w:rPr>
              <w:t>d) Biržas sarakstā iekļauto kapitāla vērtspapīru tirdzniecības apjoms, izņemot grupas iekšējos darījumus</w:t>
            </w:r>
          </w:p>
        </w:tc>
        <w:tc>
          <w:tcPr>
            <w:tcW w:w="2745" w:type="dxa"/>
            <w:tcBorders>
              <w:left w:val="nil"/>
              <w:right w:val="nil"/>
            </w:tcBorders>
            <w:noWrap/>
            <w:hideMark/>
          </w:tcPr>
          <w:p w:rsidRPr="00C3071B" w:rsidR="00C3071B" w:rsidP="00C3071B" w:rsidRDefault="00C3071B" w14:paraId="5A5F8C27"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D6A3489" w14:textId="77777777">
        <w:trPr>
          <w:trHeight w:val="300"/>
        </w:trPr>
        <w:tc>
          <w:tcPr>
            <w:tcW w:w="6804" w:type="dxa"/>
            <w:tcBorders>
              <w:left w:val="nil"/>
              <w:bottom w:val="single" w:color="auto" w:sz="4" w:space="0"/>
              <w:right w:val="nil"/>
            </w:tcBorders>
            <w:noWrap/>
            <w:hideMark/>
          </w:tcPr>
          <w:p w:rsidRPr="00C3071B" w:rsidR="00C3071B" w:rsidP="00C3071B" w:rsidRDefault="00C3071B" w14:paraId="2D7633F0" w14:textId="77777777">
            <w:pPr>
              <w:ind w:left="171"/>
              <w:rPr>
                <w:rFonts w:ascii="Arial" w:hAnsi="Arial" w:eastAsia="Times New Roman" w:cs="Arial"/>
                <w:sz w:val="20"/>
                <w:szCs w:val="20"/>
              </w:rPr>
            </w:pPr>
            <w:r w:rsidRPr="00C3071B">
              <w:rPr>
                <w:rFonts w:ascii="Arial" w:hAnsi="Arial" w:cs="Arial"/>
                <w:sz w:val="20"/>
              </w:rPr>
              <w:t>e) Visu citu vērtspapīru tirdzniecības apjoms, izņemot grupas iekšējos darījumus</w:t>
            </w:r>
          </w:p>
        </w:tc>
        <w:tc>
          <w:tcPr>
            <w:tcW w:w="2745" w:type="dxa"/>
            <w:tcBorders>
              <w:left w:val="nil"/>
              <w:right w:val="nil"/>
            </w:tcBorders>
            <w:noWrap/>
            <w:hideMark/>
          </w:tcPr>
          <w:p w:rsidRPr="00C3071B" w:rsidR="00C3071B" w:rsidP="00C3071B" w:rsidRDefault="00C3071B" w14:paraId="2AB3590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5187E5F" w14:textId="77777777">
        <w:trPr>
          <w:gridAfter w:val="1"/>
          <w:wAfter w:w="2745" w:type="dxa"/>
          <w:trHeight w:val="300"/>
        </w:trPr>
        <w:tc>
          <w:tcPr>
            <w:tcW w:w="6804" w:type="dxa"/>
            <w:tcBorders>
              <w:left w:val="nil"/>
              <w:bottom w:val="single" w:color="auto" w:sz="4" w:space="0"/>
              <w:right w:val="nil"/>
            </w:tcBorders>
            <w:noWrap/>
            <w:hideMark/>
          </w:tcPr>
          <w:p w:rsidRPr="00C3071B" w:rsidR="00C3071B" w:rsidP="00C3071B" w:rsidRDefault="00C3071B" w14:paraId="2E6E35F3" w14:textId="77777777">
            <w:pPr>
              <w:ind w:left="171" w:firstLine="28" w:firstLineChars="14"/>
              <w:rPr>
                <w:rFonts w:ascii="Arial" w:hAnsi="Arial" w:eastAsia="Times New Roman" w:cs="Arial"/>
                <w:sz w:val="20"/>
                <w:szCs w:val="20"/>
              </w:rPr>
            </w:pPr>
            <w:r w:rsidRPr="00C3071B">
              <w:rPr>
                <w:rFonts w:ascii="Arial" w:hAnsi="Arial" w:cs="Arial"/>
                <w:sz w:val="20"/>
              </w:rPr>
              <w:t>f) Tirdzniecības apjoma kapitāla vērtspapīri un citu vērtspapīru apakšrādītājs (posteņu 9.d. un 9.e. summa)</w:t>
            </w:r>
          </w:p>
        </w:tc>
      </w:tr>
      <w:tr w:rsidRPr="00C3071B" w:rsidR="00C3071B" w:rsidTr="00495D7D" w14:paraId="1E8D12F1" w14:textId="77777777">
        <w:trPr>
          <w:trHeight w:val="403"/>
        </w:trPr>
        <w:tc>
          <w:tcPr>
            <w:tcW w:w="6804" w:type="dxa"/>
            <w:tcBorders>
              <w:left w:val="nil"/>
              <w:bottom w:val="nil"/>
              <w:right w:val="nil"/>
            </w:tcBorders>
            <w:noWrap/>
          </w:tcPr>
          <w:p w:rsidRPr="00C3071B" w:rsidR="00C3071B" w:rsidP="00C3071B" w:rsidRDefault="00C3071B" w14:paraId="27B4ED36" w14:textId="77777777">
            <w:pPr>
              <w:keepNext/>
              <w:keepLines/>
              <w:spacing w:before="47"/>
              <w:outlineLvl w:val="5"/>
              <w:rPr>
                <w:rFonts w:ascii="Arial" w:hAnsi="Arial" w:eastAsia="Times New Roman" w:cs="Arial"/>
                <w:i/>
                <w:iCs/>
                <w:caps/>
                <w:color w:val="1F3864"/>
                <w:sz w:val="20"/>
                <w:szCs w:val="20"/>
                <w:lang w:eastAsia="en-GB"/>
              </w:rPr>
            </w:pPr>
          </w:p>
        </w:tc>
        <w:tc>
          <w:tcPr>
            <w:tcW w:w="2745" w:type="dxa"/>
            <w:tcBorders>
              <w:left w:val="nil"/>
              <w:bottom w:val="nil"/>
              <w:right w:val="nil"/>
            </w:tcBorders>
            <w:noWrap/>
          </w:tcPr>
          <w:p w:rsidRPr="00C3071B" w:rsidR="00C3071B" w:rsidP="00C3071B" w:rsidRDefault="00C3071B" w14:paraId="62FCFD44" w14:textId="77777777">
            <w:pPr>
              <w:rPr>
                <w:rFonts w:ascii="Arial" w:hAnsi="Arial" w:eastAsia="Times New Roman" w:cs="Arial"/>
                <w:sz w:val="20"/>
                <w:szCs w:val="20"/>
                <w:lang w:eastAsia="en-GB"/>
              </w:rPr>
            </w:pPr>
          </w:p>
        </w:tc>
      </w:tr>
      <w:tr w:rsidRPr="00C3071B" w:rsidR="00C3071B" w:rsidTr="00495D7D" w14:paraId="32AADA46" w14:textId="77777777">
        <w:trPr>
          <w:trHeight w:val="403"/>
        </w:trPr>
        <w:tc>
          <w:tcPr>
            <w:tcW w:w="6804" w:type="dxa"/>
            <w:tcBorders>
              <w:top w:val="nil"/>
              <w:left w:val="nil"/>
              <w:bottom w:val="nil"/>
              <w:right w:val="nil"/>
            </w:tcBorders>
            <w:noWrap/>
            <w:hideMark/>
          </w:tcPr>
          <w:p w:rsidRPr="00C3071B" w:rsidR="00C3071B" w:rsidP="00C3071B" w:rsidRDefault="00C3071B" w14:paraId="251C56FB" w14:textId="77777777">
            <w:pPr>
              <w:keepNext/>
              <w:keepLines/>
              <w:spacing w:before="47"/>
              <w:outlineLvl w:val="5"/>
              <w:rPr>
                <w:rFonts w:ascii="Arial" w:hAnsi="Arial" w:eastAsia="Times New Roman" w:cs="Arial"/>
                <w:sz w:val="20"/>
                <w:szCs w:val="20"/>
                <w:lang w:eastAsia="en-GB"/>
              </w:rPr>
            </w:pPr>
            <w:r w:rsidRPr="00C3071B">
              <w:rPr>
                <w:rFonts w:ascii="Arial" w:hAnsi="Arial" w:cs="Arial"/>
                <w:i/>
                <w:caps/>
                <w:color w:val="1F3864"/>
                <w:sz w:val="20"/>
              </w:rPr>
              <w:t> </w:t>
            </w:r>
            <w:r w:rsidRPr="00C3071B">
              <w:rPr>
                <w:rFonts w:ascii="Calibri Light" w:hAnsi="Calibri Light" w:cs="Arial"/>
                <w:b/>
                <w:i/>
                <w:caps/>
              </w:rPr>
              <w:t>Sarežģītības rādītāji</w:t>
            </w:r>
          </w:p>
        </w:tc>
        <w:tc>
          <w:tcPr>
            <w:tcW w:w="2745" w:type="dxa"/>
            <w:tcBorders>
              <w:top w:val="nil"/>
              <w:left w:val="nil"/>
              <w:bottom w:val="nil"/>
              <w:right w:val="nil"/>
            </w:tcBorders>
            <w:noWrap/>
            <w:hideMark/>
          </w:tcPr>
          <w:p w:rsidRPr="00C3071B" w:rsidR="00C3071B" w:rsidP="00C3071B" w:rsidRDefault="00C3071B" w14:paraId="4B41B433" w14:textId="77777777">
            <w:pPr>
              <w:rPr>
                <w:rFonts w:ascii="Arial" w:hAnsi="Arial" w:eastAsia="Times New Roman" w:cs="Arial"/>
                <w:sz w:val="20"/>
                <w:szCs w:val="20"/>
              </w:rPr>
            </w:pPr>
            <w:r w:rsidRPr="00C3071B">
              <w:rPr>
                <w:rFonts w:ascii="Arial" w:hAnsi="Arial" w:cs="Arial"/>
                <w:sz w:val="20"/>
              </w:rPr>
              <w:t> </w:t>
            </w:r>
          </w:p>
        </w:tc>
      </w:tr>
      <w:tr w:rsidRPr="00C3071B" w:rsidR="00C3071B" w:rsidTr="00495D7D" w14:paraId="6BA54189" w14:textId="77777777">
        <w:trPr>
          <w:trHeight w:val="403"/>
        </w:trPr>
        <w:tc>
          <w:tcPr>
            <w:tcW w:w="6804" w:type="dxa"/>
            <w:tcBorders>
              <w:top w:val="nil"/>
              <w:left w:val="nil"/>
              <w:bottom w:val="single" w:color="auto" w:sz="4" w:space="0"/>
              <w:right w:val="nil"/>
            </w:tcBorders>
            <w:noWrap/>
          </w:tcPr>
          <w:p w:rsidRPr="00C3071B" w:rsidR="00C3071B" w:rsidP="00C3071B" w:rsidRDefault="00C3071B" w14:paraId="5F848FC9" w14:textId="77777777">
            <w:pPr>
              <w:keepNext/>
              <w:keepLines/>
              <w:spacing w:before="47"/>
              <w:outlineLvl w:val="5"/>
              <w:rPr>
                <w:rFonts w:ascii="Arial" w:hAnsi="Arial" w:eastAsia="Times New Roman" w:cs="Arial"/>
                <w:i/>
                <w:iCs/>
                <w:caps/>
                <w:color w:val="1F3864"/>
                <w:sz w:val="20"/>
                <w:szCs w:val="20"/>
                <w:lang w:eastAsia="en-GB"/>
              </w:rPr>
            </w:pPr>
          </w:p>
        </w:tc>
        <w:tc>
          <w:tcPr>
            <w:tcW w:w="2745" w:type="dxa"/>
            <w:tcBorders>
              <w:top w:val="nil"/>
              <w:left w:val="nil"/>
              <w:bottom w:val="single" w:color="auto" w:sz="4" w:space="0"/>
              <w:right w:val="nil"/>
            </w:tcBorders>
            <w:noWrap/>
          </w:tcPr>
          <w:p w:rsidRPr="00C3071B" w:rsidR="00C3071B" w:rsidP="00C3071B" w:rsidRDefault="00C3071B" w14:paraId="7B8D027C" w14:textId="77777777">
            <w:pPr>
              <w:rPr>
                <w:rFonts w:ascii="Arial" w:hAnsi="Arial" w:eastAsia="Times New Roman" w:cs="Arial"/>
                <w:sz w:val="20"/>
                <w:szCs w:val="20"/>
                <w:lang w:eastAsia="en-GB"/>
              </w:rPr>
            </w:pPr>
          </w:p>
        </w:tc>
      </w:tr>
      <w:tr w:rsidRPr="00C3071B" w:rsidR="00C3071B" w:rsidTr="00495D7D" w14:paraId="0C87529E" w14:textId="77777777">
        <w:trPr>
          <w:trHeight w:val="300"/>
        </w:trPr>
        <w:tc>
          <w:tcPr>
            <w:tcW w:w="6804" w:type="dxa"/>
            <w:tcBorders>
              <w:left w:val="nil"/>
              <w:right w:val="nil"/>
            </w:tcBorders>
            <w:noWrap/>
          </w:tcPr>
          <w:p w:rsidRPr="00C3071B" w:rsidR="00C3071B" w:rsidP="00C3071B" w:rsidRDefault="00C3071B" w14:paraId="3DD01397" w14:textId="77777777">
            <w:pPr>
              <w:ind w:firstLine="201" w:firstLineChars="100"/>
              <w:rPr>
                <w:rFonts w:ascii="Arial" w:hAnsi="Arial" w:eastAsia="Times New Roman" w:cs="Arial"/>
                <w:sz w:val="20"/>
                <w:szCs w:val="20"/>
              </w:rPr>
            </w:pPr>
            <w:r w:rsidRPr="00C3071B">
              <w:rPr>
                <w:rFonts w:ascii="Arial" w:hAnsi="Arial" w:cs="Arial"/>
                <w:b/>
                <w:sz w:val="20"/>
              </w:rPr>
              <w:t>10.sadaļa. Ārpusbiržas atvasinājumu nosacītā summa</w:t>
            </w:r>
          </w:p>
        </w:tc>
        <w:tc>
          <w:tcPr>
            <w:tcW w:w="2745" w:type="dxa"/>
            <w:tcBorders>
              <w:left w:val="nil"/>
              <w:right w:val="nil"/>
            </w:tcBorders>
            <w:noWrap/>
          </w:tcPr>
          <w:p w:rsidRPr="00C3071B" w:rsidR="00C3071B" w:rsidP="00C3071B" w:rsidRDefault="00C3071B" w14:paraId="728C5434"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12F41462" w14:textId="77777777">
        <w:trPr>
          <w:trHeight w:val="300"/>
        </w:trPr>
        <w:tc>
          <w:tcPr>
            <w:tcW w:w="6804" w:type="dxa"/>
            <w:tcBorders>
              <w:left w:val="nil"/>
              <w:right w:val="nil"/>
            </w:tcBorders>
            <w:noWrap/>
            <w:hideMark/>
          </w:tcPr>
          <w:p w:rsidRPr="00C3071B" w:rsidR="00C3071B" w:rsidP="00C3071B" w:rsidRDefault="00C3071B" w14:paraId="3E793776" w14:textId="77777777">
            <w:pPr>
              <w:ind w:firstLine="200" w:firstLineChars="100"/>
              <w:rPr>
                <w:rFonts w:ascii="Arial" w:hAnsi="Arial" w:eastAsia="Times New Roman" w:cs="Arial"/>
                <w:sz w:val="20"/>
                <w:szCs w:val="20"/>
              </w:rPr>
            </w:pPr>
            <w:r w:rsidRPr="00C3071B">
              <w:rPr>
                <w:rFonts w:ascii="Arial" w:hAnsi="Arial" w:cs="Arial"/>
                <w:sz w:val="20"/>
              </w:rPr>
              <w:t>a) Ārpusbiržas atvasinātie instrumenti, kam tīrvērti veic, izmantojot centrālo darījumu partneri</w:t>
            </w:r>
          </w:p>
        </w:tc>
        <w:tc>
          <w:tcPr>
            <w:tcW w:w="2745" w:type="dxa"/>
            <w:tcBorders>
              <w:left w:val="nil"/>
              <w:right w:val="nil"/>
            </w:tcBorders>
            <w:noWrap/>
            <w:hideMark/>
          </w:tcPr>
          <w:p w:rsidRPr="00C3071B" w:rsidR="00C3071B" w:rsidP="00C3071B" w:rsidRDefault="00C3071B" w14:paraId="4B518F5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6610EAA" w14:textId="77777777">
        <w:trPr>
          <w:trHeight w:val="300"/>
        </w:trPr>
        <w:tc>
          <w:tcPr>
            <w:tcW w:w="6804" w:type="dxa"/>
            <w:tcBorders>
              <w:left w:val="nil"/>
              <w:right w:val="nil"/>
            </w:tcBorders>
            <w:noWrap/>
            <w:hideMark/>
          </w:tcPr>
          <w:p w:rsidRPr="00C3071B" w:rsidR="00C3071B" w:rsidP="00C3071B" w:rsidRDefault="00C3071B" w14:paraId="38BEB40A" w14:textId="77777777">
            <w:pPr>
              <w:ind w:firstLine="200" w:firstLineChars="100"/>
              <w:rPr>
                <w:rFonts w:ascii="Arial" w:hAnsi="Arial" w:eastAsia="Times New Roman" w:cs="Arial"/>
                <w:sz w:val="20"/>
                <w:szCs w:val="20"/>
              </w:rPr>
            </w:pPr>
            <w:r w:rsidRPr="00C3071B">
              <w:rPr>
                <w:rFonts w:ascii="Arial" w:hAnsi="Arial" w:cs="Arial"/>
                <w:sz w:val="20"/>
              </w:rPr>
              <w:t>b) Ārpusbiržas atvasinātie instrumenti, par kuriem norēķini notiek divpusēji</w:t>
            </w:r>
          </w:p>
        </w:tc>
        <w:tc>
          <w:tcPr>
            <w:tcW w:w="2745" w:type="dxa"/>
            <w:tcBorders>
              <w:left w:val="nil"/>
              <w:right w:val="nil"/>
            </w:tcBorders>
            <w:noWrap/>
            <w:hideMark/>
          </w:tcPr>
          <w:p w:rsidRPr="00C3071B" w:rsidR="00C3071B" w:rsidP="00C3071B" w:rsidRDefault="00C3071B" w14:paraId="070DC59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9428955" w14:textId="77777777">
        <w:trPr>
          <w:trHeight w:val="300"/>
        </w:trPr>
        <w:tc>
          <w:tcPr>
            <w:tcW w:w="6804" w:type="dxa"/>
            <w:tcBorders>
              <w:left w:val="nil"/>
              <w:bottom w:val="single" w:color="auto" w:sz="4" w:space="0"/>
              <w:right w:val="nil"/>
            </w:tcBorders>
            <w:noWrap/>
          </w:tcPr>
          <w:p w:rsidRPr="00C3071B" w:rsidR="00C3071B" w:rsidP="00C3071B" w:rsidRDefault="00C3071B" w14:paraId="447C5212" w14:textId="77777777">
            <w:pPr>
              <w:ind w:left="171" w:firstLine="28" w:firstLineChars="14"/>
              <w:rPr>
                <w:rFonts w:ascii="Arial" w:hAnsi="Arial" w:eastAsia="Times New Roman" w:cs="Arial"/>
                <w:sz w:val="20"/>
                <w:szCs w:val="20"/>
              </w:rPr>
            </w:pPr>
            <w:r w:rsidRPr="00C3071B">
              <w:rPr>
                <w:rFonts w:ascii="Arial" w:hAnsi="Arial" w:cs="Arial"/>
                <w:sz w:val="20"/>
              </w:rPr>
              <w:t>c) Ārpusbiržas atvasināto instrumentu, tostarp apdrošināšanas meitasuzņēmumu, rādītāja nosacītā summa (posteņu 10.a. un 10.b. summa)</w:t>
            </w:r>
          </w:p>
        </w:tc>
        <w:tc>
          <w:tcPr>
            <w:tcW w:w="2745" w:type="dxa"/>
            <w:tcBorders>
              <w:left w:val="nil"/>
              <w:bottom w:val="single" w:color="auto" w:sz="4" w:space="0"/>
              <w:right w:val="nil"/>
            </w:tcBorders>
            <w:noWrap/>
          </w:tcPr>
          <w:p w:rsidRPr="00C3071B" w:rsidR="00C3071B" w:rsidP="00C3071B" w:rsidRDefault="00C3071B" w14:paraId="70654CDC" w14:textId="77777777">
            <w:pPr>
              <w:jc w:val="right"/>
              <w:rPr>
                <w:rFonts w:ascii="Arial" w:hAnsi="Arial" w:eastAsia="Times New Roman" w:cs="Arial"/>
                <w:sz w:val="20"/>
                <w:szCs w:val="20"/>
                <w:lang w:eastAsia="en-GB"/>
              </w:rPr>
            </w:pPr>
          </w:p>
        </w:tc>
      </w:tr>
      <w:tr w:rsidRPr="00C3071B" w:rsidR="00C3071B" w:rsidTr="00495D7D" w14:paraId="61EF4CC9" w14:textId="77777777">
        <w:trPr>
          <w:trHeight w:val="300"/>
        </w:trPr>
        <w:tc>
          <w:tcPr>
            <w:tcW w:w="6804" w:type="dxa"/>
            <w:tcBorders>
              <w:left w:val="nil"/>
              <w:bottom w:val="nil"/>
              <w:right w:val="nil"/>
            </w:tcBorders>
            <w:noWrap/>
          </w:tcPr>
          <w:p w:rsidRPr="00C3071B" w:rsidR="00C3071B" w:rsidP="00C3071B" w:rsidRDefault="00C3071B" w14:paraId="089B740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4EBDC9B0" w14:textId="77777777">
            <w:pPr>
              <w:jc w:val="center"/>
              <w:rPr>
                <w:rFonts w:ascii="Arial" w:hAnsi="Arial" w:eastAsia="Times New Roman" w:cs="Arial"/>
                <w:b/>
                <w:bCs/>
                <w:sz w:val="20"/>
                <w:szCs w:val="20"/>
                <w:lang w:eastAsia="en-GB"/>
              </w:rPr>
            </w:pPr>
          </w:p>
        </w:tc>
      </w:tr>
      <w:tr w:rsidRPr="00C3071B" w:rsidR="00C3071B" w:rsidTr="00495D7D" w14:paraId="23A88368"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3461B1C8" w14:textId="77777777">
            <w:pPr>
              <w:rPr>
                <w:rFonts w:ascii="Arial" w:hAnsi="Arial" w:eastAsia="Times New Roman" w:cs="Arial"/>
                <w:b/>
                <w:bCs/>
                <w:sz w:val="20"/>
                <w:szCs w:val="20"/>
              </w:rPr>
            </w:pPr>
            <w:r w:rsidRPr="00C3071B">
              <w:rPr>
                <w:rFonts w:ascii="Arial" w:hAnsi="Arial" w:cs="Arial"/>
                <w:b/>
                <w:sz w:val="20"/>
              </w:rPr>
              <w:t>11. sadaļa. Tirdzniecības nolūkā turēti un pārdošanai pieejami vērtspapīri</w:t>
            </w:r>
          </w:p>
        </w:tc>
        <w:tc>
          <w:tcPr>
            <w:tcW w:w="2745" w:type="dxa"/>
            <w:tcBorders>
              <w:top w:val="nil"/>
              <w:left w:val="nil"/>
              <w:bottom w:val="single" w:color="auto" w:sz="4" w:space="0"/>
              <w:right w:val="nil"/>
            </w:tcBorders>
            <w:hideMark/>
          </w:tcPr>
          <w:p w:rsidRPr="00C3071B" w:rsidR="00C3071B" w:rsidP="00C3071B" w:rsidRDefault="00C3071B" w14:paraId="22EE1BAD"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38BD3690" w14:textId="77777777">
        <w:trPr>
          <w:trHeight w:val="300"/>
        </w:trPr>
        <w:tc>
          <w:tcPr>
            <w:tcW w:w="6804" w:type="dxa"/>
            <w:tcBorders>
              <w:left w:val="nil"/>
              <w:right w:val="nil"/>
            </w:tcBorders>
            <w:noWrap/>
            <w:hideMark/>
          </w:tcPr>
          <w:p w:rsidRPr="00C3071B" w:rsidR="00C3071B" w:rsidP="00C3071B" w:rsidRDefault="00C3071B" w14:paraId="12C5F22B" w14:textId="77777777">
            <w:pPr>
              <w:ind w:firstLine="200" w:firstLineChars="100"/>
              <w:rPr>
                <w:rFonts w:ascii="Arial" w:hAnsi="Arial" w:eastAsia="Times New Roman" w:cs="Arial"/>
                <w:sz w:val="20"/>
                <w:szCs w:val="20"/>
              </w:rPr>
            </w:pPr>
            <w:r w:rsidRPr="00C3071B">
              <w:rPr>
                <w:rFonts w:ascii="Arial" w:hAnsi="Arial" w:cs="Arial"/>
                <w:sz w:val="20"/>
              </w:rPr>
              <w:t>a) Tirdzniecības nolūkā turēti vērtspapīri</w:t>
            </w:r>
          </w:p>
        </w:tc>
        <w:tc>
          <w:tcPr>
            <w:tcW w:w="2745" w:type="dxa"/>
            <w:tcBorders>
              <w:left w:val="nil"/>
              <w:right w:val="nil"/>
            </w:tcBorders>
            <w:noWrap/>
            <w:hideMark/>
          </w:tcPr>
          <w:p w:rsidRPr="00C3071B" w:rsidR="00C3071B" w:rsidP="00C3071B" w:rsidRDefault="00C3071B" w14:paraId="4EE816BD"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59180BF" w14:textId="77777777">
        <w:trPr>
          <w:trHeight w:val="300"/>
        </w:trPr>
        <w:tc>
          <w:tcPr>
            <w:tcW w:w="6804" w:type="dxa"/>
            <w:tcBorders>
              <w:left w:val="nil"/>
              <w:bottom w:val="single" w:color="auto" w:sz="4" w:space="0"/>
              <w:right w:val="nil"/>
            </w:tcBorders>
            <w:noWrap/>
            <w:hideMark/>
          </w:tcPr>
          <w:p w:rsidRPr="00C3071B" w:rsidR="00C3071B" w:rsidP="00C3071B" w:rsidRDefault="00C3071B" w14:paraId="4DE30D5A" w14:textId="77777777">
            <w:pPr>
              <w:ind w:firstLine="200" w:firstLineChars="100"/>
              <w:rPr>
                <w:rFonts w:ascii="Arial" w:hAnsi="Arial" w:eastAsia="Times New Roman" w:cs="Arial"/>
                <w:sz w:val="20"/>
                <w:szCs w:val="20"/>
              </w:rPr>
            </w:pPr>
            <w:r w:rsidRPr="00C3071B">
              <w:rPr>
                <w:rFonts w:ascii="Arial" w:hAnsi="Arial" w:cs="Arial"/>
                <w:sz w:val="20"/>
              </w:rPr>
              <w:t>b) Pārdošanai pieejami vērtspapīri</w:t>
            </w:r>
          </w:p>
        </w:tc>
        <w:tc>
          <w:tcPr>
            <w:tcW w:w="2745" w:type="dxa"/>
            <w:tcBorders>
              <w:left w:val="nil"/>
              <w:right w:val="nil"/>
            </w:tcBorders>
            <w:noWrap/>
            <w:hideMark/>
          </w:tcPr>
          <w:p w:rsidRPr="00C3071B" w:rsidR="00C3071B" w:rsidP="00C3071B" w:rsidRDefault="00C3071B" w14:paraId="1A8403C6"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561079C" w14:textId="77777777">
        <w:trPr>
          <w:trHeight w:val="300"/>
        </w:trPr>
        <w:tc>
          <w:tcPr>
            <w:tcW w:w="6804" w:type="dxa"/>
            <w:tcBorders>
              <w:left w:val="nil"/>
              <w:bottom w:val="single" w:color="auto" w:sz="4" w:space="0"/>
              <w:right w:val="nil"/>
            </w:tcBorders>
            <w:noWrap/>
          </w:tcPr>
          <w:p w:rsidRPr="00C3071B" w:rsidR="00C3071B" w:rsidP="00C3071B" w:rsidRDefault="00C3071B" w14:paraId="4A04F39B" w14:textId="77777777">
            <w:pPr>
              <w:ind w:firstLine="200" w:firstLineChars="100"/>
              <w:rPr>
                <w:rFonts w:ascii="Arial" w:hAnsi="Arial" w:eastAsia="Times New Roman" w:cs="Arial"/>
                <w:sz w:val="20"/>
                <w:szCs w:val="20"/>
              </w:rPr>
            </w:pPr>
            <w:r w:rsidRPr="00C3071B">
              <w:rPr>
                <w:rFonts w:ascii="Arial" w:hAnsi="Arial" w:cs="Arial"/>
                <w:sz w:val="20"/>
              </w:rPr>
              <w:t>c) Tirdzniecības nolūkā turēti un pārdošanai pieejami vērtspapīri, kas atbilst 1. līmeņa aktīvu definīcijai</w:t>
            </w:r>
          </w:p>
        </w:tc>
        <w:tc>
          <w:tcPr>
            <w:tcW w:w="2745" w:type="dxa"/>
            <w:tcBorders>
              <w:left w:val="nil"/>
              <w:right w:val="nil"/>
            </w:tcBorders>
            <w:noWrap/>
          </w:tcPr>
          <w:p w:rsidRPr="00C3071B" w:rsidR="00C3071B" w:rsidP="00C3071B" w:rsidRDefault="00C3071B" w14:paraId="3B026171" w14:textId="77777777">
            <w:pPr>
              <w:jc w:val="right"/>
              <w:rPr>
                <w:rFonts w:ascii="Arial" w:hAnsi="Arial" w:eastAsia="Times New Roman" w:cs="Arial"/>
                <w:sz w:val="20"/>
                <w:szCs w:val="20"/>
                <w:lang w:eastAsia="en-GB"/>
              </w:rPr>
            </w:pPr>
          </w:p>
        </w:tc>
      </w:tr>
      <w:tr w:rsidRPr="00C3071B" w:rsidR="00C3071B" w:rsidTr="00495D7D" w14:paraId="7473ADB7" w14:textId="77777777">
        <w:trPr>
          <w:trHeight w:val="300"/>
        </w:trPr>
        <w:tc>
          <w:tcPr>
            <w:tcW w:w="6804" w:type="dxa"/>
            <w:tcBorders>
              <w:left w:val="nil"/>
              <w:bottom w:val="single" w:color="auto" w:sz="4" w:space="0"/>
              <w:right w:val="nil"/>
            </w:tcBorders>
            <w:noWrap/>
          </w:tcPr>
          <w:p w:rsidRPr="00C3071B" w:rsidR="00C3071B" w:rsidP="00C3071B" w:rsidRDefault="00C3071B" w14:paraId="566DEA86" w14:textId="77777777">
            <w:pPr>
              <w:ind w:left="171" w:firstLine="28" w:firstLineChars="14"/>
              <w:rPr>
                <w:rFonts w:ascii="Arial" w:hAnsi="Arial" w:eastAsia="Times New Roman" w:cs="Arial"/>
                <w:sz w:val="20"/>
                <w:szCs w:val="20"/>
              </w:rPr>
            </w:pPr>
            <w:r w:rsidRPr="00C3071B">
              <w:rPr>
                <w:rFonts w:ascii="Arial" w:hAnsi="Arial" w:cs="Arial"/>
                <w:sz w:val="20"/>
              </w:rPr>
              <w:t>d) Tirdzniecības nolūkā turēti un pārdošanai pieejami vērtspapīri, kas atbilst 2. līmeņa aktīvu definīcijai</w:t>
            </w:r>
          </w:p>
        </w:tc>
        <w:tc>
          <w:tcPr>
            <w:tcW w:w="2745" w:type="dxa"/>
            <w:tcBorders>
              <w:left w:val="nil"/>
              <w:right w:val="nil"/>
            </w:tcBorders>
            <w:noWrap/>
          </w:tcPr>
          <w:p w:rsidRPr="00C3071B" w:rsidR="00C3071B" w:rsidP="00C3071B" w:rsidRDefault="00C3071B" w14:paraId="51CB0460" w14:textId="77777777">
            <w:pPr>
              <w:jc w:val="right"/>
              <w:rPr>
                <w:rFonts w:ascii="Arial" w:hAnsi="Arial" w:eastAsia="Times New Roman" w:cs="Arial"/>
                <w:sz w:val="20"/>
                <w:szCs w:val="20"/>
                <w:lang w:eastAsia="en-GB"/>
              </w:rPr>
            </w:pPr>
          </w:p>
        </w:tc>
      </w:tr>
      <w:tr w:rsidRPr="00C3071B" w:rsidR="00C3071B" w:rsidTr="00495D7D" w14:paraId="356CDECE" w14:textId="77777777">
        <w:trPr>
          <w:trHeight w:val="300"/>
        </w:trPr>
        <w:tc>
          <w:tcPr>
            <w:tcW w:w="6804" w:type="dxa"/>
            <w:tcBorders>
              <w:left w:val="nil"/>
              <w:bottom w:val="single" w:color="auto" w:sz="4" w:space="0"/>
              <w:right w:val="nil"/>
            </w:tcBorders>
            <w:noWrap/>
          </w:tcPr>
          <w:p w:rsidRPr="00C3071B" w:rsidR="00C3071B" w:rsidP="00C3071B" w:rsidRDefault="00C3071B" w14:paraId="14DC3354" w14:textId="77777777">
            <w:pPr>
              <w:ind w:left="171" w:firstLine="28" w:firstLineChars="14"/>
              <w:rPr>
                <w:rFonts w:ascii="Arial" w:hAnsi="Arial" w:eastAsia="Times New Roman" w:cs="Arial"/>
                <w:sz w:val="20"/>
                <w:szCs w:val="20"/>
              </w:rPr>
            </w:pPr>
            <w:r w:rsidRPr="00C3071B">
              <w:rPr>
                <w:rFonts w:ascii="Arial" w:hAnsi="Arial" w:cs="Arial"/>
                <w:sz w:val="20"/>
              </w:rPr>
              <w:t>f) Tirdzniecības nolūkā turētu un pārdošanai pieejamu vērtspapīru rādītājs (posteņu 11.a. un 11.b. summa, no kuras atņemta posteņu 11.c. un 11.d. summa)</w:t>
            </w:r>
          </w:p>
        </w:tc>
        <w:tc>
          <w:tcPr>
            <w:tcW w:w="2745" w:type="dxa"/>
            <w:tcBorders>
              <w:left w:val="nil"/>
              <w:bottom w:val="single" w:color="auto" w:sz="4" w:space="0"/>
              <w:right w:val="nil"/>
            </w:tcBorders>
            <w:noWrap/>
          </w:tcPr>
          <w:p w:rsidRPr="00C3071B" w:rsidR="00C3071B" w:rsidP="00C3071B" w:rsidRDefault="00C3071B" w14:paraId="5EA9DC14" w14:textId="77777777">
            <w:pPr>
              <w:jc w:val="right"/>
              <w:rPr>
                <w:rFonts w:ascii="Arial" w:hAnsi="Arial" w:eastAsia="Times New Roman" w:cs="Arial"/>
                <w:sz w:val="20"/>
                <w:szCs w:val="20"/>
                <w:lang w:eastAsia="en-GB"/>
              </w:rPr>
            </w:pPr>
          </w:p>
        </w:tc>
      </w:tr>
      <w:tr w:rsidRPr="00C3071B" w:rsidR="00C3071B" w:rsidTr="00495D7D" w14:paraId="7FCAA2AC" w14:textId="77777777">
        <w:trPr>
          <w:trHeight w:val="300"/>
        </w:trPr>
        <w:tc>
          <w:tcPr>
            <w:tcW w:w="6804" w:type="dxa"/>
            <w:tcBorders>
              <w:left w:val="nil"/>
              <w:bottom w:val="nil"/>
              <w:right w:val="nil"/>
            </w:tcBorders>
            <w:noWrap/>
          </w:tcPr>
          <w:p w:rsidRPr="00C3071B" w:rsidR="00C3071B" w:rsidP="00C3071B" w:rsidRDefault="00C3071B" w14:paraId="2CAC622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6C3D1E91" w14:textId="77777777">
            <w:pPr>
              <w:jc w:val="center"/>
              <w:rPr>
                <w:rFonts w:ascii="Arial" w:hAnsi="Arial" w:eastAsia="Times New Roman" w:cs="Arial"/>
                <w:b/>
                <w:bCs/>
                <w:sz w:val="20"/>
                <w:szCs w:val="20"/>
                <w:lang w:eastAsia="en-GB"/>
              </w:rPr>
            </w:pPr>
          </w:p>
        </w:tc>
      </w:tr>
      <w:tr w:rsidRPr="00C3071B" w:rsidR="00C3071B" w:rsidTr="00495D7D" w14:paraId="05B5F6A0"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1BCFA662" w14:textId="77777777">
            <w:pPr>
              <w:rPr>
                <w:rFonts w:ascii="Arial" w:hAnsi="Arial" w:eastAsia="Times New Roman" w:cs="Arial"/>
                <w:b/>
                <w:bCs/>
                <w:sz w:val="20"/>
                <w:szCs w:val="20"/>
              </w:rPr>
            </w:pPr>
            <w:r w:rsidRPr="00C3071B">
              <w:rPr>
                <w:rFonts w:ascii="Arial" w:hAnsi="Arial" w:cs="Arial"/>
                <w:b/>
                <w:sz w:val="20"/>
              </w:rPr>
              <w:t>12. sadaļa. Trešā līmeņa aktīvi</w:t>
            </w:r>
          </w:p>
        </w:tc>
        <w:tc>
          <w:tcPr>
            <w:tcW w:w="2745" w:type="dxa"/>
            <w:tcBorders>
              <w:top w:val="nil"/>
              <w:left w:val="nil"/>
              <w:bottom w:val="single" w:color="auto" w:sz="4" w:space="0"/>
              <w:right w:val="nil"/>
            </w:tcBorders>
            <w:hideMark/>
          </w:tcPr>
          <w:p w:rsidRPr="00C3071B" w:rsidR="00C3071B" w:rsidP="00C3071B" w:rsidRDefault="00C3071B" w14:paraId="082EC7DC"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0331AC34" w14:textId="77777777">
        <w:trPr>
          <w:trHeight w:val="300"/>
        </w:trPr>
        <w:tc>
          <w:tcPr>
            <w:tcW w:w="6804" w:type="dxa"/>
            <w:tcBorders>
              <w:left w:val="nil"/>
              <w:bottom w:val="single" w:color="auto" w:sz="4" w:space="0"/>
              <w:right w:val="nil"/>
            </w:tcBorders>
            <w:noWrap/>
            <w:hideMark/>
          </w:tcPr>
          <w:p w:rsidRPr="00C3071B" w:rsidR="00C3071B" w:rsidP="00C3071B" w:rsidRDefault="00C3071B" w14:paraId="30C31857" w14:textId="77777777">
            <w:pPr>
              <w:ind w:firstLine="200" w:firstLineChars="100"/>
              <w:rPr>
                <w:rFonts w:ascii="Arial" w:hAnsi="Arial" w:eastAsia="Times New Roman" w:cs="Arial"/>
                <w:sz w:val="20"/>
                <w:szCs w:val="20"/>
              </w:rPr>
            </w:pPr>
            <w:r w:rsidRPr="00C3071B">
              <w:rPr>
                <w:rFonts w:ascii="Arial" w:hAnsi="Arial" w:cs="Arial"/>
                <w:sz w:val="20"/>
              </w:rPr>
              <w:t xml:space="preserve">a) Trešā līmeņa aktīvi, ieskaitot apdrošināšanas meitasuzņēmumus </w:t>
            </w:r>
          </w:p>
        </w:tc>
        <w:tc>
          <w:tcPr>
            <w:tcW w:w="2745" w:type="dxa"/>
            <w:tcBorders>
              <w:left w:val="nil"/>
              <w:bottom w:val="single" w:color="auto" w:sz="4" w:space="0"/>
              <w:right w:val="nil"/>
            </w:tcBorders>
            <w:noWrap/>
            <w:hideMark/>
          </w:tcPr>
          <w:p w:rsidRPr="00C3071B" w:rsidR="00C3071B" w:rsidP="00C3071B" w:rsidRDefault="00C3071B" w14:paraId="47898EA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F074FAC" w14:textId="77777777">
        <w:trPr>
          <w:trHeight w:val="300"/>
        </w:trPr>
        <w:tc>
          <w:tcPr>
            <w:tcW w:w="6804" w:type="dxa"/>
            <w:tcBorders>
              <w:left w:val="nil"/>
              <w:bottom w:val="nil"/>
              <w:right w:val="nil"/>
            </w:tcBorders>
            <w:noWrap/>
          </w:tcPr>
          <w:p w:rsidRPr="00C3071B" w:rsidR="00C3071B" w:rsidP="00C3071B" w:rsidRDefault="00C3071B" w14:paraId="23A80815"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C3071B" w:rsidR="00C3071B" w:rsidP="00C3071B" w:rsidRDefault="00C3071B" w14:paraId="004AC229" w14:textId="77777777">
            <w:pPr>
              <w:jc w:val="right"/>
              <w:rPr>
                <w:rFonts w:ascii="Arial" w:hAnsi="Arial" w:eastAsia="Times New Roman" w:cs="Arial"/>
                <w:sz w:val="20"/>
                <w:szCs w:val="20"/>
                <w:lang w:eastAsia="en-GB"/>
              </w:rPr>
            </w:pPr>
          </w:p>
        </w:tc>
      </w:tr>
      <w:tr w:rsidRPr="00C3071B" w:rsidR="00C3071B" w:rsidTr="00495D7D" w14:paraId="7D65AF52" w14:textId="77777777">
        <w:trPr>
          <w:trHeight w:val="300"/>
        </w:trPr>
        <w:tc>
          <w:tcPr>
            <w:tcW w:w="6804" w:type="dxa"/>
            <w:tcBorders>
              <w:top w:val="nil"/>
              <w:left w:val="nil"/>
              <w:bottom w:val="nil"/>
              <w:right w:val="nil"/>
            </w:tcBorders>
            <w:noWrap/>
          </w:tcPr>
          <w:p w:rsidRPr="00C3071B" w:rsidR="00C3071B" w:rsidP="00C3071B" w:rsidRDefault="00C3071B" w14:paraId="66885CD7" w14:textId="77777777">
            <w:pPr>
              <w:ind w:firstLine="221" w:firstLineChars="100"/>
              <w:rPr>
                <w:rFonts w:ascii="Arial" w:hAnsi="Arial" w:eastAsia="Times New Roman" w:cs="Arial"/>
                <w:sz w:val="20"/>
                <w:szCs w:val="20"/>
              </w:rPr>
            </w:pPr>
            <w:r w:rsidRPr="00C3071B">
              <w:rPr>
                <w:rFonts w:ascii="Calibri Light" w:hAnsi="Calibri Light" w:cs="Arial"/>
                <w:b/>
                <w:i/>
                <w:caps/>
              </w:rPr>
              <w:t>Dažādu valstu jurisdikcijās veiktās darbības rādītāji</w:t>
            </w:r>
          </w:p>
        </w:tc>
        <w:tc>
          <w:tcPr>
            <w:tcW w:w="2745" w:type="dxa"/>
            <w:tcBorders>
              <w:top w:val="nil"/>
              <w:left w:val="nil"/>
              <w:bottom w:val="nil"/>
              <w:right w:val="nil"/>
            </w:tcBorders>
            <w:noWrap/>
          </w:tcPr>
          <w:p w:rsidRPr="00C3071B" w:rsidR="00C3071B" w:rsidP="00C3071B" w:rsidRDefault="00C3071B" w14:paraId="185E86CA" w14:textId="77777777">
            <w:pPr>
              <w:jc w:val="right"/>
              <w:rPr>
                <w:rFonts w:ascii="Arial" w:hAnsi="Arial" w:eastAsia="Times New Roman" w:cs="Arial"/>
                <w:sz w:val="20"/>
                <w:szCs w:val="20"/>
                <w:lang w:eastAsia="en-GB"/>
              </w:rPr>
            </w:pPr>
          </w:p>
        </w:tc>
      </w:tr>
      <w:tr w:rsidRPr="00C3071B" w:rsidR="00C3071B" w:rsidTr="00495D7D" w14:paraId="7F8BA4AD" w14:textId="77777777">
        <w:trPr>
          <w:trHeight w:val="300"/>
        </w:trPr>
        <w:tc>
          <w:tcPr>
            <w:tcW w:w="6804" w:type="dxa"/>
            <w:tcBorders>
              <w:top w:val="nil"/>
              <w:left w:val="nil"/>
              <w:bottom w:val="single" w:color="auto" w:sz="4" w:space="0"/>
              <w:right w:val="nil"/>
            </w:tcBorders>
            <w:noWrap/>
          </w:tcPr>
          <w:p w:rsidRPr="00C3071B" w:rsidR="00C3071B" w:rsidP="00C3071B" w:rsidRDefault="00C3071B" w14:paraId="4103E8FB"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C3071B" w:rsidR="00C3071B" w:rsidP="00C3071B" w:rsidRDefault="00C3071B" w14:paraId="4E0DB954" w14:textId="77777777">
            <w:pPr>
              <w:jc w:val="right"/>
              <w:rPr>
                <w:rFonts w:ascii="Arial" w:hAnsi="Arial" w:eastAsia="Times New Roman" w:cs="Arial"/>
                <w:sz w:val="20"/>
                <w:szCs w:val="20"/>
                <w:lang w:eastAsia="en-GB"/>
              </w:rPr>
            </w:pPr>
          </w:p>
        </w:tc>
      </w:tr>
      <w:tr w:rsidRPr="00C3071B" w:rsidR="00C3071B" w:rsidTr="00495D7D" w14:paraId="5D6B9C6C" w14:textId="77777777">
        <w:trPr>
          <w:trHeight w:val="300"/>
        </w:trPr>
        <w:tc>
          <w:tcPr>
            <w:tcW w:w="6804" w:type="dxa"/>
            <w:tcBorders>
              <w:left w:val="nil"/>
              <w:bottom w:val="single" w:color="auto" w:sz="4" w:space="0"/>
              <w:right w:val="nil"/>
            </w:tcBorders>
            <w:noWrap/>
            <w:hideMark/>
          </w:tcPr>
          <w:p w:rsidRPr="00C3071B" w:rsidR="00C3071B" w:rsidP="00C3071B" w:rsidRDefault="00C3071B" w14:paraId="2B3986E5" w14:textId="77777777">
            <w:pPr>
              <w:rPr>
                <w:rFonts w:ascii="Arial" w:hAnsi="Arial" w:eastAsia="Times New Roman" w:cs="Arial"/>
                <w:b/>
                <w:bCs/>
                <w:sz w:val="20"/>
                <w:szCs w:val="20"/>
              </w:rPr>
            </w:pPr>
            <w:r w:rsidRPr="00C3071B">
              <w:rPr>
                <w:rFonts w:ascii="Arial" w:hAnsi="Arial" w:cs="Arial"/>
                <w:b/>
                <w:sz w:val="20"/>
              </w:rPr>
              <w:t>13. sadaļa. Dažādu valstu jurisdikciju prasības</w:t>
            </w:r>
          </w:p>
        </w:tc>
        <w:tc>
          <w:tcPr>
            <w:tcW w:w="2745" w:type="dxa"/>
            <w:tcBorders>
              <w:left w:val="nil"/>
              <w:bottom w:val="single" w:color="auto" w:sz="4" w:space="0"/>
              <w:right w:val="nil"/>
            </w:tcBorders>
            <w:hideMark/>
          </w:tcPr>
          <w:p w:rsidRPr="00C3071B" w:rsidR="00C3071B" w:rsidP="00C3071B" w:rsidRDefault="00C3071B" w14:paraId="58F8D761"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35FD341D" w14:textId="77777777">
        <w:trPr>
          <w:trHeight w:val="300"/>
        </w:trPr>
        <w:tc>
          <w:tcPr>
            <w:tcW w:w="6804" w:type="dxa"/>
            <w:tcBorders>
              <w:left w:val="nil"/>
              <w:right w:val="nil"/>
            </w:tcBorders>
            <w:noWrap/>
            <w:hideMark/>
          </w:tcPr>
          <w:p w:rsidRPr="00C3071B" w:rsidR="00C3071B" w:rsidP="00C3071B" w:rsidRDefault="00C3071B" w14:paraId="045CC291" w14:textId="77777777">
            <w:pPr>
              <w:ind w:firstLine="200" w:firstLineChars="100"/>
              <w:rPr>
                <w:rFonts w:ascii="Arial" w:hAnsi="Arial" w:eastAsia="Times New Roman" w:cs="Arial"/>
                <w:sz w:val="20"/>
                <w:szCs w:val="20"/>
              </w:rPr>
            </w:pPr>
            <w:r w:rsidRPr="00C3071B">
              <w:rPr>
                <w:rFonts w:ascii="Arial" w:hAnsi="Arial" w:cs="Arial"/>
                <w:sz w:val="20"/>
              </w:rPr>
              <w:t>a) Kopējās ārvalstu prasības, pamatojoties uz galīgo risku</w:t>
            </w:r>
          </w:p>
        </w:tc>
        <w:tc>
          <w:tcPr>
            <w:tcW w:w="2745" w:type="dxa"/>
            <w:tcBorders>
              <w:left w:val="nil"/>
              <w:right w:val="nil"/>
            </w:tcBorders>
            <w:noWrap/>
            <w:hideMark/>
          </w:tcPr>
          <w:p w:rsidRPr="00C3071B" w:rsidR="00C3071B" w:rsidP="00C3071B" w:rsidRDefault="00C3071B" w14:paraId="75A0D44B"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84100A5" w14:textId="77777777">
        <w:trPr>
          <w:trHeight w:val="300"/>
        </w:trPr>
        <w:tc>
          <w:tcPr>
            <w:tcW w:w="6804" w:type="dxa"/>
            <w:tcBorders>
              <w:left w:val="nil"/>
              <w:right w:val="nil"/>
            </w:tcBorders>
            <w:noWrap/>
            <w:hideMark/>
          </w:tcPr>
          <w:p w:rsidRPr="00C3071B" w:rsidR="00C3071B" w:rsidP="00C3071B" w:rsidRDefault="00C3071B" w14:paraId="4DC5018B" w14:textId="77777777">
            <w:pPr>
              <w:ind w:firstLine="200" w:firstLineChars="100"/>
              <w:rPr>
                <w:rFonts w:ascii="Arial" w:hAnsi="Arial" w:eastAsia="Times New Roman" w:cs="Arial"/>
                <w:sz w:val="20"/>
                <w:szCs w:val="20"/>
              </w:rPr>
            </w:pPr>
            <w:r w:rsidRPr="00C3071B">
              <w:rPr>
                <w:rFonts w:ascii="Arial" w:hAnsi="Arial" w:cs="Arial"/>
                <w:sz w:val="20"/>
              </w:rPr>
              <w:t>b) Ārvalstu atvasināto instrumentu prasības, balstoties uz galīgo risku</w:t>
            </w:r>
          </w:p>
        </w:tc>
        <w:tc>
          <w:tcPr>
            <w:tcW w:w="2745" w:type="dxa"/>
            <w:tcBorders>
              <w:left w:val="nil"/>
              <w:right w:val="nil"/>
            </w:tcBorders>
            <w:noWrap/>
            <w:hideMark/>
          </w:tcPr>
          <w:p w:rsidRPr="00C3071B" w:rsidR="00C3071B" w:rsidP="00C3071B" w:rsidRDefault="00C3071B" w14:paraId="19D9168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392527E" w14:textId="77777777">
        <w:trPr>
          <w:gridAfter w:val="1"/>
          <w:wAfter w:w="2745" w:type="dxa"/>
          <w:trHeight w:val="300"/>
        </w:trPr>
        <w:tc>
          <w:tcPr>
            <w:tcW w:w="6804" w:type="dxa"/>
            <w:tcBorders>
              <w:left w:val="nil"/>
              <w:bottom w:val="single" w:color="auto" w:sz="4" w:space="0"/>
              <w:right w:val="nil"/>
            </w:tcBorders>
            <w:hideMark/>
          </w:tcPr>
          <w:p w:rsidRPr="00C3071B" w:rsidR="00C3071B" w:rsidP="00C3071B" w:rsidRDefault="00C3071B" w14:paraId="30C2931B" w14:textId="77777777">
            <w:pPr>
              <w:ind w:firstLine="200" w:firstLineChars="100"/>
              <w:rPr>
                <w:rFonts w:ascii="Arial" w:hAnsi="Arial" w:eastAsia="Times New Roman" w:cs="Arial"/>
                <w:sz w:val="20"/>
                <w:szCs w:val="20"/>
              </w:rPr>
            </w:pPr>
            <w:r w:rsidRPr="00C3071B">
              <w:rPr>
                <w:rFonts w:ascii="Arial" w:hAnsi="Arial" w:cs="Arial"/>
                <w:sz w:val="20"/>
              </w:rPr>
              <w:t>c) Dažādu valstu jurisdikciju prasību rādītājs (posteņu 13.a. un 13.b. summa)</w:t>
            </w:r>
          </w:p>
        </w:tc>
      </w:tr>
      <w:tr w:rsidRPr="00C3071B" w:rsidR="00C3071B" w:rsidTr="00495D7D" w14:paraId="19FCDAA9" w14:textId="77777777">
        <w:trPr>
          <w:trHeight w:val="300"/>
        </w:trPr>
        <w:tc>
          <w:tcPr>
            <w:tcW w:w="6804" w:type="dxa"/>
            <w:tcBorders>
              <w:left w:val="nil"/>
              <w:bottom w:val="nil"/>
              <w:right w:val="nil"/>
            </w:tcBorders>
            <w:noWrap/>
          </w:tcPr>
          <w:p w:rsidRPr="00C3071B" w:rsidR="00C3071B" w:rsidP="00C3071B" w:rsidRDefault="00C3071B" w14:paraId="0F7383E4"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5D978CAE" w14:textId="77777777">
            <w:pPr>
              <w:jc w:val="center"/>
              <w:rPr>
                <w:rFonts w:ascii="Arial" w:hAnsi="Arial" w:eastAsia="Times New Roman" w:cs="Arial"/>
                <w:b/>
                <w:bCs/>
                <w:sz w:val="20"/>
                <w:szCs w:val="20"/>
                <w:lang w:eastAsia="en-GB"/>
              </w:rPr>
            </w:pPr>
          </w:p>
        </w:tc>
      </w:tr>
      <w:tr w:rsidRPr="00C3071B" w:rsidR="00C3071B" w:rsidTr="00495D7D" w14:paraId="2DF3F081"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145D4B02" w14:textId="77777777">
            <w:pPr>
              <w:rPr>
                <w:rFonts w:ascii="Arial" w:hAnsi="Arial" w:eastAsia="Times New Roman" w:cs="Arial"/>
                <w:b/>
                <w:bCs/>
                <w:sz w:val="20"/>
                <w:szCs w:val="20"/>
              </w:rPr>
            </w:pPr>
            <w:r w:rsidRPr="00C3071B">
              <w:rPr>
                <w:rFonts w:ascii="Arial" w:hAnsi="Arial" w:cs="Arial"/>
                <w:b/>
                <w:sz w:val="20"/>
              </w:rPr>
              <w:lastRenderedPageBreak/>
              <w:t>14. sadaļa. Dažādu valstu jurisdikciju saistības</w:t>
            </w:r>
          </w:p>
        </w:tc>
        <w:tc>
          <w:tcPr>
            <w:tcW w:w="2745" w:type="dxa"/>
            <w:tcBorders>
              <w:top w:val="nil"/>
              <w:left w:val="nil"/>
              <w:right w:val="nil"/>
            </w:tcBorders>
            <w:hideMark/>
          </w:tcPr>
          <w:p w:rsidRPr="00C3071B" w:rsidR="00C3071B" w:rsidP="00C3071B" w:rsidRDefault="00C3071B" w14:paraId="5A133563"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79BD0D0D" w14:textId="77777777">
        <w:trPr>
          <w:gridAfter w:val="1"/>
          <w:wAfter w:w="2745" w:type="dxa"/>
          <w:trHeight w:val="300"/>
        </w:trPr>
        <w:tc>
          <w:tcPr>
            <w:tcW w:w="6804" w:type="dxa"/>
            <w:tcBorders>
              <w:left w:val="nil"/>
              <w:right w:val="nil"/>
            </w:tcBorders>
            <w:noWrap/>
            <w:hideMark/>
          </w:tcPr>
          <w:p w:rsidRPr="00C3071B" w:rsidR="00C3071B" w:rsidP="00C3071B" w:rsidRDefault="00C3071B" w14:paraId="025E6107" w14:textId="77777777">
            <w:pPr>
              <w:ind w:left="171" w:firstLine="28" w:firstLineChars="14"/>
              <w:rPr>
                <w:rFonts w:ascii="Arial" w:hAnsi="Arial" w:eastAsia="Times New Roman" w:cs="Arial"/>
                <w:sz w:val="20"/>
                <w:szCs w:val="20"/>
              </w:rPr>
            </w:pPr>
            <w:r w:rsidRPr="00C3071B">
              <w:rPr>
                <w:rFonts w:ascii="Arial" w:hAnsi="Arial" w:cs="Arial"/>
                <w:sz w:val="20"/>
              </w:rPr>
              <w:t>a) Ārvalstu saistības, balstoties uz tūlītēju risku, izņemot atvasinātos instrumentus un iekļaujot vietējās saistības vietējā valūtā</w:t>
            </w:r>
          </w:p>
        </w:tc>
      </w:tr>
      <w:tr w:rsidRPr="00C3071B" w:rsidR="00C3071B" w:rsidTr="00495D7D" w14:paraId="68E97841" w14:textId="77777777">
        <w:trPr>
          <w:trHeight w:val="300"/>
        </w:trPr>
        <w:tc>
          <w:tcPr>
            <w:tcW w:w="6804" w:type="dxa"/>
            <w:tcBorders>
              <w:left w:val="nil"/>
              <w:right w:val="nil"/>
            </w:tcBorders>
            <w:noWrap/>
            <w:hideMark/>
          </w:tcPr>
          <w:p w:rsidRPr="00C3071B" w:rsidR="00C3071B" w:rsidP="00C3071B" w:rsidRDefault="00C3071B" w14:paraId="64AA9ED0" w14:textId="77777777">
            <w:pPr>
              <w:ind w:firstLine="200" w:firstLineChars="100"/>
              <w:rPr>
                <w:rFonts w:ascii="Arial" w:hAnsi="Arial" w:eastAsia="Times New Roman" w:cs="Arial"/>
                <w:sz w:val="20"/>
                <w:szCs w:val="20"/>
              </w:rPr>
            </w:pPr>
            <w:r w:rsidRPr="00C3071B">
              <w:rPr>
                <w:rFonts w:ascii="Arial" w:hAnsi="Arial" w:cs="Arial"/>
                <w:sz w:val="20"/>
              </w:rPr>
              <w:t>b) Ārvalstu atvasināto instrumentu saistības, balstoties uz tūlītēju risku</w:t>
            </w:r>
          </w:p>
        </w:tc>
        <w:tc>
          <w:tcPr>
            <w:tcW w:w="2745" w:type="dxa"/>
            <w:tcBorders>
              <w:left w:val="nil"/>
              <w:right w:val="nil"/>
            </w:tcBorders>
            <w:noWrap/>
            <w:hideMark/>
          </w:tcPr>
          <w:p w:rsidRPr="00C3071B" w:rsidR="00C3071B" w:rsidP="00C3071B" w:rsidRDefault="00C3071B" w14:paraId="009B827C"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6D45688" w14:textId="77777777">
        <w:trPr>
          <w:gridAfter w:val="1"/>
          <w:wAfter w:w="2745" w:type="dxa"/>
          <w:trHeight w:val="300"/>
        </w:trPr>
        <w:tc>
          <w:tcPr>
            <w:tcW w:w="6804" w:type="dxa"/>
            <w:tcBorders>
              <w:left w:val="nil"/>
              <w:bottom w:val="single" w:color="auto" w:sz="4" w:space="0"/>
              <w:right w:val="nil"/>
            </w:tcBorders>
            <w:hideMark/>
          </w:tcPr>
          <w:p w:rsidRPr="00C3071B" w:rsidR="00C3071B" w:rsidP="00C3071B" w:rsidRDefault="00C3071B" w14:paraId="5FB75212" w14:textId="77777777">
            <w:pPr>
              <w:ind w:firstLine="200" w:firstLineChars="100"/>
              <w:rPr>
                <w:rFonts w:ascii="Arial" w:hAnsi="Arial" w:eastAsia="Times New Roman" w:cs="Arial"/>
                <w:sz w:val="20"/>
                <w:szCs w:val="20"/>
              </w:rPr>
            </w:pPr>
            <w:r w:rsidRPr="00C3071B">
              <w:rPr>
                <w:rFonts w:ascii="Arial" w:hAnsi="Arial" w:cs="Arial"/>
                <w:sz w:val="20"/>
              </w:rPr>
              <w:t>c) Dažādu valstu jurisdikciju saistību rādītājs (posteņu 14.a. un 14.b. summa)</w:t>
            </w:r>
          </w:p>
        </w:tc>
      </w:tr>
      <w:tr w:rsidRPr="00C3071B" w:rsidR="00C3071B" w:rsidTr="00495D7D" w14:paraId="705A53F9" w14:textId="77777777">
        <w:trPr>
          <w:trHeight w:val="300"/>
        </w:trPr>
        <w:tc>
          <w:tcPr>
            <w:tcW w:w="6804" w:type="dxa"/>
            <w:tcBorders>
              <w:left w:val="nil"/>
              <w:bottom w:val="nil"/>
              <w:right w:val="nil"/>
            </w:tcBorders>
            <w:noWrap/>
          </w:tcPr>
          <w:p w:rsidRPr="00C3071B" w:rsidR="00C3071B" w:rsidP="00C3071B" w:rsidRDefault="00C3071B" w14:paraId="6B0858A6"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3A3DCFD1" w14:textId="77777777">
            <w:pPr>
              <w:jc w:val="center"/>
              <w:rPr>
                <w:rFonts w:ascii="Arial" w:hAnsi="Arial" w:eastAsia="Times New Roman" w:cs="Arial"/>
                <w:b/>
                <w:bCs/>
                <w:sz w:val="20"/>
                <w:szCs w:val="20"/>
                <w:lang w:eastAsia="en-GB"/>
              </w:rPr>
            </w:pPr>
          </w:p>
        </w:tc>
      </w:tr>
      <w:tr w:rsidRPr="00C3071B" w:rsidR="00C3071B" w:rsidTr="00495D7D" w14:paraId="129ED7F9" w14:textId="77777777">
        <w:trPr>
          <w:trHeight w:val="300"/>
        </w:trPr>
        <w:tc>
          <w:tcPr>
            <w:tcW w:w="6804" w:type="dxa"/>
            <w:tcBorders>
              <w:top w:val="nil"/>
              <w:left w:val="nil"/>
              <w:bottom w:val="nil"/>
              <w:right w:val="nil"/>
            </w:tcBorders>
            <w:noWrap/>
          </w:tcPr>
          <w:p w:rsidRPr="00C3071B" w:rsidR="00C3071B" w:rsidP="00C3071B" w:rsidRDefault="00C3071B" w14:paraId="5454697F" w14:textId="77777777">
            <w:pPr>
              <w:keepNext/>
              <w:keepLines/>
              <w:spacing w:before="47"/>
              <w:outlineLvl w:val="5"/>
              <w:rPr>
                <w:rFonts w:ascii="Arial" w:hAnsi="Arial" w:eastAsia="Times New Roman" w:cs="Arial"/>
                <w:b/>
                <w:bCs/>
                <w:i/>
                <w:iCs/>
                <w:caps/>
                <w:color w:val="1F3864"/>
                <w:sz w:val="20"/>
                <w:szCs w:val="20"/>
              </w:rPr>
            </w:pPr>
            <w:r w:rsidRPr="00C3071B">
              <w:rPr>
                <w:rFonts w:ascii="Calibri Light" w:hAnsi="Calibri Light" w:cs="Arial"/>
                <w:b/>
                <w:i/>
                <w:caps/>
              </w:rPr>
              <w:t>PAPILDU DATI</w:t>
            </w:r>
          </w:p>
        </w:tc>
        <w:tc>
          <w:tcPr>
            <w:tcW w:w="2745" w:type="dxa"/>
            <w:tcBorders>
              <w:top w:val="nil"/>
              <w:left w:val="nil"/>
              <w:bottom w:val="nil"/>
              <w:right w:val="nil"/>
            </w:tcBorders>
          </w:tcPr>
          <w:p w:rsidRPr="00C3071B" w:rsidR="00C3071B" w:rsidP="00C3071B" w:rsidRDefault="00C3071B" w14:paraId="456018A9" w14:textId="77777777">
            <w:pPr>
              <w:jc w:val="center"/>
              <w:rPr>
                <w:rFonts w:ascii="Arial" w:hAnsi="Arial" w:eastAsia="Times New Roman" w:cs="Arial"/>
                <w:b/>
                <w:bCs/>
                <w:sz w:val="20"/>
                <w:szCs w:val="20"/>
                <w:lang w:eastAsia="en-GB"/>
              </w:rPr>
            </w:pPr>
          </w:p>
        </w:tc>
      </w:tr>
      <w:tr w:rsidRPr="00C3071B" w:rsidR="00C3071B" w:rsidTr="00495D7D" w14:paraId="4F0F21E2" w14:textId="77777777">
        <w:trPr>
          <w:trHeight w:val="300"/>
        </w:trPr>
        <w:tc>
          <w:tcPr>
            <w:tcW w:w="6804" w:type="dxa"/>
            <w:tcBorders>
              <w:top w:val="nil"/>
              <w:left w:val="nil"/>
              <w:bottom w:val="single" w:color="auto" w:sz="4" w:space="0"/>
              <w:right w:val="nil"/>
            </w:tcBorders>
            <w:noWrap/>
          </w:tcPr>
          <w:p w:rsidRPr="00C3071B" w:rsidR="00C3071B" w:rsidP="00C3071B" w:rsidRDefault="00C3071B" w14:paraId="72D0375B"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C3071B" w:rsidR="00C3071B" w:rsidP="00C3071B" w:rsidRDefault="00C3071B" w14:paraId="38E89E56" w14:textId="77777777">
            <w:pPr>
              <w:jc w:val="center"/>
              <w:rPr>
                <w:rFonts w:ascii="Arial" w:hAnsi="Arial" w:eastAsia="Times New Roman" w:cs="Arial"/>
                <w:b/>
                <w:bCs/>
                <w:sz w:val="20"/>
                <w:szCs w:val="20"/>
                <w:lang w:eastAsia="en-GB"/>
              </w:rPr>
            </w:pPr>
          </w:p>
        </w:tc>
      </w:tr>
      <w:tr w:rsidRPr="00C3071B" w:rsidR="00C3071B" w:rsidTr="00495D7D" w14:paraId="666B4FC4" w14:textId="77777777">
        <w:trPr>
          <w:trHeight w:val="300"/>
        </w:trPr>
        <w:tc>
          <w:tcPr>
            <w:tcW w:w="6804" w:type="dxa"/>
            <w:tcBorders>
              <w:left w:val="nil"/>
              <w:bottom w:val="single" w:color="auto" w:sz="4" w:space="0"/>
              <w:right w:val="nil"/>
            </w:tcBorders>
            <w:noWrap/>
            <w:hideMark/>
          </w:tcPr>
          <w:p w:rsidRPr="00C3071B" w:rsidR="00C3071B" w:rsidP="00C3071B" w:rsidRDefault="00C3071B" w14:paraId="1293B060" w14:textId="77777777">
            <w:pPr>
              <w:rPr>
                <w:rFonts w:ascii="Arial" w:hAnsi="Arial" w:eastAsia="Times New Roman" w:cs="Arial"/>
                <w:b/>
                <w:bCs/>
                <w:sz w:val="20"/>
                <w:szCs w:val="20"/>
              </w:rPr>
            </w:pPr>
            <w:r w:rsidRPr="00C3071B">
              <w:rPr>
                <w:rFonts w:ascii="Arial" w:hAnsi="Arial" w:cs="Arial"/>
                <w:b/>
                <w:sz w:val="20"/>
              </w:rPr>
              <w:t>15. sadaļa. Papildu rādītāji</w:t>
            </w:r>
          </w:p>
        </w:tc>
        <w:tc>
          <w:tcPr>
            <w:tcW w:w="2745" w:type="dxa"/>
            <w:tcBorders>
              <w:left w:val="nil"/>
              <w:bottom w:val="single" w:color="auto" w:sz="4" w:space="0"/>
              <w:right w:val="nil"/>
            </w:tcBorders>
            <w:hideMark/>
          </w:tcPr>
          <w:p w:rsidRPr="00C3071B" w:rsidR="00C3071B" w:rsidP="00C3071B" w:rsidRDefault="00C3071B" w14:paraId="46E1FB1D"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756B82D2" w14:textId="77777777">
        <w:trPr>
          <w:trHeight w:val="300"/>
        </w:trPr>
        <w:tc>
          <w:tcPr>
            <w:tcW w:w="6804" w:type="dxa"/>
            <w:tcBorders>
              <w:left w:val="nil"/>
              <w:right w:val="nil"/>
            </w:tcBorders>
            <w:noWrap/>
            <w:hideMark/>
          </w:tcPr>
          <w:p w:rsidRPr="00C3071B" w:rsidR="00C3071B" w:rsidP="00C3071B" w:rsidRDefault="00C3071B" w14:paraId="3DDFEFF0" w14:textId="77777777">
            <w:pPr>
              <w:ind w:firstLine="200" w:firstLineChars="100"/>
              <w:rPr>
                <w:rFonts w:ascii="Arial" w:hAnsi="Arial" w:eastAsia="Times New Roman" w:cs="Arial"/>
                <w:sz w:val="20"/>
                <w:szCs w:val="20"/>
              </w:rPr>
            </w:pPr>
            <w:r w:rsidRPr="00C3071B">
              <w:rPr>
                <w:rFonts w:ascii="Arial" w:hAnsi="Arial" w:cs="Arial"/>
                <w:sz w:val="20"/>
              </w:rPr>
              <w:t>a) Saistības kopā</w:t>
            </w:r>
          </w:p>
        </w:tc>
        <w:tc>
          <w:tcPr>
            <w:tcW w:w="2745" w:type="dxa"/>
            <w:tcBorders>
              <w:left w:val="nil"/>
              <w:right w:val="nil"/>
            </w:tcBorders>
            <w:noWrap/>
            <w:hideMark/>
          </w:tcPr>
          <w:p w:rsidRPr="00C3071B" w:rsidR="00C3071B" w:rsidP="00C3071B" w:rsidRDefault="00C3071B" w14:paraId="5304ACF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6412654" w14:textId="77777777">
        <w:trPr>
          <w:trHeight w:val="300"/>
        </w:trPr>
        <w:tc>
          <w:tcPr>
            <w:tcW w:w="6804" w:type="dxa"/>
            <w:tcBorders>
              <w:left w:val="nil"/>
              <w:right w:val="nil"/>
            </w:tcBorders>
            <w:noWrap/>
            <w:hideMark/>
          </w:tcPr>
          <w:p w:rsidRPr="00C3071B" w:rsidR="00C3071B" w:rsidP="00C3071B" w:rsidRDefault="00C3071B" w14:paraId="3886BA5C" w14:textId="77777777">
            <w:pPr>
              <w:ind w:firstLine="200" w:firstLineChars="100"/>
              <w:rPr>
                <w:rFonts w:ascii="Arial" w:hAnsi="Arial" w:eastAsia="Times New Roman" w:cs="Arial"/>
                <w:sz w:val="20"/>
                <w:szCs w:val="20"/>
              </w:rPr>
            </w:pPr>
            <w:r w:rsidRPr="00C3071B">
              <w:rPr>
                <w:rFonts w:ascii="Arial" w:hAnsi="Arial" w:cs="Arial"/>
                <w:sz w:val="20"/>
              </w:rPr>
              <w:t>b) Mazapjoma finansējums</w:t>
            </w:r>
          </w:p>
        </w:tc>
        <w:tc>
          <w:tcPr>
            <w:tcW w:w="2745" w:type="dxa"/>
            <w:tcBorders>
              <w:left w:val="nil"/>
              <w:right w:val="nil"/>
            </w:tcBorders>
            <w:noWrap/>
            <w:hideMark/>
          </w:tcPr>
          <w:p w:rsidRPr="00C3071B" w:rsidR="00C3071B" w:rsidP="00C3071B" w:rsidRDefault="00C3071B" w14:paraId="23A82FDE"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ED50F50" w14:textId="77777777">
        <w:trPr>
          <w:gridAfter w:val="1"/>
          <w:wAfter w:w="2745" w:type="dxa"/>
          <w:trHeight w:val="540"/>
        </w:trPr>
        <w:tc>
          <w:tcPr>
            <w:tcW w:w="6804" w:type="dxa"/>
            <w:tcBorders>
              <w:left w:val="nil"/>
              <w:right w:val="nil"/>
            </w:tcBorders>
            <w:noWrap/>
            <w:hideMark/>
          </w:tcPr>
          <w:p w:rsidRPr="00C3071B" w:rsidR="00C3071B" w:rsidP="00C3071B" w:rsidRDefault="00C3071B" w14:paraId="0C680D5B" w14:textId="77777777">
            <w:pPr>
              <w:ind w:left="171"/>
              <w:rPr>
                <w:rFonts w:ascii="Arial" w:hAnsi="Arial" w:eastAsia="Times New Roman" w:cs="Arial"/>
                <w:sz w:val="20"/>
                <w:szCs w:val="20"/>
              </w:rPr>
            </w:pPr>
            <w:r w:rsidRPr="00C3071B">
              <w:rPr>
                <w:rFonts w:ascii="Arial" w:hAnsi="Arial" w:cs="Arial"/>
                <w:sz w:val="20"/>
              </w:rPr>
              <w:t>c) Atkarības no starpbanku finansējuma koeficients (starpība starp posteņiem 15.a. un 15.b., dalīta ar 15.a.)</w:t>
            </w:r>
          </w:p>
        </w:tc>
      </w:tr>
      <w:tr w:rsidRPr="00C3071B" w:rsidR="00C3071B" w:rsidTr="00495D7D" w14:paraId="447FA0AB" w14:textId="77777777">
        <w:trPr>
          <w:trHeight w:val="300"/>
        </w:trPr>
        <w:tc>
          <w:tcPr>
            <w:tcW w:w="6804" w:type="dxa"/>
            <w:tcBorders>
              <w:left w:val="nil"/>
              <w:right w:val="nil"/>
            </w:tcBorders>
            <w:noWrap/>
            <w:hideMark/>
          </w:tcPr>
          <w:p w:rsidRPr="00C3071B" w:rsidR="00C3071B" w:rsidP="00C3071B" w:rsidRDefault="00C3071B" w14:paraId="1EB92CD5" w14:textId="77777777">
            <w:pPr>
              <w:ind w:firstLine="200" w:firstLineChars="100"/>
              <w:rPr>
                <w:rFonts w:ascii="Arial" w:hAnsi="Arial" w:eastAsia="Times New Roman" w:cs="Arial"/>
                <w:sz w:val="20"/>
                <w:szCs w:val="20"/>
              </w:rPr>
            </w:pPr>
            <w:r w:rsidRPr="00C3071B">
              <w:rPr>
                <w:rFonts w:ascii="Arial" w:hAnsi="Arial" w:cs="Arial"/>
                <w:sz w:val="20"/>
              </w:rPr>
              <w:t>d) Kopējie bruto ieņēmumi</w:t>
            </w:r>
          </w:p>
        </w:tc>
        <w:tc>
          <w:tcPr>
            <w:tcW w:w="2745" w:type="dxa"/>
            <w:tcBorders>
              <w:left w:val="nil"/>
              <w:right w:val="nil"/>
            </w:tcBorders>
            <w:noWrap/>
            <w:hideMark/>
          </w:tcPr>
          <w:p w:rsidRPr="00C3071B" w:rsidR="00C3071B" w:rsidP="00C3071B" w:rsidRDefault="00C3071B" w14:paraId="40F9A6C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82F9C3D" w14:textId="77777777">
        <w:trPr>
          <w:trHeight w:val="300"/>
        </w:trPr>
        <w:tc>
          <w:tcPr>
            <w:tcW w:w="6804" w:type="dxa"/>
            <w:tcBorders>
              <w:left w:val="nil"/>
              <w:right w:val="nil"/>
            </w:tcBorders>
            <w:noWrap/>
            <w:hideMark/>
          </w:tcPr>
          <w:p w:rsidRPr="00C3071B" w:rsidR="00C3071B" w:rsidP="00C3071B" w:rsidRDefault="00C3071B" w14:paraId="6F439670" w14:textId="77777777">
            <w:pPr>
              <w:ind w:firstLine="200" w:firstLineChars="100"/>
              <w:rPr>
                <w:rFonts w:ascii="Arial" w:hAnsi="Arial" w:eastAsia="Times New Roman" w:cs="Arial"/>
                <w:sz w:val="20"/>
                <w:szCs w:val="20"/>
              </w:rPr>
            </w:pPr>
            <w:r w:rsidRPr="00C3071B">
              <w:rPr>
                <w:rFonts w:ascii="Arial" w:hAnsi="Arial" w:cs="Arial"/>
                <w:sz w:val="20"/>
              </w:rPr>
              <w:t>e) Neto ieņēmumi kopā</w:t>
            </w:r>
          </w:p>
        </w:tc>
        <w:tc>
          <w:tcPr>
            <w:tcW w:w="2745" w:type="dxa"/>
            <w:tcBorders>
              <w:left w:val="nil"/>
              <w:right w:val="nil"/>
            </w:tcBorders>
            <w:noWrap/>
            <w:hideMark/>
          </w:tcPr>
          <w:p w:rsidRPr="00C3071B" w:rsidR="00C3071B" w:rsidP="00C3071B" w:rsidRDefault="00C3071B" w14:paraId="0EEF2A1F"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7BC2D59" w14:textId="77777777">
        <w:trPr>
          <w:trHeight w:val="300"/>
        </w:trPr>
        <w:tc>
          <w:tcPr>
            <w:tcW w:w="6804" w:type="dxa"/>
            <w:tcBorders>
              <w:left w:val="nil"/>
              <w:right w:val="nil"/>
            </w:tcBorders>
            <w:noWrap/>
            <w:hideMark/>
          </w:tcPr>
          <w:p w:rsidRPr="00C3071B" w:rsidR="00C3071B" w:rsidP="00C3071B" w:rsidRDefault="00C3071B" w14:paraId="258993BF" w14:textId="77777777">
            <w:pPr>
              <w:ind w:firstLine="200" w:firstLineChars="100"/>
              <w:rPr>
                <w:rFonts w:ascii="Arial" w:hAnsi="Arial" w:eastAsia="Times New Roman" w:cs="Arial"/>
                <w:sz w:val="20"/>
                <w:szCs w:val="20"/>
              </w:rPr>
            </w:pPr>
            <w:r w:rsidRPr="00C3071B">
              <w:rPr>
                <w:rFonts w:ascii="Arial" w:hAnsi="Arial" w:cs="Arial"/>
                <w:sz w:val="20"/>
              </w:rPr>
              <w:t>f) Ārvalstu neto ieņēmumi</w:t>
            </w:r>
          </w:p>
        </w:tc>
        <w:tc>
          <w:tcPr>
            <w:tcW w:w="2745" w:type="dxa"/>
            <w:tcBorders>
              <w:left w:val="nil"/>
              <w:right w:val="nil"/>
            </w:tcBorders>
            <w:noWrap/>
            <w:hideMark/>
          </w:tcPr>
          <w:p w:rsidRPr="00C3071B" w:rsidR="00C3071B" w:rsidP="00C3071B" w:rsidRDefault="00C3071B" w14:paraId="29F5DA15"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402B7CB" w14:textId="77777777">
        <w:trPr>
          <w:trHeight w:val="300"/>
        </w:trPr>
        <w:tc>
          <w:tcPr>
            <w:tcW w:w="6804" w:type="dxa"/>
            <w:tcBorders>
              <w:left w:val="nil"/>
              <w:right w:val="nil"/>
            </w:tcBorders>
            <w:noWrap/>
          </w:tcPr>
          <w:p w:rsidRPr="00C3071B" w:rsidR="00C3071B" w:rsidP="00C3071B" w:rsidRDefault="00C3071B" w14:paraId="69248160" w14:textId="77777777">
            <w:pPr>
              <w:ind w:left="171"/>
              <w:rPr>
                <w:rFonts w:ascii="Arial" w:hAnsi="Arial" w:eastAsia="Times New Roman" w:cs="Arial"/>
                <w:sz w:val="20"/>
                <w:szCs w:val="20"/>
              </w:rPr>
            </w:pPr>
            <w:r w:rsidRPr="00C3071B">
              <w:rPr>
                <w:rFonts w:ascii="Arial" w:hAnsi="Arial" w:cs="Arial"/>
                <w:sz w:val="20"/>
              </w:rPr>
              <w:t>g) Aizdotās skaidrās naudas bruto vērtība un vērtspapīru finansēšanas darījumiem aizdoto vērtspapīru patiesā bruto vērtība</w:t>
            </w:r>
          </w:p>
        </w:tc>
        <w:tc>
          <w:tcPr>
            <w:tcW w:w="2745" w:type="dxa"/>
            <w:tcBorders>
              <w:left w:val="nil"/>
              <w:right w:val="nil"/>
            </w:tcBorders>
            <w:noWrap/>
          </w:tcPr>
          <w:p w:rsidRPr="00C3071B" w:rsidR="00C3071B" w:rsidP="00C3071B" w:rsidRDefault="00C3071B" w14:paraId="38843C1B" w14:textId="77777777">
            <w:pPr>
              <w:jc w:val="right"/>
              <w:rPr>
                <w:rFonts w:ascii="Arial" w:hAnsi="Arial" w:eastAsia="Times New Roman" w:cs="Arial"/>
                <w:sz w:val="20"/>
                <w:szCs w:val="20"/>
                <w:lang w:eastAsia="en-GB"/>
              </w:rPr>
            </w:pPr>
          </w:p>
        </w:tc>
      </w:tr>
      <w:tr w:rsidRPr="00C3071B" w:rsidR="00C3071B" w:rsidTr="00495D7D" w14:paraId="07481479" w14:textId="77777777">
        <w:trPr>
          <w:trHeight w:val="300"/>
        </w:trPr>
        <w:tc>
          <w:tcPr>
            <w:tcW w:w="6804" w:type="dxa"/>
            <w:tcBorders>
              <w:left w:val="nil"/>
              <w:right w:val="nil"/>
            </w:tcBorders>
            <w:noWrap/>
          </w:tcPr>
          <w:p w:rsidRPr="00C3071B" w:rsidR="00C3071B" w:rsidP="00C3071B" w:rsidRDefault="00C3071B" w14:paraId="3751B45F" w14:textId="77777777">
            <w:pPr>
              <w:ind w:left="171"/>
              <w:rPr>
                <w:rFonts w:ascii="Arial" w:hAnsi="Arial" w:eastAsia="Times New Roman" w:cs="Arial"/>
                <w:sz w:val="20"/>
                <w:szCs w:val="20"/>
              </w:rPr>
            </w:pPr>
            <w:r w:rsidRPr="00C3071B">
              <w:rPr>
                <w:rFonts w:ascii="Arial" w:hAnsi="Arial" w:cs="Arial"/>
                <w:sz w:val="20"/>
              </w:rPr>
              <w:t>h) Aizņemtās naudas bruto vērtība un vērtspapīru finansēšanas darījumu ietvaros aizņemto vērtspapīru bruto patiesā vērtība</w:t>
            </w:r>
          </w:p>
        </w:tc>
        <w:tc>
          <w:tcPr>
            <w:tcW w:w="2745" w:type="dxa"/>
            <w:tcBorders>
              <w:left w:val="nil"/>
              <w:right w:val="nil"/>
            </w:tcBorders>
            <w:noWrap/>
          </w:tcPr>
          <w:p w:rsidRPr="00C3071B" w:rsidR="00C3071B" w:rsidP="00C3071B" w:rsidRDefault="00C3071B" w14:paraId="5481813E" w14:textId="77777777">
            <w:pPr>
              <w:jc w:val="right"/>
              <w:rPr>
                <w:rFonts w:ascii="Arial" w:hAnsi="Arial" w:eastAsia="Times New Roman" w:cs="Arial"/>
                <w:sz w:val="20"/>
                <w:szCs w:val="20"/>
                <w:lang w:eastAsia="en-GB"/>
              </w:rPr>
            </w:pPr>
          </w:p>
        </w:tc>
      </w:tr>
      <w:tr w:rsidRPr="00C3071B" w:rsidR="00C3071B" w:rsidTr="00495D7D" w14:paraId="0050CE20" w14:textId="77777777">
        <w:trPr>
          <w:trHeight w:val="300"/>
        </w:trPr>
        <w:tc>
          <w:tcPr>
            <w:tcW w:w="6804" w:type="dxa"/>
            <w:tcBorders>
              <w:left w:val="nil"/>
              <w:right w:val="nil"/>
            </w:tcBorders>
            <w:noWrap/>
          </w:tcPr>
          <w:p w:rsidRPr="00C3071B" w:rsidR="00C3071B" w:rsidP="00C3071B" w:rsidRDefault="00C3071B" w14:paraId="73461D7A" w14:textId="77777777">
            <w:pPr>
              <w:ind w:left="171"/>
              <w:rPr>
                <w:rFonts w:ascii="Arial" w:hAnsi="Arial" w:eastAsia="Times New Roman" w:cs="Arial"/>
                <w:sz w:val="20"/>
                <w:szCs w:val="20"/>
              </w:rPr>
            </w:pPr>
            <w:r w:rsidRPr="00C3071B">
              <w:rPr>
                <w:rFonts w:ascii="Arial" w:hAnsi="Arial" w:cs="Arial"/>
                <w:sz w:val="20"/>
              </w:rPr>
              <w:t>i) Ārpusbiržas atvasināto instrumentu darījumu bruto pozitīvā patiesā vērtība</w:t>
            </w:r>
          </w:p>
        </w:tc>
        <w:tc>
          <w:tcPr>
            <w:tcW w:w="2745" w:type="dxa"/>
            <w:tcBorders>
              <w:left w:val="nil"/>
              <w:right w:val="nil"/>
            </w:tcBorders>
            <w:noWrap/>
          </w:tcPr>
          <w:p w:rsidRPr="00C3071B" w:rsidR="00C3071B" w:rsidP="00C3071B" w:rsidRDefault="00C3071B" w14:paraId="63E5C203" w14:textId="77777777">
            <w:pPr>
              <w:jc w:val="right"/>
              <w:rPr>
                <w:rFonts w:ascii="Arial" w:hAnsi="Arial" w:eastAsia="Times New Roman" w:cs="Arial"/>
                <w:sz w:val="20"/>
                <w:szCs w:val="20"/>
                <w:lang w:eastAsia="en-GB"/>
              </w:rPr>
            </w:pPr>
          </w:p>
        </w:tc>
      </w:tr>
      <w:tr w:rsidRPr="00C3071B" w:rsidR="00C3071B" w:rsidTr="00495D7D" w14:paraId="4DF3301A" w14:textId="77777777">
        <w:trPr>
          <w:trHeight w:val="300"/>
        </w:trPr>
        <w:tc>
          <w:tcPr>
            <w:tcW w:w="6804" w:type="dxa"/>
            <w:tcBorders>
              <w:left w:val="nil"/>
              <w:bottom w:val="single" w:color="auto" w:sz="4" w:space="0"/>
              <w:right w:val="nil"/>
            </w:tcBorders>
            <w:noWrap/>
          </w:tcPr>
          <w:p w:rsidRPr="00C3071B" w:rsidR="00C3071B" w:rsidP="00C3071B" w:rsidRDefault="00C3071B" w14:paraId="37005DB8" w14:textId="77777777">
            <w:pPr>
              <w:ind w:left="171"/>
              <w:rPr>
                <w:rFonts w:ascii="Arial" w:hAnsi="Arial" w:eastAsia="Times New Roman" w:cs="Arial"/>
                <w:sz w:val="20"/>
                <w:szCs w:val="20"/>
              </w:rPr>
            </w:pPr>
            <w:r w:rsidRPr="00C3071B">
              <w:rPr>
                <w:rFonts w:ascii="Arial" w:hAnsi="Arial" w:cs="Arial"/>
                <w:sz w:val="20"/>
              </w:rPr>
              <w:t>j) Ārpusbiržas darījumu ar atvasinātajiem instrumentiem negatīvā patiesā bruto vērtība</w:t>
            </w:r>
          </w:p>
        </w:tc>
        <w:tc>
          <w:tcPr>
            <w:tcW w:w="2745" w:type="dxa"/>
            <w:tcBorders>
              <w:left w:val="nil"/>
              <w:bottom w:val="single" w:color="auto" w:sz="4" w:space="0"/>
              <w:right w:val="nil"/>
            </w:tcBorders>
            <w:noWrap/>
          </w:tcPr>
          <w:p w:rsidRPr="00C3071B" w:rsidR="00C3071B" w:rsidP="00C3071B" w:rsidRDefault="00C3071B" w14:paraId="24182940" w14:textId="77777777">
            <w:pPr>
              <w:jc w:val="right"/>
              <w:rPr>
                <w:rFonts w:ascii="Arial" w:hAnsi="Arial" w:eastAsia="Times New Roman" w:cs="Arial"/>
                <w:sz w:val="20"/>
                <w:szCs w:val="20"/>
                <w:lang w:eastAsia="en-GB"/>
              </w:rPr>
            </w:pPr>
          </w:p>
        </w:tc>
      </w:tr>
      <w:tr w:rsidRPr="00C3071B" w:rsidR="00C3071B" w:rsidTr="00495D7D" w14:paraId="78020B3E" w14:textId="77777777">
        <w:trPr>
          <w:trHeight w:val="300"/>
        </w:trPr>
        <w:tc>
          <w:tcPr>
            <w:tcW w:w="6804" w:type="dxa"/>
            <w:tcBorders>
              <w:left w:val="nil"/>
              <w:bottom w:val="single" w:color="auto" w:sz="4" w:space="0"/>
              <w:right w:val="nil"/>
            </w:tcBorders>
            <w:noWrap/>
            <w:hideMark/>
          </w:tcPr>
          <w:p w:rsidRPr="00C3071B" w:rsidR="00C3071B" w:rsidP="00C3071B" w:rsidRDefault="00C3071B" w14:paraId="05892399" w14:textId="77777777">
            <w:pPr>
              <w:rPr>
                <w:rFonts w:ascii="Arial" w:hAnsi="Arial" w:eastAsia="Times New Roman" w:cs="Arial"/>
                <w:sz w:val="20"/>
                <w:szCs w:val="20"/>
              </w:rPr>
            </w:pPr>
            <w:r w:rsidRPr="00C3071B">
              <w:rPr>
                <w:rFonts w:ascii="Arial" w:hAnsi="Arial" w:cs="Arial"/>
                <w:sz w:val="20"/>
              </w:rPr>
              <w:t> </w:t>
            </w:r>
          </w:p>
        </w:tc>
        <w:tc>
          <w:tcPr>
            <w:tcW w:w="2745" w:type="dxa"/>
            <w:tcBorders>
              <w:left w:val="nil"/>
              <w:bottom w:val="single" w:color="auto" w:sz="4" w:space="0"/>
              <w:right w:val="nil"/>
            </w:tcBorders>
            <w:hideMark/>
          </w:tcPr>
          <w:p w:rsidRPr="00C3071B" w:rsidR="00C3071B" w:rsidP="00C3071B" w:rsidRDefault="00C3071B" w14:paraId="7927695D" w14:textId="77777777">
            <w:pPr>
              <w:jc w:val="center"/>
              <w:rPr>
                <w:rFonts w:ascii="Arial" w:hAnsi="Arial" w:eastAsia="Times New Roman" w:cs="Arial"/>
                <w:b/>
                <w:bCs/>
                <w:sz w:val="20"/>
                <w:szCs w:val="20"/>
              </w:rPr>
            </w:pPr>
            <w:r w:rsidRPr="00C3071B">
              <w:rPr>
                <w:rFonts w:ascii="Arial" w:hAnsi="Arial" w:cs="Arial"/>
                <w:b/>
                <w:sz w:val="20"/>
              </w:rPr>
              <w:t>Summa par atsevišķām vienībām</w:t>
            </w:r>
          </w:p>
        </w:tc>
      </w:tr>
      <w:tr w:rsidRPr="00C3071B" w:rsidR="00C3071B" w:rsidTr="00495D7D" w14:paraId="38ACDBF2" w14:textId="77777777">
        <w:trPr>
          <w:trHeight w:val="300"/>
        </w:trPr>
        <w:tc>
          <w:tcPr>
            <w:tcW w:w="6804" w:type="dxa"/>
            <w:tcBorders>
              <w:left w:val="nil"/>
              <w:bottom w:val="single" w:color="auto" w:sz="4" w:space="0"/>
              <w:right w:val="nil"/>
            </w:tcBorders>
            <w:noWrap/>
            <w:hideMark/>
          </w:tcPr>
          <w:p w:rsidRPr="00C3071B" w:rsidR="00C3071B" w:rsidP="00C3071B" w:rsidRDefault="00C3071B" w14:paraId="01765079" w14:textId="77777777">
            <w:pPr>
              <w:ind w:firstLine="200" w:firstLineChars="100"/>
              <w:rPr>
                <w:rFonts w:ascii="Arial" w:hAnsi="Arial" w:eastAsia="Times New Roman" w:cs="Arial"/>
                <w:sz w:val="20"/>
                <w:szCs w:val="20"/>
              </w:rPr>
            </w:pPr>
            <w:r w:rsidRPr="00C3071B">
              <w:rPr>
                <w:rFonts w:ascii="Arial" w:hAnsi="Arial" w:cs="Arial"/>
                <w:sz w:val="20"/>
              </w:rPr>
              <w:t xml:space="preserve">k) Jurisdikciju skaits </w:t>
            </w:r>
          </w:p>
        </w:tc>
        <w:tc>
          <w:tcPr>
            <w:tcW w:w="2745" w:type="dxa"/>
            <w:tcBorders>
              <w:left w:val="nil"/>
              <w:bottom w:val="single" w:color="auto" w:sz="4" w:space="0"/>
              <w:right w:val="nil"/>
            </w:tcBorders>
            <w:noWrap/>
            <w:hideMark/>
          </w:tcPr>
          <w:p w:rsidRPr="00C3071B" w:rsidR="00C3071B" w:rsidP="00C3071B" w:rsidRDefault="00C3071B" w14:paraId="32F9EAAE"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63D194E" w14:textId="77777777">
        <w:trPr>
          <w:trHeight w:val="300"/>
        </w:trPr>
        <w:tc>
          <w:tcPr>
            <w:tcW w:w="6804" w:type="dxa"/>
            <w:tcBorders>
              <w:left w:val="nil"/>
              <w:bottom w:val="nil"/>
              <w:right w:val="nil"/>
            </w:tcBorders>
            <w:noWrap/>
          </w:tcPr>
          <w:p w:rsidRPr="00C3071B" w:rsidR="00C3071B" w:rsidP="00C3071B" w:rsidRDefault="00C3071B" w14:paraId="5A7EA3DF"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47619926" w14:textId="77777777">
            <w:pPr>
              <w:jc w:val="center"/>
              <w:rPr>
                <w:rFonts w:ascii="Arial" w:hAnsi="Arial" w:eastAsia="Times New Roman" w:cs="Arial"/>
                <w:b/>
                <w:bCs/>
                <w:sz w:val="20"/>
                <w:szCs w:val="20"/>
                <w:lang w:eastAsia="en-GB"/>
              </w:rPr>
            </w:pPr>
          </w:p>
        </w:tc>
      </w:tr>
      <w:tr w:rsidRPr="00C3071B" w:rsidR="00C3071B" w:rsidTr="00495D7D" w14:paraId="17A81308"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71007849" w14:textId="77777777">
            <w:pPr>
              <w:rPr>
                <w:rFonts w:ascii="Arial" w:hAnsi="Arial" w:eastAsia="Times New Roman" w:cs="Arial"/>
                <w:b/>
                <w:bCs/>
                <w:sz w:val="20"/>
                <w:szCs w:val="20"/>
              </w:rPr>
            </w:pPr>
            <w:r w:rsidRPr="00C3071B">
              <w:rPr>
                <w:rFonts w:ascii="Arial" w:hAnsi="Arial" w:cs="Arial"/>
                <w:b/>
                <w:sz w:val="20"/>
              </w:rPr>
              <w:t>16. sadaļa. Papildu posteņi</w:t>
            </w:r>
          </w:p>
        </w:tc>
        <w:tc>
          <w:tcPr>
            <w:tcW w:w="2745" w:type="dxa"/>
            <w:tcBorders>
              <w:top w:val="nil"/>
              <w:left w:val="nil"/>
              <w:bottom w:val="single" w:color="auto" w:sz="4" w:space="0"/>
              <w:right w:val="nil"/>
            </w:tcBorders>
            <w:hideMark/>
          </w:tcPr>
          <w:p w:rsidRPr="00C3071B" w:rsidR="00C3071B" w:rsidP="00C3071B" w:rsidRDefault="00C3071B" w14:paraId="3A137624"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4965096D" w14:textId="77777777">
        <w:trPr>
          <w:trHeight w:val="300"/>
        </w:trPr>
        <w:tc>
          <w:tcPr>
            <w:tcW w:w="6804" w:type="dxa"/>
            <w:tcBorders>
              <w:left w:val="nil"/>
              <w:right w:val="nil"/>
            </w:tcBorders>
            <w:noWrap/>
            <w:hideMark/>
          </w:tcPr>
          <w:p w:rsidRPr="00C3071B" w:rsidR="00C3071B" w:rsidP="00C3071B" w:rsidRDefault="00C3071B" w14:paraId="25EEC61E" w14:textId="77777777">
            <w:pPr>
              <w:ind w:firstLine="200" w:firstLineChars="100"/>
              <w:rPr>
                <w:rFonts w:ascii="Arial" w:hAnsi="Arial" w:eastAsia="Times New Roman" w:cs="Arial"/>
                <w:sz w:val="20"/>
                <w:szCs w:val="20"/>
              </w:rPr>
            </w:pPr>
            <w:r w:rsidRPr="00C3071B">
              <w:rPr>
                <w:rFonts w:ascii="Arial" w:hAnsi="Arial" w:cs="Arial"/>
                <w:sz w:val="20"/>
              </w:rPr>
              <w:t>a) Līdz termiņa beigām turētie vērtspapīri</w:t>
            </w:r>
          </w:p>
        </w:tc>
        <w:tc>
          <w:tcPr>
            <w:tcW w:w="2745" w:type="dxa"/>
            <w:tcBorders>
              <w:left w:val="nil"/>
              <w:right w:val="nil"/>
            </w:tcBorders>
            <w:noWrap/>
            <w:hideMark/>
          </w:tcPr>
          <w:p w:rsidRPr="00C3071B" w:rsidR="00C3071B" w:rsidP="00C3071B" w:rsidRDefault="00C3071B" w14:paraId="543326D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620B6CE" w14:textId="77777777">
        <w:trPr>
          <w:trHeight w:val="300"/>
        </w:trPr>
        <w:tc>
          <w:tcPr>
            <w:tcW w:w="6804" w:type="dxa"/>
            <w:tcBorders>
              <w:left w:val="nil"/>
              <w:right w:val="nil"/>
            </w:tcBorders>
            <w:noWrap/>
            <w:hideMark/>
          </w:tcPr>
          <w:p w:rsidRPr="00C3071B" w:rsidR="00C3071B" w:rsidP="00C3071B" w:rsidRDefault="00C3071B" w14:paraId="44276AD9" w14:textId="77777777">
            <w:pPr>
              <w:ind w:firstLine="200" w:firstLineChars="100"/>
              <w:rPr>
                <w:rFonts w:ascii="Arial" w:hAnsi="Arial" w:eastAsia="Times New Roman" w:cs="Arial"/>
                <w:sz w:val="20"/>
                <w:szCs w:val="20"/>
              </w:rPr>
            </w:pPr>
            <w:r w:rsidRPr="00C3071B">
              <w:rPr>
                <w:rFonts w:ascii="Arial" w:hAnsi="Arial" w:cs="Arial"/>
                <w:sz w:val="20"/>
              </w:rPr>
              <w:t>b) Pārskata gadā veiktie maksājumi</w:t>
            </w:r>
          </w:p>
        </w:tc>
        <w:tc>
          <w:tcPr>
            <w:tcW w:w="2745" w:type="dxa"/>
            <w:tcBorders>
              <w:left w:val="nil"/>
              <w:right w:val="nil"/>
            </w:tcBorders>
            <w:noWrap/>
            <w:hideMark/>
          </w:tcPr>
          <w:p w:rsidRPr="00C3071B" w:rsidR="00C3071B" w:rsidP="00C3071B" w:rsidRDefault="00C3071B" w14:paraId="373ACEEA" w14:textId="77777777">
            <w:pPr>
              <w:ind w:firstLine="200" w:firstLineChars="100"/>
              <w:rPr>
                <w:rFonts w:ascii="Arial" w:hAnsi="Arial" w:eastAsia="Times New Roman" w:cs="Arial"/>
                <w:sz w:val="20"/>
                <w:szCs w:val="20"/>
              </w:rPr>
            </w:pPr>
            <w:r w:rsidRPr="00C3071B">
              <w:rPr>
                <w:rFonts w:ascii="Arial" w:hAnsi="Arial" w:cs="Arial"/>
                <w:sz w:val="20"/>
              </w:rPr>
              <w:t> </w:t>
            </w:r>
          </w:p>
        </w:tc>
      </w:tr>
      <w:tr w:rsidRPr="00C3071B" w:rsidR="00C3071B" w:rsidTr="00495D7D" w14:paraId="50638CAB" w14:textId="77777777">
        <w:trPr>
          <w:trHeight w:val="300"/>
        </w:trPr>
        <w:tc>
          <w:tcPr>
            <w:tcW w:w="6804" w:type="dxa"/>
            <w:tcBorders>
              <w:left w:val="nil"/>
              <w:right w:val="nil"/>
            </w:tcBorders>
            <w:noWrap/>
            <w:hideMark/>
          </w:tcPr>
          <w:p w:rsidRPr="00C3071B" w:rsidR="00C3071B" w:rsidP="00C3071B" w:rsidRDefault="00C3071B" w14:paraId="1011E7D6"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Brazīlijas reāls (BRL)</w:t>
            </w:r>
          </w:p>
        </w:tc>
        <w:tc>
          <w:tcPr>
            <w:tcW w:w="2745" w:type="dxa"/>
            <w:tcBorders>
              <w:left w:val="nil"/>
              <w:right w:val="nil"/>
            </w:tcBorders>
            <w:noWrap/>
            <w:hideMark/>
          </w:tcPr>
          <w:p w:rsidRPr="00C3071B" w:rsidR="00C3071B" w:rsidP="00C3071B" w:rsidRDefault="00C3071B" w14:paraId="19F7BEE8"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19698BD" w14:textId="77777777">
        <w:trPr>
          <w:trHeight w:val="300"/>
        </w:trPr>
        <w:tc>
          <w:tcPr>
            <w:tcW w:w="6804" w:type="dxa"/>
            <w:tcBorders>
              <w:left w:val="nil"/>
              <w:right w:val="nil"/>
            </w:tcBorders>
            <w:noWrap/>
            <w:hideMark/>
          </w:tcPr>
          <w:p w:rsidRPr="00C3071B" w:rsidR="00C3071B" w:rsidP="00C3071B" w:rsidRDefault="00C3071B" w14:paraId="1618536A"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Meksikas peso (MXN)</w:t>
            </w:r>
          </w:p>
        </w:tc>
        <w:tc>
          <w:tcPr>
            <w:tcW w:w="2745" w:type="dxa"/>
            <w:tcBorders>
              <w:left w:val="nil"/>
              <w:right w:val="nil"/>
            </w:tcBorders>
            <w:noWrap/>
            <w:hideMark/>
          </w:tcPr>
          <w:p w:rsidRPr="00C3071B" w:rsidR="00C3071B" w:rsidP="00C3071B" w:rsidRDefault="00C3071B" w14:paraId="3E44D47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6A90EAB" w14:textId="77777777">
        <w:trPr>
          <w:trHeight w:val="300"/>
        </w:trPr>
        <w:tc>
          <w:tcPr>
            <w:tcW w:w="6804" w:type="dxa"/>
            <w:tcBorders>
              <w:left w:val="nil"/>
              <w:right w:val="nil"/>
            </w:tcBorders>
            <w:noWrap/>
            <w:hideMark/>
          </w:tcPr>
          <w:p w:rsidRPr="00C3071B" w:rsidR="00C3071B" w:rsidP="00C3071B" w:rsidRDefault="00C3071B" w14:paraId="396E7283"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Norvēģijas krona (NOK)</w:t>
            </w:r>
          </w:p>
        </w:tc>
        <w:tc>
          <w:tcPr>
            <w:tcW w:w="2745" w:type="dxa"/>
            <w:tcBorders>
              <w:left w:val="nil"/>
              <w:right w:val="nil"/>
            </w:tcBorders>
            <w:noWrap/>
            <w:hideMark/>
          </w:tcPr>
          <w:p w:rsidRPr="00C3071B" w:rsidR="00C3071B" w:rsidP="00C3071B" w:rsidRDefault="00C3071B" w14:paraId="5D2BDC2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9546D9E" w14:textId="77777777">
        <w:trPr>
          <w:trHeight w:val="300"/>
        </w:trPr>
        <w:tc>
          <w:tcPr>
            <w:tcW w:w="6804" w:type="dxa"/>
            <w:tcBorders>
              <w:left w:val="nil"/>
              <w:right w:val="nil"/>
            </w:tcBorders>
            <w:noWrap/>
            <w:hideMark/>
          </w:tcPr>
          <w:p w:rsidRPr="00C3071B" w:rsidR="00C3071B" w:rsidP="00C3071B" w:rsidRDefault="00C3071B" w14:paraId="4EA49BCC"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(4) </w:t>
            </w:r>
            <w:r w:rsidRPr="00C3071B">
              <w:rPr>
                <w:rFonts w:ascii="Arial" w:hAnsi="Arial" w:cs="Arial"/>
                <w:sz w:val="20"/>
              </w:rPr>
              <w:t xml:space="preserve"> Krievijas rublis (RUB)</w:t>
            </w:r>
          </w:p>
        </w:tc>
        <w:tc>
          <w:tcPr>
            <w:tcW w:w="2745" w:type="dxa"/>
            <w:tcBorders>
              <w:left w:val="nil"/>
              <w:right w:val="nil"/>
            </w:tcBorders>
            <w:noWrap/>
            <w:hideMark/>
          </w:tcPr>
          <w:p w:rsidRPr="00C3071B" w:rsidR="00C3071B" w:rsidP="00C3071B" w:rsidRDefault="00C3071B" w14:paraId="1BF9CDAF"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0A600656" w14:textId="77777777">
        <w:trPr>
          <w:trHeight w:val="300"/>
        </w:trPr>
        <w:tc>
          <w:tcPr>
            <w:tcW w:w="6804" w:type="dxa"/>
            <w:tcBorders>
              <w:left w:val="nil"/>
              <w:right w:val="nil"/>
            </w:tcBorders>
            <w:noWrap/>
            <w:hideMark/>
          </w:tcPr>
          <w:p w:rsidRPr="00C3071B" w:rsidR="00C3071B" w:rsidP="00C3071B" w:rsidRDefault="00C3071B" w14:paraId="16FE2556"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(5) </w:t>
            </w:r>
            <w:r w:rsidRPr="00C3071B">
              <w:rPr>
                <w:rFonts w:ascii="Arial" w:hAnsi="Arial" w:cs="Arial"/>
                <w:sz w:val="20"/>
              </w:rPr>
              <w:t>Singapūras dolārs (SGD)</w:t>
            </w:r>
          </w:p>
        </w:tc>
        <w:tc>
          <w:tcPr>
            <w:tcW w:w="2745" w:type="dxa"/>
            <w:tcBorders>
              <w:left w:val="nil"/>
              <w:right w:val="nil"/>
            </w:tcBorders>
            <w:noWrap/>
            <w:hideMark/>
          </w:tcPr>
          <w:p w:rsidRPr="00C3071B" w:rsidR="00C3071B" w:rsidP="00C3071B" w:rsidRDefault="00C3071B" w14:paraId="2EEB0D0A"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7EC5F1D" w14:textId="77777777">
        <w:trPr>
          <w:trHeight w:val="300"/>
        </w:trPr>
        <w:tc>
          <w:tcPr>
            <w:tcW w:w="6804" w:type="dxa"/>
            <w:tcBorders>
              <w:left w:val="nil"/>
              <w:bottom w:val="single" w:color="auto" w:sz="4" w:space="0"/>
              <w:right w:val="nil"/>
            </w:tcBorders>
            <w:noWrap/>
            <w:hideMark/>
          </w:tcPr>
          <w:p w:rsidRPr="00C3071B" w:rsidR="00C3071B" w:rsidP="00C3071B" w:rsidRDefault="00C3071B" w14:paraId="20DFD295" w14:textId="77777777">
            <w:pPr>
              <w:ind w:firstLine="400" w:firstLineChars="200"/>
              <w:rPr>
                <w:rFonts w:ascii="Arial" w:hAnsi="Arial" w:eastAsia="Times New Roman" w:cs="Arial"/>
                <w:sz w:val="20"/>
                <w:szCs w:val="20"/>
              </w:rPr>
            </w:pPr>
            <w:r w:rsidRPr="00C3071B">
              <w:rPr>
                <w:rFonts w:ascii="Arial" w:hAnsi="Arial" w:cs="Arial"/>
                <w:sz w:val="20"/>
                <w:lang w:eastAsia="en-GB"/>
              </w:rPr>
              <w:t xml:space="preserve">(6) </w:t>
            </w:r>
            <w:r w:rsidRPr="00C3071B">
              <w:rPr>
                <w:rFonts w:ascii="Arial" w:hAnsi="Arial" w:cs="Arial"/>
                <w:sz w:val="20"/>
              </w:rPr>
              <w:t>Dienvidkorejas vona (KRW)</w:t>
            </w:r>
          </w:p>
        </w:tc>
        <w:tc>
          <w:tcPr>
            <w:tcW w:w="2745" w:type="dxa"/>
            <w:tcBorders>
              <w:left w:val="nil"/>
              <w:bottom w:val="single" w:color="auto" w:sz="4" w:space="0"/>
              <w:right w:val="nil"/>
            </w:tcBorders>
            <w:noWrap/>
            <w:hideMark/>
          </w:tcPr>
          <w:p w:rsidRPr="00C3071B" w:rsidR="00C3071B" w:rsidP="00C3071B" w:rsidRDefault="00C3071B" w14:paraId="459E6097"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FF28D0A" w14:textId="77777777">
        <w:trPr>
          <w:trHeight w:val="403"/>
        </w:trPr>
        <w:tc>
          <w:tcPr>
            <w:tcW w:w="6804" w:type="dxa"/>
            <w:tcBorders>
              <w:left w:val="nil"/>
              <w:bottom w:val="nil"/>
              <w:right w:val="nil"/>
            </w:tcBorders>
            <w:noWrap/>
            <w:hideMark/>
          </w:tcPr>
          <w:p w:rsidRPr="00C3071B" w:rsidR="00C3071B" w:rsidP="00C3071B" w:rsidRDefault="00C3071B" w14:paraId="7209C8B4" w14:textId="77777777">
            <w:pPr>
              <w:rPr>
                <w:rFonts w:ascii="Arial" w:hAnsi="Arial" w:eastAsia="Times New Roman" w:cs="Arial"/>
                <w:sz w:val="20"/>
                <w:szCs w:val="20"/>
              </w:rPr>
            </w:pPr>
            <w:r w:rsidRPr="00C3071B">
              <w:rPr>
                <w:rFonts w:ascii="Arial" w:hAnsi="Arial" w:cs="Arial"/>
                <w:sz w:val="20"/>
              </w:rPr>
              <w:t> </w:t>
            </w:r>
          </w:p>
        </w:tc>
        <w:tc>
          <w:tcPr>
            <w:tcW w:w="2745" w:type="dxa"/>
            <w:tcBorders>
              <w:left w:val="nil"/>
              <w:bottom w:val="nil"/>
              <w:right w:val="nil"/>
            </w:tcBorders>
            <w:noWrap/>
            <w:hideMark/>
          </w:tcPr>
          <w:p w:rsidRPr="00C3071B" w:rsidR="00C3071B" w:rsidP="00C3071B" w:rsidRDefault="00C3071B" w14:paraId="7C65942D" w14:textId="77777777">
            <w:pPr>
              <w:rPr>
                <w:rFonts w:ascii="Arial" w:hAnsi="Arial" w:eastAsia="Times New Roman" w:cs="Arial"/>
                <w:sz w:val="20"/>
                <w:szCs w:val="20"/>
              </w:rPr>
            </w:pPr>
            <w:r w:rsidRPr="00C3071B">
              <w:rPr>
                <w:rFonts w:ascii="Arial" w:hAnsi="Arial" w:cs="Arial"/>
                <w:sz w:val="20"/>
              </w:rPr>
              <w:t> </w:t>
            </w:r>
          </w:p>
        </w:tc>
      </w:tr>
      <w:tr w:rsidRPr="00C3071B" w:rsidR="00C3071B" w:rsidTr="00495D7D" w14:paraId="1E2136C9" w14:textId="77777777">
        <w:trPr>
          <w:trHeight w:val="403"/>
        </w:trPr>
        <w:tc>
          <w:tcPr>
            <w:tcW w:w="6804" w:type="dxa"/>
            <w:tcBorders>
              <w:top w:val="nil"/>
              <w:left w:val="nil"/>
              <w:bottom w:val="nil"/>
              <w:right w:val="nil"/>
            </w:tcBorders>
            <w:noWrap/>
            <w:hideMark/>
          </w:tcPr>
          <w:p w:rsidRPr="00C3071B" w:rsidR="00C3071B" w:rsidP="00C3071B" w:rsidRDefault="00C3071B" w14:paraId="77199ADC" w14:textId="77777777">
            <w:pPr>
              <w:rPr>
                <w:rFonts w:ascii="Calibri Light" w:hAnsi="Calibri Light" w:eastAsia="Times New Roman" w:cs="Times New Roman"/>
                <w:b/>
                <w:bCs/>
                <w:i/>
                <w:iCs/>
                <w:caps/>
                <w:spacing w:val="-2"/>
              </w:rPr>
            </w:pPr>
            <w:r w:rsidRPr="00C3071B">
              <w:rPr>
                <w:rFonts w:ascii="Calibri Light" w:hAnsi="Calibri Light" w:cs="Arial"/>
                <w:b/>
                <w:i/>
                <w:caps/>
              </w:rPr>
              <w:t> Izziņas posteņi</w:t>
            </w:r>
          </w:p>
        </w:tc>
        <w:tc>
          <w:tcPr>
            <w:tcW w:w="2745" w:type="dxa"/>
            <w:tcBorders>
              <w:top w:val="nil"/>
              <w:left w:val="nil"/>
              <w:bottom w:val="nil"/>
              <w:right w:val="nil"/>
            </w:tcBorders>
            <w:noWrap/>
            <w:hideMark/>
          </w:tcPr>
          <w:p w:rsidRPr="00C3071B" w:rsidR="00C3071B" w:rsidP="00C3071B" w:rsidRDefault="00C3071B" w14:paraId="2C56EF25" w14:textId="77777777">
            <w:pPr>
              <w:rPr>
                <w:rFonts w:ascii="Arial" w:hAnsi="Arial" w:eastAsia="Times New Roman" w:cs="Arial"/>
                <w:b/>
                <w:bCs/>
                <w:sz w:val="24"/>
              </w:rPr>
            </w:pPr>
            <w:r w:rsidRPr="00C3071B">
              <w:rPr>
                <w:rFonts w:ascii="Arial" w:hAnsi="Arial" w:cs="Arial"/>
                <w:b/>
                <w:sz w:val="24"/>
              </w:rPr>
              <w:t> </w:t>
            </w:r>
          </w:p>
        </w:tc>
      </w:tr>
      <w:tr w:rsidRPr="00C3071B" w:rsidR="00C3071B" w:rsidTr="00495D7D" w14:paraId="622D5106" w14:textId="77777777">
        <w:trPr>
          <w:trHeight w:val="403"/>
        </w:trPr>
        <w:tc>
          <w:tcPr>
            <w:tcW w:w="6804" w:type="dxa"/>
            <w:tcBorders>
              <w:top w:val="nil"/>
              <w:left w:val="nil"/>
              <w:bottom w:val="single" w:color="auto" w:sz="4" w:space="0"/>
              <w:right w:val="nil"/>
            </w:tcBorders>
            <w:noWrap/>
            <w:hideMark/>
          </w:tcPr>
          <w:p w:rsidRPr="00C3071B" w:rsidR="00C3071B" w:rsidP="00C3071B" w:rsidRDefault="00C3071B" w14:paraId="7B3F7669" w14:textId="77777777">
            <w:pPr>
              <w:ind w:firstLine="241" w:firstLineChars="100"/>
              <w:rPr>
                <w:rFonts w:ascii="Arial" w:hAnsi="Arial" w:eastAsia="Times New Roman" w:cs="Arial"/>
                <w:b/>
                <w:bCs/>
                <w:sz w:val="24"/>
              </w:rPr>
            </w:pPr>
            <w:r w:rsidRPr="00C3071B">
              <w:rPr>
                <w:rFonts w:ascii="Arial" w:hAnsi="Arial" w:cs="Arial"/>
                <w:b/>
                <w:sz w:val="24"/>
              </w:rPr>
              <w:t> </w:t>
            </w:r>
          </w:p>
        </w:tc>
        <w:tc>
          <w:tcPr>
            <w:tcW w:w="2745" w:type="dxa"/>
            <w:tcBorders>
              <w:top w:val="nil"/>
              <w:left w:val="nil"/>
              <w:bottom w:val="single" w:color="auto" w:sz="4" w:space="0"/>
              <w:right w:val="nil"/>
            </w:tcBorders>
            <w:noWrap/>
            <w:hideMark/>
          </w:tcPr>
          <w:p w:rsidRPr="00C3071B" w:rsidR="00C3071B" w:rsidP="00C3071B" w:rsidRDefault="00C3071B" w14:paraId="4CAE9F97" w14:textId="77777777">
            <w:pPr>
              <w:rPr>
                <w:rFonts w:ascii="Arial" w:hAnsi="Arial" w:eastAsia="Times New Roman" w:cs="Arial"/>
                <w:b/>
                <w:bCs/>
                <w:sz w:val="24"/>
              </w:rPr>
            </w:pPr>
            <w:r w:rsidRPr="00C3071B">
              <w:rPr>
                <w:rFonts w:ascii="Arial" w:hAnsi="Arial" w:cs="Arial"/>
                <w:b/>
                <w:sz w:val="24"/>
              </w:rPr>
              <w:t> </w:t>
            </w:r>
          </w:p>
        </w:tc>
      </w:tr>
      <w:tr w:rsidRPr="00C3071B" w:rsidR="00C3071B" w:rsidTr="00495D7D" w14:paraId="1DE15478" w14:textId="77777777">
        <w:trPr>
          <w:trHeight w:val="300"/>
        </w:trPr>
        <w:tc>
          <w:tcPr>
            <w:tcW w:w="6804" w:type="dxa"/>
            <w:tcBorders>
              <w:left w:val="nil"/>
              <w:right w:val="nil"/>
            </w:tcBorders>
            <w:noWrap/>
            <w:hideMark/>
          </w:tcPr>
          <w:p w:rsidRPr="00C3071B" w:rsidR="00C3071B" w:rsidP="00C3071B" w:rsidRDefault="00C3071B" w14:paraId="7F8A45F7" w14:textId="77777777">
            <w:pPr>
              <w:rPr>
                <w:rFonts w:ascii="Arial" w:hAnsi="Arial" w:eastAsia="Times New Roman" w:cs="Arial"/>
                <w:b/>
                <w:bCs/>
                <w:sz w:val="20"/>
                <w:szCs w:val="20"/>
              </w:rPr>
            </w:pPr>
            <w:r w:rsidRPr="00C3071B">
              <w:rPr>
                <w:rFonts w:ascii="Arial" w:hAnsi="Arial" w:cs="Arial"/>
                <w:b/>
                <w:sz w:val="20"/>
              </w:rPr>
              <w:t>17.sadaļa. Lieluma posteņi</w:t>
            </w:r>
          </w:p>
        </w:tc>
        <w:tc>
          <w:tcPr>
            <w:tcW w:w="2745" w:type="dxa"/>
            <w:tcBorders>
              <w:left w:val="nil"/>
              <w:right w:val="nil"/>
            </w:tcBorders>
            <w:hideMark/>
          </w:tcPr>
          <w:p w:rsidRPr="00C3071B" w:rsidR="00C3071B" w:rsidP="00C3071B" w:rsidRDefault="00C3071B" w14:paraId="76AB1F6B"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00E1826C" w14:textId="77777777">
        <w:trPr>
          <w:gridAfter w:val="1"/>
          <w:wAfter w:w="2745" w:type="dxa"/>
          <w:trHeight w:val="300"/>
        </w:trPr>
        <w:tc>
          <w:tcPr>
            <w:tcW w:w="6804" w:type="dxa"/>
            <w:tcBorders>
              <w:left w:val="nil"/>
              <w:right w:val="nil"/>
            </w:tcBorders>
            <w:noWrap/>
            <w:hideMark/>
          </w:tcPr>
          <w:p w:rsidRPr="00C3071B" w:rsidR="00C3071B" w:rsidP="00C3071B" w:rsidRDefault="00C3071B" w14:paraId="6872382A" w14:textId="77777777">
            <w:pPr>
              <w:ind w:left="171" w:firstLine="28" w:firstLineChars="14"/>
              <w:rPr>
                <w:rFonts w:ascii="Arial" w:hAnsi="Arial" w:eastAsia="Times New Roman" w:cs="Arial"/>
                <w:sz w:val="20"/>
                <w:szCs w:val="20"/>
              </w:rPr>
            </w:pPr>
            <w:r w:rsidRPr="00C3071B">
              <w:rPr>
                <w:rFonts w:ascii="Arial" w:hAnsi="Arial" w:cs="Arial"/>
                <w:sz w:val="20"/>
              </w:rPr>
              <w:t>a) Apdrošināšanas meitasuzņēmumu riska darījumi, kas jau ir iekļauti prudenciālā regulējuma konsolidācijā</w:t>
            </w:r>
          </w:p>
        </w:tc>
      </w:tr>
      <w:tr w:rsidRPr="00C3071B" w:rsidR="00C3071B" w:rsidTr="00495D7D" w14:paraId="36157EF3" w14:textId="77777777">
        <w:trPr>
          <w:trHeight w:val="300"/>
        </w:trPr>
        <w:tc>
          <w:tcPr>
            <w:tcW w:w="6804" w:type="dxa"/>
            <w:tcBorders>
              <w:left w:val="nil"/>
              <w:right w:val="nil"/>
            </w:tcBorders>
            <w:noWrap/>
            <w:hideMark/>
          </w:tcPr>
          <w:p w:rsidRPr="00C3071B" w:rsidR="00C3071B" w:rsidP="00C3071B" w:rsidRDefault="00C3071B" w14:paraId="66551092" w14:textId="77777777">
            <w:pPr>
              <w:ind w:firstLine="200" w:firstLineChars="100"/>
              <w:rPr>
                <w:rFonts w:ascii="Arial" w:hAnsi="Arial" w:eastAsia="Times New Roman" w:cs="Arial"/>
                <w:sz w:val="20"/>
                <w:szCs w:val="20"/>
              </w:rPr>
            </w:pPr>
            <w:r w:rsidRPr="00C3071B">
              <w:rPr>
                <w:rFonts w:ascii="Arial" w:hAnsi="Arial" w:cs="Arial"/>
                <w:sz w:val="20"/>
              </w:rPr>
              <w:t xml:space="preserve">b) Kopējo riska darījumu ceturkšņa vidējā vērtība </w:t>
            </w:r>
          </w:p>
        </w:tc>
        <w:tc>
          <w:tcPr>
            <w:tcW w:w="2745" w:type="dxa"/>
            <w:tcBorders>
              <w:left w:val="nil"/>
              <w:right w:val="nil"/>
            </w:tcBorders>
            <w:noWrap/>
            <w:hideMark/>
          </w:tcPr>
          <w:p w:rsidRPr="00C3071B" w:rsidR="00C3071B" w:rsidP="00C3071B" w:rsidRDefault="00C3071B" w14:paraId="686998BD"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CD6C9D3" w14:textId="77777777">
        <w:trPr>
          <w:trHeight w:val="300"/>
        </w:trPr>
        <w:tc>
          <w:tcPr>
            <w:tcW w:w="6804" w:type="dxa"/>
            <w:tcBorders>
              <w:left w:val="nil"/>
              <w:bottom w:val="single" w:color="auto" w:sz="4" w:space="0"/>
              <w:right w:val="nil"/>
            </w:tcBorders>
            <w:noWrap/>
            <w:hideMark/>
          </w:tcPr>
          <w:p w:rsidRPr="00C3071B" w:rsidR="00C3071B" w:rsidP="00C3071B" w:rsidRDefault="00C3071B" w14:paraId="71B40684" w14:textId="77777777">
            <w:pPr>
              <w:ind w:firstLine="200" w:firstLineChars="100"/>
              <w:rPr>
                <w:rFonts w:ascii="Arial" w:hAnsi="Arial" w:eastAsia="Times New Roman" w:cs="Arial"/>
                <w:sz w:val="20"/>
                <w:szCs w:val="20"/>
              </w:rPr>
            </w:pPr>
            <w:r w:rsidRPr="00C3071B">
              <w:rPr>
                <w:rFonts w:ascii="Arial" w:hAnsi="Arial" w:cs="Arial"/>
                <w:sz w:val="20"/>
              </w:rPr>
              <w:t xml:space="preserve">c) Kopējo riska darījumu mēneša vidējā vērtība </w:t>
            </w:r>
          </w:p>
        </w:tc>
        <w:tc>
          <w:tcPr>
            <w:tcW w:w="2745" w:type="dxa"/>
            <w:tcBorders>
              <w:left w:val="nil"/>
              <w:bottom w:val="single" w:color="auto" w:sz="4" w:space="0"/>
              <w:right w:val="nil"/>
            </w:tcBorders>
            <w:noWrap/>
            <w:hideMark/>
          </w:tcPr>
          <w:p w:rsidRPr="00C3071B" w:rsidR="00C3071B" w:rsidP="00C3071B" w:rsidRDefault="00C3071B" w14:paraId="226AF8C8"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A4D2F6A" w14:textId="77777777">
        <w:trPr>
          <w:trHeight w:val="300"/>
        </w:trPr>
        <w:tc>
          <w:tcPr>
            <w:tcW w:w="6804" w:type="dxa"/>
            <w:tcBorders>
              <w:left w:val="nil"/>
              <w:bottom w:val="nil"/>
              <w:right w:val="nil"/>
            </w:tcBorders>
            <w:noWrap/>
          </w:tcPr>
          <w:p w:rsidRPr="00C3071B" w:rsidR="00C3071B" w:rsidP="00C3071B" w:rsidRDefault="00C3071B" w14:paraId="5709943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25871569" w14:textId="77777777">
            <w:pPr>
              <w:jc w:val="center"/>
              <w:rPr>
                <w:rFonts w:ascii="Arial" w:hAnsi="Arial" w:eastAsia="Times New Roman" w:cs="Arial"/>
                <w:b/>
                <w:bCs/>
                <w:sz w:val="20"/>
                <w:szCs w:val="20"/>
                <w:lang w:eastAsia="en-GB"/>
              </w:rPr>
            </w:pPr>
          </w:p>
        </w:tc>
      </w:tr>
      <w:tr w:rsidRPr="00C3071B" w:rsidR="00C3071B" w:rsidTr="00495D7D" w14:paraId="713C8A0A" w14:textId="77777777">
        <w:trPr>
          <w:trHeight w:val="300"/>
        </w:trPr>
        <w:tc>
          <w:tcPr>
            <w:tcW w:w="6804" w:type="dxa"/>
            <w:tcBorders>
              <w:top w:val="nil"/>
              <w:left w:val="nil"/>
              <w:right w:val="nil"/>
            </w:tcBorders>
            <w:noWrap/>
            <w:hideMark/>
          </w:tcPr>
          <w:p w:rsidRPr="00C3071B" w:rsidR="00C3071B" w:rsidP="00C3071B" w:rsidRDefault="00C3071B" w14:paraId="0E20E049" w14:textId="77777777">
            <w:pPr>
              <w:rPr>
                <w:rFonts w:ascii="Arial" w:hAnsi="Arial" w:eastAsia="Times New Roman" w:cs="Arial"/>
                <w:b/>
                <w:bCs/>
                <w:sz w:val="20"/>
                <w:szCs w:val="20"/>
              </w:rPr>
            </w:pPr>
            <w:r w:rsidRPr="00C3071B">
              <w:rPr>
                <w:rFonts w:ascii="Arial" w:hAnsi="Arial" w:cs="Arial"/>
                <w:b/>
                <w:sz w:val="20"/>
              </w:rPr>
              <w:t>18. sadaļa. Savstarpējās saistības posteņi</w:t>
            </w:r>
          </w:p>
        </w:tc>
        <w:tc>
          <w:tcPr>
            <w:tcW w:w="2745" w:type="dxa"/>
            <w:tcBorders>
              <w:top w:val="nil"/>
              <w:left w:val="nil"/>
              <w:right w:val="nil"/>
            </w:tcBorders>
            <w:hideMark/>
          </w:tcPr>
          <w:p w:rsidRPr="00C3071B" w:rsidR="00C3071B" w:rsidP="00C3071B" w:rsidRDefault="00C3071B" w14:paraId="1E48FDC7"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7BCC16FE" w14:textId="77777777">
        <w:trPr>
          <w:trHeight w:val="300"/>
        </w:trPr>
        <w:tc>
          <w:tcPr>
            <w:tcW w:w="6804" w:type="dxa"/>
            <w:tcBorders>
              <w:left w:val="nil"/>
              <w:right w:val="nil"/>
            </w:tcBorders>
            <w:noWrap/>
            <w:hideMark/>
          </w:tcPr>
          <w:p w:rsidRPr="00C3071B" w:rsidR="00C3071B" w:rsidP="00C3071B" w:rsidRDefault="00C3071B" w14:paraId="3A889E2A" w14:textId="77777777">
            <w:pPr>
              <w:ind w:firstLine="200" w:firstLineChars="100"/>
              <w:rPr>
                <w:rFonts w:ascii="Arial" w:hAnsi="Arial" w:eastAsia="Times New Roman" w:cs="Arial"/>
                <w:sz w:val="20"/>
                <w:szCs w:val="20"/>
              </w:rPr>
            </w:pPr>
            <w:r w:rsidRPr="00C3071B">
              <w:rPr>
                <w:rFonts w:ascii="Arial" w:hAnsi="Arial" w:cs="Arial"/>
                <w:sz w:val="20"/>
              </w:rPr>
              <w:t>a) Finanšu sistēmas iekšējo aktīvu rādītājs (vecais rādītājs)</w:t>
            </w:r>
          </w:p>
        </w:tc>
        <w:tc>
          <w:tcPr>
            <w:tcW w:w="2745" w:type="dxa"/>
            <w:tcBorders>
              <w:left w:val="nil"/>
              <w:right w:val="nil"/>
            </w:tcBorders>
            <w:noWrap/>
            <w:hideMark/>
          </w:tcPr>
          <w:p w:rsidRPr="00C3071B" w:rsidR="00C3071B" w:rsidP="00C3071B" w:rsidRDefault="00C3071B" w14:paraId="262886E7"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BD8B050" w14:textId="77777777">
        <w:trPr>
          <w:trHeight w:val="300"/>
        </w:trPr>
        <w:tc>
          <w:tcPr>
            <w:tcW w:w="6804" w:type="dxa"/>
            <w:tcBorders>
              <w:left w:val="nil"/>
              <w:right w:val="nil"/>
            </w:tcBorders>
            <w:noWrap/>
            <w:hideMark/>
          </w:tcPr>
          <w:p w:rsidRPr="00C3071B" w:rsidR="00C3071B" w:rsidP="00C3071B" w:rsidRDefault="00C3071B" w14:paraId="5F9B0EA0" w14:textId="77777777">
            <w:pPr>
              <w:ind w:firstLine="200" w:firstLineChars="100"/>
              <w:rPr>
                <w:rFonts w:ascii="Arial" w:hAnsi="Arial" w:eastAsia="Times New Roman" w:cs="Arial"/>
                <w:sz w:val="20"/>
                <w:szCs w:val="20"/>
              </w:rPr>
            </w:pPr>
            <w:r w:rsidRPr="00C3071B">
              <w:rPr>
                <w:rFonts w:ascii="Arial" w:hAnsi="Arial" w:cs="Arial"/>
                <w:sz w:val="20"/>
              </w:rPr>
              <w:t xml:space="preserve">b) Finanšu sistēmas iekšējo aktīvu ceturkšņa vidējā vērtība </w:t>
            </w:r>
          </w:p>
        </w:tc>
        <w:tc>
          <w:tcPr>
            <w:tcW w:w="2745" w:type="dxa"/>
            <w:tcBorders>
              <w:left w:val="nil"/>
              <w:right w:val="nil"/>
            </w:tcBorders>
            <w:noWrap/>
            <w:hideMark/>
          </w:tcPr>
          <w:p w:rsidRPr="00C3071B" w:rsidR="00C3071B" w:rsidP="00C3071B" w:rsidRDefault="00C3071B" w14:paraId="5A8CEFCF"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26E63114" w14:textId="77777777">
        <w:trPr>
          <w:trHeight w:val="300"/>
        </w:trPr>
        <w:tc>
          <w:tcPr>
            <w:tcW w:w="6804" w:type="dxa"/>
            <w:tcBorders>
              <w:left w:val="nil"/>
              <w:right w:val="nil"/>
            </w:tcBorders>
            <w:noWrap/>
            <w:hideMark/>
          </w:tcPr>
          <w:p w:rsidRPr="00C3071B" w:rsidR="00C3071B" w:rsidP="00C3071B" w:rsidRDefault="00C3071B" w14:paraId="72F0DE47" w14:textId="77777777">
            <w:pPr>
              <w:ind w:firstLine="200" w:firstLineChars="100"/>
              <w:rPr>
                <w:rFonts w:ascii="Arial" w:hAnsi="Arial" w:eastAsia="Times New Roman" w:cs="Arial"/>
                <w:sz w:val="20"/>
                <w:szCs w:val="20"/>
              </w:rPr>
            </w:pPr>
            <w:r w:rsidRPr="00C3071B">
              <w:rPr>
                <w:rFonts w:ascii="Arial" w:hAnsi="Arial" w:cs="Arial"/>
                <w:sz w:val="20"/>
              </w:rPr>
              <w:t xml:space="preserve">c) Iekšējās finanšu sistēmas aktīvu mēneša vidējā vērtība </w:t>
            </w:r>
          </w:p>
        </w:tc>
        <w:tc>
          <w:tcPr>
            <w:tcW w:w="2745" w:type="dxa"/>
            <w:tcBorders>
              <w:left w:val="nil"/>
              <w:right w:val="nil"/>
            </w:tcBorders>
            <w:noWrap/>
            <w:hideMark/>
          </w:tcPr>
          <w:p w:rsidRPr="00C3071B" w:rsidR="00C3071B" w:rsidP="00C3071B" w:rsidRDefault="00C3071B" w14:paraId="1D8C3551"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6E66F3E" w14:textId="77777777">
        <w:trPr>
          <w:trHeight w:val="300"/>
        </w:trPr>
        <w:tc>
          <w:tcPr>
            <w:tcW w:w="6804" w:type="dxa"/>
            <w:tcBorders>
              <w:left w:val="nil"/>
              <w:right w:val="nil"/>
            </w:tcBorders>
            <w:noWrap/>
            <w:hideMark/>
          </w:tcPr>
          <w:p w:rsidRPr="00C3071B" w:rsidR="00C3071B" w:rsidP="00C3071B" w:rsidRDefault="00C3071B" w14:paraId="67F59F22" w14:textId="77777777">
            <w:pPr>
              <w:ind w:firstLine="200" w:firstLineChars="100"/>
              <w:rPr>
                <w:rFonts w:ascii="Arial" w:hAnsi="Arial" w:eastAsia="Times New Roman" w:cs="Arial"/>
                <w:sz w:val="20"/>
                <w:szCs w:val="20"/>
              </w:rPr>
            </w:pPr>
            <w:r w:rsidRPr="00C3071B">
              <w:rPr>
                <w:rFonts w:ascii="Arial" w:hAnsi="Arial" w:cs="Arial"/>
                <w:sz w:val="20"/>
              </w:rPr>
              <w:t>d) Iekšējās finanšu sistēmas saistību rādītājs (vecais rādītājs)</w:t>
            </w:r>
          </w:p>
        </w:tc>
        <w:tc>
          <w:tcPr>
            <w:tcW w:w="2745" w:type="dxa"/>
            <w:tcBorders>
              <w:left w:val="nil"/>
              <w:right w:val="nil"/>
            </w:tcBorders>
            <w:noWrap/>
            <w:hideMark/>
          </w:tcPr>
          <w:p w:rsidRPr="00C3071B" w:rsidR="00C3071B" w:rsidP="00C3071B" w:rsidRDefault="00C3071B" w14:paraId="54E6D782"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5F641B3" w14:textId="77777777">
        <w:trPr>
          <w:trHeight w:val="300"/>
        </w:trPr>
        <w:tc>
          <w:tcPr>
            <w:tcW w:w="6804" w:type="dxa"/>
            <w:tcBorders>
              <w:left w:val="nil"/>
              <w:right w:val="nil"/>
            </w:tcBorders>
            <w:noWrap/>
            <w:hideMark/>
          </w:tcPr>
          <w:p w:rsidRPr="00C3071B" w:rsidR="00C3071B" w:rsidP="00C3071B" w:rsidRDefault="00C3071B" w14:paraId="41466F45" w14:textId="77777777">
            <w:pPr>
              <w:ind w:firstLine="200" w:firstLineChars="100"/>
              <w:rPr>
                <w:rFonts w:ascii="Arial" w:hAnsi="Arial" w:eastAsia="Times New Roman" w:cs="Arial"/>
                <w:sz w:val="20"/>
                <w:szCs w:val="20"/>
              </w:rPr>
            </w:pPr>
            <w:r w:rsidRPr="00C3071B">
              <w:rPr>
                <w:rFonts w:ascii="Arial" w:hAnsi="Arial" w:cs="Arial"/>
                <w:sz w:val="20"/>
              </w:rPr>
              <w:t xml:space="preserve">e) Iekšējās finanšu sistēmas saistību ceturkšņa vidējā vērtība </w:t>
            </w:r>
          </w:p>
        </w:tc>
        <w:tc>
          <w:tcPr>
            <w:tcW w:w="2745" w:type="dxa"/>
            <w:tcBorders>
              <w:left w:val="nil"/>
              <w:right w:val="nil"/>
            </w:tcBorders>
            <w:noWrap/>
            <w:hideMark/>
          </w:tcPr>
          <w:p w:rsidRPr="00C3071B" w:rsidR="00C3071B" w:rsidP="00C3071B" w:rsidRDefault="00C3071B" w14:paraId="46278A6D"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3E528836" w14:textId="77777777">
        <w:trPr>
          <w:trHeight w:val="300"/>
        </w:trPr>
        <w:tc>
          <w:tcPr>
            <w:tcW w:w="6804" w:type="dxa"/>
            <w:tcBorders>
              <w:left w:val="nil"/>
              <w:right w:val="nil"/>
            </w:tcBorders>
            <w:noWrap/>
            <w:hideMark/>
          </w:tcPr>
          <w:p w:rsidRPr="00C3071B" w:rsidR="00C3071B" w:rsidP="00C3071B" w:rsidRDefault="00C3071B" w14:paraId="03436286" w14:textId="77777777">
            <w:pPr>
              <w:ind w:firstLine="200" w:firstLineChars="100"/>
              <w:rPr>
                <w:rFonts w:ascii="Arial" w:hAnsi="Arial" w:eastAsia="Times New Roman" w:cs="Arial"/>
                <w:sz w:val="20"/>
                <w:szCs w:val="20"/>
              </w:rPr>
            </w:pPr>
            <w:r w:rsidRPr="00C3071B">
              <w:rPr>
                <w:rFonts w:ascii="Arial" w:hAnsi="Arial" w:cs="Arial"/>
                <w:sz w:val="20"/>
              </w:rPr>
              <w:t xml:space="preserve">f) Iekšējās finanšu sistēmas saistību mēneša vidējā vērtība </w:t>
            </w:r>
          </w:p>
        </w:tc>
        <w:tc>
          <w:tcPr>
            <w:tcW w:w="2745" w:type="dxa"/>
            <w:tcBorders>
              <w:left w:val="nil"/>
              <w:right w:val="nil"/>
            </w:tcBorders>
            <w:noWrap/>
            <w:hideMark/>
          </w:tcPr>
          <w:p w:rsidRPr="00C3071B" w:rsidR="00C3071B" w:rsidP="00C3071B" w:rsidRDefault="00C3071B" w14:paraId="4B2750C6"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29A75842" w14:textId="77777777">
        <w:trPr>
          <w:trHeight w:val="300"/>
        </w:trPr>
        <w:tc>
          <w:tcPr>
            <w:tcW w:w="6804" w:type="dxa"/>
            <w:tcBorders>
              <w:left w:val="nil"/>
              <w:right w:val="nil"/>
            </w:tcBorders>
            <w:noWrap/>
            <w:hideMark/>
          </w:tcPr>
          <w:p w:rsidRPr="00C3071B" w:rsidR="00C3071B" w:rsidP="00C3071B" w:rsidRDefault="00C3071B" w14:paraId="7F4046A5" w14:textId="77777777">
            <w:pPr>
              <w:ind w:firstLine="200" w:firstLineChars="100"/>
              <w:rPr>
                <w:rFonts w:ascii="Arial" w:hAnsi="Arial" w:eastAsia="Times New Roman" w:cs="Arial"/>
                <w:sz w:val="20"/>
                <w:szCs w:val="20"/>
              </w:rPr>
            </w:pPr>
            <w:r w:rsidRPr="00C3071B">
              <w:rPr>
                <w:rFonts w:ascii="Arial" w:hAnsi="Arial" w:cs="Arial"/>
                <w:sz w:val="20"/>
              </w:rPr>
              <w:t>g) Nesamaksāto vērtspapīru rādītājs (vecais rādītājs)</w:t>
            </w:r>
          </w:p>
        </w:tc>
        <w:tc>
          <w:tcPr>
            <w:tcW w:w="2745" w:type="dxa"/>
            <w:tcBorders>
              <w:left w:val="nil"/>
              <w:right w:val="nil"/>
            </w:tcBorders>
            <w:noWrap/>
            <w:hideMark/>
          </w:tcPr>
          <w:p w:rsidRPr="00C3071B" w:rsidR="00C3071B" w:rsidP="00C3071B" w:rsidRDefault="00C3071B" w14:paraId="5FE32FA3"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772F6901" w14:textId="77777777">
        <w:trPr>
          <w:trHeight w:val="300"/>
        </w:trPr>
        <w:tc>
          <w:tcPr>
            <w:tcW w:w="6804" w:type="dxa"/>
            <w:tcBorders>
              <w:left w:val="nil"/>
              <w:right w:val="nil"/>
            </w:tcBorders>
            <w:noWrap/>
            <w:hideMark/>
          </w:tcPr>
          <w:p w:rsidRPr="00C3071B" w:rsidR="00C3071B" w:rsidP="00C3071B" w:rsidRDefault="00C3071B" w14:paraId="13F19FDD" w14:textId="77777777">
            <w:pPr>
              <w:ind w:firstLine="200" w:firstLineChars="100"/>
              <w:rPr>
                <w:rFonts w:ascii="Arial" w:hAnsi="Arial" w:eastAsia="Times New Roman" w:cs="Arial"/>
                <w:sz w:val="20"/>
                <w:szCs w:val="20"/>
              </w:rPr>
            </w:pPr>
            <w:r w:rsidRPr="00C3071B">
              <w:rPr>
                <w:rFonts w:ascii="Arial" w:hAnsi="Arial" w:cs="Arial"/>
                <w:sz w:val="20"/>
              </w:rPr>
              <w:t xml:space="preserve">h) Apgrozībā esošo vērtspapīru ceturkšņa vidējā vērtība </w:t>
            </w:r>
          </w:p>
        </w:tc>
        <w:tc>
          <w:tcPr>
            <w:tcW w:w="2745" w:type="dxa"/>
            <w:tcBorders>
              <w:left w:val="nil"/>
              <w:right w:val="nil"/>
            </w:tcBorders>
            <w:noWrap/>
            <w:hideMark/>
          </w:tcPr>
          <w:p w:rsidRPr="00C3071B" w:rsidR="00C3071B" w:rsidP="00C3071B" w:rsidRDefault="00C3071B" w14:paraId="378EAA7E"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DAD0FDB" w14:textId="77777777">
        <w:trPr>
          <w:trHeight w:val="300"/>
        </w:trPr>
        <w:tc>
          <w:tcPr>
            <w:tcW w:w="6804" w:type="dxa"/>
            <w:tcBorders>
              <w:left w:val="nil"/>
              <w:bottom w:val="single" w:color="auto" w:sz="4" w:space="0"/>
              <w:right w:val="nil"/>
            </w:tcBorders>
            <w:noWrap/>
            <w:hideMark/>
          </w:tcPr>
          <w:p w:rsidRPr="00C3071B" w:rsidR="00C3071B" w:rsidP="00C3071B" w:rsidRDefault="00C3071B" w14:paraId="70DC4545" w14:textId="77777777">
            <w:pPr>
              <w:ind w:firstLine="200" w:firstLineChars="100"/>
              <w:rPr>
                <w:rFonts w:ascii="Arial" w:hAnsi="Arial" w:eastAsia="Times New Roman" w:cs="Arial"/>
                <w:sz w:val="20"/>
                <w:szCs w:val="20"/>
              </w:rPr>
            </w:pPr>
            <w:r w:rsidRPr="00C3071B">
              <w:rPr>
                <w:rFonts w:ascii="Arial" w:hAnsi="Arial" w:cs="Arial"/>
                <w:sz w:val="20"/>
              </w:rPr>
              <w:t xml:space="preserve">i) Apgrozībā esošo vērtspapīru mēneša vidējā vērtība </w:t>
            </w:r>
          </w:p>
        </w:tc>
        <w:tc>
          <w:tcPr>
            <w:tcW w:w="2745" w:type="dxa"/>
            <w:tcBorders>
              <w:left w:val="nil"/>
              <w:bottom w:val="single" w:color="auto" w:sz="4" w:space="0"/>
              <w:right w:val="nil"/>
            </w:tcBorders>
            <w:noWrap/>
            <w:hideMark/>
          </w:tcPr>
          <w:p w:rsidRPr="00C3071B" w:rsidR="00C3071B" w:rsidP="00C3071B" w:rsidRDefault="00C3071B" w14:paraId="4D5A5649"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6B999AD" w14:textId="77777777">
        <w:trPr>
          <w:trHeight w:val="300"/>
        </w:trPr>
        <w:tc>
          <w:tcPr>
            <w:tcW w:w="6804" w:type="dxa"/>
            <w:tcBorders>
              <w:left w:val="nil"/>
              <w:bottom w:val="nil"/>
              <w:right w:val="nil"/>
            </w:tcBorders>
            <w:noWrap/>
          </w:tcPr>
          <w:p w:rsidRPr="00C3071B" w:rsidR="00C3071B" w:rsidP="00C3071B" w:rsidRDefault="00C3071B" w14:paraId="1345F62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7E01662C" w14:textId="77777777">
            <w:pPr>
              <w:jc w:val="center"/>
              <w:rPr>
                <w:rFonts w:ascii="Arial" w:hAnsi="Arial" w:eastAsia="Times New Roman" w:cs="Arial"/>
                <w:b/>
                <w:bCs/>
                <w:sz w:val="20"/>
                <w:szCs w:val="20"/>
                <w:lang w:eastAsia="en-GB"/>
              </w:rPr>
            </w:pPr>
          </w:p>
        </w:tc>
      </w:tr>
      <w:tr w:rsidRPr="00C3071B" w:rsidR="00C3071B" w:rsidTr="00495D7D" w14:paraId="646AA8AC" w14:textId="77777777">
        <w:trPr>
          <w:trHeight w:val="300"/>
        </w:trPr>
        <w:tc>
          <w:tcPr>
            <w:tcW w:w="6804" w:type="dxa"/>
            <w:tcBorders>
              <w:top w:val="nil"/>
              <w:left w:val="nil"/>
              <w:bottom w:val="single" w:color="auto" w:sz="4" w:space="0"/>
              <w:right w:val="nil"/>
            </w:tcBorders>
            <w:noWrap/>
            <w:hideMark/>
          </w:tcPr>
          <w:p w:rsidRPr="00C3071B" w:rsidR="00C3071B" w:rsidP="00C3071B" w:rsidRDefault="00C3071B" w14:paraId="694946B4" w14:textId="77777777">
            <w:pPr>
              <w:rPr>
                <w:rFonts w:ascii="Arial" w:hAnsi="Arial" w:eastAsia="Times New Roman" w:cs="Arial"/>
                <w:b/>
                <w:bCs/>
                <w:sz w:val="20"/>
                <w:szCs w:val="20"/>
              </w:rPr>
            </w:pPr>
            <w:r w:rsidRPr="00C3071B">
              <w:rPr>
                <w:rFonts w:ascii="Arial" w:hAnsi="Arial" w:cs="Arial"/>
                <w:b/>
                <w:sz w:val="20"/>
              </w:rPr>
              <w:t>19. sadaļa. Aizvietojamība/ Finanšu infrastruktūra Pozīcijas</w:t>
            </w:r>
          </w:p>
        </w:tc>
        <w:tc>
          <w:tcPr>
            <w:tcW w:w="2745" w:type="dxa"/>
            <w:tcBorders>
              <w:top w:val="nil"/>
              <w:left w:val="nil"/>
              <w:right w:val="nil"/>
            </w:tcBorders>
            <w:hideMark/>
          </w:tcPr>
          <w:p w:rsidRPr="00C3071B" w:rsidR="00C3071B" w:rsidP="00C3071B" w:rsidRDefault="00C3071B" w14:paraId="3B2A64D2"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0761E938" w14:textId="77777777">
        <w:trPr>
          <w:trHeight w:val="300"/>
        </w:trPr>
        <w:tc>
          <w:tcPr>
            <w:tcW w:w="6804" w:type="dxa"/>
            <w:tcBorders>
              <w:left w:val="nil"/>
              <w:right w:val="nil"/>
            </w:tcBorders>
            <w:noWrap/>
          </w:tcPr>
          <w:p w:rsidRPr="00C3071B" w:rsidR="00C3071B" w:rsidP="00C3071B" w:rsidRDefault="00C3071B" w14:paraId="6AD5CD43" w14:textId="77777777">
            <w:pPr>
              <w:ind w:left="171" w:firstLine="28" w:firstLineChars="14"/>
              <w:rPr>
                <w:rFonts w:ascii="Arial" w:hAnsi="Arial" w:eastAsia="Times New Roman" w:cs="Arial"/>
                <w:sz w:val="20"/>
                <w:szCs w:val="20"/>
              </w:rPr>
            </w:pPr>
            <w:r w:rsidRPr="00C3071B">
              <w:rPr>
                <w:rFonts w:ascii="Arial" w:hAnsi="Arial" w:cs="Arial"/>
                <w:sz w:val="20"/>
              </w:rPr>
              <w:t>a) Valsts emitēto vērtspapīru tirdzniecības apjoms, izņemot grupas iekšējos darījumus</w:t>
            </w:r>
          </w:p>
        </w:tc>
        <w:tc>
          <w:tcPr>
            <w:tcW w:w="2745" w:type="dxa"/>
            <w:tcBorders>
              <w:left w:val="nil"/>
              <w:right w:val="nil"/>
            </w:tcBorders>
            <w:noWrap/>
          </w:tcPr>
          <w:p w:rsidRPr="00C3071B" w:rsidR="00C3071B" w:rsidP="00C3071B" w:rsidRDefault="00C3071B" w14:paraId="27306A12" w14:textId="77777777">
            <w:pPr>
              <w:jc w:val="right"/>
              <w:rPr>
                <w:rFonts w:ascii="Arial" w:hAnsi="Arial" w:eastAsia="Times New Roman" w:cs="Arial"/>
                <w:sz w:val="20"/>
                <w:szCs w:val="20"/>
                <w:lang w:eastAsia="en-GB"/>
              </w:rPr>
            </w:pPr>
          </w:p>
        </w:tc>
      </w:tr>
      <w:tr w:rsidRPr="00C3071B" w:rsidR="00C3071B" w:rsidTr="00495D7D" w14:paraId="186AE6ED" w14:textId="77777777">
        <w:trPr>
          <w:trHeight w:val="300"/>
        </w:trPr>
        <w:tc>
          <w:tcPr>
            <w:tcW w:w="6804" w:type="dxa"/>
            <w:tcBorders>
              <w:left w:val="nil"/>
              <w:right w:val="nil"/>
            </w:tcBorders>
            <w:noWrap/>
          </w:tcPr>
          <w:p w:rsidRPr="00C3071B" w:rsidR="00C3071B" w:rsidP="00C3071B" w:rsidRDefault="00C3071B" w14:paraId="523CB10E" w14:textId="77777777">
            <w:pPr>
              <w:ind w:left="171"/>
              <w:rPr>
                <w:rFonts w:ascii="Arial" w:hAnsi="Arial" w:eastAsia="Times New Roman" w:cs="Arial"/>
                <w:sz w:val="20"/>
                <w:szCs w:val="20"/>
              </w:rPr>
            </w:pPr>
            <w:r w:rsidRPr="00C3071B">
              <w:rPr>
                <w:rFonts w:ascii="Arial" w:hAnsi="Arial" w:cs="Arial"/>
                <w:sz w:val="20"/>
              </w:rPr>
              <w:t>b) Sākotnējā drošības rezerve, kas piešķirta centrālajiem darījumu partneriem klientu vārdā</w:t>
            </w:r>
          </w:p>
        </w:tc>
        <w:tc>
          <w:tcPr>
            <w:tcW w:w="2745" w:type="dxa"/>
            <w:tcBorders>
              <w:left w:val="nil"/>
              <w:right w:val="nil"/>
            </w:tcBorders>
            <w:noWrap/>
          </w:tcPr>
          <w:p w:rsidRPr="00C3071B" w:rsidR="00C3071B" w:rsidP="00C3071B" w:rsidRDefault="00C3071B" w14:paraId="7D614A43" w14:textId="77777777">
            <w:pPr>
              <w:jc w:val="right"/>
              <w:rPr>
                <w:rFonts w:ascii="Arial" w:hAnsi="Arial" w:eastAsia="Times New Roman" w:cs="Arial"/>
                <w:sz w:val="20"/>
                <w:szCs w:val="20"/>
                <w:lang w:eastAsia="en-GB"/>
              </w:rPr>
            </w:pPr>
          </w:p>
        </w:tc>
      </w:tr>
      <w:tr w:rsidRPr="00C3071B" w:rsidR="00C3071B" w:rsidTr="00495D7D" w14:paraId="5C45F31B" w14:textId="77777777">
        <w:trPr>
          <w:trHeight w:val="300"/>
        </w:trPr>
        <w:tc>
          <w:tcPr>
            <w:tcW w:w="6804" w:type="dxa"/>
            <w:tcBorders>
              <w:left w:val="nil"/>
              <w:right w:val="nil"/>
            </w:tcBorders>
            <w:noWrap/>
          </w:tcPr>
          <w:p w:rsidRPr="00C3071B" w:rsidR="00C3071B" w:rsidP="00C3071B" w:rsidRDefault="00C3071B" w14:paraId="5829CBDE" w14:textId="77777777">
            <w:pPr>
              <w:ind w:firstLine="200" w:firstLineChars="100"/>
              <w:rPr>
                <w:rFonts w:ascii="Arial" w:hAnsi="Arial" w:eastAsia="Times New Roman" w:cs="Arial"/>
                <w:sz w:val="20"/>
                <w:szCs w:val="20"/>
              </w:rPr>
            </w:pPr>
            <w:r w:rsidRPr="00C3071B">
              <w:rPr>
                <w:rFonts w:ascii="Arial" w:hAnsi="Arial" w:cs="Arial"/>
                <w:sz w:val="20"/>
              </w:rPr>
              <w:t>c) Sākotnējā drošības rezerve, kas piešķirta centrālajiem darījumu partneriem uz pašas pārskata sniedzējas grupas rēķina</w:t>
            </w:r>
          </w:p>
        </w:tc>
        <w:tc>
          <w:tcPr>
            <w:tcW w:w="2745" w:type="dxa"/>
            <w:tcBorders>
              <w:left w:val="nil"/>
              <w:right w:val="nil"/>
            </w:tcBorders>
            <w:noWrap/>
          </w:tcPr>
          <w:p w:rsidRPr="00C3071B" w:rsidR="00C3071B" w:rsidP="00C3071B" w:rsidRDefault="00C3071B" w14:paraId="567EDF36" w14:textId="77777777">
            <w:pPr>
              <w:jc w:val="right"/>
              <w:rPr>
                <w:rFonts w:ascii="Arial" w:hAnsi="Arial" w:eastAsia="Times New Roman" w:cs="Arial"/>
                <w:sz w:val="20"/>
                <w:szCs w:val="20"/>
                <w:lang w:eastAsia="en-GB"/>
              </w:rPr>
            </w:pPr>
          </w:p>
        </w:tc>
      </w:tr>
      <w:tr w:rsidRPr="00C3071B" w:rsidR="00C3071B" w:rsidTr="00495D7D" w14:paraId="0797C63E" w14:textId="77777777">
        <w:trPr>
          <w:trHeight w:val="300"/>
        </w:trPr>
        <w:tc>
          <w:tcPr>
            <w:tcW w:w="6804" w:type="dxa"/>
            <w:tcBorders>
              <w:left w:val="nil"/>
              <w:right w:val="nil"/>
            </w:tcBorders>
            <w:noWrap/>
            <w:hideMark/>
          </w:tcPr>
          <w:p w:rsidRPr="00C3071B" w:rsidR="00C3071B" w:rsidP="00C3071B" w:rsidRDefault="00C3071B" w14:paraId="028C4082" w14:textId="77777777">
            <w:pPr>
              <w:ind w:firstLine="200" w:firstLineChars="100"/>
              <w:rPr>
                <w:rFonts w:ascii="Arial" w:hAnsi="Arial" w:eastAsia="Times New Roman" w:cs="Arial"/>
                <w:sz w:val="20"/>
                <w:szCs w:val="20"/>
              </w:rPr>
            </w:pPr>
            <w:r w:rsidRPr="00C3071B">
              <w:rPr>
                <w:rFonts w:ascii="Arial" w:hAnsi="Arial" w:cs="Arial"/>
                <w:sz w:val="20"/>
              </w:rPr>
              <w:t>d) Saistību neizpildes līdzekļu iemaksas centrālajiem darījumu partneriem</w:t>
            </w:r>
          </w:p>
        </w:tc>
        <w:tc>
          <w:tcPr>
            <w:tcW w:w="2745" w:type="dxa"/>
            <w:tcBorders>
              <w:left w:val="nil"/>
              <w:right w:val="nil"/>
            </w:tcBorders>
            <w:noWrap/>
            <w:hideMark/>
          </w:tcPr>
          <w:p w:rsidRPr="00C3071B" w:rsidR="00C3071B" w:rsidP="00C3071B" w:rsidRDefault="00C3071B" w14:paraId="59936BB4"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90B7153" w14:textId="77777777">
        <w:trPr>
          <w:trHeight w:val="300"/>
        </w:trPr>
        <w:tc>
          <w:tcPr>
            <w:tcW w:w="6804" w:type="dxa"/>
            <w:tcBorders>
              <w:left w:val="nil"/>
              <w:right w:val="nil"/>
            </w:tcBorders>
            <w:noWrap/>
            <w:hideMark/>
          </w:tcPr>
          <w:p w:rsidRPr="00C3071B" w:rsidR="00C3071B" w:rsidP="00C3071B" w:rsidRDefault="00C3071B" w14:paraId="649CE794" w14:textId="77777777">
            <w:pPr>
              <w:ind w:firstLine="200" w:firstLineChars="100"/>
              <w:rPr>
                <w:rFonts w:ascii="Arial" w:hAnsi="Arial" w:eastAsia="Times New Roman" w:cs="Arial"/>
                <w:sz w:val="20"/>
                <w:szCs w:val="20"/>
              </w:rPr>
            </w:pPr>
            <w:r w:rsidRPr="00C3071B">
              <w:rPr>
                <w:rFonts w:ascii="Arial" w:hAnsi="Arial" w:cs="Arial"/>
                <w:sz w:val="20"/>
              </w:rPr>
              <w:t>e) Citi mehānismi centrālajiem darījumu partneriem</w:t>
            </w:r>
          </w:p>
        </w:tc>
        <w:tc>
          <w:tcPr>
            <w:tcW w:w="2745" w:type="dxa"/>
            <w:tcBorders>
              <w:left w:val="nil"/>
              <w:right w:val="nil"/>
            </w:tcBorders>
            <w:noWrap/>
            <w:hideMark/>
          </w:tcPr>
          <w:p w:rsidRPr="00C3071B" w:rsidR="00C3071B" w:rsidP="00C3071B" w:rsidRDefault="00C3071B" w14:paraId="726CF54D"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605917AB" w14:textId="77777777">
        <w:trPr>
          <w:gridAfter w:val="1"/>
          <w:wAfter w:w="2745" w:type="dxa"/>
          <w:trHeight w:val="300"/>
        </w:trPr>
        <w:tc>
          <w:tcPr>
            <w:tcW w:w="6804" w:type="dxa"/>
            <w:tcBorders>
              <w:left w:val="nil"/>
              <w:right w:val="nil"/>
            </w:tcBorders>
            <w:noWrap/>
            <w:hideMark/>
          </w:tcPr>
          <w:p w:rsidRPr="00C3071B" w:rsidR="00C3071B" w:rsidP="00C3071B" w:rsidRDefault="00C3071B" w14:paraId="27075BCA" w14:textId="77777777">
            <w:pPr>
              <w:ind w:left="171"/>
              <w:rPr>
                <w:rFonts w:ascii="Arial" w:hAnsi="Arial" w:eastAsia="Times New Roman" w:cs="Arial"/>
                <w:sz w:val="20"/>
                <w:szCs w:val="20"/>
              </w:rPr>
            </w:pPr>
            <w:r w:rsidRPr="00C3071B">
              <w:rPr>
                <w:rFonts w:ascii="Arial" w:hAnsi="Arial" w:cs="Arial"/>
                <w:sz w:val="20"/>
              </w:rPr>
              <w:t>f) Norēķinu pakalpojumu sniegšana saistībā ar darījumiem ar centralizēti veiktu tīrvērti</w:t>
            </w:r>
          </w:p>
        </w:tc>
      </w:tr>
      <w:tr w:rsidRPr="00C3071B" w:rsidR="00C3071B" w:rsidTr="00495D7D" w14:paraId="48485DAE" w14:textId="77777777">
        <w:trPr>
          <w:trHeight w:val="300"/>
        </w:trPr>
        <w:tc>
          <w:tcPr>
            <w:tcW w:w="6804" w:type="dxa"/>
            <w:tcBorders>
              <w:left w:val="nil"/>
              <w:right w:val="nil"/>
            </w:tcBorders>
            <w:noWrap/>
            <w:hideMark/>
          </w:tcPr>
          <w:p w:rsidRPr="00C3071B" w:rsidR="00C3071B" w:rsidP="00C3071B" w:rsidRDefault="00C3071B" w14:paraId="54EDD94E" w14:textId="77777777">
            <w:pPr>
              <w:ind w:firstLine="200" w:firstLineChars="100"/>
              <w:rPr>
                <w:rFonts w:ascii="Arial" w:hAnsi="Arial" w:eastAsia="Times New Roman" w:cs="Arial"/>
                <w:sz w:val="20"/>
                <w:szCs w:val="20"/>
              </w:rPr>
            </w:pPr>
            <w:r w:rsidRPr="00C3071B">
              <w:rPr>
                <w:rFonts w:ascii="Arial" w:hAnsi="Arial" w:cs="Arial"/>
                <w:sz w:val="20"/>
              </w:rPr>
              <w:t xml:space="preserve">g) Glabāšanā esošo aktīvu ceturkšņa vidējā vērtība </w:t>
            </w:r>
          </w:p>
        </w:tc>
        <w:tc>
          <w:tcPr>
            <w:tcW w:w="2745" w:type="dxa"/>
            <w:tcBorders>
              <w:left w:val="nil"/>
              <w:right w:val="nil"/>
            </w:tcBorders>
            <w:noWrap/>
            <w:hideMark/>
          </w:tcPr>
          <w:p w:rsidRPr="00C3071B" w:rsidR="00C3071B" w:rsidP="00C3071B" w:rsidRDefault="00C3071B" w14:paraId="43B66B8A"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424DED52" w14:textId="77777777">
        <w:trPr>
          <w:trHeight w:val="300"/>
        </w:trPr>
        <w:tc>
          <w:tcPr>
            <w:tcW w:w="6804" w:type="dxa"/>
            <w:tcBorders>
              <w:left w:val="nil"/>
              <w:bottom w:val="single" w:color="auto" w:sz="4" w:space="0"/>
              <w:right w:val="nil"/>
            </w:tcBorders>
            <w:noWrap/>
            <w:hideMark/>
          </w:tcPr>
          <w:p w:rsidRPr="00C3071B" w:rsidR="00C3071B" w:rsidP="00C3071B" w:rsidRDefault="00C3071B" w14:paraId="1B3EC02B" w14:textId="77777777">
            <w:pPr>
              <w:ind w:firstLine="200" w:firstLineChars="100"/>
              <w:rPr>
                <w:rFonts w:ascii="Arial" w:hAnsi="Arial" w:eastAsia="Times New Roman" w:cs="Arial"/>
                <w:sz w:val="20"/>
                <w:szCs w:val="20"/>
              </w:rPr>
            </w:pPr>
            <w:r w:rsidRPr="00C3071B">
              <w:rPr>
                <w:rFonts w:ascii="Arial" w:hAnsi="Arial" w:cs="Arial"/>
                <w:sz w:val="20"/>
              </w:rPr>
              <w:t xml:space="preserve">h) Uzturēto aktīvu mēneša vidējā vērtība </w:t>
            </w:r>
          </w:p>
        </w:tc>
        <w:tc>
          <w:tcPr>
            <w:tcW w:w="2745" w:type="dxa"/>
            <w:tcBorders>
              <w:left w:val="nil"/>
              <w:bottom w:val="single" w:color="auto" w:sz="4" w:space="0"/>
              <w:right w:val="nil"/>
            </w:tcBorders>
            <w:noWrap/>
            <w:hideMark/>
          </w:tcPr>
          <w:p w:rsidRPr="00C3071B" w:rsidR="00C3071B" w:rsidP="00C3071B" w:rsidRDefault="00C3071B" w14:paraId="515EF0EF"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5BDF5368" w14:textId="77777777">
        <w:trPr>
          <w:trHeight w:val="300"/>
        </w:trPr>
        <w:tc>
          <w:tcPr>
            <w:tcW w:w="6804" w:type="dxa"/>
            <w:tcBorders>
              <w:left w:val="nil"/>
              <w:bottom w:val="nil"/>
              <w:right w:val="nil"/>
            </w:tcBorders>
            <w:noWrap/>
          </w:tcPr>
          <w:p w:rsidRPr="00C3071B" w:rsidR="00C3071B" w:rsidP="00C3071B" w:rsidRDefault="00C3071B" w14:paraId="42963D3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C3071B" w:rsidR="00C3071B" w:rsidP="00C3071B" w:rsidRDefault="00C3071B" w14:paraId="18B7BD21" w14:textId="77777777">
            <w:pPr>
              <w:jc w:val="center"/>
              <w:rPr>
                <w:rFonts w:ascii="Arial" w:hAnsi="Arial" w:eastAsia="Times New Roman" w:cs="Arial"/>
                <w:b/>
                <w:bCs/>
                <w:sz w:val="20"/>
                <w:szCs w:val="20"/>
                <w:lang w:eastAsia="en-GB"/>
              </w:rPr>
            </w:pPr>
          </w:p>
        </w:tc>
      </w:tr>
      <w:tr w:rsidRPr="00C3071B" w:rsidR="00C3071B" w:rsidTr="00495D7D" w14:paraId="3098694F" w14:textId="77777777">
        <w:trPr>
          <w:trHeight w:val="300"/>
        </w:trPr>
        <w:tc>
          <w:tcPr>
            <w:tcW w:w="6804" w:type="dxa"/>
            <w:tcBorders>
              <w:top w:val="nil"/>
              <w:left w:val="nil"/>
              <w:right w:val="nil"/>
            </w:tcBorders>
            <w:noWrap/>
            <w:hideMark/>
          </w:tcPr>
          <w:p w:rsidRPr="00C3071B" w:rsidR="00C3071B" w:rsidP="00C3071B" w:rsidRDefault="00C3071B" w14:paraId="218FB45E" w14:textId="77777777">
            <w:pPr>
              <w:rPr>
                <w:rFonts w:ascii="Arial" w:hAnsi="Arial" w:eastAsia="Times New Roman" w:cs="Arial"/>
                <w:b/>
                <w:bCs/>
                <w:sz w:val="20"/>
                <w:szCs w:val="20"/>
              </w:rPr>
            </w:pPr>
            <w:r w:rsidRPr="00C3071B">
              <w:rPr>
                <w:rFonts w:ascii="Arial" w:hAnsi="Arial" w:cs="Arial"/>
                <w:b/>
                <w:sz w:val="20"/>
              </w:rPr>
              <w:t>20. sadaļa. Sarežģītības posteņi</w:t>
            </w:r>
          </w:p>
        </w:tc>
        <w:tc>
          <w:tcPr>
            <w:tcW w:w="2745" w:type="dxa"/>
            <w:tcBorders>
              <w:top w:val="nil"/>
              <w:left w:val="nil"/>
              <w:right w:val="nil"/>
            </w:tcBorders>
            <w:hideMark/>
          </w:tcPr>
          <w:p w:rsidRPr="00C3071B" w:rsidR="00C3071B" w:rsidP="00C3071B" w:rsidRDefault="00C3071B" w14:paraId="21075018"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678EEC0F" w14:textId="77777777">
        <w:trPr>
          <w:trHeight w:val="300"/>
        </w:trPr>
        <w:tc>
          <w:tcPr>
            <w:tcW w:w="6804" w:type="dxa"/>
            <w:tcBorders>
              <w:left w:val="nil"/>
              <w:right w:val="nil"/>
            </w:tcBorders>
            <w:noWrap/>
            <w:hideMark/>
          </w:tcPr>
          <w:p w:rsidRPr="00C3071B" w:rsidR="00C3071B" w:rsidP="00C3071B" w:rsidRDefault="00C3071B" w14:paraId="620CC534" w14:textId="77777777">
            <w:pPr>
              <w:ind w:firstLine="200" w:firstLineChars="100"/>
              <w:rPr>
                <w:rFonts w:ascii="Arial" w:hAnsi="Arial" w:eastAsia="Times New Roman" w:cs="Arial"/>
                <w:sz w:val="20"/>
                <w:szCs w:val="20"/>
              </w:rPr>
            </w:pPr>
            <w:r w:rsidRPr="00C3071B">
              <w:rPr>
                <w:rFonts w:ascii="Arial" w:hAnsi="Arial" w:cs="Arial"/>
                <w:sz w:val="20"/>
              </w:rPr>
              <w:t>a) Ārpusbiržas atvasināto instrumentu rādītājs (vecais rādītājs)</w:t>
            </w:r>
          </w:p>
        </w:tc>
        <w:tc>
          <w:tcPr>
            <w:tcW w:w="2745" w:type="dxa"/>
            <w:tcBorders>
              <w:left w:val="nil"/>
              <w:right w:val="nil"/>
            </w:tcBorders>
            <w:noWrap/>
            <w:hideMark/>
          </w:tcPr>
          <w:p w:rsidRPr="00C3071B" w:rsidR="00C3071B" w:rsidP="00C3071B" w:rsidRDefault="00C3071B" w14:paraId="1EF63D00" w14:textId="77777777">
            <w:pPr>
              <w:jc w:val="right"/>
              <w:rPr>
                <w:rFonts w:ascii="Arial" w:hAnsi="Arial" w:eastAsia="Times New Roman" w:cs="Arial"/>
                <w:sz w:val="20"/>
                <w:szCs w:val="20"/>
              </w:rPr>
            </w:pPr>
            <w:r w:rsidRPr="00C3071B">
              <w:rPr>
                <w:rFonts w:ascii="Arial" w:hAnsi="Arial" w:cs="Arial"/>
                <w:sz w:val="20"/>
              </w:rPr>
              <w:t> </w:t>
            </w:r>
          </w:p>
        </w:tc>
      </w:tr>
      <w:tr w:rsidRPr="00C3071B" w:rsidR="00C3071B" w:rsidTr="00495D7D" w14:paraId="16C6043C" w14:textId="77777777">
        <w:trPr>
          <w:trHeight w:val="300"/>
        </w:trPr>
        <w:tc>
          <w:tcPr>
            <w:tcW w:w="6804" w:type="dxa"/>
            <w:tcBorders>
              <w:left w:val="nil"/>
              <w:right w:val="nil"/>
            </w:tcBorders>
            <w:noWrap/>
          </w:tcPr>
          <w:p w:rsidRPr="00C3071B" w:rsidR="00C3071B" w:rsidP="00C3071B" w:rsidRDefault="00C3071B" w14:paraId="7102EB17" w14:textId="77777777">
            <w:pPr>
              <w:ind w:left="171" w:firstLine="28" w:firstLineChars="14"/>
              <w:rPr>
                <w:rFonts w:ascii="Arial" w:hAnsi="Arial" w:eastAsia="Times New Roman" w:cs="Arial"/>
                <w:sz w:val="20"/>
                <w:szCs w:val="20"/>
              </w:rPr>
            </w:pPr>
            <w:r w:rsidRPr="00C3071B">
              <w:rPr>
                <w:rFonts w:ascii="Arial" w:hAnsi="Arial" w:cs="Arial"/>
                <w:sz w:val="20"/>
              </w:rPr>
              <w:t>b) Ārpusbiržas atvasinājumu nosacītā summa, ieskaitot apdrošināšanas meitas uzņēmumus</w:t>
            </w:r>
          </w:p>
        </w:tc>
        <w:tc>
          <w:tcPr>
            <w:tcW w:w="2745" w:type="dxa"/>
            <w:tcBorders>
              <w:left w:val="nil"/>
              <w:right w:val="nil"/>
            </w:tcBorders>
            <w:noWrap/>
          </w:tcPr>
          <w:p w:rsidRPr="00C3071B" w:rsidR="00C3071B" w:rsidP="00C3071B" w:rsidRDefault="00C3071B" w14:paraId="1801C3EC" w14:textId="77777777">
            <w:pPr>
              <w:jc w:val="right"/>
              <w:rPr>
                <w:rFonts w:ascii="Arial" w:hAnsi="Arial" w:eastAsia="Times New Roman" w:cs="Arial"/>
                <w:sz w:val="20"/>
                <w:szCs w:val="20"/>
                <w:lang w:eastAsia="en-GB"/>
              </w:rPr>
            </w:pPr>
          </w:p>
        </w:tc>
      </w:tr>
      <w:tr w:rsidRPr="00C3071B" w:rsidR="00C3071B" w:rsidTr="00495D7D" w14:paraId="2374207E" w14:textId="77777777">
        <w:trPr>
          <w:trHeight w:val="300"/>
        </w:trPr>
        <w:tc>
          <w:tcPr>
            <w:tcW w:w="6804" w:type="dxa"/>
            <w:tcBorders>
              <w:left w:val="nil"/>
              <w:right w:val="nil"/>
            </w:tcBorders>
            <w:noWrap/>
          </w:tcPr>
          <w:p w:rsidRPr="00C3071B" w:rsidR="00C3071B" w:rsidP="00C3071B" w:rsidRDefault="00C3071B" w14:paraId="459D40EC" w14:textId="77777777">
            <w:pPr>
              <w:ind w:left="313"/>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 xml:space="preserve">Tīrvērte, izmantojot </w:t>
            </w:r>
            <w:r w:rsidRPr="00C3071B">
              <w:rPr>
                <w:rFonts w:ascii="Arial" w:hAnsi="Arial" w:cs="Arial"/>
                <w:i/>
                <w:iCs/>
                <w:sz w:val="20"/>
              </w:rPr>
              <w:t>CCP</w:t>
            </w:r>
            <w:r w:rsidRPr="00C3071B">
              <w:rPr>
                <w:rFonts w:ascii="Arial" w:hAnsi="Arial" w:cs="Arial"/>
                <w:sz w:val="20"/>
              </w:rPr>
              <w:t>, ja grupa (ieskaitot apdrošināšanas meitasuzņēmumus) darbojas kā finanšu starpnieks (</w:t>
            </w:r>
            <w:r w:rsidRPr="00C3071B">
              <w:rPr>
                <w:rFonts w:ascii="Arial" w:hAnsi="Arial" w:cs="Arial"/>
                <w:i/>
                <w:iCs/>
                <w:sz w:val="20"/>
              </w:rPr>
              <w:t>CCP</w:t>
            </w:r>
            <w:r w:rsidRPr="00C3071B">
              <w:rPr>
                <w:rFonts w:ascii="Arial" w:hAnsi="Arial" w:cs="Arial"/>
                <w:sz w:val="20"/>
              </w:rPr>
              <w:t xml:space="preserve"> daļa)</w:t>
            </w:r>
          </w:p>
        </w:tc>
        <w:tc>
          <w:tcPr>
            <w:tcW w:w="2745" w:type="dxa"/>
            <w:tcBorders>
              <w:left w:val="nil"/>
              <w:right w:val="nil"/>
            </w:tcBorders>
            <w:noWrap/>
          </w:tcPr>
          <w:p w:rsidRPr="00C3071B" w:rsidR="00C3071B" w:rsidP="00C3071B" w:rsidRDefault="00C3071B" w14:paraId="3CD07061" w14:textId="77777777">
            <w:pPr>
              <w:jc w:val="right"/>
              <w:rPr>
                <w:rFonts w:ascii="Arial" w:hAnsi="Arial" w:eastAsia="Times New Roman" w:cs="Arial"/>
                <w:sz w:val="20"/>
                <w:szCs w:val="20"/>
                <w:lang w:eastAsia="en-GB"/>
              </w:rPr>
            </w:pPr>
          </w:p>
        </w:tc>
      </w:tr>
      <w:tr w:rsidRPr="00C3071B" w:rsidR="00C3071B" w:rsidTr="00495D7D" w14:paraId="2E314F4A" w14:textId="77777777">
        <w:trPr>
          <w:trHeight w:val="300"/>
        </w:trPr>
        <w:tc>
          <w:tcPr>
            <w:tcW w:w="6804" w:type="dxa"/>
            <w:tcBorders>
              <w:left w:val="nil"/>
              <w:right w:val="nil"/>
            </w:tcBorders>
            <w:noWrap/>
          </w:tcPr>
          <w:p w:rsidRPr="00C3071B" w:rsidR="00C3071B" w:rsidP="00C3071B" w:rsidRDefault="00C3071B" w14:paraId="390F40CA" w14:textId="77777777">
            <w:pPr>
              <w:ind w:left="313" w:firstLine="58" w:firstLineChars="29"/>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 xml:space="preserve">Tīrvērte, izmantojot </w:t>
            </w:r>
            <w:r w:rsidRPr="00C3071B">
              <w:rPr>
                <w:rFonts w:ascii="Arial" w:hAnsi="Arial" w:cs="Arial"/>
                <w:i/>
                <w:iCs/>
                <w:sz w:val="20"/>
              </w:rPr>
              <w:t>CCP</w:t>
            </w:r>
            <w:r w:rsidRPr="00C3071B">
              <w:rPr>
                <w:rFonts w:ascii="Arial" w:hAnsi="Arial" w:cs="Arial"/>
                <w:sz w:val="20"/>
              </w:rPr>
              <w:t xml:space="preserve">, ja grupa (ieskaitot apdrošināšanas meitasuzņēmumus) darbojas kā finanšu starpnieks (klienta daļa) </w:t>
            </w:r>
          </w:p>
        </w:tc>
        <w:tc>
          <w:tcPr>
            <w:tcW w:w="2745" w:type="dxa"/>
            <w:tcBorders>
              <w:left w:val="nil"/>
              <w:right w:val="nil"/>
            </w:tcBorders>
            <w:noWrap/>
          </w:tcPr>
          <w:p w:rsidRPr="00C3071B" w:rsidR="00C3071B" w:rsidP="00C3071B" w:rsidRDefault="00C3071B" w14:paraId="19355602" w14:textId="77777777">
            <w:pPr>
              <w:jc w:val="right"/>
              <w:rPr>
                <w:rFonts w:ascii="Arial" w:hAnsi="Arial" w:eastAsia="Times New Roman" w:cs="Arial"/>
                <w:sz w:val="20"/>
                <w:szCs w:val="20"/>
                <w:lang w:eastAsia="en-GB"/>
              </w:rPr>
            </w:pPr>
          </w:p>
        </w:tc>
      </w:tr>
      <w:tr w:rsidRPr="00C3071B" w:rsidR="00C3071B" w:rsidTr="00495D7D" w14:paraId="5A8F80D8" w14:textId="77777777">
        <w:trPr>
          <w:trHeight w:val="300"/>
        </w:trPr>
        <w:tc>
          <w:tcPr>
            <w:tcW w:w="6804" w:type="dxa"/>
            <w:tcBorders>
              <w:left w:val="nil"/>
              <w:right w:val="nil"/>
            </w:tcBorders>
            <w:noWrap/>
          </w:tcPr>
          <w:p w:rsidRPr="00C3071B" w:rsidR="00C3071B" w:rsidP="00C3071B" w:rsidRDefault="00C3071B" w14:paraId="34BB8514" w14:textId="77777777">
            <w:pPr>
              <w:ind w:left="313"/>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 xml:space="preserve">Tīrvērte, izmantojot </w:t>
            </w:r>
            <w:r w:rsidRPr="00C3071B">
              <w:rPr>
                <w:rFonts w:ascii="Arial" w:hAnsi="Arial" w:cs="Arial"/>
                <w:i/>
                <w:iCs/>
                <w:sz w:val="20"/>
              </w:rPr>
              <w:t>CCP</w:t>
            </w:r>
            <w:r w:rsidRPr="00C3071B">
              <w:rPr>
                <w:rFonts w:ascii="Arial" w:hAnsi="Arial" w:cs="Arial"/>
                <w:sz w:val="20"/>
              </w:rPr>
              <w:t xml:space="preserve">, ja grupa, tostarp apdrošināšanas meitasuzņēmumi, darbojas kā aģents </w:t>
            </w:r>
          </w:p>
        </w:tc>
        <w:tc>
          <w:tcPr>
            <w:tcW w:w="2745" w:type="dxa"/>
            <w:tcBorders>
              <w:left w:val="nil"/>
              <w:right w:val="nil"/>
            </w:tcBorders>
            <w:noWrap/>
          </w:tcPr>
          <w:p w:rsidRPr="00C3071B" w:rsidR="00C3071B" w:rsidP="00C3071B" w:rsidRDefault="00C3071B" w14:paraId="18ED16C7" w14:textId="77777777">
            <w:pPr>
              <w:jc w:val="right"/>
              <w:rPr>
                <w:rFonts w:ascii="Arial" w:hAnsi="Arial" w:eastAsia="Times New Roman" w:cs="Arial"/>
                <w:sz w:val="20"/>
                <w:szCs w:val="20"/>
                <w:lang w:eastAsia="en-GB"/>
              </w:rPr>
            </w:pPr>
          </w:p>
        </w:tc>
      </w:tr>
      <w:tr w:rsidRPr="00C3071B" w:rsidR="00C3071B" w:rsidTr="00495D7D" w14:paraId="10AB7E8B" w14:textId="77777777">
        <w:trPr>
          <w:trHeight w:val="300"/>
        </w:trPr>
        <w:tc>
          <w:tcPr>
            <w:tcW w:w="6804" w:type="dxa"/>
            <w:tcBorders>
              <w:left w:val="nil"/>
              <w:right w:val="nil"/>
            </w:tcBorders>
            <w:noWrap/>
          </w:tcPr>
          <w:p w:rsidRPr="00C3071B" w:rsidR="00C3071B" w:rsidP="00C3071B" w:rsidRDefault="00C3071B" w14:paraId="4E4ED348" w14:textId="77777777">
            <w:pPr>
              <w:ind w:left="313" w:hanging="1"/>
              <w:rPr>
                <w:rFonts w:ascii="Arial" w:hAnsi="Arial" w:eastAsia="Times New Roman" w:cs="Arial"/>
                <w:sz w:val="20"/>
                <w:szCs w:val="20"/>
              </w:rPr>
            </w:pPr>
            <w:r w:rsidRPr="00C3071B">
              <w:rPr>
                <w:rFonts w:ascii="Arial" w:hAnsi="Arial" w:cs="Arial"/>
                <w:sz w:val="20"/>
                <w:lang w:eastAsia="en-GB"/>
              </w:rPr>
              <w:t xml:space="preserve">(4) </w:t>
            </w:r>
            <w:r w:rsidRPr="00C3071B">
              <w:rPr>
                <w:rFonts w:ascii="Arial" w:hAnsi="Arial" w:cs="Arial"/>
                <w:sz w:val="20"/>
              </w:rPr>
              <w:t xml:space="preserve">Tīrvērte, izmantojot </w:t>
            </w:r>
            <w:r w:rsidRPr="00C3071B">
              <w:rPr>
                <w:rFonts w:ascii="Arial" w:hAnsi="Arial" w:cs="Arial"/>
                <w:i/>
                <w:iCs/>
                <w:sz w:val="20"/>
              </w:rPr>
              <w:t>CCP</w:t>
            </w:r>
            <w:r w:rsidRPr="00C3071B">
              <w:rPr>
                <w:rFonts w:ascii="Arial" w:hAnsi="Arial" w:cs="Arial"/>
                <w:sz w:val="20"/>
              </w:rPr>
              <w:t>, ja grupa, tostarp apdrošināšanas meitasuzņēmumi, veic darījumus savā vārdā</w:t>
            </w:r>
          </w:p>
        </w:tc>
        <w:tc>
          <w:tcPr>
            <w:tcW w:w="2745" w:type="dxa"/>
            <w:tcBorders>
              <w:left w:val="nil"/>
              <w:right w:val="nil"/>
            </w:tcBorders>
            <w:noWrap/>
          </w:tcPr>
          <w:p w:rsidRPr="00C3071B" w:rsidR="00C3071B" w:rsidP="00C3071B" w:rsidRDefault="00C3071B" w14:paraId="410C51D0" w14:textId="77777777">
            <w:pPr>
              <w:jc w:val="right"/>
              <w:rPr>
                <w:rFonts w:ascii="Arial" w:hAnsi="Arial" w:eastAsia="Times New Roman" w:cs="Arial"/>
                <w:sz w:val="20"/>
                <w:szCs w:val="20"/>
                <w:lang w:eastAsia="en-GB"/>
              </w:rPr>
            </w:pPr>
          </w:p>
        </w:tc>
      </w:tr>
      <w:tr w:rsidRPr="00C3071B" w:rsidR="00C3071B" w:rsidTr="00495D7D" w14:paraId="5016B076" w14:textId="77777777">
        <w:trPr>
          <w:trHeight w:val="300"/>
        </w:trPr>
        <w:tc>
          <w:tcPr>
            <w:tcW w:w="6804" w:type="dxa"/>
            <w:tcBorders>
              <w:left w:val="nil"/>
              <w:right w:val="nil"/>
            </w:tcBorders>
            <w:noWrap/>
          </w:tcPr>
          <w:p w:rsidRPr="00C3071B" w:rsidR="00C3071B" w:rsidP="00C3071B" w:rsidRDefault="00C3071B" w14:paraId="1E225624" w14:textId="77777777">
            <w:pPr>
              <w:ind w:left="171" w:firstLine="28" w:firstLineChars="14"/>
              <w:rPr>
                <w:rFonts w:ascii="Arial" w:hAnsi="Arial" w:eastAsia="Times New Roman" w:cs="Arial"/>
                <w:sz w:val="20"/>
                <w:szCs w:val="20"/>
              </w:rPr>
            </w:pPr>
            <w:r w:rsidRPr="00C3071B">
              <w:rPr>
                <w:rFonts w:ascii="Arial" w:hAnsi="Arial" w:cs="Arial"/>
                <w:sz w:val="20"/>
              </w:rPr>
              <w:t>c) Ārpusbiržas atvasināto instrumentu darījumi, kuru tīrvērte tiek veikta, izmantojot centrālo darījumu partneri (</w:t>
            </w:r>
            <w:r w:rsidRPr="00C3071B">
              <w:rPr>
                <w:rFonts w:ascii="Arial" w:hAnsi="Arial" w:cs="Arial"/>
                <w:i/>
                <w:iCs/>
                <w:sz w:val="20"/>
              </w:rPr>
              <w:t>LIBOR</w:t>
            </w:r>
            <w:r w:rsidRPr="00C3071B">
              <w:rPr>
                <w:rFonts w:ascii="Arial" w:hAnsi="Arial" w:cs="Arial"/>
                <w:sz w:val="20"/>
              </w:rPr>
              <w:t xml:space="preserve"> pārejas izslēgšana)</w:t>
            </w:r>
          </w:p>
        </w:tc>
        <w:tc>
          <w:tcPr>
            <w:tcW w:w="2745" w:type="dxa"/>
            <w:tcBorders>
              <w:left w:val="nil"/>
              <w:right w:val="nil"/>
            </w:tcBorders>
            <w:noWrap/>
          </w:tcPr>
          <w:p w:rsidRPr="00C3071B" w:rsidR="00C3071B" w:rsidP="00C3071B" w:rsidRDefault="00C3071B" w14:paraId="264F6D09" w14:textId="77777777">
            <w:pPr>
              <w:jc w:val="right"/>
              <w:rPr>
                <w:rFonts w:ascii="Arial" w:hAnsi="Arial" w:eastAsia="Times New Roman" w:cs="Arial"/>
                <w:sz w:val="20"/>
                <w:szCs w:val="20"/>
                <w:lang w:eastAsia="en-GB"/>
              </w:rPr>
            </w:pPr>
          </w:p>
        </w:tc>
      </w:tr>
      <w:tr w:rsidRPr="00C3071B" w:rsidR="00C3071B" w:rsidTr="00495D7D" w14:paraId="00297D55" w14:textId="77777777">
        <w:trPr>
          <w:trHeight w:val="300"/>
        </w:trPr>
        <w:tc>
          <w:tcPr>
            <w:tcW w:w="6804" w:type="dxa"/>
            <w:tcBorders>
              <w:left w:val="nil"/>
              <w:right w:val="nil"/>
            </w:tcBorders>
            <w:noWrap/>
          </w:tcPr>
          <w:p w:rsidRPr="00C3071B" w:rsidR="00C3071B" w:rsidP="00C3071B" w:rsidRDefault="00C3071B" w14:paraId="117C6F91" w14:textId="77777777">
            <w:pPr>
              <w:ind w:left="171" w:firstLine="28" w:firstLineChars="14"/>
              <w:rPr>
                <w:rFonts w:ascii="Arial" w:hAnsi="Arial" w:eastAsia="Times New Roman" w:cs="Arial"/>
                <w:sz w:val="20"/>
                <w:szCs w:val="20"/>
              </w:rPr>
            </w:pPr>
            <w:r w:rsidRPr="00C3071B">
              <w:rPr>
                <w:rFonts w:ascii="Arial" w:hAnsi="Arial" w:cs="Arial"/>
                <w:sz w:val="20"/>
              </w:rPr>
              <w:t xml:space="preserve">d) Ārpusbiržas atvasināto instrumentu nosacītās summas ceturkšņa vidējā vērtība </w:t>
            </w:r>
          </w:p>
        </w:tc>
        <w:tc>
          <w:tcPr>
            <w:tcW w:w="2745" w:type="dxa"/>
            <w:tcBorders>
              <w:left w:val="nil"/>
              <w:right w:val="nil"/>
            </w:tcBorders>
            <w:noWrap/>
          </w:tcPr>
          <w:p w:rsidRPr="00C3071B" w:rsidR="00C3071B" w:rsidP="00C3071B" w:rsidRDefault="00C3071B" w14:paraId="6DD0D933" w14:textId="77777777">
            <w:pPr>
              <w:jc w:val="right"/>
              <w:rPr>
                <w:rFonts w:ascii="Arial" w:hAnsi="Arial" w:eastAsia="Times New Roman" w:cs="Arial"/>
                <w:sz w:val="20"/>
                <w:szCs w:val="20"/>
                <w:lang w:eastAsia="en-GB"/>
              </w:rPr>
            </w:pPr>
          </w:p>
        </w:tc>
      </w:tr>
      <w:tr w:rsidRPr="00C3071B" w:rsidR="00C3071B" w:rsidTr="00495D7D" w14:paraId="63CD3643" w14:textId="77777777">
        <w:trPr>
          <w:trHeight w:val="300"/>
        </w:trPr>
        <w:tc>
          <w:tcPr>
            <w:tcW w:w="6804" w:type="dxa"/>
            <w:tcBorders>
              <w:left w:val="nil"/>
              <w:right w:val="nil"/>
            </w:tcBorders>
            <w:noWrap/>
          </w:tcPr>
          <w:p w:rsidRPr="00C3071B" w:rsidR="00C3071B" w:rsidP="00C3071B" w:rsidRDefault="00C3071B" w14:paraId="52B9C679" w14:textId="77777777">
            <w:pPr>
              <w:ind w:left="171" w:firstLine="28" w:firstLineChars="14"/>
              <w:rPr>
                <w:rFonts w:ascii="Arial" w:hAnsi="Arial" w:eastAsia="Times New Roman" w:cs="Arial"/>
                <w:sz w:val="20"/>
                <w:szCs w:val="20"/>
              </w:rPr>
            </w:pPr>
            <w:r w:rsidRPr="00C3071B">
              <w:rPr>
                <w:rFonts w:ascii="Arial" w:hAnsi="Arial" w:cs="Arial"/>
                <w:sz w:val="20"/>
              </w:rPr>
              <w:t xml:space="preserve">e) Ārpusbiržas atvasināto instrumentu nosacītās summas mēneša vidējā vērtība </w:t>
            </w:r>
          </w:p>
        </w:tc>
        <w:tc>
          <w:tcPr>
            <w:tcW w:w="2745" w:type="dxa"/>
            <w:tcBorders>
              <w:left w:val="nil"/>
              <w:right w:val="nil"/>
            </w:tcBorders>
            <w:noWrap/>
          </w:tcPr>
          <w:p w:rsidRPr="00C3071B" w:rsidR="00C3071B" w:rsidP="00C3071B" w:rsidRDefault="00C3071B" w14:paraId="3BFFEA53" w14:textId="77777777">
            <w:pPr>
              <w:jc w:val="right"/>
              <w:rPr>
                <w:rFonts w:ascii="Arial" w:hAnsi="Arial" w:eastAsia="Times New Roman" w:cs="Arial"/>
                <w:sz w:val="20"/>
                <w:szCs w:val="20"/>
                <w:lang w:eastAsia="en-GB"/>
              </w:rPr>
            </w:pPr>
          </w:p>
        </w:tc>
      </w:tr>
      <w:tr w:rsidRPr="00C3071B" w:rsidR="00C3071B" w:rsidTr="00495D7D" w14:paraId="7A754CC1" w14:textId="77777777">
        <w:trPr>
          <w:trHeight w:val="300"/>
        </w:trPr>
        <w:tc>
          <w:tcPr>
            <w:tcW w:w="6804" w:type="dxa"/>
            <w:tcBorders>
              <w:left w:val="nil"/>
              <w:right w:val="nil"/>
            </w:tcBorders>
            <w:noWrap/>
          </w:tcPr>
          <w:p w:rsidRPr="00C3071B" w:rsidR="00C3071B" w:rsidP="00C3071B" w:rsidRDefault="00C3071B" w14:paraId="52A78673" w14:textId="77777777">
            <w:pPr>
              <w:ind w:firstLine="200" w:firstLineChars="100"/>
              <w:rPr>
                <w:rFonts w:ascii="Arial" w:hAnsi="Arial" w:eastAsia="Times New Roman" w:cs="Arial"/>
                <w:sz w:val="20"/>
                <w:szCs w:val="20"/>
              </w:rPr>
            </w:pPr>
            <w:r w:rsidRPr="00C3071B">
              <w:rPr>
                <w:rFonts w:ascii="Arial" w:hAnsi="Arial" w:cs="Arial"/>
                <w:sz w:val="20"/>
              </w:rPr>
              <w:t xml:space="preserve">f) Tirdzniecības un pārdošanai pieejamo vērtspapīru ceturkšņa vidējā vērtība </w:t>
            </w:r>
          </w:p>
        </w:tc>
        <w:tc>
          <w:tcPr>
            <w:tcW w:w="2745" w:type="dxa"/>
            <w:tcBorders>
              <w:left w:val="nil"/>
              <w:right w:val="nil"/>
            </w:tcBorders>
            <w:noWrap/>
          </w:tcPr>
          <w:p w:rsidRPr="00C3071B" w:rsidR="00C3071B" w:rsidP="00C3071B" w:rsidRDefault="00C3071B" w14:paraId="7FDDC902" w14:textId="77777777">
            <w:pPr>
              <w:jc w:val="right"/>
              <w:rPr>
                <w:rFonts w:ascii="Arial" w:hAnsi="Arial" w:eastAsia="Times New Roman" w:cs="Arial"/>
                <w:sz w:val="20"/>
                <w:szCs w:val="20"/>
                <w:lang w:eastAsia="en-GB"/>
              </w:rPr>
            </w:pPr>
          </w:p>
        </w:tc>
      </w:tr>
      <w:tr w:rsidRPr="00C3071B" w:rsidR="00C3071B" w:rsidTr="00495D7D" w14:paraId="0AA1DAEA" w14:textId="77777777">
        <w:trPr>
          <w:trHeight w:val="300"/>
        </w:trPr>
        <w:tc>
          <w:tcPr>
            <w:tcW w:w="6804" w:type="dxa"/>
            <w:tcBorders>
              <w:left w:val="nil"/>
              <w:right w:val="nil"/>
            </w:tcBorders>
            <w:noWrap/>
          </w:tcPr>
          <w:p w:rsidRPr="00C3071B" w:rsidR="00C3071B" w:rsidP="00C3071B" w:rsidRDefault="00C3071B" w14:paraId="010E9236" w14:textId="77777777">
            <w:pPr>
              <w:ind w:firstLine="200" w:firstLineChars="100"/>
              <w:rPr>
                <w:rFonts w:ascii="Arial" w:hAnsi="Arial" w:eastAsia="Times New Roman" w:cs="Arial"/>
                <w:sz w:val="20"/>
                <w:szCs w:val="20"/>
              </w:rPr>
            </w:pPr>
            <w:r w:rsidRPr="00C3071B">
              <w:rPr>
                <w:rFonts w:ascii="Arial" w:hAnsi="Arial" w:cs="Arial"/>
                <w:sz w:val="20"/>
              </w:rPr>
              <w:t xml:space="preserve">g) Tirdzniecības un pārdošanai pieejamo vērtspapīru mēneša vidējā vērtība </w:t>
            </w:r>
          </w:p>
        </w:tc>
        <w:tc>
          <w:tcPr>
            <w:tcW w:w="2745" w:type="dxa"/>
            <w:tcBorders>
              <w:left w:val="nil"/>
              <w:right w:val="nil"/>
            </w:tcBorders>
            <w:noWrap/>
          </w:tcPr>
          <w:p w:rsidRPr="00C3071B" w:rsidR="00C3071B" w:rsidP="00C3071B" w:rsidRDefault="00C3071B" w14:paraId="270BCC1A" w14:textId="77777777">
            <w:pPr>
              <w:jc w:val="right"/>
              <w:rPr>
                <w:rFonts w:ascii="Arial" w:hAnsi="Arial" w:eastAsia="Times New Roman" w:cs="Arial"/>
                <w:sz w:val="20"/>
                <w:szCs w:val="20"/>
                <w:lang w:eastAsia="en-GB"/>
              </w:rPr>
            </w:pPr>
          </w:p>
        </w:tc>
      </w:tr>
      <w:tr w:rsidRPr="00C3071B" w:rsidR="00C3071B" w:rsidTr="00495D7D" w14:paraId="368D7944" w14:textId="77777777">
        <w:trPr>
          <w:trHeight w:val="300"/>
        </w:trPr>
        <w:tc>
          <w:tcPr>
            <w:tcW w:w="6804" w:type="dxa"/>
            <w:tcBorders>
              <w:left w:val="nil"/>
              <w:right w:val="nil"/>
            </w:tcBorders>
            <w:noWrap/>
          </w:tcPr>
          <w:p w:rsidRPr="00C3071B" w:rsidR="00C3071B" w:rsidP="00C3071B" w:rsidRDefault="00C3071B" w14:paraId="7E57FD56" w14:textId="77777777">
            <w:pPr>
              <w:ind w:firstLine="200" w:firstLineChars="100"/>
              <w:rPr>
                <w:rFonts w:ascii="Arial" w:hAnsi="Arial" w:eastAsia="Times New Roman" w:cs="Arial"/>
                <w:sz w:val="20"/>
                <w:szCs w:val="20"/>
              </w:rPr>
            </w:pPr>
            <w:r w:rsidRPr="00C3071B">
              <w:rPr>
                <w:rFonts w:ascii="Arial" w:hAnsi="Arial" w:cs="Arial"/>
                <w:sz w:val="20"/>
              </w:rPr>
              <w:t>h) Trešā līmeņa aktīvu rādītājs (vecais rādītājs)</w:t>
            </w:r>
          </w:p>
        </w:tc>
        <w:tc>
          <w:tcPr>
            <w:tcW w:w="2745" w:type="dxa"/>
            <w:tcBorders>
              <w:left w:val="nil"/>
              <w:right w:val="nil"/>
            </w:tcBorders>
            <w:noWrap/>
          </w:tcPr>
          <w:p w:rsidRPr="00C3071B" w:rsidR="00C3071B" w:rsidP="00C3071B" w:rsidRDefault="00C3071B" w14:paraId="109EC8E3" w14:textId="77777777">
            <w:pPr>
              <w:jc w:val="right"/>
              <w:rPr>
                <w:rFonts w:ascii="Arial" w:hAnsi="Arial" w:eastAsia="Times New Roman" w:cs="Arial"/>
                <w:sz w:val="20"/>
                <w:szCs w:val="20"/>
                <w:lang w:eastAsia="en-GB"/>
              </w:rPr>
            </w:pPr>
          </w:p>
        </w:tc>
      </w:tr>
      <w:tr w:rsidRPr="00C3071B" w:rsidR="00C3071B" w:rsidTr="00495D7D" w14:paraId="144947EC" w14:textId="77777777">
        <w:trPr>
          <w:trHeight w:val="300"/>
        </w:trPr>
        <w:tc>
          <w:tcPr>
            <w:tcW w:w="6804" w:type="dxa"/>
            <w:tcBorders>
              <w:left w:val="nil"/>
              <w:right w:val="nil"/>
            </w:tcBorders>
            <w:noWrap/>
          </w:tcPr>
          <w:p w:rsidRPr="00C3071B" w:rsidR="00C3071B" w:rsidP="00C3071B" w:rsidRDefault="00C3071B" w14:paraId="6C720682" w14:textId="77777777">
            <w:pPr>
              <w:ind w:firstLine="200" w:firstLineChars="100"/>
              <w:rPr>
                <w:rFonts w:ascii="Arial" w:hAnsi="Arial" w:eastAsia="Times New Roman" w:cs="Arial"/>
                <w:sz w:val="20"/>
                <w:szCs w:val="20"/>
              </w:rPr>
            </w:pPr>
            <w:r w:rsidRPr="00C3071B">
              <w:rPr>
                <w:rFonts w:ascii="Arial" w:hAnsi="Arial" w:cs="Arial"/>
                <w:sz w:val="20"/>
              </w:rPr>
              <w:lastRenderedPageBreak/>
              <w:t xml:space="preserve">i) Trešā līmeņa aktīvu ceturkšņa vidējā vērtība </w:t>
            </w:r>
          </w:p>
        </w:tc>
        <w:tc>
          <w:tcPr>
            <w:tcW w:w="2745" w:type="dxa"/>
            <w:tcBorders>
              <w:left w:val="nil"/>
              <w:right w:val="nil"/>
            </w:tcBorders>
            <w:noWrap/>
          </w:tcPr>
          <w:p w:rsidRPr="00C3071B" w:rsidR="00C3071B" w:rsidP="00C3071B" w:rsidRDefault="00C3071B" w14:paraId="6D709D23" w14:textId="77777777">
            <w:pPr>
              <w:jc w:val="right"/>
              <w:rPr>
                <w:rFonts w:ascii="Arial" w:hAnsi="Arial" w:eastAsia="Times New Roman" w:cs="Arial"/>
                <w:sz w:val="20"/>
                <w:szCs w:val="20"/>
                <w:lang w:eastAsia="en-GB"/>
              </w:rPr>
            </w:pPr>
          </w:p>
        </w:tc>
      </w:tr>
      <w:tr w:rsidRPr="00C3071B" w:rsidR="00C3071B" w:rsidTr="00495D7D" w14:paraId="34C2A515" w14:textId="77777777">
        <w:trPr>
          <w:trHeight w:val="300"/>
        </w:trPr>
        <w:tc>
          <w:tcPr>
            <w:tcW w:w="6804" w:type="dxa"/>
            <w:tcBorders>
              <w:left w:val="nil"/>
              <w:right w:val="nil"/>
            </w:tcBorders>
            <w:noWrap/>
          </w:tcPr>
          <w:p w:rsidRPr="00C3071B" w:rsidR="00C3071B" w:rsidP="00C3071B" w:rsidRDefault="00C3071B" w14:paraId="5A58D41E" w14:textId="77777777">
            <w:pPr>
              <w:ind w:firstLine="200" w:firstLineChars="100"/>
              <w:rPr>
                <w:rFonts w:ascii="Arial" w:hAnsi="Arial" w:eastAsia="Times New Roman" w:cs="Arial"/>
                <w:sz w:val="20"/>
                <w:szCs w:val="20"/>
              </w:rPr>
            </w:pPr>
            <w:r w:rsidRPr="00C3071B">
              <w:rPr>
                <w:rFonts w:ascii="Arial" w:hAnsi="Arial" w:cs="Arial"/>
                <w:sz w:val="20"/>
              </w:rPr>
              <w:t xml:space="preserve">j) n) Trešā līmeņa aktīvu mēneša vidējā vērtība  </w:t>
            </w:r>
          </w:p>
        </w:tc>
        <w:tc>
          <w:tcPr>
            <w:tcW w:w="2745" w:type="dxa"/>
            <w:tcBorders>
              <w:left w:val="nil"/>
              <w:right w:val="nil"/>
            </w:tcBorders>
            <w:noWrap/>
          </w:tcPr>
          <w:p w:rsidRPr="00C3071B" w:rsidR="00C3071B" w:rsidP="00C3071B" w:rsidRDefault="00C3071B" w14:paraId="1CCE6342" w14:textId="77777777">
            <w:pPr>
              <w:jc w:val="right"/>
              <w:rPr>
                <w:rFonts w:ascii="Arial" w:hAnsi="Arial" w:eastAsia="Times New Roman" w:cs="Arial"/>
                <w:sz w:val="20"/>
                <w:szCs w:val="20"/>
                <w:lang w:eastAsia="en-GB"/>
              </w:rPr>
            </w:pPr>
          </w:p>
        </w:tc>
      </w:tr>
      <w:tr w:rsidRPr="00C3071B" w:rsidR="00C3071B" w:rsidTr="00495D7D" w14:paraId="1AE7411B" w14:textId="77777777">
        <w:trPr>
          <w:trHeight w:val="300"/>
        </w:trPr>
        <w:tc>
          <w:tcPr>
            <w:tcW w:w="6804" w:type="dxa"/>
            <w:tcBorders>
              <w:left w:val="nil"/>
              <w:right w:val="nil"/>
            </w:tcBorders>
            <w:noWrap/>
          </w:tcPr>
          <w:p w:rsidRPr="00C3071B" w:rsidR="00C3071B" w:rsidP="00C3071B" w:rsidRDefault="00C3071B" w14:paraId="2A43E2C2" w14:textId="77777777">
            <w:pPr>
              <w:ind w:firstLine="200" w:firstLineChars="100"/>
              <w:rPr>
                <w:rFonts w:ascii="Arial" w:hAnsi="Arial" w:eastAsia="Times New Roman" w:cs="Arial"/>
                <w:sz w:val="20"/>
                <w:szCs w:val="20"/>
              </w:rPr>
            </w:pPr>
            <w:r w:rsidRPr="00C3071B">
              <w:rPr>
                <w:rFonts w:ascii="Arial" w:hAnsi="Arial" w:cs="Arial"/>
                <w:sz w:val="20"/>
              </w:rPr>
              <w:t>k) Otrā līmeņa aktīvi, ieskaitot apdrošināšanas meitasuzņēmumus</w:t>
            </w:r>
          </w:p>
        </w:tc>
        <w:tc>
          <w:tcPr>
            <w:tcW w:w="2745" w:type="dxa"/>
            <w:tcBorders>
              <w:left w:val="nil"/>
              <w:right w:val="nil"/>
            </w:tcBorders>
            <w:noWrap/>
          </w:tcPr>
          <w:p w:rsidRPr="00C3071B" w:rsidR="00C3071B" w:rsidP="00C3071B" w:rsidRDefault="00C3071B" w14:paraId="095EF4F0" w14:textId="77777777">
            <w:pPr>
              <w:jc w:val="right"/>
              <w:rPr>
                <w:rFonts w:ascii="Arial" w:hAnsi="Arial" w:eastAsia="Times New Roman" w:cs="Arial"/>
                <w:sz w:val="20"/>
                <w:szCs w:val="20"/>
                <w:lang w:eastAsia="en-GB"/>
              </w:rPr>
            </w:pPr>
          </w:p>
        </w:tc>
      </w:tr>
      <w:tr w:rsidRPr="00C3071B" w:rsidR="00C3071B" w:rsidTr="00495D7D" w14:paraId="0B4FE039" w14:textId="77777777">
        <w:trPr>
          <w:trHeight w:val="300"/>
        </w:trPr>
        <w:tc>
          <w:tcPr>
            <w:tcW w:w="6804" w:type="dxa"/>
            <w:tcBorders>
              <w:left w:val="nil"/>
              <w:right w:val="nil"/>
            </w:tcBorders>
            <w:noWrap/>
          </w:tcPr>
          <w:p w:rsidRPr="00C3071B" w:rsidR="00C3071B" w:rsidP="00C3071B" w:rsidRDefault="00C3071B" w14:paraId="34B958D7" w14:textId="77777777">
            <w:pPr>
              <w:ind w:left="454" w:hanging="141"/>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 xml:space="preserve">Otrā līmeņa aktīvi, ieskaitot apdrošināšanas meitasuzņēmumi, kuriem tīrvērte veikta, izmantojot </w:t>
            </w:r>
            <w:r w:rsidRPr="00C3071B">
              <w:rPr>
                <w:rFonts w:ascii="Arial" w:hAnsi="Arial" w:cs="Arial"/>
                <w:i/>
                <w:iCs/>
                <w:sz w:val="20"/>
              </w:rPr>
              <w:t>CCP</w:t>
            </w:r>
          </w:p>
        </w:tc>
        <w:tc>
          <w:tcPr>
            <w:tcW w:w="2745" w:type="dxa"/>
            <w:tcBorders>
              <w:left w:val="nil"/>
              <w:right w:val="nil"/>
            </w:tcBorders>
            <w:noWrap/>
          </w:tcPr>
          <w:p w:rsidRPr="00C3071B" w:rsidR="00C3071B" w:rsidP="00C3071B" w:rsidRDefault="00C3071B" w14:paraId="4591F424" w14:textId="77777777">
            <w:pPr>
              <w:jc w:val="right"/>
              <w:rPr>
                <w:rFonts w:ascii="Arial" w:hAnsi="Arial" w:eastAsia="Times New Roman" w:cs="Arial"/>
                <w:sz w:val="20"/>
                <w:szCs w:val="20"/>
                <w:lang w:eastAsia="en-GB"/>
              </w:rPr>
            </w:pPr>
          </w:p>
        </w:tc>
      </w:tr>
      <w:tr w:rsidRPr="00C3071B" w:rsidR="00C3071B" w:rsidTr="00495D7D" w14:paraId="0CF9FAE5" w14:textId="77777777">
        <w:trPr>
          <w:trHeight w:val="300"/>
        </w:trPr>
        <w:tc>
          <w:tcPr>
            <w:tcW w:w="6804" w:type="dxa"/>
            <w:tcBorders>
              <w:left w:val="nil"/>
              <w:right w:val="nil"/>
            </w:tcBorders>
            <w:noWrap/>
          </w:tcPr>
          <w:p w:rsidRPr="00C3071B" w:rsidR="00C3071B" w:rsidP="00C3071B" w:rsidRDefault="00C3071B" w14:paraId="1259A7B4" w14:textId="77777777">
            <w:pPr>
              <w:ind w:left="454" w:hanging="141"/>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Otrā līmeņa aktīvi, ieskaitot apdrošināšanas meitasuzņēmumus, kas nokārtoti divpusēji</w:t>
            </w:r>
          </w:p>
        </w:tc>
        <w:tc>
          <w:tcPr>
            <w:tcW w:w="2745" w:type="dxa"/>
            <w:tcBorders>
              <w:left w:val="nil"/>
              <w:right w:val="nil"/>
            </w:tcBorders>
            <w:noWrap/>
          </w:tcPr>
          <w:p w:rsidRPr="00C3071B" w:rsidR="00C3071B" w:rsidP="00C3071B" w:rsidRDefault="00C3071B" w14:paraId="14835253" w14:textId="77777777">
            <w:pPr>
              <w:jc w:val="right"/>
              <w:rPr>
                <w:rFonts w:ascii="Arial" w:hAnsi="Arial" w:eastAsia="Times New Roman" w:cs="Arial"/>
                <w:sz w:val="20"/>
                <w:szCs w:val="20"/>
                <w:lang w:eastAsia="en-GB"/>
              </w:rPr>
            </w:pPr>
          </w:p>
        </w:tc>
      </w:tr>
      <w:tr w:rsidRPr="00C3071B" w:rsidR="00C3071B" w:rsidTr="00495D7D" w14:paraId="082B1BCA" w14:textId="77777777">
        <w:trPr>
          <w:trHeight w:val="300"/>
        </w:trPr>
        <w:tc>
          <w:tcPr>
            <w:tcW w:w="6804" w:type="dxa"/>
            <w:tcBorders>
              <w:left w:val="nil"/>
              <w:right w:val="nil"/>
            </w:tcBorders>
            <w:noWrap/>
          </w:tcPr>
          <w:p w:rsidRPr="00C3071B" w:rsidR="00C3071B" w:rsidP="00C3071B" w:rsidRDefault="00C3071B" w14:paraId="6D1AD444" w14:textId="77777777">
            <w:pPr>
              <w:ind w:firstLine="313"/>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Citi otrā līmeņa aktīvi, ieskaitot apdrošināšanas meitasuzņēmumus</w:t>
            </w:r>
          </w:p>
        </w:tc>
        <w:tc>
          <w:tcPr>
            <w:tcW w:w="2745" w:type="dxa"/>
            <w:tcBorders>
              <w:left w:val="nil"/>
              <w:right w:val="nil"/>
            </w:tcBorders>
            <w:noWrap/>
          </w:tcPr>
          <w:p w:rsidRPr="00C3071B" w:rsidR="00C3071B" w:rsidP="00C3071B" w:rsidRDefault="00C3071B" w14:paraId="394E33EF" w14:textId="77777777">
            <w:pPr>
              <w:jc w:val="right"/>
              <w:rPr>
                <w:rFonts w:ascii="Arial" w:hAnsi="Arial" w:eastAsia="Times New Roman" w:cs="Arial"/>
                <w:sz w:val="20"/>
                <w:szCs w:val="20"/>
                <w:lang w:eastAsia="en-GB"/>
              </w:rPr>
            </w:pPr>
          </w:p>
        </w:tc>
      </w:tr>
      <w:tr w:rsidRPr="00C3071B" w:rsidR="00C3071B" w:rsidTr="00495D7D" w14:paraId="61E488C9" w14:textId="77777777">
        <w:trPr>
          <w:trHeight w:val="300"/>
        </w:trPr>
        <w:tc>
          <w:tcPr>
            <w:tcW w:w="6804" w:type="dxa"/>
            <w:tcBorders>
              <w:left w:val="nil"/>
              <w:bottom w:val="single" w:color="auto" w:sz="4" w:space="0"/>
              <w:right w:val="nil"/>
            </w:tcBorders>
            <w:noWrap/>
          </w:tcPr>
          <w:p w:rsidRPr="00C3071B" w:rsidR="00C3071B" w:rsidP="00C3071B" w:rsidRDefault="00C3071B" w14:paraId="78D5BE31" w14:textId="77777777">
            <w:pPr>
              <w:ind w:firstLine="200" w:firstLineChars="100"/>
              <w:rPr>
                <w:rFonts w:ascii="Arial" w:hAnsi="Arial" w:eastAsia="Times New Roman" w:cs="Arial"/>
                <w:sz w:val="20"/>
                <w:szCs w:val="20"/>
              </w:rPr>
            </w:pPr>
            <w:r w:rsidRPr="00C3071B">
              <w:rPr>
                <w:rFonts w:ascii="Arial" w:hAnsi="Arial" w:cs="Arial"/>
                <w:sz w:val="20"/>
              </w:rPr>
              <w:t>l) Otrā līmeņa aktīvi, ieskaitot apdrošināšanas meitasuzņēmumus</w:t>
            </w:r>
          </w:p>
        </w:tc>
        <w:tc>
          <w:tcPr>
            <w:tcW w:w="2745" w:type="dxa"/>
            <w:tcBorders>
              <w:left w:val="nil"/>
              <w:bottom w:val="single" w:color="auto" w:sz="4" w:space="0"/>
              <w:right w:val="nil"/>
            </w:tcBorders>
            <w:noWrap/>
          </w:tcPr>
          <w:p w:rsidRPr="00C3071B" w:rsidR="00C3071B" w:rsidP="00C3071B" w:rsidRDefault="00C3071B" w14:paraId="3AEE4547" w14:textId="77777777">
            <w:pPr>
              <w:jc w:val="right"/>
              <w:rPr>
                <w:rFonts w:ascii="Arial" w:hAnsi="Arial" w:eastAsia="Times New Roman" w:cs="Arial"/>
                <w:sz w:val="20"/>
                <w:szCs w:val="20"/>
                <w:lang w:eastAsia="en-GB"/>
              </w:rPr>
            </w:pPr>
          </w:p>
        </w:tc>
      </w:tr>
      <w:tr w:rsidRPr="00C3071B" w:rsidR="00C3071B" w:rsidTr="00495D7D" w14:paraId="755824F2" w14:textId="77777777">
        <w:trPr>
          <w:trHeight w:val="300"/>
        </w:trPr>
        <w:tc>
          <w:tcPr>
            <w:tcW w:w="6804" w:type="dxa"/>
            <w:tcBorders>
              <w:left w:val="nil"/>
              <w:bottom w:val="nil"/>
              <w:right w:val="nil"/>
            </w:tcBorders>
            <w:noWrap/>
          </w:tcPr>
          <w:p w:rsidRPr="00C3071B" w:rsidR="00C3071B" w:rsidP="00C3071B" w:rsidRDefault="00C3071B" w14:paraId="1760789D"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C3071B" w:rsidR="00C3071B" w:rsidP="00C3071B" w:rsidRDefault="00C3071B" w14:paraId="6AFFE098" w14:textId="77777777">
            <w:pPr>
              <w:jc w:val="center"/>
              <w:rPr>
                <w:rFonts w:ascii="Arial" w:hAnsi="Arial" w:eastAsia="Times New Roman" w:cs="Arial"/>
                <w:b/>
                <w:bCs/>
                <w:sz w:val="20"/>
                <w:szCs w:val="20"/>
                <w:lang w:eastAsia="en-GB"/>
              </w:rPr>
            </w:pPr>
          </w:p>
        </w:tc>
      </w:tr>
      <w:tr w:rsidRPr="00C3071B" w:rsidR="00C3071B" w:rsidTr="00495D7D" w14:paraId="7D6FBDAB" w14:textId="77777777">
        <w:trPr>
          <w:trHeight w:val="300"/>
        </w:trPr>
        <w:tc>
          <w:tcPr>
            <w:tcW w:w="6804" w:type="dxa"/>
            <w:tcBorders>
              <w:top w:val="nil"/>
              <w:left w:val="nil"/>
              <w:right w:val="nil"/>
            </w:tcBorders>
            <w:noWrap/>
          </w:tcPr>
          <w:p w:rsidRPr="00C3071B" w:rsidR="00C3071B" w:rsidP="00C3071B" w:rsidRDefault="00C3071B" w14:paraId="518E5053" w14:textId="77777777">
            <w:pPr>
              <w:rPr>
                <w:rFonts w:ascii="Arial" w:hAnsi="Arial" w:eastAsia="Times New Roman" w:cs="Arial"/>
                <w:sz w:val="20"/>
                <w:szCs w:val="20"/>
              </w:rPr>
            </w:pPr>
            <w:r w:rsidRPr="00C3071B">
              <w:rPr>
                <w:rFonts w:ascii="Arial" w:hAnsi="Arial" w:cs="Arial"/>
                <w:b/>
                <w:sz w:val="20"/>
              </w:rPr>
              <w:t>21.sadaļa. Dažādu valstu jurisdikciju darbības posteņi</w:t>
            </w:r>
          </w:p>
        </w:tc>
        <w:tc>
          <w:tcPr>
            <w:tcW w:w="2745" w:type="dxa"/>
            <w:tcBorders>
              <w:top w:val="nil"/>
              <w:left w:val="nil"/>
              <w:right w:val="nil"/>
            </w:tcBorders>
            <w:noWrap/>
          </w:tcPr>
          <w:p w:rsidRPr="00C3071B" w:rsidR="00C3071B" w:rsidP="00C3071B" w:rsidRDefault="00C3071B" w14:paraId="5BAC5618" w14:textId="77777777">
            <w:pPr>
              <w:jc w:val="center"/>
              <w:rPr>
                <w:rFonts w:ascii="Arial" w:hAnsi="Arial" w:eastAsia="Times New Roman" w:cs="Arial"/>
                <w:b/>
                <w:bCs/>
                <w:sz w:val="20"/>
                <w:szCs w:val="20"/>
              </w:rPr>
            </w:pPr>
            <w:r w:rsidRPr="00C3071B">
              <w:rPr>
                <w:rFonts w:ascii="Arial" w:hAnsi="Arial" w:cs="Arial"/>
                <w:b/>
                <w:sz w:val="20"/>
              </w:rPr>
              <w:t>Summa</w:t>
            </w:r>
          </w:p>
        </w:tc>
      </w:tr>
      <w:tr w:rsidRPr="00C3071B" w:rsidR="00C3071B" w:rsidTr="00495D7D" w14:paraId="065619C0" w14:textId="77777777">
        <w:trPr>
          <w:trHeight w:val="300"/>
        </w:trPr>
        <w:tc>
          <w:tcPr>
            <w:tcW w:w="6804" w:type="dxa"/>
            <w:tcBorders>
              <w:left w:val="nil"/>
              <w:right w:val="nil"/>
            </w:tcBorders>
            <w:noWrap/>
          </w:tcPr>
          <w:p w:rsidRPr="00C3071B" w:rsidR="00C3071B" w:rsidP="00C3071B" w:rsidRDefault="00C3071B" w14:paraId="42CC38FD" w14:textId="77777777">
            <w:pPr>
              <w:rPr>
                <w:rFonts w:ascii="Arial" w:hAnsi="Arial" w:eastAsia="Times New Roman" w:cs="Arial"/>
                <w:sz w:val="20"/>
                <w:szCs w:val="20"/>
              </w:rPr>
            </w:pPr>
            <w:r w:rsidRPr="00C3071B">
              <w:rPr>
                <w:rFonts w:ascii="Arial" w:hAnsi="Arial" w:cs="Arial"/>
                <w:sz w:val="20"/>
              </w:rPr>
              <w:t>a) Dažādu valstu jurisdikciju saistību rādītājs (vecais rādītājs)</w:t>
            </w:r>
          </w:p>
        </w:tc>
        <w:tc>
          <w:tcPr>
            <w:tcW w:w="2745" w:type="dxa"/>
            <w:tcBorders>
              <w:left w:val="nil"/>
              <w:right w:val="nil"/>
            </w:tcBorders>
            <w:noWrap/>
          </w:tcPr>
          <w:p w:rsidRPr="00C3071B" w:rsidR="00C3071B" w:rsidP="00C3071B" w:rsidRDefault="00C3071B" w14:paraId="2FB32318" w14:textId="77777777">
            <w:pPr>
              <w:jc w:val="right"/>
              <w:rPr>
                <w:rFonts w:ascii="Arial" w:hAnsi="Arial" w:eastAsia="Times New Roman" w:cs="Arial"/>
                <w:sz w:val="20"/>
                <w:szCs w:val="20"/>
                <w:lang w:eastAsia="en-GB"/>
              </w:rPr>
            </w:pPr>
          </w:p>
        </w:tc>
      </w:tr>
      <w:tr w:rsidRPr="00C3071B" w:rsidR="00C3071B" w:rsidTr="00495D7D" w14:paraId="034AA89D" w14:textId="77777777">
        <w:trPr>
          <w:trHeight w:val="300"/>
        </w:trPr>
        <w:tc>
          <w:tcPr>
            <w:tcW w:w="6804" w:type="dxa"/>
            <w:tcBorders>
              <w:left w:val="nil"/>
              <w:right w:val="nil"/>
            </w:tcBorders>
            <w:noWrap/>
          </w:tcPr>
          <w:p w:rsidRPr="00C3071B" w:rsidR="00C3071B" w:rsidP="00C3071B" w:rsidRDefault="00C3071B" w14:paraId="30269FE9" w14:textId="77777777">
            <w:pPr>
              <w:ind w:left="313"/>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Ārvalstu saistības (izņemot atvasinātos instrumentus un vietējās saistības vietējā valūtā)</w:t>
            </w:r>
          </w:p>
        </w:tc>
        <w:tc>
          <w:tcPr>
            <w:tcW w:w="2745" w:type="dxa"/>
            <w:tcBorders>
              <w:left w:val="nil"/>
              <w:right w:val="nil"/>
            </w:tcBorders>
            <w:noWrap/>
          </w:tcPr>
          <w:p w:rsidRPr="00C3071B" w:rsidR="00C3071B" w:rsidP="00C3071B" w:rsidRDefault="00C3071B" w14:paraId="54D17A38" w14:textId="77777777">
            <w:pPr>
              <w:jc w:val="right"/>
              <w:rPr>
                <w:rFonts w:ascii="Arial" w:hAnsi="Arial" w:eastAsia="Times New Roman" w:cs="Arial"/>
                <w:sz w:val="20"/>
                <w:szCs w:val="20"/>
                <w:lang w:eastAsia="en-GB"/>
              </w:rPr>
            </w:pPr>
          </w:p>
        </w:tc>
      </w:tr>
      <w:tr w:rsidRPr="00C3071B" w:rsidR="00C3071B" w:rsidTr="00495D7D" w14:paraId="6531FD9F" w14:textId="77777777">
        <w:trPr>
          <w:trHeight w:val="300"/>
        </w:trPr>
        <w:tc>
          <w:tcPr>
            <w:tcW w:w="6804" w:type="dxa"/>
            <w:tcBorders>
              <w:left w:val="nil"/>
              <w:right w:val="nil"/>
            </w:tcBorders>
            <w:noWrap/>
          </w:tcPr>
          <w:p w:rsidRPr="00C3071B" w:rsidR="00C3071B" w:rsidP="00C3071B" w:rsidRDefault="00C3071B" w14:paraId="62334296" w14:textId="77777777">
            <w:pPr>
              <w:ind w:left="-2" w:leftChars="-1" w:firstLine="312" w:firstLineChars="156"/>
              <w:rPr>
                <w:rFonts w:ascii="Arial" w:hAnsi="Arial" w:eastAsia="Times New Roman" w:cs="Arial"/>
                <w:sz w:val="20"/>
                <w:szCs w:val="20"/>
              </w:rPr>
            </w:pPr>
            <w:r w:rsidRPr="00C3071B">
              <w:rPr>
                <w:rFonts w:ascii="Arial" w:hAnsi="Arial" w:cs="Arial"/>
                <w:sz w:val="20"/>
                <w:lang w:eastAsia="en-GB"/>
              </w:rPr>
              <w:t xml:space="preserve">(2) </w:t>
            </w:r>
            <w:r w:rsidRPr="00C3071B">
              <w:rPr>
                <w:rFonts w:ascii="Arial" w:hAnsi="Arial" w:cs="Arial"/>
                <w:sz w:val="20"/>
              </w:rPr>
              <w:t>Visas ārvalstu saistības pret saistītajiem birojiem, kas iekļautas 21.a. panta 1. punktā.</w:t>
            </w:r>
          </w:p>
        </w:tc>
        <w:tc>
          <w:tcPr>
            <w:tcW w:w="2745" w:type="dxa"/>
            <w:tcBorders>
              <w:left w:val="nil"/>
              <w:right w:val="nil"/>
            </w:tcBorders>
            <w:noWrap/>
          </w:tcPr>
          <w:p w:rsidRPr="00C3071B" w:rsidR="00C3071B" w:rsidP="00C3071B" w:rsidRDefault="00C3071B" w14:paraId="638E4D22" w14:textId="77777777">
            <w:pPr>
              <w:jc w:val="right"/>
              <w:rPr>
                <w:rFonts w:ascii="Arial" w:hAnsi="Arial" w:eastAsia="Times New Roman" w:cs="Arial"/>
                <w:sz w:val="20"/>
                <w:szCs w:val="20"/>
                <w:lang w:eastAsia="en-GB"/>
              </w:rPr>
            </w:pPr>
          </w:p>
        </w:tc>
      </w:tr>
      <w:tr w:rsidRPr="00C3071B" w:rsidR="00C3071B" w:rsidTr="00495D7D" w14:paraId="209D2D71" w14:textId="77777777">
        <w:trPr>
          <w:trHeight w:val="300"/>
        </w:trPr>
        <w:tc>
          <w:tcPr>
            <w:tcW w:w="6804" w:type="dxa"/>
            <w:tcBorders>
              <w:left w:val="nil"/>
              <w:right w:val="nil"/>
            </w:tcBorders>
            <w:noWrap/>
          </w:tcPr>
          <w:p w:rsidRPr="00C3071B" w:rsidR="00C3071B" w:rsidP="00C3071B" w:rsidRDefault="00C3071B" w14:paraId="49DBA8A8" w14:textId="77777777">
            <w:pPr>
              <w:ind w:left="-2" w:leftChars="-1" w:firstLine="312" w:firstLineChars="156"/>
              <w:rPr>
                <w:rFonts w:ascii="Arial" w:hAnsi="Arial" w:eastAsia="Times New Roman" w:cs="Arial"/>
                <w:sz w:val="20"/>
                <w:szCs w:val="20"/>
              </w:rPr>
            </w:pPr>
            <w:r w:rsidRPr="00C3071B">
              <w:rPr>
                <w:rFonts w:ascii="Arial" w:hAnsi="Arial" w:cs="Arial"/>
                <w:sz w:val="20"/>
                <w:lang w:eastAsia="en-GB"/>
              </w:rPr>
              <w:t xml:space="preserve">(3) </w:t>
            </w:r>
            <w:r w:rsidRPr="00C3071B">
              <w:rPr>
                <w:rFonts w:ascii="Arial" w:hAnsi="Arial" w:cs="Arial"/>
                <w:sz w:val="20"/>
              </w:rPr>
              <w:t>Vietējās saistības vietējā valūtā (izņemot atvasināto instrumentu darbības)</w:t>
            </w:r>
          </w:p>
        </w:tc>
        <w:tc>
          <w:tcPr>
            <w:tcW w:w="2745" w:type="dxa"/>
            <w:tcBorders>
              <w:left w:val="nil"/>
              <w:right w:val="nil"/>
            </w:tcBorders>
            <w:noWrap/>
          </w:tcPr>
          <w:p w:rsidRPr="00C3071B" w:rsidR="00C3071B" w:rsidP="00C3071B" w:rsidRDefault="00C3071B" w14:paraId="0AE22474" w14:textId="77777777">
            <w:pPr>
              <w:jc w:val="right"/>
              <w:rPr>
                <w:rFonts w:ascii="Arial" w:hAnsi="Arial" w:eastAsia="Times New Roman" w:cs="Arial"/>
                <w:sz w:val="20"/>
                <w:szCs w:val="20"/>
                <w:lang w:eastAsia="en-GB"/>
              </w:rPr>
            </w:pPr>
          </w:p>
        </w:tc>
      </w:tr>
      <w:tr w:rsidRPr="00C3071B" w:rsidR="00C3071B" w:rsidTr="00495D7D" w14:paraId="1F307608" w14:textId="77777777">
        <w:trPr>
          <w:trHeight w:val="300"/>
        </w:trPr>
        <w:tc>
          <w:tcPr>
            <w:tcW w:w="6804" w:type="dxa"/>
            <w:tcBorders>
              <w:left w:val="nil"/>
              <w:right w:val="nil"/>
            </w:tcBorders>
            <w:noWrap/>
          </w:tcPr>
          <w:p w:rsidRPr="00C3071B" w:rsidR="00C3071B" w:rsidP="00C3071B" w:rsidRDefault="00C3071B" w14:paraId="48E4FD79" w14:textId="77777777">
            <w:pPr>
              <w:ind w:firstLine="200" w:firstLineChars="100"/>
              <w:rPr>
                <w:rFonts w:ascii="Arial" w:hAnsi="Arial" w:eastAsia="Times New Roman" w:cs="Arial"/>
                <w:sz w:val="20"/>
                <w:szCs w:val="20"/>
              </w:rPr>
            </w:pPr>
            <w:r w:rsidRPr="00C3071B">
              <w:rPr>
                <w:rFonts w:ascii="Arial" w:hAnsi="Arial" w:cs="Arial"/>
                <w:sz w:val="20"/>
              </w:rPr>
              <w:t>b) Vietējās saistības vietējā valūtā (izņemot darbības saistībā ar atvasinātajiem instrumentiem)</w:t>
            </w:r>
          </w:p>
        </w:tc>
        <w:tc>
          <w:tcPr>
            <w:tcW w:w="2745" w:type="dxa"/>
            <w:tcBorders>
              <w:left w:val="nil"/>
              <w:right w:val="nil"/>
            </w:tcBorders>
            <w:noWrap/>
          </w:tcPr>
          <w:p w:rsidRPr="00C3071B" w:rsidR="00C3071B" w:rsidP="00C3071B" w:rsidRDefault="00C3071B" w14:paraId="13DCF85B" w14:textId="77777777">
            <w:pPr>
              <w:jc w:val="right"/>
              <w:rPr>
                <w:rFonts w:ascii="Arial" w:hAnsi="Arial" w:eastAsia="Times New Roman" w:cs="Arial"/>
                <w:sz w:val="20"/>
                <w:szCs w:val="20"/>
                <w:lang w:eastAsia="en-GB"/>
              </w:rPr>
            </w:pPr>
          </w:p>
        </w:tc>
      </w:tr>
      <w:tr w:rsidRPr="00C3071B" w:rsidR="00C3071B" w:rsidTr="00495D7D" w14:paraId="1934C08E" w14:textId="77777777">
        <w:trPr>
          <w:trHeight w:val="300"/>
        </w:trPr>
        <w:tc>
          <w:tcPr>
            <w:tcW w:w="6804" w:type="dxa"/>
            <w:tcBorders>
              <w:left w:val="nil"/>
              <w:right w:val="nil"/>
            </w:tcBorders>
            <w:noWrap/>
          </w:tcPr>
          <w:p w:rsidRPr="00C3071B" w:rsidR="00C3071B" w:rsidP="00C3071B" w:rsidRDefault="00C3071B" w14:paraId="212CC283" w14:textId="77777777">
            <w:pPr>
              <w:ind w:left="171" w:firstLine="28" w:firstLineChars="14"/>
              <w:rPr>
                <w:rFonts w:ascii="Arial" w:hAnsi="Arial" w:eastAsia="Times New Roman" w:cs="Arial"/>
                <w:sz w:val="20"/>
                <w:szCs w:val="20"/>
              </w:rPr>
            </w:pPr>
            <w:r w:rsidRPr="00C3071B">
              <w:rPr>
                <w:rFonts w:ascii="Arial" w:hAnsi="Arial" w:cs="Arial"/>
                <w:sz w:val="20"/>
              </w:rPr>
              <w:t>c) Dažādu valstu jurisdikciju vietējās prasības vietējā valūtā (izņemot atvasināto instrumentu darbības)</w:t>
            </w:r>
          </w:p>
        </w:tc>
        <w:tc>
          <w:tcPr>
            <w:tcW w:w="2745" w:type="dxa"/>
            <w:tcBorders>
              <w:left w:val="nil"/>
              <w:right w:val="nil"/>
            </w:tcBorders>
            <w:noWrap/>
          </w:tcPr>
          <w:p w:rsidRPr="00C3071B" w:rsidR="00C3071B" w:rsidP="00C3071B" w:rsidRDefault="00C3071B" w14:paraId="4D2ED882" w14:textId="77777777">
            <w:pPr>
              <w:jc w:val="right"/>
              <w:rPr>
                <w:rFonts w:ascii="Arial" w:hAnsi="Arial" w:eastAsia="Times New Roman" w:cs="Arial"/>
                <w:sz w:val="20"/>
                <w:szCs w:val="20"/>
                <w:lang w:eastAsia="en-GB"/>
              </w:rPr>
            </w:pPr>
          </w:p>
        </w:tc>
      </w:tr>
      <w:tr w:rsidRPr="00C3071B" w:rsidR="00C3071B" w:rsidTr="00495D7D" w14:paraId="3EA53312" w14:textId="77777777">
        <w:trPr>
          <w:trHeight w:val="300"/>
        </w:trPr>
        <w:tc>
          <w:tcPr>
            <w:tcW w:w="6804" w:type="dxa"/>
            <w:tcBorders>
              <w:left w:val="nil"/>
              <w:right w:val="nil"/>
            </w:tcBorders>
            <w:noWrap/>
          </w:tcPr>
          <w:p w:rsidRPr="00C3071B" w:rsidR="00C3071B" w:rsidP="00C3071B" w:rsidRDefault="00C3071B" w14:paraId="17CBCC73" w14:textId="77777777">
            <w:pPr>
              <w:ind w:left="171" w:firstLine="28" w:firstLineChars="14"/>
              <w:rPr>
                <w:rFonts w:ascii="Arial" w:hAnsi="Arial" w:eastAsia="Times New Roman" w:cs="Arial"/>
                <w:sz w:val="20"/>
                <w:szCs w:val="20"/>
              </w:rPr>
            </w:pPr>
            <w:r w:rsidRPr="00C3071B">
              <w:rPr>
                <w:rFonts w:ascii="Arial" w:hAnsi="Arial" w:cs="Arial"/>
                <w:sz w:val="20"/>
              </w:rPr>
              <w:t>d) Dažādu valstu jurisdikciju vietējās prasības vietējā valūtā (izņemot atvasināto instrumentu darbības)</w:t>
            </w:r>
          </w:p>
        </w:tc>
        <w:tc>
          <w:tcPr>
            <w:tcW w:w="2745" w:type="dxa"/>
            <w:tcBorders>
              <w:left w:val="nil"/>
              <w:right w:val="nil"/>
            </w:tcBorders>
            <w:noWrap/>
          </w:tcPr>
          <w:p w:rsidRPr="00C3071B" w:rsidR="00C3071B" w:rsidP="00C3071B" w:rsidRDefault="00C3071B" w14:paraId="006F087C" w14:textId="77777777">
            <w:pPr>
              <w:jc w:val="right"/>
              <w:rPr>
                <w:rFonts w:ascii="Arial" w:hAnsi="Arial" w:eastAsia="Times New Roman" w:cs="Arial"/>
                <w:sz w:val="20"/>
                <w:szCs w:val="20"/>
                <w:lang w:eastAsia="en-GB"/>
              </w:rPr>
            </w:pPr>
          </w:p>
        </w:tc>
      </w:tr>
      <w:tr w:rsidRPr="00C3071B" w:rsidR="00C3071B" w:rsidTr="00495D7D" w14:paraId="559C5153" w14:textId="77777777">
        <w:trPr>
          <w:trHeight w:val="300"/>
        </w:trPr>
        <w:tc>
          <w:tcPr>
            <w:tcW w:w="6804" w:type="dxa"/>
            <w:tcBorders>
              <w:left w:val="nil"/>
              <w:right w:val="nil"/>
            </w:tcBorders>
            <w:noWrap/>
          </w:tcPr>
          <w:p w:rsidRPr="00C3071B" w:rsidR="00C3071B" w:rsidP="00C3071B" w:rsidRDefault="00C3071B" w14:paraId="62A511F4" w14:textId="77777777">
            <w:pPr>
              <w:ind w:left="171" w:firstLine="28" w:firstLineChars="14"/>
              <w:rPr>
                <w:rFonts w:ascii="Arial" w:hAnsi="Arial" w:eastAsia="Times New Roman" w:cs="Arial"/>
                <w:sz w:val="20"/>
                <w:szCs w:val="20"/>
              </w:rPr>
            </w:pPr>
            <w:r w:rsidRPr="00C3071B">
              <w:rPr>
                <w:rFonts w:ascii="Arial" w:hAnsi="Arial" w:cs="Arial"/>
                <w:sz w:val="20"/>
              </w:rPr>
              <w:t>e) Kopējās ārvalstu prasības, pamatojoties uz galīgo risku (uzskatot VNM par vienu jurisdikciju)</w:t>
            </w:r>
          </w:p>
        </w:tc>
        <w:tc>
          <w:tcPr>
            <w:tcW w:w="2745" w:type="dxa"/>
            <w:tcBorders>
              <w:left w:val="nil"/>
              <w:right w:val="nil"/>
            </w:tcBorders>
            <w:noWrap/>
          </w:tcPr>
          <w:p w:rsidRPr="00C3071B" w:rsidR="00C3071B" w:rsidP="00C3071B" w:rsidRDefault="00C3071B" w14:paraId="71AEAFD4" w14:textId="77777777">
            <w:pPr>
              <w:jc w:val="right"/>
              <w:rPr>
                <w:rFonts w:ascii="Arial" w:hAnsi="Arial" w:eastAsia="Times New Roman" w:cs="Arial"/>
                <w:sz w:val="20"/>
                <w:szCs w:val="20"/>
                <w:lang w:eastAsia="en-GB"/>
              </w:rPr>
            </w:pPr>
          </w:p>
        </w:tc>
      </w:tr>
      <w:tr w:rsidRPr="00C3071B" w:rsidR="00C3071B" w:rsidTr="00495D7D" w14:paraId="3C284BEE" w14:textId="77777777">
        <w:trPr>
          <w:trHeight w:val="300"/>
        </w:trPr>
        <w:tc>
          <w:tcPr>
            <w:tcW w:w="6804" w:type="dxa"/>
            <w:tcBorders>
              <w:left w:val="nil"/>
              <w:right w:val="nil"/>
            </w:tcBorders>
            <w:noWrap/>
          </w:tcPr>
          <w:p w:rsidRPr="00C3071B" w:rsidR="00C3071B" w:rsidP="00C3071B" w:rsidRDefault="00C3071B" w14:paraId="68E8B9FC" w14:textId="77777777">
            <w:pPr>
              <w:ind w:left="171" w:firstLine="28" w:firstLineChars="14"/>
              <w:rPr>
                <w:rFonts w:ascii="Arial" w:hAnsi="Arial" w:eastAsia="Times New Roman" w:cs="Arial"/>
                <w:sz w:val="20"/>
                <w:szCs w:val="20"/>
              </w:rPr>
            </w:pPr>
            <w:r w:rsidRPr="00C3071B">
              <w:rPr>
                <w:rFonts w:ascii="Arial" w:hAnsi="Arial" w:cs="Arial"/>
                <w:sz w:val="20"/>
              </w:rPr>
              <w:t>f) Ārvalstu atvasināto instrumentu prasījumi, pamatojoties uz galīgo risku (uzskatot VNM par vienu jurisdikciju)</w:t>
            </w:r>
          </w:p>
        </w:tc>
        <w:tc>
          <w:tcPr>
            <w:tcW w:w="2745" w:type="dxa"/>
            <w:tcBorders>
              <w:left w:val="nil"/>
              <w:right w:val="nil"/>
            </w:tcBorders>
            <w:noWrap/>
          </w:tcPr>
          <w:p w:rsidRPr="00C3071B" w:rsidR="00C3071B" w:rsidP="00C3071B" w:rsidRDefault="00C3071B" w14:paraId="4333FAC6" w14:textId="77777777">
            <w:pPr>
              <w:jc w:val="right"/>
              <w:rPr>
                <w:rFonts w:ascii="Arial" w:hAnsi="Arial" w:eastAsia="Times New Roman" w:cs="Arial"/>
                <w:sz w:val="20"/>
                <w:szCs w:val="20"/>
                <w:lang w:eastAsia="en-GB"/>
              </w:rPr>
            </w:pPr>
          </w:p>
        </w:tc>
      </w:tr>
      <w:tr w:rsidRPr="00C3071B" w:rsidR="00C3071B" w:rsidTr="00495D7D" w14:paraId="11CE5A7D" w14:textId="77777777">
        <w:trPr>
          <w:trHeight w:val="300"/>
        </w:trPr>
        <w:tc>
          <w:tcPr>
            <w:tcW w:w="6804" w:type="dxa"/>
            <w:tcBorders>
              <w:left w:val="nil"/>
              <w:right w:val="nil"/>
            </w:tcBorders>
            <w:noWrap/>
          </w:tcPr>
          <w:p w:rsidRPr="00C3071B" w:rsidR="00C3071B" w:rsidP="00C3071B" w:rsidRDefault="00C3071B" w14:paraId="70F5C6AB" w14:textId="77777777">
            <w:pPr>
              <w:ind w:left="171" w:firstLine="28" w:firstLineChars="14"/>
              <w:rPr>
                <w:rFonts w:ascii="Arial" w:hAnsi="Arial" w:eastAsia="Times New Roman" w:cs="Arial"/>
                <w:sz w:val="20"/>
                <w:szCs w:val="20"/>
              </w:rPr>
            </w:pPr>
            <w:r w:rsidRPr="00C3071B">
              <w:rPr>
                <w:rFonts w:ascii="Arial" w:hAnsi="Arial" w:cs="Arial"/>
                <w:sz w:val="20"/>
              </w:rPr>
              <w:t>h) Ārvalstu saistības, balstoties uz tūlītēju risku, ieskaitot atvasinātos instrumentus (uzskatot VNM par vienotu jurisdikciju)</w:t>
            </w:r>
          </w:p>
        </w:tc>
        <w:tc>
          <w:tcPr>
            <w:tcW w:w="2745" w:type="dxa"/>
            <w:tcBorders>
              <w:left w:val="nil"/>
              <w:right w:val="nil"/>
            </w:tcBorders>
            <w:noWrap/>
          </w:tcPr>
          <w:p w:rsidRPr="00C3071B" w:rsidR="00C3071B" w:rsidP="00C3071B" w:rsidRDefault="00C3071B" w14:paraId="1FD38CD4" w14:textId="77777777">
            <w:pPr>
              <w:jc w:val="right"/>
              <w:rPr>
                <w:rFonts w:ascii="Arial" w:hAnsi="Arial" w:eastAsia="Times New Roman" w:cs="Arial"/>
                <w:sz w:val="20"/>
                <w:szCs w:val="20"/>
                <w:lang w:eastAsia="en-GB"/>
              </w:rPr>
            </w:pPr>
          </w:p>
        </w:tc>
      </w:tr>
      <w:tr w:rsidRPr="00C3071B" w:rsidR="00C3071B" w:rsidTr="00495D7D" w14:paraId="74EA6248" w14:textId="77777777">
        <w:trPr>
          <w:trHeight w:val="300"/>
        </w:trPr>
        <w:tc>
          <w:tcPr>
            <w:tcW w:w="6804" w:type="dxa"/>
            <w:tcBorders>
              <w:left w:val="nil"/>
              <w:right w:val="nil"/>
            </w:tcBorders>
            <w:noWrap/>
          </w:tcPr>
          <w:p w:rsidRPr="00C3071B" w:rsidR="00C3071B" w:rsidP="00C3071B" w:rsidRDefault="00C3071B" w14:paraId="34722D1A" w14:textId="77777777">
            <w:pPr>
              <w:ind w:left="171" w:firstLine="28" w:firstLineChars="14"/>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Ārvalstu atvasināto instrumentu saistības, pamatojoties uz tūlītēju risku (uzskatot VNM par vienu jurisdikciju)</w:t>
            </w:r>
          </w:p>
        </w:tc>
        <w:tc>
          <w:tcPr>
            <w:tcW w:w="2745" w:type="dxa"/>
            <w:tcBorders>
              <w:left w:val="nil"/>
              <w:right w:val="nil"/>
            </w:tcBorders>
            <w:noWrap/>
          </w:tcPr>
          <w:p w:rsidRPr="00C3071B" w:rsidR="00C3071B" w:rsidP="00C3071B" w:rsidRDefault="00C3071B" w14:paraId="1B39010F" w14:textId="77777777">
            <w:pPr>
              <w:jc w:val="right"/>
              <w:rPr>
                <w:rFonts w:ascii="Arial" w:hAnsi="Arial" w:eastAsia="Times New Roman" w:cs="Arial"/>
                <w:sz w:val="20"/>
                <w:szCs w:val="20"/>
                <w:lang w:eastAsia="en-GB"/>
              </w:rPr>
            </w:pPr>
          </w:p>
        </w:tc>
      </w:tr>
      <w:tr w:rsidRPr="00C3071B" w:rsidR="00C3071B" w:rsidTr="00495D7D" w14:paraId="519494C7" w14:textId="77777777">
        <w:trPr>
          <w:trHeight w:val="300"/>
        </w:trPr>
        <w:tc>
          <w:tcPr>
            <w:tcW w:w="6804" w:type="dxa"/>
            <w:tcBorders>
              <w:left w:val="nil"/>
              <w:right w:val="nil"/>
            </w:tcBorders>
            <w:noWrap/>
          </w:tcPr>
          <w:p w:rsidRPr="00C3071B" w:rsidR="00C3071B" w:rsidP="00C3071B" w:rsidRDefault="00C3071B" w14:paraId="5EC94915" w14:textId="77777777">
            <w:pPr>
              <w:ind w:firstLine="200" w:firstLineChars="100"/>
              <w:rPr>
                <w:rFonts w:ascii="Arial" w:hAnsi="Arial" w:eastAsia="Times New Roman" w:cs="Arial"/>
                <w:sz w:val="20"/>
                <w:szCs w:val="20"/>
              </w:rPr>
            </w:pPr>
            <w:r w:rsidRPr="00C3071B">
              <w:rPr>
                <w:rFonts w:ascii="Arial" w:hAnsi="Arial" w:cs="Arial"/>
                <w:sz w:val="20"/>
              </w:rPr>
              <w:t>i) Dažādu valstu jurisdikciju vietējās prasības vietējā valūtā, izņemot atvasināto instrumentu darbības (uzskatot VNM par vienotu jurisdikciju)</w:t>
            </w:r>
          </w:p>
        </w:tc>
        <w:tc>
          <w:tcPr>
            <w:tcW w:w="2745" w:type="dxa"/>
            <w:tcBorders>
              <w:left w:val="nil"/>
              <w:right w:val="nil"/>
            </w:tcBorders>
            <w:noWrap/>
          </w:tcPr>
          <w:p w:rsidRPr="00C3071B" w:rsidR="00C3071B" w:rsidP="00C3071B" w:rsidRDefault="00C3071B" w14:paraId="6B059E3E" w14:textId="77777777">
            <w:pPr>
              <w:jc w:val="right"/>
              <w:rPr>
                <w:rFonts w:ascii="Arial" w:hAnsi="Arial" w:eastAsia="Times New Roman" w:cs="Arial"/>
                <w:sz w:val="20"/>
                <w:szCs w:val="20"/>
                <w:lang w:eastAsia="en-GB"/>
              </w:rPr>
            </w:pPr>
          </w:p>
        </w:tc>
      </w:tr>
      <w:tr w:rsidRPr="00C3071B" w:rsidR="00C3071B" w:rsidTr="00495D7D" w14:paraId="07CFF763" w14:textId="77777777">
        <w:trPr>
          <w:trHeight w:val="300"/>
        </w:trPr>
        <w:tc>
          <w:tcPr>
            <w:tcW w:w="6804" w:type="dxa"/>
            <w:tcBorders>
              <w:left w:val="nil"/>
              <w:right w:val="nil"/>
            </w:tcBorders>
            <w:noWrap/>
          </w:tcPr>
          <w:p w:rsidRPr="00C3071B" w:rsidR="00C3071B" w:rsidP="00C3071B" w:rsidRDefault="00C3071B" w14:paraId="4C1C71A1" w14:textId="77777777">
            <w:pPr>
              <w:ind w:left="171" w:firstLine="28" w:firstLineChars="14"/>
              <w:rPr>
                <w:rFonts w:ascii="Arial" w:hAnsi="Arial" w:eastAsia="Times New Roman" w:cs="Arial"/>
                <w:sz w:val="20"/>
                <w:szCs w:val="20"/>
              </w:rPr>
            </w:pPr>
            <w:r w:rsidRPr="00C3071B">
              <w:rPr>
                <w:rFonts w:ascii="Arial" w:hAnsi="Arial" w:cs="Arial"/>
                <w:sz w:val="20"/>
              </w:rPr>
              <w:t>i) Dažādu valstu jurisdikciju vietējās prasības vietējā valūtā, izņemot atvasināto instrumentu darbības (uzskatot VNM par vienotu jurisdikciju)</w:t>
            </w:r>
          </w:p>
        </w:tc>
        <w:tc>
          <w:tcPr>
            <w:tcW w:w="2745" w:type="dxa"/>
            <w:tcBorders>
              <w:left w:val="nil"/>
              <w:right w:val="nil"/>
            </w:tcBorders>
            <w:noWrap/>
          </w:tcPr>
          <w:p w:rsidRPr="00C3071B" w:rsidR="00C3071B" w:rsidP="00C3071B" w:rsidRDefault="00C3071B" w14:paraId="7A40176F" w14:textId="77777777">
            <w:pPr>
              <w:jc w:val="right"/>
              <w:rPr>
                <w:rFonts w:ascii="Arial" w:hAnsi="Arial" w:eastAsia="Times New Roman" w:cs="Arial"/>
                <w:sz w:val="20"/>
                <w:szCs w:val="20"/>
                <w:lang w:eastAsia="en-GB"/>
              </w:rPr>
            </w:pPr>
          </w:p>
        </w:tc>
      </w:tr>
      <w:tr w:rsidRPr="00C3071B" w:rsidR="00C3071B" w:rsidTr="00495D7D" w14:paraId="25686081" w14:textId="77777777">
        <w:trPr>
          <w:trHeight w:val="300"/>
        </w:trPr>
        <w:tc>
          <w:tcPr>
            <w:tcW w:w="6804" w:type="dxa"/>
            <w:tcBorders>
              <w:left w:val="nil"/>
              <w:right w:val="nil"/>
            </w:tcBorders>
            <w:noWrap/>
          </w:tcPr>
          <w:p w:rsidRPr="00C3071B" w:rsidR="00C3071B" w:rsidP="00C3071B" w:rsidRDefault="00C3071B" w14:paraId="50524065" w14:textId="77777777">
            <w:pPr>
              <w:ind w:left="171" w:firstLine="28" w:firstLineChars="14"/>
              <w:rPr>
                <w:rFonts w:ascii="Arial" w:hAnsi="Arial" w:eastAsia="Times New Roman" w:cs="Arial"/>
                <w:sz w:val="20"/>
                <w:szCs w:val="20"/>
              </w:rPr>
            </w:pPr>
            <w:r w:rsidRPr="00C3071B">
              <w:rPr>
                <w:rFonts w:ascii="Arial" w:hAnsi="Arial" w:cs="Arial"/>
                <w:sz w:val="20"/>
              </w:rPr>
              <w:t>j) Ārvalstu saistības, izņemot atvasinātos instrumentus un vietējās saistības vietējā valūtā (uzskatot VNM par vienu jurisdikciju)</w:t>
            </w:r>
          </w:p>
        </w:tc>
        <w:tc>
          <w:tcPr>
            <w:tcW w:w="2745" w:type="dxa"/>
            <w:tcBorders>
              <w:left w:val="nil"/>
              <w:right w:val="nil"/>
            </w:tcBorders>
            <w:noWrap/>
          </w:tcPr>
          <w:p w:rsidRPr="00C3071B" w:rsidR="00C3071B" w:rsidP="00C3071B" w:rsidRDefault="00C3071B" w14:paraId="7E7D3BB4" w14:textId="77777777">
            <w:pPr>
              <w:jc w:val="right"/>
              <w:rPr>
                <w:rFonts w:ascii="Arial" w:hAnsi="Arial" w:eastAsia="Times New Roman" w:cs="Arial"/>
                <w:sz w:val="20"/>
                <w:szCs w:val="20"/>
                <w:lang w:eastAsia="en-GB"/>
              </w:rPr>
            </w:pPr>
          </w:p>
        </w:tc>
      </w:tr>
      <w:tr w:rsidRPr="00C3071B" w:rsidR="00C3071B" w:rsidTr="00495D7D" w14:paraId="024A9A91" w14:textId="77777777">
        <w:trPr>
          <w:trHeight w:val="300"/>
        </w:trPr>
        <w:tc>
          <w:tcPr>
            <w:tcW w:w="6804" w:type="dxa"/>
            <w:tcBorders>
              <w:left w:val="nil"/>
              <w:right w:val="nil"/>
            </w:tcBorders>
            <w:noWrap/>
          </w:tcPr>
          <w:p w:rsidRPr="00C3071B" w:rsidR="00C3071B" w:rsidP="00C3071B" w:rsidRDefault="00C3071B" w14:paraId="304AEEEF" w14:textId="77777777">
            <w:pPr>
              <w:ind w:left="171" w:firstLine="28" w:firstLineChars="14"/>
              <w:rPr>
                <w:rFonts w:ascii="Arial" w:hAnsi="Arial" w:eastAsia="Times New Roman" w:cs="Arial"/>
                <w:sz w:val="20"/>
                <w:szCs w:val="20"/>
              </w:rPr>
            </w:pPr>
            <w:r w:rsidRPr="00C3071B">
              <w:rPr>
                <w:rFonts w:ascii="Arial" w:hAnsi="Arial" w:cs="Arial"/>
                <w:sz w:val="20"/>
                <w:lang w:eastAsia="en-GB"/>
              </w:rPr>
              <w:t xml:space="preserve">(1) </w:t>
            </w:r>
            <w:r w:rsidRPr="00C3071B">
              <w:rPr>
                <w:rFonts w:ascii="Arial" w:hAnsi="Arial" w:cs="Arial"/>
                <w:sz w:val="20"/>
              </w:rPr>
              <w:t>Jebkuras ārvalstu saistības pret saistītiem birojiem, kas iekļautas 20.j. postenī. (uzskatot VNM par vienu jurisdikciju)</w:t>
            </w:r>
          </w:p>
        </w:tc>
        <w:tc>
          <w:tcPr>
            <w:tcW w:w="2745" w:type="dxa"/>
            <w:tcBorders>
              <w:left w:val="nil"/>
              <w:right w:val="nil"/>
            </w:tcBorders>
            <w:noWrap/>
          </w:tcPr>
          <w:p w:rsidRPr="00C3071B" w:rsidR="00C3071B" w:rsidP="00C3071B" w:rsidRDefault="00C3071B" w14:paraId="45BD17E6" w14:textId="77777777">
            <w:pPr>
              <w:jc w:val="right"/>
              <w:rPr>
                <w:rFonts w:ascii="Arial" w:hAnsi="Arial" w:eastAsia="Times New Roman" w:cs="Arial"/>
                <w:sz w:val="20"/>
                <w:szCs w:val="20"/>
                <w:lang w:eastAsia="en-GB"/>
              </w:rPr>
            </w:pPr>
          </w:p>
        </w:tc>
      </w:tr>
      <w:tr w:rsidRPr="00C3071B" w:rsidR="00C3071B" w:rsidTr="00495D7D" w14:paraId="7A9E084F" w14:textId="77777777">
        <w:trPr>
          <w:trHeight w:val="300"/>
        </w:trPr>
        <w:tc>
          <w:tcPr>
            <w:tcW w:w="6804" w:type="dxa"/>
            <w:tcBorders>
              <w:left w:val="nil"/>
              <w:right w:val="nil"/>
            </w:tcBorders>
            <w:noWrap/>
          </w:tcPr>
          <w:p w:rsidRPr="00C3071B" w:rsidR="00C3071B" w:rsidP="00C3071B" w:rsidRDefault="00C3071B" w14:paraId="03184F26" w14:textId="77777777">
            <w:pPr>
              <w:ind w:left="171" w:firstLine="28" w:firstLineChars="14"/>
              <w:rPr>
                <w:rFonts w:ascii="Arial" w:hAnsi="Arial" w:eastAsia="Times New Roman" w:cs="Arial"/>
                <w:sz w:val="20"/>
                <w:szCs w:val="20"/>
              </w:rPr>
            </w:pPr>
            <w:r w:rsidRPr="00C3071B">
              <w:rPr>
                <w:rFonts w:ascii="Arial" w:hAnsi="Arial" w:cs="Arial"/>
                <w:sz w:val="20"/>
              </w:rPr>
              <w:t>k) Vietējās saistības vietējā valūtā, izņemot atvasinātos instrumentus (uzskatot VNM par vienu jurisdikciju)</w:t>
            </w:r>
          </w:p>
        </w:tc>
        <w:tc>
          <w:tcPr>
            <w:tcW w:w="2745" w:type="dxa"/>
            <w:tcBorders>
              <w:left w:val="nil"/>
              <w:right w:val="nil"/>
            </w:tcBorders>
            <w:noWrap/>
          </w:tcPr>
          <w:p w:rsidRPr="00C3071B" w:rsidR="00C3071B" w:rsidP="00C3071B" w:rsidRDefault="00C3071B" w14:paraId="56A10733" w14:textId="77777777">
            <w:pPr>
              <w:jc w:val="right"/>
              <w:rPr>
                <w:rFonts w:ascii="Arial" w:hAnsi="Arial" w:eastAsia="Times New Roman" w:cs="Arial"/>
                <w:sz w:val="20"/>
                <w:szCs w:val="20"/>
                <w:lang w:eastAsia="en-GB"/>
              </w:rPr>
            </w:pPr>
          </w:p>
        </w:tc>
      </w:tr>
      <w:tr w:rsidRPr="00C3071B" w:rsidR="00C3071B" w:rsidTr="00495D7D" w14:paraId="28063E79" w14:textId="77777777">
        <w:trPr>
          <w:trHeight w:val="300"/>
        </w:trPr>
        <w:tc>
          <w:tcPr>
            <w:tcW w:w="6804" w:type="dxa"/>
            <w:tcBorders>
              <w:left w:val="nil"/>
              <w:right w:val="nil"/>
            </w:tcBorders>
            <w:noWrap/>
          </w:tcPr>
          <w:p w:rsidRPr="00C3071B" w:rsidR="00C3071B" w:rsidP="00C3071B" w:rsidRDefault="00C3071B" w14:paraId="1BB1C0A1" w14:textId="77777777">
            <w:pPr>
              <w:ind w:left="171" w:firstLine="28" w:firstLineChars="14"/>
              <w:rPr>
                <w:rFonts w:ascii="Arial" w:hAnsi="Arial" w:eastAsia="Times New Roman" w:cs="Arial"/>
                <w:sz w:val="20"/>
                <w:szCs w:val="20"/>
              </w:rPr>
            </w:pPr>
            <w:r w:rsidRPr="00C3071B">
              <w:rPr>
                <w:rFonts w:ascii="Arial" w:hAnsi="Arial" w:cs="Arial"/>
                <w:sz w:val="20"/>
              </w:rPr>
              <w:t>l) Vietējās saistības vietējā valūtā, ieskaitot atvasinātos instrumentus (uzskatot VNM par vienotu jurisdikciju)</w:t>
            </w:r>
          </w:p>
        </w:tc>
        <w:tc>
          <w:tcPr>
            <w:tcW w:w="2745" w:type="dxa"/>
            <w:tcBorders>
              <w:left w:val="nil"/>
              <w:right w:val="nil"/>
            </w:tcBorders>
            <w:noWrap/>
          </w:tcPr>
          <w:p w:rsidRPr="00C3071B" w:rsidR="00C3071B" w:rsidP="00C3071B" w:rsidRDefault="00C3071B" w14:paraId="0D3792C5" w14:textId="77777777">
            <w:pPr>
              <w:jc w:val="right"/>
              <w:rPr>
                <w:rFonts w:ascii="Arial" w:hAnsi="Arial" w:eastAsia="Times New Roman" w:cs="Arial"/>
                <w:sz w:val="20"/>
                <w:szCs w:val="20"/>
                <w:lang w:eastAsia="en-GB"/>
              </w:rPr>
            </w:pPr>
          </w:p>
        </w:tc>
      </w:tr>
      <w:tr w:rsidRPr="00C3071B" w:rsidR="00C3071B" w:rsidTr="00495D7D" w14:paraId="7F8F0671" w14:textId="77777777">
        <w:trPr>
          <w:trHeight w:val="300"/>
        </w:trPr>
        <w:tc>
          <w:tcPr>
            <w:tcW w:w="6804" w:type="dxa"/>
            <w:tcBorders>
              <w:left w:val="nil"/>
              <w:right w:val="nil"/>
            </w:tcBorders>
            <w:noWrap/>
          </w:tcPr>
          <w:p w:rsidRPr="00C3071B" w:rsidR="00C3071B" w:rsidP="00C3071B" w:rsidRDefault="00C3071B" w14:paraId="1297768F" w14:textId="77777777">
            <w:pPr>
              <w:ind w:left="171" w:firstLine="28" w:firstLineChars="14"/>
              <w:rPr>
                <w:rFonts w:ascii="Arial" w:hAnsi="Arial" w:eastAsia="Times New Roman" w:cs="Arial"/>
                <w:sz w:val="20"/>
                <w:szCs w:val="20"/>
              </w:rPr>
            </w:pPr>
            <w:r w:rsidRPr="00C3071B">
              <w:rPr>
                <w:rFonts w:ascii="Arial" w:hAnsi="Arial" w:cs="Arial"/>
                <w:sz w:val="20"/>
              </w:rPr>
              <w:t>m) Kopējās neto vietējās pozīcijas vietējā valūtā, ieskaitot atvasinātos instrumentus, ja neto vērtība ir pozitīva</w:t>
            </w:r>
          </w:p>
        </w:tc>
        <w:tc>
          <w:tcPr>
            <w:tcW w:w="2745" w:type="dxa"/>
            <w:tcBorders>
              <w:left w:val="nil"/>
              <w:right w:val="nil"/>
            </w:tcBorders>
            <w:noWrap/>
          </w:tcPr>
          <w:p w:rsidRPr="00C3071B" w:rsidR="00C3071B" w:rsidP="00C3071B" w:rsidRDefault="00C3071B" w14:paraId="57AC142E" w14:textId="77777777">
            <w:pPr>
              <w:jc w:val="right"/>
              <w:rPr>
                <w:rFonts w:ascii="Arial" w:hAnsi="Arial" w:eastAsia="Times New Roman" w:cs="Arial"/>
                <w:sz w:val="20"/>
                <w:szCs w:val="20"/>
                <w:lang w:eastAsia="en-GB"/>
              </w:rPr>
            </w:pPr>
          </w:p>
        </w:tc>
      </w:tr>
      <w:tr w:rsidRPr="00C3071B" w:rsidR="00C3071B" w:rsidTr="00495D7D" w14:paraId="6FB37AA3" w14:textId="77777777">
        <w:trPr>
          <w:trHeight w:val="300"/>
        </w:trPr>
        <w:tc>
          <w:tcPr>
            <w:tcW w:w="6804" w:type="dxa"/>
            <w:tcBorders>
              <w:left w:val="nil"/>
              <w:right w:val="nil"/>
            </w:tcBorders>
            <w:noWrap/>
          </w:tcPr>
          <w:p w:rsidRPr="00C3071B" w:rsidR="00C3071B" w:rsidP="00C3071B" w:rsidRDefault="00C3071B" w14:paraId="2CF7262C" w14:textId="77777777">
            <w:pPr>
              <w:ind w:left="171" w:firstLine="28" w:firstLineChars="14"/>
              <w:rPr>
                <w:rFonts w:ascii="Arial" w:hAnsi="Arial" w:eastAsia="Times New Roman" w:cs="Arial"/>
                <w:sz w:val="20"/>
                <w:szCs w:val="20"/>
              </w:rPr>
            </w:pPr>
            <w:r w:rsidRPr="00C3071B">
              <w:rPr>
                <w:rFonts w:ascii="Arial" w:hAnsi="Arial" w:cs="Arial"/>
                <w:sz w:val="20"/>
              </w:rPr>
              <w:t>n) Kopējās neto vietējās pozīcijas vietējā valūtā, ieskaitot atvasinātos instrumentus, ja neto vērtība ir negatīva</w:t>
            </w:r>
          </w:p>
        </w:tc>
        <w:tc>
          <w:tcPr>
            <w:tcW w:w="2745" w:type="dxa"/>
            <w:tcBorders>
              <w:left w:val="nil"/>
              <w:right w:val="nil"/>
            </w:tcBorders>
            <w:noWrap/>
          </w:tcPr>
          <w:p w:rsidRPr="00C3071B" w:rsidR="00C3071B" w:rsidP="00C3071B" w:rsidRDefault="00C3071B" w14:paraId="2080290C" w14:textId="77777777">
            <w:pPr>
              <w:jc w:val="right"/>
              <w:rPr>
                <w:rFonts w:ascii="Arial" w:hAnsi="Arial" w:eastAsia="Times New Roman" w:cs="Arial"/>
                <w:sz w:val="20"/>
                <w:szCs w:val="20"/>
                <w:lang w:eastAsia="en-GB"/>
              </w:rPr>
            </w:pPr>
          </w:p>
        </w:tc>
      </w:tr>
      <w:tr w:rsidRPr="00C3071B" w:rsidR="00C3071B" w:rsidTr="00495D7D" w14:paraId="0F996EA9" w14:textId="77777777">
        <w:trPr>
          <w:trHeight w:val="300"/>
        </w:trPr>
        <w:tc>
          <w:tcPr>
            <w:tcW w:w="6804" w:type="dxa"/>
            <w:tcBorders>
              <w:left w:val="nil"/>
              <w:right w:val="nil"/>
            </w:tcBorders>
            <w:noWrap/>
          </w:tcPr>
          <w:p w:rsidRPr="00C3071B" w:rsidR="00C3071B" w:rsidP="00C3071B" w:rsidRDefault="00C3071B" w14:paraId="5374B1C8" w14:textId="77777777">
            <w:pPr>
              <w:ind w:left="171" w:firstLine="28" w:firstLineChars="14"/>
              <w:rPr>
                <w:rFonts w:ascii="Arial" w:hAnsi="Arial" w:eastAsia="Times New Roman" w:cs="Arial"/>
                <w:sz w:val="20"/>
                <w:szCs w:val="20"/>
              </w:rPr>
            </w:pPr>
            <w:r w:rsidRPr="00C3071B">
              <w:rPr>
                <w:rFonts w:ascii="Arial" w:hAnsi="Arial" w:cs="Arial"/>
                <w:sz w:val="20"/>
              </w:rPr>
              <w:t>o) Kopējās neto vietējās pozīcijas vietējā valūtā valstīs, kas nav VNM valstis, tostarp atvasinātie instrumenti, ja neto vērtība ir pozitīva (c. VNM kā s. j.)</w:t>
            </w:r>
          </w:p>
        </w:tc>
        <w:tc>
          <w:tcPr>
            <w:tcW w:w="2745" w:type="dxa"/>
            <w:tcBorders>
              <w:left w:val="nil"/>
              <w:right w:val="nil"/>
            </w:tcBorders>
            <w:noWrap/>
          </w:tcPr>
          <w:p w:rsidRPr="00C3071B" w:rsidR="00C3071B" w:rsidP="00C3071B" w:rsidRDefault="00C3071B" w14:paraId="3ED51528" w14:textId="77777777">
            <w:pPr>
              <w:jc w:val="right"/>
              <w:rPr>
                <w:rFonts w:ascii="Arial" w:hAnsi="Arial" w:eastAsia="Times New Roman" w:cs="Arial"/>
                <w:sz w:val="20"/>
                <w:szCs w:val="20"/>
                <w:lang w:eastAsia="en-GB"/>
              </w:rPr>
            </w:pPr>
          </w:p>
        </w:tc>
      </w:tr>
      <w:tr w:rsidRPr="00C3071B" w:rsidR="00C3071B" w:rsidTr="00495D7D" w14:paraId="30AB0576" w14:textId="77777777">
        <w:trPr>
          <w:trHeight w:val="300"/>
        </w:trPr>
        <w:tc>
          <w:tcPr>
            <w:tcW w:w="6804" w:type="dxa"/>
            <w:tcBorders>
              <w:left w:val="nil"/>
              <w:right w:val="nil"/>
            </w:tcBorders>
            <w:noWrap/>
          </w:tcPr>
          <w:p w:rsidRPr="00C3071B" w:rsidR="00C3071B" w:rsidP="00C3071B" w:rsidRDefault="00C3071B" w14:paraId="0C36F5AE" w14:textId="77777777">
            <w:pPr>
              <w:ind w:left="171" w:firstLine="28" w:firstLineChars="14"/>
              <w:rPr>
                <w:rFonts w:ascii="Arial" w:hAnsi="Arial" w:eastAsia="Times New Roman" w:cs="Arial"/>
                <w:sz w:val="20"/>
                <w:szCs w:val="20"/>
              </w:rPr>
            </w:pPr>
            <w:r w:rsidRPr="00C3071B">
              <w:rPr>
                <w:rFonts w:ascii="Arial" w:hAnsi="Arial" w:cs="Arial"/>
                <w:sz w:val="20"/>
              </w:rPr>
              <w:t>p) Kopējās neto vietējās pozīcijas vietējā valūtā valstīs, kas nav VNM valstis, ieskaitot atvasinātos instrumentus, ja neto vērtība ir negatīva (c. VNM kā s. j.)</w:t>
            </w:r>
          </w:p>
        </w:tc>
        <w:tc>
          <w:tcPr>
            <w:tcW w:w="2745" w:type="dxa"/>
            <w:tcBorders>
              <w:left w:val="nil"/>
              <w:right w:val="nil"/>
            </w:tcBorders>
            <w:noWrap/>
          </w:tcPr>
          <w:p w:rsidRPr="00C3071B" w:rsidR="00C3071B" w:rsidP="00C3071B" w:rsidRDefault="00C3071B" w14:paraId="337BD51A" w14:textId="77777777">
            <w:pPr>
              <w:jc w:val="right"/>
              <w:rPr>
                <w:rFonts w:ascii="Arial" w:hAnsi="Arial" w:eastAsia="Times New Roman" w:cs="Arial"/>
                <w:sz w:val="20"/>
                <w:szCs w:val="20"/>
                <w:lang w:eastAsia="en-GB"/>
              </w:rPr>
            </w:pPr>
          </w:p>
        </w:tc>
      </w:tr>
      <w:tr w:rsidRPr="00C3071B" w:rsidR="00C3071B" w:rsidTr="00495D7D" w14:paraId="6630BC6F" w14:textId="77777777">
        <w:trPr>
          <w:trHeight w:val="300"/>
        </w:trPr>
        <w:tc>
          <w:tcPr>
            <w:tcW w:w="6804" w:type="dxa"/>
            <w:tcBorders>
              <w:left w:val="nil"/>
              <w:right w:val="nil"/>
            </w:tcBorders>
            <w:noWrap/>
          </w:tcPr>
          <w:p w:rsidRPr="00C3071B" w:rsidR="00C3071B" w:rsidP="00C3071B" w:rsidRDefault="00C3071B" w14:paraId="2BFD507E" w14:textId="77777777">
            <w:pPr>
              <w:ind w:left="171" w:firstLine="28" w:firstLineChars="14"/>
              <w:rPr>
                <w:rFonts w:ascii="Arial" w:hAnsi="Arial" w:eastAsia="Times New Roman" w:cs="Arial"/>
                <w:sz w:val="20"/>
                <w:szCs w:val="20"/>
              </w:rPr>
            </w:pPr>
            <w:r w:rsidRPr="00C3071B">
              <w:rPr>
                <w:rFonts w:ascii="Arial" w:hAnsi="Arial" w:cs="Arial"/>
                <w:sz w:val="20"/>
              </w:rPr>
              <w:lastRenderedPageBreak/>
              <w:t>q) Kopējās neto vietējās pozīcijas VNM valstu vietējā valūtā, ieskaitot atvasinātos instrumentus (uzskatot VNM par vienotu jurisdikciju)</w:t>
            </w:r>
          </w:p>
        </w:tc>
        <w:tc>
          <w:tcPr>
            <w:tcW w:w="2745" w:type="dxa"/>
            <w:tcBorders>
              <w:left w:val="nil"/>
              <w:right w:val="nil"/>
            </w:tcBorders>
            <w:noWrap/>
          </w:tcPr>
          <w:p w:rsidRPr="00C3071B" w:rsidR="00C3071B" w:rsidP="00C3071B" w:rsidRDefault="00C3071B" w14:paraId="3005B656" w14:textId="77777777">
            <w:pPr>
              <w:jc w:val="right"/>
              <w:rPr>
                <w:rFonts w:ascii="Arial" w:hAnsi="Arial" w:eastAsia="Times New Roman" w:cs="Arial"/>
                <w:sz w:val="20"/>
                <w:szCs w:val="20"/>
                <w:lang w:eastAsia="en-GB"/>
              </w:rPr>
            </w:pPr>
          </w:p>
        </w:tc>
      </w:tr>
      <w:tr w:rsidRPr="00C3071B" w:rsidR="00C3071B" w:rsidTr="00495D7D" w14:paraId="49ACC814" w14:textId="77777777">
        <w:trPr>
          <w:trHeight w:val="300"/>
        </w:trPr>
        <w:tc>
          <w:tcPr>
            <w:tcW w:w="6804" w:type="dxa"/>
            <w:tcBorders>
              <w:left w:val="nil"/>
              <w:right w:val="nil"/>
            </w:tcBorders>
            <w:noWrap/>
          </w:tcPr>
          <w:p w:rsidRPr="00C3071B" w:rsidR="00C3071B" w:rsidP="00C3071B" w:rsidRDefault="00C3071B" w14:paraId="76B9DB31" w14:textId="77777777">
            <w:pPr>
              <w:ind w:firstLine="200" w:firstLineChars="100"/>
              <w:rPr>
                <w:rFonts w:ascii="Arial" w:hAnsi="Arial" w:eastAsia="Times New Roman" w:cs="Arial"/>
                <w:sz w:val="20"/>
                <w:szCs w:val="20"/>
              </w:rPr>
            </w:pPr>
            <w:r w:rsidRPr="00C3071B">
              <w:rPr>
                <w:rFonts w:ascii="Arial" w:hAnsi="Arial" w:cs="Arial"/>
                <w:sz w:val="20"/>
              </w:rPr>
              <w:t xml:space="preserve">r) Biroja iekšējās prasības, ko iegrāmatojuši ārvalstu meitasuzņēmumi </w:t>
            </w:r>
          </w:p>
        </w:tc>
        <w:tc>
          <w:tcPr>
            <w:tcW w:w="2745" w:type="dxa"/>
            <w:tcBorders>
              <w:left w:val="nil"/>
              <w:right w:val="nil"/>
            </w:tcBorders>
            <w:noWrap/>
          </w:tcPr>
          <w:p w:rsidRPr="00C3071B" w:rsidR="00C3071B" w:rsidP="00C3071B" w:rsidRDefault="00C3071B" w14:paraId="531AE414" w14:textId="77777777">
            <w:pPr>
              <w:jc w:val="right"/>
              <w:rPr>
                <w:rFonts w:ascii="Arial" w:hAnsi="Arial" w:eastAsia="Times New Roman" w:cs="Arial"/>
                <w:sz w:val="20"/>
                <w:szCs w:val="20"/>
                <w:lang w:eastAsia="en-GB"/>
              </w:rPr>
            </w:pPr>
          </w:p>
        </w:tc>
      </w:tr>
      <w:tr w:rsidRPr="00C3071B" w:rsidR="00C3071B" w:rsidTr="00495D7D" w14:paraId="425B7E20" w14:textId="77777777">
        <w:trPr>
          <w:trHeight w:val="300"/>
        </w:trPr>
        <w:tc>
          <w:tcPr>
            <w:tcW w:w="6804" w:type="dxa"/>
            <w:tcBorders>
              <w:left w:val="nil"/>
              <w:right w:val="nil"/>
            </w:tcBorders>
            <w:noWrap/>
          </w:tcPr>
          <w:p w:rsidRPr="00C3071B" w:rsidR="00C3071B" w:rsidP="00C3071B" w:rsidRDefault="00C3071B" w14:paraId="048487ED" w14:textId="77777777">
            <w:pPr>
              <w:ind w:firstLine="200" w:firstLineChars="100"/>
              <w:rPr>
                <w:rFonts w:ascii="Arial" w:hAnsi="Arial" w:eastAsia="Times New Roman" w:cs="Arial"/>
                <w:sz w:val="20"/>
                <w:szCs w:val="20"/>
              </w:rPr>
            </w:pPr>
            <w:r w:rsidRPr="00C3071B">
              <w:rPr>
                <w:rFonts w:ascii="Arial" w:hAnsi="Arial" w:cs="Arial"/>
                <w:sz w:val="20"/>
              </w:rPr>
              <w:t xml:space="preserve">s) Biroja iekšējās prasības, ko iegrāmatojušas ārvalstu filiāles </w:t>
            </w:r>
          </w:p>
        </w:tc>
        <w:tc>
          <w:tcPr>
            <w:tcW w:w="2745" w:type="dxa"/>
            <w:tcBorders>
              <w:left w:val="nil"/>
              <w:right w:val="nil"/>
            </w:tcBorders>
            <w:noWrap/>
          </w:tcPr>
          <w:p w:rsidRPr="00C3071B" w:rsidR="00C3071B" w:rsidP="00C3071B" w:rsidRDefault="00C3071B" w14:paraId="6B5F4EB6" w14:textId="77777777">
            <w:pPr>
              <w:jc w:val="right"/>
              <w:rPr>
                <w:rFonts w:ascii="Arial" w:hAnsi="Arial" w:eastAsia="Times New Roman" w:cs="Arial"/>
                <w:sz w:val="20"/>
                <w:szCs w:val="20"/>
                <w:lang w:eastAsia="en-GB"/>
              </w:rPr>
            </w:pPr>
          </w:p>
        </w:tc>
      </w:tr>
      <w:tr w:rsidRPr="00C3071B" w:rsidR="00C3071B" w:rsidTr="00495D7D" w14:paraId="328B177D" w14:textId="77777777">
        <w:trPr>
          <w:trHeight w:val="300"/>
        </w:trPr>
        <w:tc>
          <w:tcPr>
            <w:tcW w:w="6804" w:type="dxa"/>
            <w:tcBorders>
              <w:left w:val="nil"/>
              <w:right w:val="nil"/>
            </w:tcBorders>
            <w:noWrap/>
          </w:tcPr>
          <w:p w:rsidRPr="00C3071B" w:rsidR="00C3071B" w:rsidP="00C3071B" w:rsidRDefault="00C3071B" w14:paraId="4B025B94" w14:textId="77777777">
            <w:pPr>
              <w:ind w:firstLine="200" w:firstLineChars="100"/>
              <w:rPr>
                <w:rFonts w:ascii="Arial" w:hAnsi="Arial" w:eastAsia="Times New Roman" w:cs="Arial"/>
                <w:sz w:val="20"/>
                <w:szCs w:val="20"/>
              </w:rPr>
            </w:pPr>
            <w:r w:rsidRPr="00C3071B">
              <w:rPr>
                <w:rFonts w:ascii="Arial" w:hAnsi="Arial" w:cs="Arial"/>
                <w:sz w:val="20"/>
              </w:rPr>
              <w:t>t) Biroja iekšējās saistības, ko iegrāmatojušas ārvalstu meitasuzņēmumi</w:t>
            </w:r>
          </w:p>
        </w:tc>
        <w:tc>
          <w:tcPr>
            <w:tcW w:w="2745" w:type="dxa"/>
            <w:tcBorders>
              <w:left w:val="nil"/>
              <w:right w:val="nil"/>
            </w:tcBorders>
            <w:noWrap/>
          </w:tcPr>
          <w:p w:rsidRPr="00C3071B" w:rsidR="00C3071B" w:rsidP="00C3071B" w:rsidRDefault="00C3071B" w14:paraId="34802152" w14:textId="77777777">
            <w:pPr>
              <w:jc w:val="right"/>
              <w:rPr>
                <w:rFonts w:ascii="Arial" w:hAnsi="Arial" w:eastAsia="Times New Roman" w:cs="Arial"/>
                <w:sz w:val="20"/>
                <w:szCs w:val="20"/>
                <w:lang w:eastAsia="en-GB"/>
              </w:rPr>
            </w:pPr>
          </w:p>
        </w:tc>
      </w:tr>
      <w:tr w:rsidRPr="00C3071B" w:rsidR="00C3071B" w:rsidTr="00495D7D" w14:paraId="62B76E01" w14:textId="77777777">
        <w:trPr>
          <w:trHeight w:val="300"/>
        </w:trPr>
        <w:tc>
          <w:tcPr>
            <w:tcW w:w="6804" w:type="dxa"/>
            <w:tcBorders>
              <w:left w:val="nil"/>
              <w:right w:val="nil"/>
            </w:tcBorders>
            <w:noWrap/>
          </w:tcPr>
          <w:p w:rsidRPr="00C3071B" w:rsidR="00C3071B" w:rsidP="00C3071B" w:rsidRDefault="00C3071B" w14:paraId="1D10E1F1" w14:textId="77777777">
            <w:pPr>
              <w:ind w:firstLine="200" w:firstLineChars="100"/>
              <w:rPr>
                <w:rFonts w:ascii="Arial" w:hAnsi="Arial" w:eastAsia="Times New Roman" w:cs="Arial"/>
                <w:sz w:val="20"/>
                <w:szCs w:val="20"/>
              </w:rPr>
            </w:pPr>
            <w:r w:rsidRPr="00C3071B">
              <w:rPr>
                <w:rFonts w:ascii="Arial" w:hAnsi="Arial" w:cs="Arial"/>
                <w:sz w:val="20"/>
              </w:rPr>
              <w:t xml:space="preserve">u) Biroja iekšējās saistības, ko iegrāmatojušas ārvalstu meitasuzņēmumi </w:t>
            </w:r>
          </w:p>
        </w:tc>
        <w:tc>
          <w:tcPr>
            <w:tcW w:w="2745" w:type="dxa"/>
            <w:tcBorders>
              <w:left w:val="nil"/>
              <w:right w:val="nil"/>
            </w:tcBorders>
            <w:noWrap/>
          </w:tcPr>
          <w:p w:rsidRPr="00C3071B" w:rsidR="00C3071B" w:rsidP="00C3071B" w:rsidRDefault="00C3071B" w14:paraId="2BB891A0" w14:textId="77777777">
            <w:pPr>
              <w:jc w:val="right"/>
              <w:rPr>
                <w:rFonts w:ascii="Arial" w:hAnsi="Arial" w:eastAsia="Times New Roman" w:cs="Arial"/>
                <w:sz w:val="20"/>
                <w:szCs w:val="20"/>
                <w:lang w:eastAsia="en-GB"/>
              </w:rPr>
            </w:pPr>
          </w:p>
        </w:tc>
      </w:tr>
      <w:tr w:rsidRPr="00C3071B" w:rsidR="00C3071B" w:rsidTr="00495D7D" w14:paraId="3DAD7520" w14:textId="77777777">
        <w:trPr>
          <w:trHeight w:val="300"/>
        </w:trPr>
        <w:tc>
          <w:tcPr>
            <w:tcW w:w="6804" w:type="dxa"/>
            <w:tcBorders>
              <w:left w:val="nil"/>
              <w:right w:val="nil"/>
            </w:tcBorders>
            <w:noWrap/>
          </w:tcPr>
          <w:p w:rsidRPr="00C3071B" w:rsidR="00C3071B" w:rsidP="00C3071B" w:rsidRDefault="00C3071B" w14:paraId="3204161F" w14:textId="77777777">
            <w:pPr>
              <w:ind w:firstLine="200" w:firstLineChars="100"/>
              <w:rPr>
                <w:rFonts w:ascii="Arial" w:hAnsi="Arial" w:eastAsia="Times New Roman" w:cs="Arial"/>
                <w:sz w:val="20"/>
                <w:szCs w:val="20"/>
              </w:rPr>
            </w:pPr>
            <w:r w:rsidRPr="00C3071B">
              <w:rPr>
                <w:rFonts w:ascii="Arial" w:hAnsi="Arial" w:cs="Arial"/>
                <w:sz w:val="20"/>
              </w:rPr>
              <w:t xml:space="preserve">v) Dažādu valstu jurisdikciju prasību ceturkšņa vidējā vērtība </w:t>
            </w:r>
          </w:p>
        </w:tc>
        <w:tc>
          <w:tcPr>
            <w:tcW w:w="2745" w:type="dxa"/>
            <w:tcBorders>
              <w:left w:val="nil"/>
              <w:right w:val="nil"/>
            </w:tcBorders>
            <w:noWrap/>
          </w:tcPr>
          <w:p w:rsidRPr="00C3071B" w:rsidR="00C3071B" w:rsidP="00C3071B" w:rsidRDefault="00C3071B" w14:paraId="61D18378" w14:textId="77777777">
            <w:pPr>
              <w:jc w:val="right"/>
              <w:rPr>
                <w:rFonts w:ascii="Arial" w:hAnsi="Arial" w:eastAsia="Times New Roman" w:cs="Arial"/>
                <w:sz w:val="20"/>
                <w:szCs w:val="20"/>
                <w:lang w:eastAsia="en-GB"/>
              </w:rPr>
            </w:pPr>
          </w:p>
        </w:tc>
      </w:tr>
      <w:tr w:rsidRPr="00C3071B" w:rsidR="00C3071B" w:rsidTr="00495D7D" w14:paraId="1958694B" w14:textId="77777777">
        <w:trPr>
          <w:trHeight w:val="300"/>
        </w:trPr>
        <w:tc>
          <w:tcPr>
            <w:tcW w:w="6804" w:type="dxa"/>
            <w:tcBorders>
              <w:left w:val="nil"/>
              <w:right w:val="nil"/>
            </w:tcBorders>
            <w:noWrap/>
          </w:tcPr>
          <w:p w:rsidRPr="00C3071B" w:rsidR="00C3071B" w:rsidP="00C3071B" w:rsidRDefault="00C3071B" w14:paraId="427320FF" w14:textId="77777777">
            <w:pPr>
              <w:ind w:firstLine="200" w:firstLineChars="100"/>
              <w:rPr>
                <w:rFonts w:ascii="Arial" w:hAnsi="Arial" w:eastAsia="Times New Roman" w:cs="Arial"/>
                <w:sz w:val="20"/>
                <w:szCs w:val="20"/>
              </w:rPr>
            </w:pPr>
            <w:r w:rsidRPr="00C3071B">
              <w:rPr>
                <w:rFonts w:ascii="Arial" w:hAnsi="Arial" w:cs="Arial"/>
                <w:sz w:val="20"/>
              </w:rPr>
              <w:t xml:space="preserve">w) Dažādu valstu jurisdikciju prasību mēneša vidējā vērtība </w:t>
            </w:r>
          </w:p>
        </w:tc>
        <w:tc>
          <w:tcPr>
            <w:tcW w:w="2745" w:type="dxa"/>
            <w:tcBorders>
              <w:left w:val="nil"/>
              <w:right w:val="nil"/>
            </w:tcBorders>
            <w:noWrap/>
          </w:tcPr>
          <w:p w:rsidRPr="00C3071B" w:rsidR="00C3071B" w:rsidP="00C3071B" w:rsidRDefault="00C3071B" w14:paraId="55C59E58" w14:textId="77777777">
            <w:pPr>
              <w:jc w:val="right"/>
              <w:rPr>
                <w:rFonts w:ascii="Arial" w:hAnsi="Arial" w:eastAsia="Times New Roman" w:cs="Arial"/>
                <w:sz w:val="20"/>
                <w:szCs w:val="20"/>
                <w:lang w:eastAsia="en-GB"/>
              </w:rPr>
            </w:pPr>
          </w:p>
        </w:tc>
      </w:tr>
      <w:tr w:rsidRPr="00C3071B" w:rsidR="00C3071B" w:rsidTr="00495D7D" w14:paraId="28EEE127" w14:textId="77777777">
        <w:trPr>
          <w:trHeight w:val="300"/>
        </w:trPr>
        <w:tc>
          <w:tcPr>
            <w:tcW w:w="6804" w:type="dxa"/>
            <w:tcBorders>
              <w:left w:val="nil"/>
              <w:right w:val="nil"/>
            </w:tcBorders>
            <w:noWrap/>
          </w:tcPr>
          <w:p w:rsidRPr="00C3071B" w:rsidR="00C3071B" w:rsidP="00C3071B" w:rsidRDefault="00C3071B" w14:paraId="6FCC151F" w14:textId="77777777">
            <w:pPr>
              <w:ind w:firstLine="200" w:firstLineChars="100"/>
              <w:rPr>
                <w:rFonts w:ascii="Arial" w:hAnsi="Arial" w:eastAsia="Times New Roman" w:cs="Arial"/>
                <w:sz w:val="20"/>
                <w:szCs w:val="20"/>
              </w:rPr>
            </w:pPr>
            <w:r w:rsidRPr="00C3071B">
              <w:rPr>
                <w:rFonts w:ascii="Arial" w:hAnsi="Arial" w:cs="Arial"/>
                <w:sz w:val="20"/>
              </w:rPr>
              <w:t xml:space="preserve">x) Dažādu valstu jurisdikciju saistību ceturkšņa vidējā vērtība </w:t>
            </w:r>
          </w:p>
        </w:tc>
        <w:tc>
          <w:tcPr>
            <w:tcW w:w="2745" w:type="dxa"/>
            <w:tcBorders>
              <w:left w:val="nil"/>
              <w:right w:val="nil"/>
            </w:tcBorders>
            <w:noWrap/>
          </w:tcPr>
          <w:p w:rsidRPr="00C3071B" w:rsidR="00C3071B" w:rsidP="00C3071B" w:rsidRDefault="00C3071B" w14:paraId="03532CEB" w14:textId="77777777">
            <w:pPr>
              <w:jc w:val="right"/>
              <w:rPr>
                <w:rFonts w:ascii="Arial" w:hAnsi="Arial" w:eastAsia="Times New Roman" w:cs="Arial"/>
                <w:sz w:val="20"/>
                <w:szCs w:val="20"/>
                <w:lang w:eastAsia="en-GB"/>
              </w:rPr>
            </w:pPr>
          </w:p>
        </w:tc>
      </w:tr>
      <w:tr w:rsidRPr="00C3071B" w:rsidR="00C3071B" w:rsidTr="00495D7D" w14:paraId="40D6EEBA" w14:textId="77777777">
        <w:trPr>
          <w:trHeight w:val="300"/>
        </w:trPr>
        <w:tc>
          <w:tcPr>
            <w:tcW w:w="6804" w:type="dxa"/>
            <w:tcBorders>
              <w:left w:val="nil"/>
              <w:bottom w:val="single" w:color="auto" w:sz="4" w:space="0"/>
              <w:right w:val="nil"/>
            </w:tcBorders>
            <w:noWrap/>
          </w:tcPr>
          <w:p w:rsidRPr="00C3071B" w:rsidR="00C3071B" w:rsidP="00C3071B" w:rsidRDefault="00C3071B" w14:paraId="6F406E55" w14:textId="77777777">
            <w:pPr>
              <w:ind w:firstLine="200" w:firstLineChars="100"/>
              <w:rPr>
                <w:rFonts w:ascii="Arial" w:hAnsi="Arial" w:eastAsia="Times New Roman" w:cs="Arial"/>
                <w:sz w:val="20"/>
                <w:szCs w:val="20"/>
              </w:rPr>
            </w:pPr>
            <w:r w:rsidRPr="00C3071B">
              <w:rPr>
                <w:rFonts w:ascii="Arial" w:hAnsi="Arial" w:cs="Arial"/>
                <w:sz w:val="20"/>
              </w:rPr>
              <w:t xml:space="preserve">y) Dažādu valstu jurisdikciju saistību mēneša vidējā vērtība </w:t>
            </w:r>
          </w:p>
        </w:tc>
        <w:tc>
          <w:tcPr>
            <w:tcW w:w="2745" w:type="dxa"/>
            <w:tcBorders>
              <w:left w:val="nil"/>
              <w:bottom w:val="single" w:color="auto" w:sz="4" w:space="0"/>
              <w:right w:val="nil"/>
            </w:tcBorders>
            <w:noWrap/>
          </w:tcPr>
          <w:p w:rsidRPr="00C3071B" w:rsidR="00C3071B" w:rsidP="00C3071B" w:rsidRDefault="00C3071B" w14:paraId="15D5A991" w14:textId="77777777">
            <w:pPr>
              <w:jc w:val="right"/>
              <w:rPr>
                <w:rFonts w:ascii="Arial" w:hAnsi="Arial" w:eastAsia="Times New Roman" w:cs="Arial"/>
                <w:sz w:val="20"/>
                <w:szCs w:val="20"/>
                <w:lang w:eastAsia="en-GB"/>
              </w:rPr>
            </w:pPr>
          </w:p>
        </w:tc>
      </w:tr>
      <w:tr w:rsidRPr="00C3071B" w:rsidR="00C3071B" w:rsidTr="00495D7D" w14:paraId="0A2E1DFC" w14:textId="77777777">
        <w:trPr>
          <w:trHeight w:val="300"/>
        </w:trPr>
        <w:tc>
          <w:tcPr>
            <w:tcW w:w="6804" w:type="dxa"/>
            <w:tcBorders>
              <w:left w:val="nil"/>
              <w:bottom w:val="nil"/>
              <w:right w:val="nil"/>
            </w:tcBorders>
            <w:noWrap/>
          </w:tcPr>
          <w:p w:rsidRPr="00C3071B" w:rsidR="00C3071B" w:rsidP="00C3071B" w:rsidRDefault="00C3071B" w14:paraId="10912140"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C3071B" w:rsidR="00C3071B" w:rsidP="00C3071B" w:rsidRDefault="00C3071B" w14:paraId="2AB55943" w14:textId="77777777">
            <w:pPr>
              <w:jc w:val="right"/>
              <w:rPr>
                <w:rFonts w:ascii="Arial" w:hAnsi="Arial" w:eastAsia="Times New Roman" w:cs="Arial"/>
                <w:sz w:val="20"/>
                <w:szCs w:val="20"/>
                <w:lang w:eastAsia="en-GB"/>
              </w:rPr>
            </w:pPr>
          </w:p>
        </w:tc>
      </w:tr>
      <w:tr w:rsidRPr="00C3071B" w:rsidR="00C3071B" w:rsidTr="00495D7D" w14:paraId="41748FE5" w14:textId="77777777">
        <w:trPr>
          <w:trHeight w:val="300"/>
        </w:trPr>
        <w:tc>
          <w:tcPr>
            <w:tcW w:w="6804" w:type="dxa"/>
            <w:tcBorders>
              <w:top w:val="nil"/>
              <w:left w:val="nil"/>
              <w:right w:val="nil"/>
            </w:tcBorders>
            <w:noWrap/>
          </w:tcPr>
          <w:p w:rsidRPr="00C3071B" w:rsidR="00C3071B" w:rsidP="00C3071B" w:rsidRDefault="00C3071B" w14:paraId="2640FA54" w14:textId="77777777">
            <w:pPr>
              <w:rPr>
                <w:rFonts w:ascii="Arial" w:hAnsi="Arial" w:eastAsia="Times New Roman" w:cs="Arial"/>
                <w:sz w:val="20"/>
                <w:szCs w:val="20"/>
              </w:rPr>
            </w:pPr>
            <w:r w:rsidRPr="00C3071B">
              <w:rPr>
                <w:rFonts w:ascii="Arial" w:hAnsi="Arial" w:cs="Arial"/>
                <w:b/>
                <w:sz w:val="20"/>
              </w:rPr>
              <w:t>22. sadaļa. Papildu rādītāji</w:t>
            </w:r>
          </w:p>
        </w:tc>
        <w:tc>
          <w:tcPr>
            <w:tcW w:w="2745" w:type="dxa"/>
            <w:tcBorders>
              <w:top w:val="nil"/>
              <w:left w:val="nil"/>
              <w:right w:val="nil"/>
            </w:tcBorders>
            <w:noWrap/>
          </w:tcPr>
          <w:p w:rsidRPr="00C3071B" w:rsidR="00C3071B" w:rsidP="00C3071B" w:rsidRDefault="00C3071B" w14:paraId="25D041AF" w14:textId="77777777">
            <w:pPr>
              <w:jc w:val="right"/>
              <w:rPr>
                <w:rFonts w:ascii="Arial" w:hAnsi="Arial" w:eastAsia="Times New Roman" w:cs="Arial"/>
                <w:sz w:val="20"/>
                <w:szCs w:val="20"/>
                <w:lang w:eastAsia="en-GB"/>
              </w:rPr>
            </w:pPr>
          </w:p>
        </w:tc>
      </w:tr>
      <w:tr w:rsidRPr="00C3071B" w:rsidR="00C3071B" w:rsidTr="00495D7D" w14:paraId="0F4585AC" w14:textId="77777777">
        <w:trPr>
          <w:trHeight w:val="300"/>
        </w:trPr>
        <w:tc>
          <w:tcPr>
            <w:tcW w:w="6804" w:type="dxa"/>
            <w:tcBorders>
              <w:left w:val="nil"/>
              <w:right w:val="nil"/>
            </w:tcBorders>
            <w:noWrap/>
          </w:tcPr>
          <w:p w:rsidRPr="00C3071B" w:rsidR="00C3071B" w:rsidP="00C3071B" w:rsidRDefault="00C3071B" w14:paraId="2FC11C4F" w14:textId="77777777">
            <w:pPr>
              <w:ind w:firstLine="200" w:firstLineChars="100"/>
              <w:rPr>
                <w:rFonts w:ascii="Arial" w:hAnsi="Arial" w:eastAsia="Times New Roman" w:cs="Arial"/>
                <w:sz w:val="20"/>
                <w:szCs w:val="20"/>
              </w:rPr>
            </w:pPr>
            <w:r w:rsidRPr="00C3071B">
              <w:rPr>
                <w:rFonts w:ascii="Arial" w:hAnsi="Arial" w:cs="Arial"/>
                <w:sz w:val="20"/>
              </w:rPr>
              <w:t>a) Ārvalstu neto ieņēmumi (uzskatot VNM par vienotu jurisdikciju)</w:t>
            </w:r>
          </w:p>
        </w:tc>
        <w:tc>
          <w:tcPr>
            <w:tcW w:w="2745" w:type="dxa"/>
            <w:tcBorders>
              <w:left w:val="nil"/>
              <w:right w:val="nil"/>
            </w:tcBorders>
            <w:noWrap/>
          </w:tcPr>
          <w:p w:rsidRPr="00C3071B" w:rsidR="00C3071B" w:rsidP="00C3071B" w:rsidRDefault="00C3071B" w14:paraId="1E67CD8E" w14:textId="77777777">
            <w:pPr>
              <w:jc w:val="right"/>
              <w:rPr>
                <w:rFonts w:ascii="Arial" w:hAnsi="Arial" w:eastAsia="Times New Roman" w:cs="Arial"/>
                <w:sz w:val="20"/>
                <w:szCs w:val="20"/>
                <w:lang w:eastAsia="en-GB"/>
              </w:rPr>
            </w:pPr>
          </w:p>
        </w:tc>
      </w:tr>
      <w:tr w:rsidRPr="00C3071B" w:rsidR="00C3071B" w:rsidTr="00495D7D" w14:paraId="55729F90" w14:textId="77777777">
        <w:trPr>
          <w:trHeight w:val="300"/>
        </w:trPr>
        <w:tc>
          <w:tcPr>
            <w:tcW w:w="6804" w:type="dxa"/>
            <w:tcBorders>
              <w:left w:val="nil"/>
              <w:bottom w:val="single" w:color="auto" w:sz="4" w:space="0"/>
              <w:right w:val="nil"/>
            </w:tcBorders>
            <w:noWrap/>
          </w:tcPr>
          <w:p w:rsidRPr="00C3071B" w:rsidR="00C3071B" w:rsidP="00C3071B" w:rsidRDefault="00C3071B" w14:paraId="7925DD17" w14:textId="77777777">
            <w:pPr>
              <w:ind w:firstLine="200" w:firstLineChars="100"/>
              <w:rPr>
                <w:rFonts w:ascii="Arial" w:hAnsi="Arial" w:eastAsia="Times New Roman" w:cs="Arial"/>
                <w:sz w:val="20"/>
                <w:szCs w:val="20"/>
              </w:rPr>
            </w:pPr>
            <w:r w:rsidRPr="00C3071B">
              <w:rPr>
                <w:rFonts w:ascii="Arial" w:hAnsi="Arial" w:cs="Arial"/>
                <w:sz w:val="20"/>
              </w:rPr>
              <w:t>b) Jurisdikciju skaits (uzskatot VNM par vienotu jurisdikciju)</w:t>
            </w:r>
          </w:p>
        </w:tc>
        <w:tc>
          <w:tcPr>
            <w:tcW w:w="2745" w:type="dxa"/>
            <w:tcBorders>
              <w:left w:val="nil"/>
              <w:right w:val="nil"/>
            </w:tcBorders>
            <w:noWrap/>
          </w:tcPr>
          <w:p w:rsidRPr="00C3071B" w:rsidR="00C3071B" w:rsidP="00C3071B" w:rsidRDefault="00C3071B" w14:paraId="3C9FB1BE" w14:textId="77777777">
            <w:pPr>
              <w:jc w:val="right"/>
              <w:rPr>
                <w:rFonts w:ascii="Arial" w:hAnsi="Arial" w:eastAsia="Times New Roman" w:cs="Arial"/>
                <w:sz w:val="20"/>
                <w:szCs w:val="20"/>
                <w:lang w:eastAsia="en-GB"/>
              </w:rPr>
            </w:pPr>
          </w:p>
        </w:tc>
      </w:tr>
      <w:tr w:rsidRPr="00C3071B" w:rsidR="00C3071B" w:rsidTr="00495D7D" w14:paraId="2044C21C" w14:textId="77777777">
        <w:trPr>
          <w:trHeight w:val="300"/>
        </w:trPr>
        <w:tc>
          <w:tcPr>
            <w:tcW w:w="6804" w:type="dxa"/>
            <w:tcBorders>
              <w:left w:val="nil"/>
              <w:bottom w:val="nil"/>
              <w:right w:val="nil"/>
            </w:tcBorders>
            <w:noWrap/>
          </w:tcPr>
          <w:p w:rsidRPr="00C3071B" w:rsidR="00C3071B" w:rsidP="00C3071B" w:rsidRDefault="00C3071B" w14:paraId="2960337A"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C3071B" w:rsidR="00C3071B" w:rsidP="00C3071B" w:rsidRDefault="00C3071B" w14:paraId="6AA392D4" w14:textId="77777777">
            <w:pPr>
              <w:jc w:val="right"/>
              <w:rPr>
                <w:rFonts w:ascii="Arial" w:hAnsi="Arial" w:eastAsia="Times New Roman" w:cs="Arial"/>
                <w:sz w:val="20"/>
                <w:szCs w:val="20"/>
                <w:lang w:eastAsia="en-GB"/>
              </w:rPr>
            </w:pPr>
          </w:p>
        </w:tc>
      </w:tr>
      <w:tr w:rsidRPr="00C3071B" w:rsidR="00C3071B" w:rsidTr="00495D7D" w14:paraId="63663435" w14:textId="77777777">
        <w:trPr>
          <w:trHeight w:val="300"/>
        </w:trPr>
        <w:tc>
          <w:tcPr>
            <w:tcW w:w="6804" w:type="dxa"/>
            <w:tcBorders>
              <w:top w:val="nil"/>
              <w:left w:val="nil"/>
              <w:bottom w:val="nil"/>
              <w:right w:val="nil"/>
            </w:tcBorders>
            <w:noWrap/>
          </w:tcPr>
          <w:p w:rsidRPr="00C3071B" w:rsidR="00C3071B" w:rsidP="00C3071B" w:rsidRDefault="00C3071B" w14:paraId="08D75FA7" w14:textId="77777777">
            <w:pPr>
              <w:ind w:firstLine="221" w:firstLineChars="100"/>
              <w:rPr>
                <w:rFonts w:ascii="Arial" w:hAnsi="Arial" w:eastAsia="Times New Roman" w:cs="Arial"/>
                <w:sz w:val="20"/>
                <w:szCs w:val="20"/>
              </w:rPr>
            </w:pPr>
            <w:r w:rsidRPr="00C3071B">
              <w:rPr>
                <w:rFonts w:ascii="Calibri Light" w:hAnsi="Calibri Light" w:cs="Arial"/>
                <w:b/>
                <w:i/>
                <w:caps/>
              </w:rPr>
              <w:t>Pārbaudes kopsavilkums</w:t>
            </w:r>
          </w:p>
        </w:tc>
        <w:tc>
          <w:tcPr>
            <w:tcW w:w="2745" w:type="dxa"/>
            <w:tcBorders>
              <w:top w:val="nil"/>
              <w:left w:val="nil"/>
              <w:bottom w:val="nil"/>
              <w:right w:val="nil"/>
            </w:tcBorders>
            <w:noWrap/>
          </w:tcPr>
          <w:p w:rsidRPr="00C3071B" w:rsidR="00C3071B" w:rsidP="00C3071B" w:rsidRDefault="00C3071B" w14:paraId="497D34FA" w14:textId="77777777">
            <w:pPr>
              <w:jc w:val="right"/>
              <w:rPr>
                <w:rFonts w:ascii="Arial" w:hAnsi="Arial" w:eastAsia="Times New Roman" w:cs="Arial"/>
                <w:sz w:val="20"/>
                <w:szCs w:val="20"/>
                <w:lang w:eastAsia="en-GB"/>
              </w:rPr>
            </w:pPr>
          </w:p>
        </w:tc>
      </w:tr>
      <w:tr w:rsidRPr="00C3071B" w:rsidR="00C3071B" w:rsidTr="00495D7D" w14:paraId="5FD169AF" w14:textId="77777777">
        <w:trPr>
          <w:trHeight w:val="300"/>
        </w:trPr>
        <w:tc>
          <w:tcPr>
            <w:tcW w:w="6804" w:type="dxa"/>
            <w:tcBorders>
              <w:top w:val="nil"/>
              <w:left w:val="nil"/>
              <w:bottom w:val="single" w:color="auto" w:sz="4" w:space="0"/>
              <w:right w:val="nil"/>
            </w:tcBorders>
            <w:noWrap/>
          </w:tcPr>
          <w:p w:rsidRPr="00C3071B" w:rsidR="00C3071B" w:rsidP="00C3071B" w:rsidRDefault="00C3071B" w14:paraId="62EDC9D7"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C3071B" w:rsidR="00C3071B" w:rsidP="00C3071B" w:rsidRDefault="00C3071B" w14:paraId="57652F38" w14:textId="77777777">
            <w:pPr>
              <w:jc w:val="right"/>
              <w:rPr>
                <w:rFonts w:ascii="Arial" w:hAnsi="Arial" w:eastAsia="Times New Roman" w:cs="Arial"/>
                <w:sz w:val="20"/>
                <w:szCs w:val="20"/>
                <w:lang w:eastAsia="en-GB"/>
              </w:rPr>
            </w:pPr>
          </w:p>
        </w:tc>
      </w:tr>
      <w:tr w:rsidRPr="00C3071B" w:rsidR="00C3071B" w:rsidTr="00495D7D" w14:paraId="10E7FBD3" w14:textId="77777777">
        <w:trPr>
          <w:trHeight w:val="300"/>
        </w:trPr>
        <w:tc>
          <w:tcPr>
            <w:tcW w:w="6804" w:type="dxa"/>
            <w:tcBorders>
              <w:left w:val="nil"/>
              <w:bottom w:val="single" w:color="auto" w:sz="4" w:space="0"/>
              <w:right w:val="nil"/>
            </w:tcBorders>
            <w:noWrap/>
          </w:tcPr>
          <w:p w:rsidRPr="00C3071B" w:rsidR="00C3071B" w:rsidP="00C3071B" w:rsidRDefault="00C3071B" w14:paraId="7FD03F74" w14:textId="77777777">
            <w:pPr>
              <w:rPr>
                <w:rFonts w:ascii="Arial" w:hAnsi="Arial" w:eastAsia="Times New Roman" w:cs="Arial"/>
                <w:sz w:val="20"/>
                <w:szCs w:val="20"/>
              </w:rPr>
            </w:pPr>
            <w:r w:rsidRPr="00C3071B">
              <w:rPr>
                <w:rFonts w:ascii="Calibri" w:hAnsi="Calibri" w:cs="Arial"/>
                <w:b/>
              </w:rPr>
              <w:t>23. iedaļa. Rādītāju vērtības (pārskatītā metodika)</w:t>
            </w:r>
          </w:p>
        </w:tc>
        <w:tc>
          <w:tcPr>
            <w:tcW w:w="2745" w:type="dxa"/>
            <w:tcBorders>
              <w:left w:val="nil"/>
              <w:right w:val="nil"/>
            </w:tcBorders>
            <w:noWrap/>
          </w:tcPr>
          <w:p w:rsidRPr="00C3071B" w:rsidR="00C3071B" w:rsidP="00C3071B" w:rsidRDefault="00C3071B" w14:paraId="731F4005" w14:textId="77777777">
            <w:pPr>
              <w:jc w:val="center"/>
              <w:rPr>
                <w:rFonts w:ascii="Arial" w:hAnsi="Arial" w:eastAsia="Times New Roman" w:cs="Arial"/>
                <w:sz w:val="20"/>
                <w:szCs w:val="20"/>
              </w:rPr>
            </w:pPr>
            <w:r w:rsidRPr="00C3071B">
              <w:rPr>
                <w:rFonts w:ascii="Calibri" w:hAnsi="Calibri" w:cs="Arial"/>
                <w:b/>
              </w:rPr>
              <w:t>Rādītāja vērtība pārskata valūtā</w:t>
            </w:r>
          </w:p>
        </w:tc>
      </w:tr>
      <w:tr w:rsidRPr="00C3071B" w:rsidR="00C3071B" w:rsidTr="00495D7D" w14:paraId="606D023B" w14:textId="77777777">
        <w:trPr>
          <w:trHeight w:val="300"/>
        </w:trPr>
        <w:tc>
          <w:tcPr>
            <w:tcW w:w="6804" w:type="dxa"/>
            <w:tcBorders>
              <w:left w:val="nil"/>
              <w:bottom w:val="single" w:color="auto" w:sz="4" w:space="0"/>
              <w:right w:val="nil"/>
            </w:tcBorders>
            <w:noWrap/>
          </w:tcPr>
          <w:p w:rsidRPr="00C3071B" w:rsidR="00C3071B" w:rsidP="00C3071B" w:rsidRDefault="00C3071B" w14:paraId="2EB498CF" w14:textId="77777777">
            <w:pPr>
              <w:ind w:left="171" w:firstLine="48" w:firstLineChars="22"/>
              <w:rPr>
                <w:rFonts w:ascii="Arial" w:hAnsi="Arial" w:eastAsia="Times New Roman" w:cs="Arial"/>
                <w:sz w:val="20"/>
                <w:szCs w:val="20"/>
              </w:rPr>
            </w:pPr>
            <w:r w:rsidRPr="00C3071B">
              <w:rPr>
                <w:rFonts w:ascii="Calibri" w:hAnsi="Calibri" w:cs="Arial"/>
              </w:rPr>
              <w:t>a) 2. sadaļa. Kopējo riska darījumu rādītājs, tostarp apdrošināšanas meitasuzņēmumi</w:t>
            </w:r>
          </w:p>
        </w:tc>
        <w:tc>
          <w:tcPr>
            <w:tcW w:w="2745" w:type="dxa"/>
            <w:tcBorders>
              <w:left w:val="nil"/>
              <w:right w:val="nil"/>
            </w:tcBorders>
            <w:noWrap/>
          </w:tcPr>
          <w:p w:rsidRPr="00C3071B" w:rsidR="00C3071B" w:rsidP="00C3071B" w:rsidRDefault="00C3071B" w14:paraId="6156F7CB" w14:textId="77777777">
            <w:pPr>
              <w:jc w:val="right"/>
              <w:rPr>
                <w:rFonts w:ascii="Arial" w:hAnsi="Arial" w:eastAsia="Times New Roman" w:cs="Arial"/>
                <w:sz w:val="20"/>
                <w:szCs w:val="20"/>
                <w:lang w:eastAsia="en-GB"/>
              </w:rPr>
            </w:pPr>
          </w:p>
        </w:tc>
      </w:tr>
      <w:tr w:rsidRPr="00C3071B" w:rsidR="00C3071B" w:rsidTr="00495D7D" w14:paraId="2CF452FE" w14:textId="77777777">
        <w:trPr>
          <w:trHeight w:val="300"/>
        </w:trPr>
        <w:tc>
          <w:tcPr>
            <w:tcW w:w="6804" w:type="dxa"/>
            <w:tcBorders>
              <w:left w:val="nil"/>
              <w:bottom w:val="single" w:color="auto" w:sz="4" w:space="0"/>
              <w:right w:val="nil"/>
            </w:tcBorders>
            <w:noWrap/>
          </w:tcPr>
          <w:p w:rsidRPr="00C3071B" w:rsidR="00C3071B" w:rsidP="00C3071B" w:rsidRDefault="00C3071B" w14:paraId="50FB8951" w14:textId="77777777">
            <w:pPr>
              <w:ind w:left="171" w:firstLine="48" w:firstLineChars="22"/>
              <w:rPr>
                <w:rFonts w:ascii="Arial" w:hAnsi="Arial" w:eastAsia="Times New Roman" w:cs="Arial"/>
                <w:sz w:val="20"/>
                <w:szCs w:val="20"/>
              </w:rPr>
            </w:pPr>
            <w:r w:rsidRPr="00C3071B">
              <w:rPr>
                <w:rFonts w:ascii="Calibri" w:hAnsi="Calibri" w:cs="Arial"/>
              </w:rPr>
              <w:t>b) 3. sadaļa. Finanšu sistēmas iekšējo aktīvu rādītājs, tostarp apdrošināšanas meitasuzņēmumi</w:t>
            </w:r>
          </w:p>
        </w:tc>
        <w:tc>
          <w:tcPr>
            <w:tcW w:w="2745" w:type="dxa"/>
            <w:tcBorders>
              <w:left w:val="nil"/>
              <w:right w:val="nil"/>
            </w:tcBorders>
            <w:noWrap/>
          </w:tcPr>
          <w:p w:rsidRPr="00C3071B" w:rsidR="00C3071B" w:rsidP="00C3071B" w:rsidRDefault="00C3071B" w14:paraId="5CCFDA3E" w14:textId="77777777">
            <w:pPr>
              <w:jc w:val="right"/>
              <w:rPr>
                <w:rFonts w:ascii="Arial" w:hAnsi="Arial" w:eastAsia="Times New Roman" w:cs="Arial"/>
                <w:sz w:val="20"/>
                <w:szCs w:val="20"/>
                <w:lang w:eastAsia="en-GB"/>
              </w:rPr>
            </w:pPr>
          </w:p>
        </w:tc>
      </w:tr>
      <w:tr w:rsidRPr="00C3071B" w:rsidR="00C3071B" w:rsidTr="00495D7D" w14:paraId="10A87A4C" w14:textId="77777777">
        <w:trPr>
          <w:trHeight w:val="300"/>
        </w:trPr>
        <w:tc>
          <w:tcPr>
            <w:tcW w:w="6804" w:type="dxa"/>
            <w:tcBorders>
              <w:left w:val="nil"/>
              <w:bottom w:val="single" w:color="auto" w:sz="4" w:space="0"/>
              <w:right w:val="nil"/>
            </w:tcBorders>
            <w:noWrap/>
          </w:tcPr>
          <w:p w:rsidRPr="00C3071B" w:rsidR="00C3071B" w:rsidP="00C3071B" w:rsidRDefault="00C3071B" w14:paraId="3420A547" w14:textId="77777777">
            <w:pPr>
              <w:ind w:left="171" w:firstLine="48" w:firstLineChars="22"/>
              <w:rPr>
                <w:rFonts w:ascii="Arial" w:hAnsi="Arial" w:eastAsia="Times New Roman" w:cs="Arial"/>
                <w:sz w:val="20"/>
                <w:szCs w:val="20"/>
              </w:rPr>
            </w:pPr>
            <w:r w:rsidRPr="00C3071B">
              <w:rPr>
                <w:rFonts w:ascii="Calibri" w:hAnsi="Calibri" w:cs="Arial"/>
              </w:rPr>
              <w:t>c) 4. sadaļa. Finanšu sistēmas iekšējo saistību rādītājs, tostarp apdrošināšanas meitasuzņēmumi</w:t>
            </w:r>
          </w:p>
        </w:tc>
        <w:tc>
          <w:tcPr>
            <w:tcW w:w="2745" w:type="dxa"/>
            <w:tcBorders>
              <w:left w:val="nil"/>
              <w:right w:val="nil"/>
            </w:tcBorders>
            <w:noWrap/>
          </w:tcPr>
          <w:p w:rsidRPr="00C3071B" w:rsidR="00C3071B" w:rsidP="00C3071B" w:rsidRDefault="00C3071B" w14:paraId="637167D0" w14:textId="77777777">
            <w:pPr>
              <w:jc w:val="right"/>
              <w:rPr>
                <w:rFonts w:ascii="Arial" w:hAnsi="Arial" w:eastAsia="Times New Roman" w:cs="Arial"/>
                <w:sz w:val="20"/>
                <w:szCs w:val="20"/>
                <w:lang w:eastAsia="en-GB"/>
              </w:rPr>
            </w:pPr>
          </w:p>
        </w:tc>
      </w:tr>
      <w:tr w:rsidRPr="00C3071B" w:rsidR="00C3071B" w:rsidTr="00495D7D" w14:paraId="6D864060" w14:textId="77777777">
        <w:trPr>
          <w:trHeight w:val="300"/>
        </w:trPr>
        <w:tc>
          <w:tcPr>
            <w:tcW w:w="6804" w:type="dxa"/>
            <w:tcBorders>
              <w:left w:val="nil"/>
              <w:bottom w:val="single" w:color="auto" w:sz="4" w:space="0"/>
              <w:right w:val="nil"/>
            </w:tcBorders>
            <w:noWrap/>
          </w:tcPr>
          <w:p w:rsidRPr="00C3071B" w:rsidR="00C3071B" w:rsidP="00C3071B" w:rsidRDefault="00C3071B" w14:paraId="2A686005" w14:textId="77777777">
            <w:pPr>
              <w:ind w:left="171" w:firstLine="48" w:firstLineChars="22"/>
              <w:rPr>
                <w:rFonts w:ascii="Arial" w:hAnsi="Arial" w:eastAsia="Times New Roman" w:cs="Arial"/>
                <w:sz w:val="20"/>
                <w:szCs w:val="20"/>
              </w:rPr>
            </w:pPr>
            <w:r w:rsidRPr="00C3071B">
              <w:rPr>
                <w:rFonts w:ascii="Calibri" w:hAnsi="Calibri" w:cs="Arial"/>
              </w:rPr>
              <w:t>d) 5. sadaļa. Nesamaksāto vērtspapīru rādītājs, tostarp apdrošināšanas meitasuzņēmumi</w:t>
            </w:r>
          </w:p>
        </w:tc>
        <w:tc>
          <w:tcPr>
            <w:tcW w:w="2745" w:type="dxa"/>
            <w:tcBorders>
              <w:left w:val="nil"/>
              <w:right w:val="nil"/>
            </w:tcBorders>
            <w:noWrap/>
          </w:tcPr>
          <w:p w:rsidRPr="00C3071B" w:rsidR="00C3071B" w:rsidP="00C3071B" w:rsidRDefault="00C3071B" w14:paraId="01387251" w14:textId="77777777">
            <w:pPr>
              <w:jc w:val="right"/>
              <w:rPr>
                <w:rFonts w:ascii="Arial" w:hAnsi="Arial" w:eastAsia="Times New Roman" w:cs="Arial"/>
                <w:sz w:val="20"/>
                <w:szCs w:val="20"/>
                <w:lang w:eastAsia="en-GB"/>
              </w:rPr>
            </w:pPr>
          </w:p>
        </w:tc>
      </w:tr>
      <w:tr w:rsidRPr="00C3071B" w:rsidR="00C3071B" w:rsidTr="00495D7D" w14:paraId="198D52A6" w14:textId="77777777">
        <w:trPr>
          <w:trHeight w:val="300"/>
        </w:trPr>
        <w:tc>
          <w:tcPr>
            <w:tcW w:w="6804" w:type="dxa"/>
            <w:tcBorders>
              <w:left w:val="nil"/>
              <w:bottom w:val="single" w:color="auto" w:sz="4" w:space="0"/>
              <w:right w:val="nil"/>
            </w:tcBorders>
            <w:noWrap/>
          </w:tcPr>
          <w:p w:rsidRPr="00C3071B" w:rsidR="00C3071B" w:rsidP="00C3071B" w:rsidRDefault="00C3071B" w14:paraId="5260907F" w14:textId="77777777">
            <w:pPr>
              <w:ind w:firstLine="220" w:firstLineChars="100"/>
              <w:rPr>
                <w:rFonts w:ascii="Arial" w:hAnsi="Arial" w:eastAsia="Times New Roman" w:cs="Arial"/>
                <w:sz w:val="20"/>
                <w:szCs w:val="20"/>
              </w:rPr>
            </w:pPr>
            <w:r w:rsidRPr="00C3071B">
              <w:rPr>
                <w:rFonts w:ascii="Calibri" w:hAnsi="Calibri" w:cs="Arial"/>
              </w:rPr>
              <w:t>e) 6. sadaļa. Maksājumu darbības rādītājs</w:t>
            </w:r>
          </w:p>
        </w:tc>
        <w:tc>
          <w:tcPr>
            <w:tcW w:w="2745" w:type="dxa"/>
            <w:tcBorders>
              <w:left w:val="nil"/>
              <w:right w:val="nil"/>
            </w:tcBorders>
            <w:noWrap/>
          </w:tcPr>
          <w:p w:rsidRPr="00C3071B" w:rsidR="00C3071B" w:rsidP="00C3071B" w:rsidRDefault="00C3071B" w14:paraId="5D94339F" w14:textId="77777777">
            <w:pPr>
              <w:jc w:val="right"/>
              <w:rPr>
                <w:rFonts w:ascii="Arial" w:hAnsi="Arial" w:eastAsia="Times New Roman" w:cs="Arial"/>
                <w:sz w:val="20"/>
                <w:szCs w:val="20"/>
                <w:lang w:eastAsia="en-GB"/>
              </w:rPr>
            </w:pPr>
          </w:p>
        </w:tc>
      </w:tr>
      <w:tr w:rsidRPr="00C3071B" w:rsidR="00C3071B" w:rsidTr="00495D7D" w14:paraId="647F33EA" w14:textId="77777777">
        <w:trPr>
          <w:trHeight w:val="300"/>
        </w:trPr>
        <w:tc>
          <w:tcPr>
            <w:tcW w:w="6804" w:type="dxa"/>
            <w:tcBorders>
              <w:left w:val="nil"/>
              <w:bottom w:val="single" w:color="auto" w:sz="4" w:space="0"/>
              <w:right w:val="nil"/>
            </w:tcBorders>
            <w:noWrap/>
          </w:tcPr>
          <w:p w:rsidRPr="00C3071B" w:rsidR="00C3071B" w:rsidP="00C3071B" w:rsidRDefault="00C3071B" w14:paraId="5DA875C2" w14:textId="77777777">
            <w:pPr>
              <w:ind w:firstLine="220" w:firstLineChars="100"/>
              <w:rPr>
                <w:rFonts w:ascii="Arial" w:hAnsi="Arial" w:eastAsia="Times New Roman" w:cs="Arial"/>
                <w:sz w:val="20"/>
                <w:szCs w:val="20"/>
              </w:rPr>
            </w:pPr>
            <w:r w:rsidRPr="00C3071B">
              <w:rPr>
                <w:rFonts w:ascii="Calibri" w:hAnsi="Calibri" w:cs="Arial"/>
              </w:rPr>
              <w:t>f) 7. sadaļa. Glabāšanā esošo aktīvu rādītājs</w:t>
            </w:r>
          </w:p>
        </w:tc>
        <w:tc>
          <w:tcPr>
            <w:tcW w:w="2745" w:type="dxa"/>
            <w:tcBorders>
              <w:left w:val="nil"/>
              <w:right w:val="nil"/>
            </w:tcBorders>
            <w:noWrap/>
          </w:tcPr>
          <w:p w:rsidRPr="00C3071B" w:rsidR="00C3071B" w:rsidP="00C3071B" w:rsidRDefault="00C3071B" w14:paraId="22BA69F2" w14:textId="77777777">
            <w:pPr>
              <w:jc w:val="right"/>
              <w:rPr>
                <w:rFonts w:ascii="Arial" w:hAnsi="Arial" w:eastAsia="Times New Roman" w:cs="Arial"/>
                <w:sz w:val="20"/>
                <w:szCs w:val="20"/>
                <w:lang w:eastAsia="en-GB"/>
              </w:rPr>
            </w:pPr>
          </w:p>
        </w:tc>
      </w:tr>
      <w:tr w:rsidRPr="00C3071B" w:rsidR="00C3071B" w:rsidTr="00495D7D" w14:paraId="3CDD494C" w14:textId="77777777">
        <w:trPr>
          <w:trHeight w:val="300"/>
        </w:trPr>
        <w:tc>
          <w:tcPr>
            <w:tcW w:w="6804" w:type="dxa"/>
            <w:tcBorders>
              <w:left w:val="nil"/>
              <w:bottom w:val="single" w:color="auto" w:sz="4" w:space="0"/>
              <w:right w:val="nil"/>
            </w:tcBorders>
            <w:noWrap/>
          </w:tcPr>
          <w:p w:rsidRPr="00C3071B" w:rsidR="00C3071B" w:rsidP="00C3071B" w:rsidRDefault="00C3071B" w14:paraId="7EF79163" w14:textId="77777777">
            <w:pPr>
              <w:ind w:firstLine="220" w:firstLineChars="100"/>
              <w:rPr>
                <w:rFonts w:ascii="Arial" w:hAnsi="Arial" w:eastAsia="Times New Roman" w:cs="Arial"/>
                <w:sz w:val="20"/>
                <w:szCs w:val="20"/>
              </w:rPr>
            </w:pPr>
            <w:r w:rsidRPr="00C3071B">
              <w:rPr>
                <w:rFonts w:ascii="Calibri" w:hAnsi="Calibri" w:cs="Arial"/>
              </w:rPr>
              <w:t>g) 8. sadaļa. Sākotnējās izvietošanas darbības rādītājs</w:t>
            </w:r>
          </w:p>
        </w:tc>
        <w:tc>
          <w:tcPr>
            <w:tcW w:w="2745" w:type="dxa"/>
            <w:tcBorders>
              <w:left w:val="nil"/>
              <w:right w:val="nil"/>
            </w:tcBorders>
            <w:noWrap/>
          </w:tcPr>
          <w:p w:rsidRPr="00C3071B" w:rsidR="00C3071B" w:rsidP="00C3071B" w:rsidRDefault="00C3071B" w14:paraId="7A918D0E" w14:textId="77777777">
            <w:pPr>
              <w:jc w:val="right"/>
              <w:rPr>
                <w:rFonts w:ascii="Arial" w:hAnsi="Arial" w:eastAsia="Times New Roman" w:cs="Arial"/>
                <w:sz w:val="20"/>
                <w:szCs w:val="20"/>
                <w:lang w:eastAsia="en-GB"/>
              </w:rPr>
            </w:pPr>
          </w:p>
        </w:tc>
      </w:tr>
      <w:tr w:rsidRPr="00C3071B" w:rsidR="00C3071B" w:rsidTr="00495D7D" w14:paraId="1C48789B" w14:textId="77777777">
        <w:trPr>
          <w:trHeight w:val="300"/>
        </w:trPr>
        <w:tc>
          <w:tcPr>
            <w:tcW w:w="6804" w:type="dxa"/>
            <w:tcBorders>
              <w:left w:val="nil"/>
              <w:bottom w:val="single" w:color="auto" w:sz="4" w:space="0"/>
              <w:right w:val="nil"/>
            </w:tcBorders>
            <w:noWrap/>
          </w:tcPr>
          <w:p w:rsidRPr="00C3071B" w:rsidR="00C3071B" w:rsidP="00C3071B" w:rsidRDefault="00C3071B" w14:paraId="1051C227" w14:textId="77777777">
            <w:pPr>
              <w:ind w:firstLine="220" w:firstLineChars="100"/>
              <w:rPr>
                <w:rFonts w:ascii="Arial" w:hAnsi="Arial" w:eastAsia="Times New Roman" w:cs="Arial"/>
                <w:sz w:val="20"/>
                <w:szCs w:val="20"/>
              </w:rPr>
            </w:pPr>
            <w:r w:rsidRPr="00C3071B">
              <w:rPr>
                <w:rFonts w:ascii="Calibri" w:hAnsi="Calibri" w:cs="Arial"/>
              </w:rPr>
              <w:t>h) 9.c sadaļa. Tirdzniecības apjoma fiksēta ienākuma apakšrādītājs</w:t>
            </w:r>
          </w:p>
        </w:tc>
        <w:tc>
          <w:tcPr>
            <w:tcW w:w="2745" w:type="dxa"/>
            <w:tcBorders>
              <w:left w:val="nil"/>
              <w:right w:val="nil"/>
            </w:tcBorders>
            <w:noWrap/>
          </w:tcPr>
          <w:p w:rsidRPr="00C3071B" w:rsidR="00C3071B" w:rsidP="00C3071B" w:rsidRDefault="00C3071B" w14:paraId="2B9207F8" w14:textId="77777777">
            <w:pPr>
              <w:jc w:val="right"/>
              <w:rPr>
                <w:rFonts w:ascii="Arial" w:hAnsi="Arial" w:eastAsia="Times New Roman" w:cs="Arial"/>
                <w:sz w:val="20"/>
                <w:szCs w:val="20"/>
                <w:lang w:eastAsia="en-GB"/>
              </w:rPr>
            </w:pPr>
          </w:p>
        </w:tc>
      </w:tr>
      <w:tr w:rsidRPr="00C3071B" w:rsidR="00C3071B" w:rsidTr="00495D7D" w14:paraId="3F6A61D8" w14:textId="77777777">
        <w:trPr>
          <w:trHeight w:val="300"/>
        </w:trPr>
        <w:tc>
          <w:tcPr>
            <w:tcW w:w="6804" w:type="dxa"/>
            <w:tcBorders>
              <w:left w:val="nil"/>
              <w:bottom w:val="single" w:color="auto" w:sz="4" w:space="0"/>
              <w:right w:val="nil"/>
            </w:tcBorders>
            <w:noWrap/>
          </w:tcPr>
          <w:p w:rsidRPr="00C3071B" w:rsidR="00C3071B" w:rsidP="00C3071B" w:rsidRDefault="00C3071B" w14:paraId="23479F0A" w14:textId="77777777">
            <w:pPr>
              <w:ind w:left="171" w:firstLine="77" w:firstLineChars="35"/>
              <w:rPr>
                <w:rFonts w:ascii="Arial" w:hAnsi="Arial" w:eastAsia="Times New Roman" w:cs="Arial"/>
                <w:sz w:val="20"/>
                <w:szCs w:val="20"/>
              </w:rPr>
            </w:pPr>
            <w:r w:rsidRPr="00C3071B">
              <w:rPr>
                <w:rFonts w:ascii="Calibri" w:hAnsi="Calibri" w:cs="Arial"/>
              </w:rPr>
              <w:t>i) 9.f sadaļa. Tirdzniecības apjoma kapitāla vērtspapīri un citi vērtspapīru apakšrādītājs</w:t>
            </w:r>
          </w:p>
        </w:tc>
        <w:tc>
          <w:tcPr>
            <w:tcW w:w="2745" w:type="dxa"/>
            <w:tcBorders>
              <w:left w:val="nil"/>
              <w:right w:val="nil"/>
            </w:tcBorders>
            <w:noWrap/>
          </w:tcPr>
          <w:p w:rsidRPr="00C3071B" w:rsidR="00C3071B" w:rsidP="00C3071B" w:rsidRDefault="00C3071B" w14:paraId="0DACF61D" w14:textId="77777777">
            <w:pPr>
              <w:jc w:val="right"/>
              <w:rPr>
                <w:rFonts w:ascii="Arial" w:hAnsi="Arial" w:eastAsia="Times New Roman" w:cs="Arial"/>
                <w:sz w:val="20"/>
                <w:szCs w:val="20"/>
                <w:lang w:eastAsia="en-GB"/>
              </w:rPr>
            </w:pPr>
          </w:p>
        </w:tc>
      </w:tr>
      <w:tr w:rsidRPr="00C3071B" w:rsidR="00C3071B" w:rsidTr="00495D7D" w14:paraId="530E7F8E" w14:textId="77777777">
        <w:trPr>
          <w:trHeight w:val="300"/>
        </w:trPr>
        <w:tc>
          <w:tcPr>
            <w:tcW w:w="6804" w:type="dxa"/>
            <w:tcBorders>
              <w:left w:val="nil"/>
              <w:bottom w:val="single" w:color="auto" w:sz="4" w:space="0"/>
              <w:right w:val="nil"/>
            </w:tcBorders>
            <w:noWrap/>
          </w:tcPr>
          <w:p w:rsidRPr="00C3071B" w:rsidR="00C3071B" w:rsidP="00C3071B" w:rsidRDefault="00C3071B" w14:paraId="6F3874DB" w14:textId="77777777">
            <w:pPr>
              <w:ind w:left="171" w:firstLine="77" w:firstLineChars="35"/>
              <w:rPr>
                <w:rFonts w:ascii="Arial" w:hAnsi="Arial" w:eastAsia="Times New Roman" w:cs="Arial"/>
                <w:sz w:val="20"/>
                <w:szCs w:val="20"/>
              </w:rPr>
            </w:pPr>
            <w:r w:rsidRPr="00C3071B">
              <w:rPr>
                <w:rFonts w:ascii="Calibri" w:hAnsi="Calibri" w:cs="Arial"/>
              </w:rPr>
              <w:t>j) 10. sadaļa. Ārpusbiržas atvasināto instrumentu rādītājs, tostarp apdrošināšanas meitasuzņēmumi</w:t>
            </w:r>
          </w:p>
        </w:tc>
        <w:tc>
          <w:tcPr>
            <w:tcW w:w="2745" w:type="dxa"/>
            <w:tcBorders>
              <w:left w:val="nil"/>
              <w:right w:val="nil"/>
            </w:tcBorders>
            <w:noWrap/>
          </w:tcPr>
          <w:p w:rsidRPr="00C3071B" w:rsidR="00C3071B" w:rsidP="00C3071B" w:rsidRDefault="00C3071B" w14:paraId="63E7EA25" w14:textId="77777777">
            <w:pPr>
              <w:jc w:val="right"/>
              <w:rPr>
                <w:rFonts w:ascii="Arial" w:hAnsi="Arial" w:eastAsia="Times New Roman" w:cs="Arial"/>
                <w:sz w:val="20"/>
                <w:szCs w:val="20"/>
                <w:lang w:eastAsia="en-GB"/>
              </w:rPr>
            </w:pPr>
          </w:p>
        </w:tc>
      </w:tr>
      <w:tr w:rsidRPr="00C3071B" w:rsidR="00C3071B" w:rsidTr="00495D7D" w14:paraId="631301C7" w14:textId="77777777">
        <w:trPr>
          <w:trHeight w:val="300"/>
        </w:trPr>
        <w:tc>
          <w:tcPr>
            <w:tcW w:w="6804" w:type="dxa"/>
            <w:tcBorders>
              <w:left w:val="nil"/>
              <w:bottom w:val="single" w:color="auto" w:sz="4" w:space="0"/>
              <w:right w:val="nil"/>
            </w:tcBorders>
            <w:noWrap/>
          </w:tcPr>
          <w:p w:rsidRPr="00C3071B" w:rsidR="00C3071B" w:rsidP="00C3071B" w:rsidRDefault="00C3071B" w14:paraId="6E405CED" w14:textId="77777777">
            <w:pPr>
              <w:ind w:firstLine="220" w:firstLineChars="100"/>
              <w:rPr>
                <w:rFonts w:ascii="Arial" w:hAnsi="Arial" w:eastAsia="Times New Roman" w:cs="Arial"/>
                <w:sz w:val="20"/>
                <w:szCs w:val="20"/>
              </w:rPr>
            </w:pPr>
            <w:r w:rsidRPr="00C3071B">
              <w:rPr>
                <w:rFonts w:ascii="Calibri" w:hAnsi="Calibri" w:cs="Arial"/>
              </w:rPr>
              <w:t>k) 11. sadaļa. Tirdzniecības nolūkā turēto un pārdošanai pieejamo vērtspapīru rādītājs</w:t>
            </w:r>
          </w:p>
        </w:tc>
        <w:tc>
          <w:tcPr>
            <w:tcW w:w="2745" w:type="dxa"/>
            <w:tcBorders>
              <w:left w:val="nil"/>
              <w:right w:val="nil"/>
            </w:tcBorders>
            <w:noWrap/>
          </w:tcPr>
          <w:p w:rsidRPr="00C3071B" w:rsidR="00C3071B" w:rsidP="00C3071B" w:rsidRDefault="00C3071B" w14:paraId="3639D0FB" w14:textId="77777777">
            <w:pPr>
              <w:jc w:val="right"/>
              <w:rPr>
                <w:rFonts w:ascii="Arial" w:hAnsi="Arial" w:eastAsia="Times New Roman" w:cs="Arial"/>
                <w:sz w:val="20"/>
                <w:szCs w:val="20"/>
                <w:lang w:eastAsia="en-GB"/>
              </w:rPr>
            </w:pPr>
          </w:p>
        </w:tc>
      </w:tr>
      <w:tr w:rsidRPr="00C3071B" w:rsidR="00C3071B" w:rsidTr="00495D7D" w14:paraId="4E1D2099" w14:textId="77777777">
        <w:trPr>
          <w:trHeight w:val="300"/>
        </w:trPr>
        <w:tc>
          <w:tcPr>
            <w:tcW w:w="6804" w:type="dxa"/>
            <w:tcBorders>
              <w:left w:val="nil"/>
              <w:bottom w:val="single" w:color="auto" w:sz="4" w:space="0"/>
              <w:right w:val="nil"/>
            </w:tcBorders>
            <w:noWrap/>
          </w:tcPr>
          <w:p w:rsidRPr="00C3071B" w:rsidR="00C3071B" w:rsidP="00C3071B" w:rsidRDefault="00C3071B" w14:paraId="6B380BE7" w14:textId="77777777">
            <w:pPr>
              <w:ind w:firstLine="220" w:firstLineChars="100"/>
              <w:rPr>
                <w:rFonts w:ascii="Arial" w:hAnsi="Arial" w:eastAsia="Times New Roman" w:cs="Arial"/>
                <w:sz w:val="20"/>
                <w:szCs w:val="20"/>
              </w:rPr>
            </w:pPr>
            <w:r w:rsidRPr="00C3071B">
              <w:rPr>
                <w:rFonts w:ascii="Calibri" w:hAnsi="Calibri" w:cs="Arial"/>
              </w:rPr>
              <w:t>l) 12. sadaļa. Trešā līmeņa aktīvi, tostarp apdrošināšanas meitasuzņēmumi</w:t>
            </w:r>
          </w:p>
        </w:tc>
        <w:tc>
          <w:tcPr>
            <w:tcW w:w="2745" w:type="dxa"/>
            <w:tcBorders>
              <w:left w:val="nil"/>
              <w:right w:val="nil"/>
            </w:tcBorders>
            <w:noWrap/>
          </w:tcPr>
          <w:p w:rsidRPr="00C3071B" w:rsidR="00C3071B" w:rsidP="00C3071B" w:rsidRDefault="00C3071B" w14:paraId="602D8A3D" w14:textId="77777777">
            <w:pPr>
              <w:jc w:val="right"/>
              <w:rPr>
                <w:rFonts w:ascii="Arial" w:hAnsi="Arial" w:eastAsia="Times New Roman" w:cs="Arial"/>
                <w:sz w:val="20"/>
                <w:szCs w:val="20"/>
                <w:lang w:eastAsia="en-GB"/>
              </w:rPr>
            </w:pPr>
          </w:p>
        </w:tc>
      </w:tr>
      <w:tr w:rsidRPr="00C3071B" w:rsidR="00C3071B" w:rsidTr="00495D7D" w14:paraId="18215D3A" w14:textId="77777777">
        <w:trPr>
          <w:trHeight w:val="300"/>
        </w:trPr>
        <w:tc>
          <w:tcPr>
            <w:tcW w:w="6804" w:type="dxa"/>
            <w:tcBorders>
              <w:left w:val="nil"/>
              <w:bottom w:val="single" w:color="auto" w:sz="4" w:space="0"/>
              <w:right w:val="nil"/>
            </w:tcBorders>
            <w:noWrap/>
          </w:tcPr>
          <w:p w:rsidRPr="00C3071B" w:rsidR="00C3071B" w:rsidP="00C3071B" w:rsidRDefault="00C3071B" w14:paraId="4E7870A3" w14:textId="77777777">
            <w:pPr>
              <w:ind w:firstLine="220" w:firstLineChars="100"/>
              <w:rPr>
                <w:rFonts w:ascii="Arial" w:hAnsi="Arial" w:eastAsia="Times New Roman" w:cs="Arial"/>
                <w:sz w:val="20"/>
                <w:szCs w:val="20"/>
              </w:rPr>
            </w:pPr>
            <w:r w:rsidRPr="00C3071B">
              <w:rPr>
                <w:rFonts w:ascii="Calibri" w:hAnsi="Calibri" w:cs="Arial"/>
              </w:rPr>
              <w:t>m) 13. sadaļa. Dažādu valstu jurisdikciju prasību rādītājs</w:t>
            </w:r>
          </w:p>
        </w:tc>
        <w:tc>
          <w:tcPr>
            <w:tcW w:w="2745" w:type="dxa"/>
            <w:tcBorders>
              <w:left w:val="nil"/>
              <w:right w:val="nil"/>
            </w:tcBorders>
            <w:noWrap/>
          </w:tcPr>
          <w:p w:rsidRPr="00C3071B" w:rsidR="00C3071B" w:rsidP="00C3071B" w:rsidRDefault="00C3071B" w14:paraId="7D85FBFF" w14:textId="77777777">
            <w:pPr>
              <w:jc w:val="right"/>
              <w:rPr>
                <w:rFonts w:ascii="Arial" w:hAnsi="Arial" w:eastAsia="Times New Roman" w:cs="Arial"/>
                <w:sz w:val="20"/>
                <w:szCs w:val="20"/>
                <w:lang w:eastAsia="en-GB"/>
              </w:rPr>
            </w:pPr>
          </w:p>
        </w:tc>
      </w:tr>
      <w:tr w:rsidRPr="00C3071B" w:rsidR="00C3071B" w:rsidTr="00495D7D" w14:paraId="6F51297B" w14:textId="77777777">
        <w:trPr>
          <w:trHeight w:val="300"/>
        </w:trPr>
        <w:tc>
          <w:tcPr>
            <w:tcW w:w="6804" w:type="dxa"/>
            <w:tcBorders>
              <w:left w:val="nil"/>
              <w:bottom w:val="single" w:color="auto" w:sz="4" w:space="0"/>
              <w:right w:val="nil"/>
            </w:tcBorders>
            <w:noWrap/>
          </w:tcPr>
          <w:p w:rsidRPr="00C3071B" w:rsidR="00C3071B" w:rsidP="00C3071B" w:rsidRDefault="00C3071B" w14:paraId="530229A6" w14:textId="77777777">
            <w:pPr>
              <w:ind w:firstLine="220" w:firstLineChars="100"/>
              <w:rPr>
                <w:rFonts w:ascii="Arial" w:hAnsi="Arial" w:eastAsia="Times New Roman" w:cs="Arial"/>
                <w:sz w:val="20"/>
                <w:szCs w:val="20"/>
              </w:rPr>
            </w:pPr>
            <w:r w:rsidRPr="00C3071B">
              <w:rPr>
                <w:rFonts w:ascii="Calibri" w:hAnsi="Calibri" w:cs="Arial"/>
              </w:rPr>
              <w:t>n) 14. sadaļa. Dažādu valstu jurisdikciju saistību rādītājs</w:t>
            </w:r>
          </w:p>
        </w:tc>
        <w:tc>
          <w:tcPr>
            <w:tcW w:w="2745" w:type="dxa"/>
            <w:tcBorders>
              <w:left w:val="nil"/>
              <w:right w:val="nil"/>
            </w:tcBorders>
            <w:noWrap/>
          </w:tcPr>
          <w:p w:rsidRPr="00C3071B" w:rsidR="00C3071B" w:rsidP="00C3071B" w:rsidRDefault="00C3071B" w14:paraId="1504AC42" w14:textId="77777777">
            <w:pPr>
              <w:jc w:val="right"/>
              <w:rPr>
                <w:rFonts w:ascii="Arial" w:hAnsi="Arial" w:eastAsia="Times New Roman" w:cs="Arial"/>
                <w:sz w:val="20"/>
                <w:szCs w:val="20"/>
                <w:lang w:eastAsia="en-GB"/>
              </w:rPr>
            </w:pPr>
          </w:p>
        </w:tc>
      </w:tr>
      <w:tr w:rsidRPr="00C3071B" w:rsidR="00C3071B" w:rsidTr="00495D7D" w14:paraId="1C35587B" w14:textId="77777777">
        <w:trPr>
          <w:trHeight w:val="300"/>
        </w:trPr>
        <w:tc>
          <w:tcPr>
            <w:tcW w:w="6804" w:type="dxa"/>
            <w:tcBorders>
              <w:left w:val="nil"/>
              <w:bottom w:val="single" w:color="auto" w:sz="4" w:space="0"/>
              <w:right w:val="nil"/>
            </w:tcBorders>
            <w:noWrap/>
          </w:tcPr>
          <w:p w:rsidRPr="00C3071B" w:rsidR="00C3071B" w:rsidP="00C3071B" w:rsidRDefault="00C3071B" w14:paraId="17B134CB" w14:textId="77777777">
            <w:pPr>
              <w:ind w:firstLine="220" w:firstLineChars="100"/>
              <w:rPr>
                <w:rFonts w:ascii="Arial" w:hAnsi="Arial" w:eastAsia="Times New Roman" w:cs="Arial"/>
                <w:sz w:val="20"/>
                <w:szCs w:val="20"/>
              </w:rPr>
            </w:pPr>
            <w:r w:rsidRPr="00C3071B">
              <w:rPr>
                <w:rFonts w:ascii="Calibri" w:hAnsi="Calibri" w:cs="Arial"/>
              </w:rPr>
              <w:t>o) Citas sadaļas</w:t>
            </w:r>
          </w:p>
        </w:tc>
        <w:tc>
          <w:tcPr>
            <w:tcW w:w="2745" w:type="dxa"/>
            <w:tcBorders>
              <w:left w:val="nil"/>
              <w:right w:val="nil"/>
            </w:tcBorders>
            <w:noWrap/>
          </w:tcPr>
          <w:p w:rsidRPr="00C3071B" w:rsidR="00C3071B" w:rsidP="00C3071B" w:rsidRDefault="00C3071B" w14:paraId="044312D0" w14:textId="77777777">
            <w:pPr>
              <w:jc w:val="right"/>
              <w:rPr>
                <w:rFonts w:ascii="Arial" w:hAnsi="Arial" w:eastAsia="Times New Roman" w:cs="Arial"/>
                <w:sz w:val="20"/>
                <w:szCs w:val="20"/>
                <w:lang w:eastAsia="en-GB"/>
              </w:rPr>
            </w:pPr>
          </w:p>
        </w:tc>
      </w:tr>
      <w:tr w:rsidRPr="00C3071B" w:rsidR="00C3071B" w:rsidTr="00495D7D" w14:paraId="4FA4DBFC" w14:textId="77777777">
        <w:trPr>
          <w:trHeight w:val="300"/>
        </w:trPr>
        <w:tc>
          <w:tcPr>
            <w:tcW w:w="6804" w:type="dxa"/>
            <w:tcBorders>
              <w:left w:val="nil"/>
              <w:bottom w:val="single" w:color="auto" w:sz="4" w:space="0"/>
              <w:right w:val="nil"/>
            </w:tcBorders>
            <w:noWrap/>
          </w:tcPr>
          <w:p w:rsidRPr="00C3071B" w:rsidR="00C3071B" w:rsidP="00C3071B" w:rsidRDefault="00C3071B" w14:paraId="459032E3" w14:textId="77777777">
            <w:pPr>
              <w:ind w:firstLine="220" w:firstLineChars="100"/>
              <w:rPr>
                <w:rFonts w:ascii="Arial" w:hAnsi="Arial" w:eastAsia="Times New Roman" w:cs="Arial"/>
                <w:sz w:val="20"/>
                <w:szCs w:val="20"/>
              </w:rPr>
            </w:pPr>
            <w:r w:rsidRPr="00C3071B">
              <w:rPr>
                <w:rFonts w:ascii="Calibri" w:hAnsi="Calibri" w:cs="Arial"/>
              </w:rPr>
              <w:t>(1) 1.a postenis. Uzraudzības iestādes sniegtā vispārīgā informācija</w:t>
            </w:r>
          </w:p>
        </w:tc>
        <w:tc>
          <w:tcPr>
            <w:tcW w:w="2745" w:type="dxa"/>
            <w:tcBorders>
              <w:left w:val="nil"/>
              <w:right w:val="nil"/>
            </w:tcBorders>
            <w:noWrap/>
          </w:tcPr>
          <w:p w:rsidRPr="00C3071B" w:rsidR="00C3071B" w:rsidP="00C3071B" w:rsidRDefault="00C3071B" w14:paraId="47FCFDE4" w14:textId="77777777">
            <w:pPr>
              <w:jc w:val="right"/>
              <w:rPr>
                <w:rFonts w:ascii="Arial" w:hAnsi="Arial" w:eastAsia="Times New Roman" w:cs="Arial"/>
                <w:sz w:val="20"/>
                <w:szCs w:val="20"/>
                <w:lang w:eastAsia="en-GB"/>
              </w:rPr>
            </w:pPr>
          </w:p>
        </w:tc>
      </w:tr>
      <w:tr w:rsidRPr="00C3071B" w:rsidR="00C3071B" w:rsidTr="00495D7D" w14:paraId="1BAA8818" w14:textId="77777777">
        <w:trPr>
          <w:trHeight w:val="300"/>
        </w:trPr>
        <w:tc>
          <w:tcPr>
            <w:tcW w:w="6804" w:type="dxa"/>
            <w:tcBorders>
              <w:left w:val="nil"/>
              <w:bottom w:val="single" w:color="auto" w:sz="4" w:space="0"/>
              <w:right w:val="nil"/>
            </w:tcBorders>
            <w:noWrap/>
          </w:tcPr>
          <w:p w:rsidRPr="00C3071B" w:rsidR="00C3071B" w:rsidP="00C3071B" w:rsidRDefault="00C3071B" w14:paraId="02982951" w14:textId="77777777">
            <w:pPr>
              <w:ind w:firstLine="220" w:firstLineChars="100"/>
              <w:rPr>
                <w:rFonts w:ascii="Arial" w:hAnsi="Arial" w:eastAsia="Times New Roman" w:cs="Arial"/>
                <w:sz w:val="20"/>
                <w:szCs w:val="20"/>
              </w:rPr>
            </w:pPr>
            <w:r w:rsidRPr="00C3071B">
              <w:rPr>
                <w:rFonts w:ascii="Calibri" w:hAnsi="Calibri" w:cs="Arial"/>
              </w:rPr>
              <w:t>(2) 1.b postenis. Pārskata sniedzējas iestādes sniegtā vispārīgā informācija</w:t>
            </w:r>
          </w:p>
        </w:tc>
        <w:tc>
          <w:tcPr>
            <w:tcW w:w="2745" w:type="dxa"/>
            <w:tcBorders>
              <w:left w:val="nil"/>
              <w:right w:val="nil"/>
            </w:tcBorders>
            <w:noWrap/>
          </w:tcPr>
          <w:p w:rsidRPr="00C3071B" w:rsidR="00C3071B" w:rsidP="00C3071B" w:rsidRDefault="00C3071B" w14:paraId="2275C8F1" w14:textId="77777777">
            <w:pPr>
              <w:jc w:val="right"/>
              <w:rPr>
                <w:rFonts w:ascii="Arial" w:hAnsi="Arial" w:eastAsia="Times New Roman" w:cs="Arial"/>
                <w:sz w:val="20"/>
                <w:szCs w:val="20"/>
                <w:lang w:eastAsia="en-GB"/>
              </w:rPr>
            </w:pPr>
          </w:p>
        </w:tc>
      </w:tr>
      <w:tr w:rsidRPr="00C3071B" w:rsidR="00C3071B" w:rsidTr="00495D7D" w14:paraId="79300600" w14:textId="77777777">
        <w:trPr>
          <w:trHeight w:val="300"/>
        </w:trPr>
        <w:tc>
          <w:tcPr>
            <w:tcW w:w="6804" w:type="dxa"/>
            <w:tcBorders>
              <w:left w:val="nil"/>
              <w:bottom w:val="single" w:color="auto" w:sz="4" w:space="0"/>
              <w:right w:val="nil"/>
            </w:tcBorders>
            <w:noWrap/>
          </w:tcPr>
          <w:p w:rsidRPr="00C3071B" w:rsidR="00C3071B" w:rsidP="00C3071B" w:rsidRDefault="00C3071B" w14:paraId="7833B038" w14:textId="77777777">
            <w:pPr>
              <w:ind w:firstLine="220" w:firstLineChars="100"/>
              <w:rPr>
                <w:rFonts w:ascii="Arial" w:hAnsi="Arial" w:eastAsia="Times New Roman" w:cs="Arial"/>
                <w:sz w:val="20"/>
                <w:szCs w:val="20"/>
              </w:rPr>
            </w:pPr>
            <w:r w:rsidRPr="00C3071B">
              <w:rPr>
                <w:rFonts w:ascii="Calibri" w:hAnsi="Calibri" w:cs="Arial"/>
              </w:rPr>
              <w:lastRenderedPageBreak/>
              <w:t>(3) 15. sadaļa. Papildu rādītāji</w:t>
            </w:r>
          </w:p>
        </w:tc>
        <w:tc>
          <w:tcPr>
            <w:tcW w:w="2745" w:type="dxa"/>
            <w:tcBorders>
              <w:left w:val="nil"/>
              <w:right w:val="nil"/>
            </w:tcBorders>
            <w:noWrap/>
          </w:tcPr>
          <w:p w:rsidRPr="00C3071B" w:rsidR="00C3071B" w:rsidP="00C3071B" w:rsidRDefault="00C3071B" w14:paraId="71FC5AB0" w14:textId="77777777">
            <w:pPr>
              <w:jc w:val="right"/>
              <w:rPr>
                <w:rFonts w:ascii="Arial" w:hAnsi="Arial" w:eastAsia="Times New Roman" w:cs="Arial"/>
                <w:sz w:val="20"/>
                <w:szCs w:val="20"/>
                <w:lang w:eastAsia="en-GB"/>
              </w:rPr>
            </w:pPr>
          </w:p>
        </w:tc>
      </w:tr>
      <w:tr w:rsidRPr="00C3071B" w:rsidR="00C3071B" w:rsidTr="00495D7D" w14:paraId="3DF43F38" w14:textId="77777777">
        <w:trPr>
          <w:trHeight w:val="300"/>
        </w:trPr>
        <w:tc>
          <w:tcPr>
            <w:tcW w:w="6804" w:type="dxa"/>
            <w:tcBorders>
              <w:left w:val="nil"/>
              <w:bottom w:val="single" w:color="auto" w:sz="4" w:space="0"/>
              <w:right w:val="nil"/>
            </w:tcBorders>
            <w:noWrap/>
          </w:tcPr>
          <w:p w:rsidRPr="00C3071B" w:rsidR="00C3071B" w:rsidP="00C3071B" w:rsidRDefault="00C3071B" w14:paraId="426315C7" w14:textId="77777777">
            <w:pPr>
              <w:ind w:firstLine="220" w:firstLineChars="100"/>
              <w:rPr>
                <w:rFonts w:ascii="Arial" w:hAnsi="Arial" w:eastAsia="Times New Roman" w:cs="Arial"/>
                <w:sz w:val="20"/>
                <w:szCs w:val="20"/>
              </w:rPr>
            </w:pPr>
            <w:r w:rsidRPr="00C3071B">
              <w:rPr>
                <w:rFonts w:ascii="Calibri" w:hAnsi="Calibri" w:cs="Arial"/>
              </w:rPr>
              <w:t>(4) 16. sadaļa. Papildu posteņi</w:t>
            </w:r>
          </w:p>
        </w:tc>
        <w:tc>
          <w:tcPr>
            <w:tcW w:w="2745" w:type="dxa"/>
            <w:tcBorders>
              <w:left w:val="nil"/>
              <w:right w:val="nil"/>
            </w:tcBorders>
            <w:noWrap/>
          </w:tcPr>
          <w:p w:rsidRPr="00C3071B" w:rsidR="00C3071B" w:rsidP="00C3071B" w:rsidRDefault="00C3071B" w14:paraId="6E473CCC" w14:textId="77777777">
            <w:pPr>
              <w:jc w:val="right"/>
              <w:rPr>
                <w:rFonts w:ascii="Arial" w:hAnsi="Arial" w:eastAsia="Times New Roman" w:cs="Arial"/>
                <w:sz w:val="20"/>
                <w:szCs w:val="20"/>
                <w:lang w:eastAsia="en-GB"/>
              </w:rPr>
            </w:pPr>
          </w:p>
        </w:tc>
      </w:tr>
      <w:tr w:rsidRPr="00C3071B" w:rsidR="00C3071B" w:rsidTr="00495D7D" w14:paraId="18DB8F04" w14:textId="77777777">
        <w:trPr>
          <w:trHeight w:val="300"/>
        </w:trPr>
        <w:tc>
          <w:tcPr>
            <w:tcW w:w="6804" w:type="dxa"/>
            <w:tcBorders>
              <w:left w:val="nil"/>
              <w:bottom w:val="single" w:color="auto" w:sz="4" w:space="0"/>
              <w:right w:val="nil"/>
            </w:tcBorders>
            <w:noWrap/>
          </w:tcPr>
          <w:p w:rsidRPr="00C3071B" w:rsidR="00C3071B" w:rsidP="00C3071B" w:rsidRDefault="00C3071B" w14:paraId="5E2A0A67" w14:textId="77777777">
            <w:pPr>
              <w:ind w:firstLine="220" w:firstLineChars="100"/>
              <w:rPr>
                <w:rFonts w:ascii="Arial" w:hAnsi="Arial" w:eastAsia="Times New Roman" w:cs="Arial"/>
                <w:sz w:val="20"/>
                <w:szCs w:val="20"/>
              </w:rPr>
            </w:pPr>
            <w:r w:rsidRPr="00C3071B">
              <w:rPr>
                <w:rFonts w:ascii="Calibri" w:hAnsi="Calibri" w:cs="Arial"/>
              </w:rPr>
              <w:t>(5) 17. sadaļa. Lieluma posteņi</w:t>
            </w:r>
          </w:p>
        </w:tc>
        <w:tc>
          <w:tcPr>
            <w:tcW w:w="2745" w:type="dxa"/>
            <w:tcBorders>
              <w:left w:val="nil"/>
              <w:right w:val="nil"/>
            </w:tcBorders>
            <w:noWrap/>
          </w:tcPr>
          <w:p w:rsidRPr="00C3071B" w:rsidR="00C3071B" w:rsidP="00C3071B" w:rsidRDefault="00C3071B" w14:paraId="0DDE0111" w14:textId="77777777">
            <w:pPr>
              <w:jc w:val="right"/>
              <w:rPr>
                <w:rFonts w:ascii="Arial" w:hAnsi="Arial" w:eastAsia="Times New Roman" w:cs="Arial"/>
                <w:sz w:val="20"/>
                <w:szCs w:val="20"/>
                <w:lang w:eastAsia="en-GB"/>
              </w:rPr>
            </w:pPr>
          </w:p>
        </w:tc>
      </w:tr>
      <w:tr w:rsidRPr="00C3071B" w:rsidR="00C3071B" w:rsidTr="00495D7D" w14:paraId="7E3DBDF4" w14:textId="77777777">
        <w:trPr>
          <w:trHeight w:val="300"/>
        </w:trPr>
        <w:tc>
          <w:tcPr>
            <w:tcW w:w="6804" w:type="dxa"/>
            <w:tcBorders>
              <w:left w:val="nil"/>
              <w:bottom w:val="single" w:color="auto" w:sz="4" w:space="0"/>
              <w:right w:val="nil"/>
            </w:tcBorders>
            <w:noWrap/>
          </w:tcPr>
          <w:p w:rsidRPr="00C3071B" w:rsidR="00C3071B" w:rsidP="00C3071B" w:rsidRDefault="00C3071B" w14:paraId="3A0A5BE1" w14:textId="77777777">
            <w:pPr>
              <w:ind w:firstLine="220" w:firstLineChars="100"/>
              <w:rPr>
                <w:rFonts w:ascii="Arial" w:hAnsi="Arial" w:eastAsia="Times New Roman" w:cs="Arial"/>
                <w:sz w:val="20"/>
                <w:szCs w:val="20"/>
              </w:rPr>
            </w:pPr>
            <w:r w:rsidRPr="00C3071B">
              <w:rPr>
                <w:rFonts w:ascii="Calibri" w:hAnsi="Calibri" w:cs="Arial"/>
              </w:rPr>
              <w:t>(6) 18. sadaļa. Savstarpējās saistības posteņi</w:t>
            </w:r>
          </w:p>
        </w:tc>
        <w:tc>
          <w:tcPr>
            <w:tcW w:w="2745" w:type="dxa"/>
            <w:tcBorders>
              <w:left w:val="nil"/>
              <w:right w:val="nil"/>
            </w:tcBorders>
            <w:noWrap/>
          </w:tcPr>
          <w:p w:rsidRPr="00C3071B" w:rsidR="00C3071B" w:rsidP="00C3071B" w:rsidRDefault="00C3071B" w14:paraId="3A738EE5" w14:textId="77777777">
            <w:pPr>
              <w:jc w:val="right"/>
              <w:rPr>
                <w:rFonts w:ascii="Arial" w:hAnsi="Arial" w:eastAsia="Times New Roman" w:cs="Arial"/>
                <w:sz w:val="20"/>
                <w:szCs w:val="20"/>
                <w:lang w:eastAsia="en-GB"/>
              </w:rPr>
            </w:pPr>
          </w:p>
        </w:tc>
      </w:tr>
      <w:tr w:rsidRPr="00C3071B" w:rsidR="00C3071B" w:rsidTr="00495D7D" w14:paraId="7E92484F" w14:textId="77777777">
        <w:trPr>
          <w:trHeight w:val="300"/>
        </w:trPr>
        <w:tc>
          <w:tcPr>
            <w:tcW w:w="6804" w:type="dxa"/>
            <w:tcBorders>
              <w:left w:val="nil"/>
              <w:bottom w:val="single" w:color="auto" w:sz="4" w:space="0"/>
              <w:right w:val="nil"/>
            </w:tcBorders>
            <w:noWrap/>
          </w:tcPr>
          <w:p w:rsidRPr="00C3071B" w:rsidR="00C3071B" w:rsidP="00C3071B" w:rsidRDefault="00C3071B" w14:paraId="21AD46E2" w14:textId="77777777">
            <w:pPr>
              <w:ind w:firstLine="220" w:firstLineChars="100"/>
              <w:rPr>
                <w:rFonts w:ascii="Arial" w:hAnsi="Arial" w:eastAsia="Times New Roman" w:cs="Arial"/>
                <w:sz w:val="20"/>
                <w:szCs w:val="20"/>
              </w:rPr>
            </w:pPr>
            <w:r w:rsidRPr="00C3071B">
              <w:rPr>
                <w:rFonts w:ascii="Calibri" w:hAnsi="Calibri" w:cs="Arial"/>
              </w:rPr>
              <w:t>(7) 19. sadaļa. Aizvietojamība/ Finanšu infrastruktūra Pozīcijas</w:t>
            </w:r>
          </w:p>
        </w:tc>
        <w:tc>
          <w:tcPr>
            <w:tcW w:w="2745" w:type="dxa"/>
            <w:tcBorders>
              <w:left w:val="nil"/>
              <w:right w:val="nil"/>
            </w:tcBorders>
            <w:noWrap/>
          </w:tcPr>
          <w:p w:rsidRPr="00C3071B" w:rsidR="00C3071B" w:rsidP="00C3071B" w:rsidRDefault="00C3071B" w14:paraId="0F850EB7" w14:textId="77777777">
            <w:pPr>
              <w:jc w:val="right"/>
              <w:rPr>
                <w:rFonts w:ascii="Arial" w:hAnsi="Arial" w:eastAsia="Times New Roman" w:cs="Arial"/>
                <w:sz w:val="20"/>
                <w:szCs w:val="20"/>
                <w:lang w:eastAsia="en-GB"/>
              </w:rPr>
            </w:pPr>
          </w:p>
        </w:tc>
      </w:tr>
      <w:tr w:rsidRPr="00C3071B" w:rsidR="00C3071B" w:rsidTr="00495D7D" w14:paraId="262A52F0" w14:textId="77777777">
        <w:trPr>
          <w:trHeight w:val="300"/>
        </w:trPr>
        <w:tc>
          <w:tcPr>
            <w:tcW w:w="6804" w:type="dxa"/>
            <w:tcBorders>
              <w:left w:val="nil"/>
              <w:bottom w:val="single" w:color="auto" w:sz="4" w:space="0"/>
              <w:right w:val="nil"/>
            </w:tcBorders>
            <w:noWrap/>
          </w:tcPr>
          <w:p w:rsidRPr="00C3071B" w:rsidR="00C3071B" w:rsidP="00C3071B" w:rsidRDefault="00C3071B" w14:paraId="4CED09FE" w14:textId="77777777">
            <w:pPr>
              <w:ind w:firstLine="220" w:firstLineChars="100"/>
              <w:rPr>
                <w:rFonts w:ascii="Arial" w:hAnsi="Arial" w:eastAsia="Times New Roman" w:cs="Arial"/>
                <w:sz w:val="20"/>
                <w:szCs w:val="20"/>
              </w:rPr>
            </w:pPr>
            <w:r w:rsidRPr="00C3071B">
              <w:rPr>
                <w:rFonts w:ascii="Calibri" w:hAnsi="Calibri" w:cs="Arial"/>
              </w:rPr>
              <w:t>(8) 20. sadaļa. Sarežģītības posteņi</w:t>
            </w:r>
          </w:p>
        </w:tc>
        <w:tc>
          <w:tcPr>
            <w:tcW w:w="2745" w:type="dxa"/>
            <w:tcBorders>
              <w:left w:val="nil"/>
              <w:right w:val="nil"/>
            </w:tcBorders>
            <w:noWrap/>
          </w:tcPr>
          <w:p w:rsidRPr="00C3071B" w:rsidR="00C3071B" w:rsidP="00C3071B" w:rsidRDefault="00C3071B" w14:paraId="3CA52286" w14:textId="77777777">
            <w:pPr>
              <w:jc w:val="right"/>
              <w:rPr>
                <w:rFonts w:ascii="Arial" w:hAnsi="Arial" w:eastAsia="Times New Roman" w:cs="Arial"/>
                <w:sz w:val="20"/>
                <w:szCs w:val="20"/>
                <w:lang w:eastAsia="en-GB"/>
              </w:rPr>
            </w:pPr>
          </w:p>
        </w:tc>
      </w:tr>
      <w:tr w:rsidRPr="00C3071B" w:rsidR="00C3071B" w:rsidTr="00495D7D" w14:paraId="69B71A61" w14:textId="77777777">
        <w:trPr>
          <w:trHeight w:val="300"/>
        </w:trPr>
        <w:tc>
          <w:tcPr>
            <w:tcW w:w="6804" w:type="dxa"/>
            <w:tcBorders>
              <w:left w:val="nil"/>
              <w:bottom w:val="single" w:color="auto" w:sz="4" w:space="0"/>
              <w:right w:val="nil"/>
            </w:tcBorders>
            <w:noWrap/>
          </w:tcPr>
          <w:p w:rsidRPr="00C3071B" w:rsidR="00C3071B" w:rsidP="00C3071B" w:rsidRDefault="00C3071B" w14:paraId="40BC7603" w14:textId="77777777">
            <w:pPr>
              <w:ind w:firstLine="220" w:firstLineChars="100"/>
              <w:rPr>
                <w:rFonts w:ascii="Arial" w:hAnsi="Arial" w:eastAsia="Times New Roman" w:cs="Arial"/>
                <w:sz w:val="20"/>
                <w:szCs w:val="20"/>
              </w:rPr>
            </w:pPr>
            <w:r w:rsidRPr="00C3071B">
              <w:rPr>
                <w:rFonts w:ascii="Calibri" w:hAnsi="Calibri" w:cs="Arial"/>
              </w:rPr>
              <w:t>(9) 21. sadaļa. Dažādu valstu jurisdikciju darbības posteņi</w:t>
            </w:r>
          </w:p>
        </w:tc>
        <w:tc>
          <w:tcPr>
            <w:tcW w:w="2745" w:type="dxa"/>
            <w:tcBorders>
              <w:left w:val="nil"/>
              <w:right w:val="nil"/>
            </w:tcBorders>
            <w:noWrap/>
          </w:tcPr>
          <w:p w:rsidRPr="00C3071B" w:rsidR="00C3071B" w:rsidP="00C3071B" w:rsidRDefault="00C3071B" w14:paraId="19082D1B" w14:textId="77777777">
            <w:pPr>
              <w:jc w:val="right"/>
              <w:rPr>
                <w:rFonts w:ascii="Arial" w:hAnsi="Arial" w:eastAsia="Times New Roman" w:cs="Arial"/>
                <w:sz w:val="20"/>
                <w:szCs w:val="20"/>
                <w:lang w:eastAsia="en-GB"/>
              </w:rPr>
            </w:pPr>
          </w:p>
        </w:tc>
      </w:tr>
      <w:tr w:rsidRPr="00C3071B" w:rsidR="00C3071B" w:rsidTr="00495D7D" w14:paraId="3E3D82B4" w14:textId="77777777">
        <w:trPr>
          <w:trHeight w:val="300"/>
        </w:trPr>
        <w:tc>
          <w:tcPr>
            <w:tcW w:w="6804" w:type="dxa"/>
            <w:tcBorders>
              <w:left w:val="nil"/>
              <w:bottom w:val="single" w:color="auto" w:sz="4" w:space="0"/>
              <w:right w:val="nil"/>
            </w:tcBorders>
            <w:noWrap/>
          </w:tcPr>
          <w:p w:rsidRPr="00C3071B" w:rsidR="00C3071B" w:rsidP="00C3071B" w:rsidRDefault="00C3071B" w14:paraId="307BF692" w14:textId="77777777">
            <w:pPr>
              <w:ind w:firstLine="220" w:firstLineChars="100"/>
              <w:rPr>
                <w:rFonts w:ascii="Arial" w:hAnsi="Arial" w:eastAsia="Times New Roman" w:cs="Arial"/>
                <w:sz w:val="20"/>
                <w:szCs w:val="20"/>
              </w:rPr>
            </w:pPr>
            <w:r w:rsidRPr="00C3071B">
              <w:rPr>
                <w:rFonts w:ascii="Calibri" w:hAnsi="Calibri" w:cs="Arial"/>
              </w:rPr>
              <w:t>(10) 22. sadaļa. Papildu rādītāji</w:t>
            </w:r>
          </w:p>
        </w:tc>
        <w:tc>
          <w:tcPr>
            <w:tcW w:w="2745" w:type="dxa"/>
            <w:tcBorders>
              <w:left w:val="nil"/>
              <w:right w:val="nil"/>
            </w:tcBorders>
            <w:noWrap/>
          </w:tcPr>
          <w:p w:rsidRPr="00C3071B" w:rsidR="00C3071B" w:rsidP="00C3071B" w:rsidRDefault="00C3071B" w14:paraId="1EAF1822" w14:textId="77777777">
            <w:pPr>
              <w:jc w:val="right"/>
              <w:rPr>
                <w:rFonts w:ascii="Arial" w:hAnsi="Arial" w:eastAsia="Times New Roman" w:cs="Arial"/>
                <w:sz w:val="20"/>
                <w:szCs w:val="20"/>
                <w:lang w:eastAsia="en-GB"/>
              </w:rPr>
            </w:pPr>
          </w:p>
        </w:tc>
      </w:tr>
      <w:tr w:rsidRPr="00C3071B" w:rsidR="00C3071B" w:rsidTr="00495D7D" w14:paraId="02A1BBB4" w14:textId="77777777">
        <w:trPr>
          <w:trHeight w:val="300"/>
        </w:trPr>
        <w:tc>
          <w:tcPr>
            <w:tcW w:w="6804" w:type="dxa"/>
            <w:tcBorders>
              <w:left w:val="nil"/>
              <w:bottom w:val="single" w:color="auto" w:sz="4" w:space="0"/>
              <w:right w:val="nil"/>
            </w:tcBorders>
            <w:noWrap/>
          </w:tcPr>
          <w:p w:rsidRPr="00C3071B" w:rsidR="00C3071B" w:rsidP="00C3071B" w:rsidRDefault="00C3071B" w14:paraId="58CC0FA0" w14:textId="77777777">
            <w:pPr>
              <w:rPr>
                <w:rFonts w:ascii="Calibri" w:hAnsi="Calibri" w:cs="Arial"/>
                <w:b/>
                <w:bCs/>
              </w:rPr>
            </w:pPr>
          </w:p>
        </w:tc>
        <w:tc>
          <w:tcPr>
            <w:tcW w:w="2745" w:type="dxa"/>
            <w:tcBorders>
              <w:left w:val="nil"/>
              <w:right w:val="nil"/>
            </w:tcBorders>
            <w:noWrap/>
          </w:tcPr>
          <w:p w:rsidRPr="00C3071B" w:rsidR="00C3071B" w:rsidP="00C3071B" w:rsidRDefault="00C3071B" w14:paraId="27805DF8" w14:textId="77777777">
            <w:pPr>
              <w:jc w:val="center"/>
              <w:rPr>
                <w:rFonts w:ascii="Calibri" w:hAnsi="Calibri" w:cs="Arial"/>
                <w:b/>
                <w:bCs/>
              </w:rPr>
            </w:pPr>
          </w:p>
        </w:tc>
      </w:tr>
      <w:tr w:rsidRPr="00C3071B" w:rsidR="00C3071B" w:rsidTr="00495D7D" w14:paraId="71DDFCA2" w14:textId="77777777">
        <w:trPr>
          <w:trHeight w:val="300"/>
        </w:trPr>
        <w:tc>
          <w:tcPr>
            <w:tcW w:w="6804" w:type="dxa"/>
            <w:tcBorders>
              <w:left w:val="nil"/>
              <w:bottom w:val="single" w:color="auto" w:sz="4" w:space="0"/>
              <w:right w:val="nil"/>
            </w:tcBorders>
            <w:noWrap/>
          </w:tcPr>
          <w:p w:rsidRPr="00C3071B" w:rsidR="00C3071B" w:rsidP="00C3071B" w:rsidRDefault="00C3071B" w14:paraId="11AA9C3F" w14:textId="77777777">
            <w:pPr>
              <w:rPr>
                <w:rFonts w:ascii="Arial" w:hAnsi="Arial" w:eastAsia="Times New Roman" w:cs="Arial"/>
                <w:sz w:val="20"/>
                <w:szCs w:val="20"/>
              </w:rPr>
            </w:pPr>
            <w:r w:rsidRPr="00C3071B">
              <w:rPr>
                <w:rFonts w:ascii="Calibri" w:hAnsi="Calibri" w:cs="Arial"/>
                <w:b/>
              </w:rPr>
              <w:t>24. sadaļa. Rādītāju vērtības (vecā metodika)</w:t>
            </w:r>
          </w:p>
        </w:tc>
        <w:tc>
          <w:tcPr>
            <w:tcW w:w="2745" w:type="dxa"/>
            <w:tcBorders>
              <w:left w:val="nil"/>
              <w:right w:val="nil"/>
            </w:tcBorders>
            <w:noWrap/>
          </w:tcPr>
          <w:p w:rsidRPr="00C3071B" w:rsidR="00C3071B" w:rsidP="00C3071B" w:rsidRDefault="00C3071B" w14:paraId="5938C4AD" w14:textId="77777777">
            <w:pPr>
              <w:jc w:val="center"/>
              <w:rPr>
                <w:rFonts w:ascii="Arial" w:hAnsi="Arial" w:eastAsia="Times New Roman" w:cs="Arial"/>
                <w:sz w:val="20"/>
                <w:szCs w:val="20"/>
              </w:rPr>
            </w:pPr>
            <w:r w:rsidRPr="00C3071B">
              <w:rPr>
                <w:rFonts w:ascii="Calibri" w:hAnsi="Calibri" w:cs="Arial"/>
                <w:b/>
              </w:rPr>
              <w:t>Rādītāja vērtība pārskata valūtā</w:t>
            </w:r>
          </w:p>
        </w:tc>
      </w:tr>
      <w:tr w:rsidRPr="00C3071B" w:rsidR="00C3071B" w:rsidTr="00495D7D" w14:paraId="302CC663" w14:textId="77777777">
        <w:trPr>
          <w:trHeight w:val="300"/>
        </w:trPr>
        <w:tc>
          <w:tcPr>
            <w:tcW w:w="6804" w:type="dxa"/>
            <w:tcBorders>
              <w:left w:val="nil"/>
              <w:bottom w:val="single" w:color="auto" w:sz="4" w:space="0"/>
              <w:right w:val="nil"/>
            </w:tcBorders>
            <w:noWrap/>
          </w:tcPr>
          <w:p w:rsidRPr="00C3071B" w:rsidR="00C3071B" w:rsidP="00C3071B" w:rsidRDefault="00C3071B" w14:paraId="6C31C03F" w14:textId="77777777">
            <w:pPr>
              <w:ind w:firstLine="220" w:firstLineChars="100"/>
              <w:rPr>
                <w:rFonts w:ascii="Arial" w:hAnsi="Arial" w:eastAsia="Times New Roman" w:cs="Arial"/>
                <w:sz w:val="20"/>
                <w:szCs w:val="20"/>
              </w:rPr>
            </w:pPr>
            <w:r w:rsidRPr="00C3071B">
              <w:rPr>
                <w:rFonts w:ascii="Calibri" w:hAnsi="Calibri" w:cs="Arial"/>
              </w:rPr>
              <w:t>a) 2. sadaļa. Kopējo riska darījumu rādītājs</w:t>
            </w:r>
          </w:p>
        </w:tc>
        <w:tc>
          <w:tcPr>
            <w:tcW w:w="2745" w:type="dxa"/>
            <w:tcBorders>
              <w:left w:val="nil"/>
              <w:right w:val="nil"/>
            </w:tcBorders>
            <w:noWrap/>
          </w:tcPr>
          <w:p w:rsidRPr="00C3071B" w:rsidR="00C3071B" w:rsidP="00C3071B" w:rsidRDefault="00C3071B" w14:paraId="4BA91238" w14:textId="77777777">
            <w:pPr>
              <w:jc w:val="right"/>
              <w:rPr>
                <w:rFonts w:ascii="Arial" w:hAnsi="Arial" w:eastAsia="Times New Roman" w:cs="Arial"/>
                <w:sz w:val="20"/>
                <w:szCs w:val="20"/>
                <w:lang w:eastAsia="en-GB"/>
              </w:rPr>
            </w:pPr>
          </w:p>
        </w:tc>
      </w:tr>
      <w:tr w:rsidRPr="00C3071B" w:rsidR="00C3071B" w:rsidTr="00495D7D" w14:paraId="270757A7" w14:textId="77777777">
        <w:trPr>
          <w:trHeight w:val="300"/>
        </w:trPr>
        <w:tc>
          <w:tcPr>
            <w:tcW w:w="6804" w:type="dxa"/>
            <w:tcBorders>
              <w:left w:val="nil"/>
              <w:bottom w:val="single" w:color="auto" w:sz="4" w:space="0"/>
              <w:right w:val="nil"/>
            </w:tcBorders>
            <w:noWrap/>
          </w:tcPr>
          <w:p w:rsidRPr="00C3071B" w:rsidR="00C3071B" w:rsidP="00C3071B" w:rsidRDefault="00C3071B" w14:paraId="40C387DA" w14:textId="77777777">
            <w:pPr>
              <w:ind w:firstLine="220" w:firstLineChars="100"/>
              <w:rPr>
                <w:rFonts w:ascii="Arial" w:hAnsi="Arial" w:eastAsia="Times New Roman" w:cs="Arial"/>
                <w:sz w:val="20"/>
                <w:szCs w:val="20"/>
              </w:rPr>
            </w:pPr>
            <w:r w:rsidRPr="00C3071B">
              <w:rPr>
                <w:rFonts w:ascii="Calibri" w:hAnsi="Calibri" w:cs="Arial"/>
              </w:rPr>
              <w:t>b) 18. sadaļa. Iekšējās finanšu sistēmas aktīvu rādītājs</w:t>
            </w:r>
          </w:p>
        </w:tc>
        <w:tc>
          <w:tcPr>
            <w:tcW w:w="2745" w:type="dxa"/>
            <w:tcBorders>
              <w:left w:val="nil"/>
              <w:right w:val="nil"/>
            </w:tcBorders>
            <w:noWrap/>
          </w:tcPr>
          <w:p w:rsidRPr="00C3071B" w:rsidR="00C3071B" w:rsidP="00C3071B" w:rsidRDefault="00C3071B" w14:paraId="283F7F67" w14:textId="77777777">
            <w:pPr>
              <w:jc w:val="right"/>
              <w:rPr>
                <w:rFonts w:ascii="Arial" w:hAnsi="Arial" w:eastAsia="Times New Roman" w:cs="Arial"/>
                <w:sz w:val="20"/>
                <w:szCs w:val="20"/>
                <w:lang w:eastAsia="en-GB"/>
              </w:rPr>
            </w:pPr>
          </w:p>
        </w:tc>
      </w:tr>
      <w:tr w:rsidRPr="00C3071B" w:rsidR="00C3071B" w:rsidTr="00495D7D" w14:paraId="2D51C121" w14:textId="77777777">
        <w:trPr>
          <w:trHeight w:val="300"/>
        </w:trPr>
        <w:tc>
          <w:tcPr>
            <w:tcW w:w="6804" w:type="dxa"/>
            <w:tcBorders>
              <w:left w:val="nil"/>
              <w:bottom w:val="single" w:color="auto" w:sz="4" w:space="0"/>
              <w:right w:val="nil"/>
            </w:tcBorders>
            <w:noWrap/>
          </w:tcPr>
          <w:p w:rsidRPr="00C3071B" w:rsidR="00C3071B" w:rsidP="00C3071B" w:rsidRDefault="00C3071B" w14:paraId="5FBA7536" w14:textId="77777777">
            <w:pPr>
              <w:ind w:firstLine="220" w:firstLineChars="100"/>
              <w:rPr>
                <w:rFonts w:ascii="Arial" w:hAnsi="Arial" w:eastAsia="Times New Roman" w:cs="Arial"/>
                <w:sz w:val="20"/>
                <w:szCs w:val="20"/>
              </w:rPr>
            </w:pPr>
            <w:r w:rsidRPr="00C3071B">
              <w:rPr>
                <w:rFonts w:ascii="Calibri" w:hAnsi="Calibri" w:cs="Arial"/>
              </w:rPr>
              <w:t>c) 18. sadaļa. Iekšējās finanšu sistēmas saistību rādītājs</w:t>
            </w:r>
          </w:p>
        </w:tc>
        <w:tc>
          <w:tcPr>
            <w:tcW w:w="2745" w:type="dxa"/>
            <w:tcBorders>
              <w:left w:val="nil"/>
              <w:right w:val="nil"/>
            </w:tcBorders>
            <w:noWrap/>
          </w:tcPr>
          <w:p w:rsidRPr="00C3071B" w:rsidR="00C3071B" w:rsidP="00C3071B" w:rsidRDefault="00C3071B" w14:paraId="0F2F86C4" w14:textId="77777777">
            <w:pPr>
              <w:jc w:val="right"/>
              <w:rPr>
                <w:rFonts w:ascii="Arial" w:hAnsi="Arial" w:eastAsia="Times New Roman" w:cs="Arial"/>
                <w:sz w:val="20"/>
                <w:szCs w:val="20"/>
                <w:lang w:eastAsia="en-GB"/>
              </w:rPr>
            </w:pPr>
          </w:p>
        </w:tc>
      </w:tr>
      <w:tr w:rsidRPr="00C3071B" w:rsidR="00C3071B" w:rsidTr="00495D7D" w14:paraId="2281D038" w14:textId="77777777">
        <w:trPr>
          <w:trHeight w:val="300"/>
        </w:trPr>
        <w:tc>
          <w:tcPr>
            <w:tcW w:w="6804" w:type="dxa"/>
            <w:tcBorders>
              <w:left w:val="nil"/>
              <w:bottom w:val="single" w:color="auto" w:sz="4" w:space="0"/>
              <w:right w:val="nil"/>
            </w:tcBorders>
            <w:noWrap/>
          </w:tcPr>
          <w:p w:rsidRPr="00C3071B" w:rsidR="00C3071B" w:rsidP="00C3071B" w:rsidRDefault="00C3071B" w14:paraId="346AE41C" w14:textId="77777777">
            <w:pPr>
              <w:ind w:firstLine="220" w:firstLineChars="100"/>
              <w:rPr>
                <w:rFonts w:ascii="Arial" w:hAnsi="Arial" w:eastAsia="Times New Roman" w:cs="Arial"/>
                <w:sz w:val="20"/>
                <w:szCs w:val="20"/>
              </w:rPr>
            </w:pPr>
            <w:r w:rsidRPr="00C3071B">
              <w:rPr>
                <w:rFonts w:ascii="Calibri" w:hAnsi="Calibri" w:cs="Arial"/>
              </w:rPr>
              <w:t>d) 18. sadaļa. Nesamaksāto vērtspapīru rādītājs</w:t>
            </w:r>
          </w:p>
        </w:tc>
        <w:tc>
          <w:tcPr>
            <w:tcW w:w="2745" w:type="dxa"/>
            <w:tcBorders>
              <w:left w:val="nil"/>
              <w:right w:val="nil"/>
            </w:tcBorders>
            <w:noWrap/>
          </w:tcPr>
          <w:p w:rsidRPr="00C3071B" w:rsidR="00C3071B" w:rsidP="00C3071B" w:rsidRDefault="00C3071B" w14:paraId="03BDC6D7" w14:textId="77777777">
            <w:pPr>
              <w:jc w:val="right"/>
              <w:rPr>
                <w:rFonts w:ascii="Arial" w:hAnsi="Arial" w:eastAsia="Times New Roman" w:cs="Arial"/>
                <w:sz w:val="20"/>
                <w:szCs w:val="20"/>
                <w:lang w:eastAsia="en-GB"/>
              </w:rPr>
            </w:pPr>
          </w:p>
        </w:tc>
      </w:tr>
      <w:tr w:rsidRPr="00C3071B" w:rsidR="00C3071B" w:rsidTr="00495D7D" w14:paraId="2A3EBA2B" w14:textId="77777777">
        <w:trPr>
          <w:trHeight w:val="300"/>
        </w:trPr>
        <w:tc>
          <w:tcPr>
            <w:tcW w:w="6804" w:type="dxa"/>
            <w:tcBorders>
              <w:left w:val="nil"/>
              <w:bottom w:val="single" w:color="auto" w:sz="4" w:space="0"/>
              <w:right w:val="nil"/>
            </w:tcBorders>
            <w:noWrap/>
          </w:tcPr>
          <w:p w:rsidRPr="00C3071B" w:rsidR="00C3071B" w:rsidP="00C3071B" w:rsidRDefault="00C3071B" w14:paraId="691DAAF7" w14:textId="77777777">
            <w:pPr>
              <w:ind w:firstLine="220" w:firstLineChars="100"/>
              <w:rPr>
                <w:rFonts w:ascii="Arial" w:hAnsi="Arial" w:eastAsia="Times New Roman" w:cs="Arial"/>
                <w:sz w:val="20"/>
                <w:szCs w:val="20"/>
              </w:rPr>
            </w:pPr>
            <w:r w:rsidRPr="00C3071B">
              <w:rPr>
                <w:rFonts w:ascii="Calibri" w:hAnsi="Calibri" w:cs="Arial"/>
              </w:rPr>
              <w:t>e) 6. sadaļa. Maksājumu darbības rādītājs</w:t>
            </w:r>
          </w:p>
        </w:tc>
        <w:tc>
          <w:tcPr>
            <w:tcW w:w="2745" w:type="dxa"/>
            <w:tcBorders>
              <w:left w:val="nil"/>
              <w:right w:val="nil"/>
            </w:tcBorders>
            <w:noWrap/>
          </w:tcPr>
          <w:p w:rsidRPr="00C3071B" w:rsidR="00C3071B" w:rsidP="00C3071B" w:rsidRDefault="00C3071B" w14:paraId="3234AF88" w14:textId="77777777">
            <w:pPr>
              <w:jc w:val="right"/>
              <w:rPr>
                <w:rFonts w:ascii="Arial" w:hAnsi="Arial" w:eastAsia="Times New Roman" w:cs="Arial"/>
                <w:sz w:val="20"/>
                <w:szCs w:val="20"/>
                <w:lang w:eastAsia="en-GB"/>
              </w:rPr>
            </w:pPr>
          </w:p>
        </w:tc>
      </w:tr>
      <w:tr w:rsidRPr="00C3071B" w:rsidR="00C3071B" w:rsidTr="00495D7D" w14:paraId="3891847D" w14:textId="77777777">
        <w:trPr>
          <w:trHeight w:val="300"/>
        </w:trPr>
        <w:tc>
          <w:tcPr>
            <w:tcW w:w="6804" w:type="dxa"/>
            <w:tcBorders>
              <w:left w:val="nil"/>
              <w:bottom w:val="single" w:color="auto" w:sz="4" w:space="0"/>
              <w:right w:val="nil"/>
            </w:tcBorders>
            <w:noWrap/>
          </w:tcPr>
          <w:p w:rsidRPr="00C3071B" w:rsidR="00C3071B" w:rsidP="00C3071B" w:rsidRDefault="00C3071B" w14:paraId="4378BB38" w14:textId="77777777">
            <w:pPr>
              <w:ind w:firstLine="220" w:firstLineChars="100"/>
              <w:rPr>
                <w:rFonts w:ascii="Arial" w:hAnsi="Arial" w:eastAsia="Times New Roman" w:cs="Arial"/>
                <w:sz w:val="20"/>
                <w:szCs w:val="20"/>
              </w:rPr>
            </w:pPr>
            <w:r w:rsidRPr="00C3071B">
              <w:rPr>
                <w:rFonts w:ascii="Calibri" w:hAnsi="Calibri" w:cs="Arial"/>
              </w:rPr>
              <w:t>f) 7. sadaļa. Glabāšanā esošo aktīvu rādītājs</w:t>
            </w:r>
          </w:p>
        </w:tc>
        <w:tc>
          <w:tcPr>
            <w:tcW w:w="2745" w:type="dxa"/>
            <w:tcBorders>
              <w:left w:val="nil"/>
              <w:right w:val="nil"/>
            </w:tcBorders>
            <w:noWrap/>
          </w:tcPr>
          <w:p w:rsidRPr="00C3071B" w:rsidR="00C3071B" w:rsidP="00C3071B" w:rsidRDefault="00C3071B" w14:paraId="09B324A5" w14:textId="77777777">
            <w:pPr>
              <w:jc w:val="right"/>
              <w:rPr>
                <w:rFonts w:ascii="Arial" w:hAnsi="Arial" w:eastAsia="Times New Roman" w:cs="Arial"/>
                <w:sz w:val="20"/>
                <w:szCs w:val="20"/>
                <w:lang w:eastAsia="en-GB"/>
              </w:rPr>
            </w:pPr>
          </w:p>
        </w:tc>
      </w:tr>
      <w:tr w:rsidRPr="00C3071B" w:rsidR="00C3071B" w:rsidTr="00495D7D" w14:paraId="548A3301" w14:textId="77777777">
        <w:trPr>
          <w:trHeight w:val="300"/>
        </w:trPr>
        <w:tc>
          <w:tcPr>
            <w:tcW w:w="6804" w:type="dxa"/>
            <w:tcBorders>
              <w:left w:val="nil"/>
              <w:bottom w:val="single" w:color="auto" w:sz="4" w:space="0"/>
              <w:right w:val="nil"/>
            </w:tcBorders>
            <w:noWrap/>
          </w:tcPr>
          <w:p w:rsidRPr="00C3071B" w:rsidR="00C3071B" w:rsidP="00C3071B" w:rsidRDefault="00C3071B" w14:paraId="4194923E" w14:textId="77777777">
            <w:pPr>
              <w:ind w:firstLine="220" w:firstLineChars="100"/>
              <w:rPr>
                <w:rFonts w:ascii="Arial" w:hAnsi="Arial" w:eastAsia="Times New Roman" w:cs="Arial"/>
                <w:sz w:val="20"/>
                <w:szCs w:val="20"/>
              </w:rPr>
            </w:pPr>
            <w:r w:rsidRPr="00C3071B">
              <w:rPr>
                <w:rFonts w:ascii="Calibri" w:hAnsi="Calibri" w:cs="Arial"/>
              </w:rPr>
              <w:t>g) 8. sadaļa. Sākotnējās izvietošanas darbības rādītājs</w:t>
            </w:r>
          </w:p>
        </w:tc>
        <w:tc>
          <w:tcPr>
            <w:tcW w:w="2745" w:type="dxa"/>
            <w:tcBorders>
              <w:left w:val="nil"/>
              <w:right w:val="nil"/>
            </w:tcBorders>
            <w:noWrap/>
          </w:tcPr>
          <w:p w:rsidRPr="00C3071B" w:rsidR="00C3071B" w:rsidP="00C3071B" w:rsidRDefault="00C3071B" w14:paraId="7BBB1E66" w14:textId="77777777">
            <w:pPr>
              <w:jc w:val="right"/>
              <w:rPr>
                <w:rFonts w:ascii="Arial" w:hAnsi="Arial" w:eastAsia="Times New Roman" w:cs="Arial"/>
                <w:sz w:val="20"/>
                <w:szCs w:val="20"/>
                <w:lang w:eastAsia="en-GB"/>
              </w:rPr>
            </w:pPr>
          </w:p>
        </w:tc>
      </w:tr>
      <w:tr w:rsidRPr="00C3071B" w:rsidR="00C3071B" w:rsidTr="00495D7D" w14:paraId="105FCBEC" w14:textId="77777777">
        <w:trPr>
          <w:trHeight w:val="300"/>
        </w:trPr>
        <w:tc>
          <w:tcPr>
            <w:tcW w:w="6804" w:type="dxa"/>
            <w:tcBorders>
              <w:left w:val="nil"/>
              <w:bottom w:val="single" w:color="auto" w:sz="4" w:space="0"/>
              <w:right w:val="nil"/>
            </w:tcBorders>
            <w:noWrap/>
          </w:tcPr>
          <w:p w:rsidRPr="00C3071B" w:rsidR="00C3071B" w:rsidP="00C3071B" w:rsidRDefault="00C3071B" w14:paraId="54D38242" w14:textId="77777777">
            <w:pPr>
              <w:ind w:firstLine="220" w:firstLineChars="100"/>
              <w:rPr>
                <w:rFonts w:ascii="Arial" w:hAnsi="Arial" w:eastAsia="Times New Roman" w:cs="Arial"/>
                <w:sz w:val="20"/>
                <w:szCs w:val="20"/>
              </w:rPr>
            </w:pPr>
            <w:r w:rsidRPr="00C3071B">
              <w:rPr>
                <w:rFonts w:ascii="Calibri" w:hAnsi="Calibri" w:cs="Arial"/>
              </w:rPr>
              <w:t>h) 20. sadaļa. Ārpusbiržas atvasināto instrumentu rādītājs</w:t>
            </w:r>
          </w:p>
        </w:tc>
        <w:tc>
          <w:tcPr>
            <w:tcW w:w="2745" w:type="dxa"/>
            <w:tcBorders>
              <w:left w:val="nil"/>
              <w:right w:val="nil"/>
            </w:tcBorders>
            <w:noWrap/>
          </w:tcPr>
          <w:p w:rsidRPr="00C3071B" w:rsidR="00C3071B" w:rsidP="00C3071B" w:rsidRDefault="00C3071B" w14:paraId="5138F019" w14:textId="77777777">
            <w:pPr>
              <w:jc w:val="right"/>
              <w:rPr>
                <w:rFonts w:ascii="Arial" w:hAnsi="Arial" w:eastAsia="Times New Roman" w:cs="Arial"/>
                <w:sz w:val="20"/>
                <w:szCs w:val="20"/>
                <w:lang w:eastAsia="en-GB"/>
              </w:rPr>
            </w:pPr>
          </w:p>
        </w:tc>
      </w:tr>
      <w:tr w:rsidRPr="00C3071B" w:rsidR="00C3071B" w:rsidTr="00495D7D" w14:paraId="2B751052" w14:textId="77777777">
        <w:trPr>
          <w:trHeight w:val="300"/>
        </w:trPr>
        <w:tc>
          <w:tcPr>
            <w:tcW w:w="6804" w:type="dxa"/>
            <w:tcBorders>
              <w:left w:val="nil"/>
              <w:bottom w:val="single" w:color="auto" w:sz="4" w:space="0"/>
              <w:right w:val="nil"/>
            </w:tcBorders>
            <w:noWrap/>
          </w:tcPr>
          <w:p w:rsidRPr="00C3071B" w:rsidR="00C3071B" w:rsidP="00C3071B" w:rsidRDefault="00C3071B" w14:paraId="461ED23C" w14:textId="77777777">
            <w:pPr>
              <w:ind w:firstLine="220" w:firstLineChars="100"/>
              <w:rPr>
                <w:rFonts w:ascii="Arial" w:hAnsi="Arial" w:eastAsia="Times New Roman" w:cs="Arial"/>
                <w:sz w:val="20"/>
                <w:szCs w:val="20"/>
              </w:rPr>
            </w:pPr>
            <w:r w:rsidRPr="00C3071B">
              <w:rPr>
                <w:rFonts w:ascii="Calibri" w:hAnsi="Calibri" w:cs="Arial"/>
              </w:rPr>
              <w:t>i) 11. sadaļa. Tirdzniecības nolūkā turēto un pārdošanai pieejamo vērtspapīru rādītājs</w:t>
            </w:r>
          </w:p>
        </w:tc>
        <w:tc>
          <w:tcPr>
            <w:tcW w:w="2745" w:type="dxa"/>
            <w:tcBorders>
              <w:left w:val="nil"/>
              <w:right w:val="nil"/>
            </w:tcBorders>
            <w:noWrap/>
          </w:tcPr>
          <w:p w:rsidRPr="00C3071B" w:rsidR="00C3071B" w:rsidP="00C3071B" w:rsidRDefault="00C3071B" w14:paraId="277415CD" w14:textId="77777777">
            <w:pPr>
              <w:jc w:val="right"/>
              <w:rPr>
                <w:rFonts w:ascii="Arial" w:hAnsi="Arial" w:eastAsia="Times New Roman" w:cs="Arial"/>
                <w:sz w:val="20"/>
                <w:szCs w:val="20"/>
                <w:lang w:eastAsia="en-GB"/>
              </w:rPr>
            </w:pPr>
          </w:p>
        </w:tc>
      </w:tr>
      <w:tr w:rsidRPr="00C3071B" w:rsidR="00C3071B" w:rsidTr="00495D7D" w14:paraId="46476D78" w14:textId="77777777">
        <w:trPr>
          <w:trHeight w:val="300"/>
        </w:trPr>
        <w:tc>
          <w:tcPr>
            <w:tcW w:w="6804" w:type="dxa"/>
            <w:tcBorders>
              <w:left w:val="nil"/>
              <w:bottom w:val="single" w:color="auto" w:sz="4" w:space="0"/>
              <w:right w:val="nil"/>
            </w:tcBorders>
            <w:noWrap/>
          </w:tcPr>
          <w:p w:rsidRPr="00C3071B" w:rsidR="00C3071B" w:rsidP="00C3071B" w:rsidRDefault="00C3071B" w14:paraId="44FFF221" w14:textId="77777777">
            <w:pPr>
              <w:ind w:firstLine="220" w:firstLineChars="100"/>
              <w:rPr>
                <w:rFonts w:ascii="Arial" w:hAnsi="Arial" w:eastAsia="Times New Roman" w:cs="Arial"/>
                <w:sz w:val="20"/>
                <w:szCs w:val="20"/>
              </w:rPr>
            </w:pPr>
            <w:r w:rsidRPr="00C3071B">
              <w:rPr>
                <w:rFonts w:ascii="Calibri" w:hAnsi="Calibri" w:cs="Arial"/>
              </w:rPr>
              <w:t>j) 20. sadaļa. Trešā līmeņa aktīvu rādītājs</w:t>
            </w:r>
          </w:p>
        </w:tc>
        <w:tc>
          <w:tcPr>
            <w:tcW w:w="2745" w:type="dxa"/>
            <w:tcBorders>
              <w:left w:val="nil"/>
              <w:right w:val="nil"/>
            </w:tcBorders>
            <w:noWrap/>
          </w:tcPr>
          <w:p w:rsidRPr="00C3071B" w:rsidR="00C3071B" w:rsidP="00C3071B" w:rsidRDefault="00C3071B" w14:paraId="29F8BBC0" w14:textId="77777777">
            <w:pPr>
              <w:jc w:val="right"/>
              <w:rPr>
                <w:rFonts w:ascii="Arial" w:hAnsi="Arial" w:eastAsia="Times New Roman" w:cs="Arial"/>
                <w:sz w:val="20"/>
                <w:szCs w:val="20"/>
                <w:lang w:eastAsia="en-GB"/>
              </w:rPr>
            </w:pPr>
          </w:p>
        </w:tc>
      </w:tr>
      <w:tr w:rsidRPr="00C3071B" w:rsidR="00C3071B" w:rsidTr="00495D7D" w14:paraId="05AB82EE" w14:textId="77777777">
        <w:trPr>
          <w:trHeight w:val="300"/>
        </w:trPr>
        <w:tc>
          <w:tcPr>
            <w:tcW w:w="6804" w:type="dxa"/>
            <w:tcBorders>
              <w:left w:val="nil"/>
              <w:bottom w:val="single" w:color="auto" w:sz="4" w:space="0"/>
              <w:right w:val="nil"/>
            </w:tcBorders>
            <w:noWrap/>
          </w:tcPr>
          <w:p w:rsidRPr="00C3071B" w:rsidR="00C3071B" w:rsidP="00C3071B" w:rsidRDefault="00C3071B" w14:paraId="3D3F81B1" w14:textId="77777777">
            <w:pPr>
              <w:ind w:firstLine="220" w:firstLineChars="100"/>
              <w:rPr>
                <w:rFonts w:ascii="Arial" w:hAnsi="Arial" w:eastAsia="Times New Roman" w:cs="Arial"/>
                <w:sz w:val="20"/>
                <w:szCs w:val="20"/>
              </w:rPr>
            </w:pPr>
            <w:r w:rsidRPr="00C3071B">
              <w:rPr>
                <w:rFonts w:ascii="Calibri" w:hAnsi="Calibri" w:cs="Arial"/>
              </w:rPr>
              <w:t>k) 13. sadaļa. Dažādu valstu jurisdikciju prasību rādītājs</w:t>
            </w:r>
          </w:p>
        </w:tc>
        <w:tc>
          <w:tcPr>
            <w:tcW w:w="2745" w:type="dxa"/>
            <w:tcBorders>
              <w:left w:val="nil"/>
              <w:right w:val="nil"/>
            </w:tcBorders>
            <w:noWrap/>
          </w:tcPr>
          <w:p w:rsidRPr="00C3071B" w:rsidR="00C3071B" w:rsidP="00C3071B" w:rsidRDefault="00C3071B" w14:paraId="485F28C2" w14:textId="77777777">
            <w:pPr>
              <w:jc w:val="right"/>
              <w:rPr>
                <w:rFonts w:ascii="Arial" w:hAnsi="Arial" w:eastAsia="Times New Roman" w:cs="Arial"/>
                <w:sz w:val="20"/>
                <w:szCs w:val="20"/>
                <w:lang w:eastAsia="en-GB"/>
              </w:rPr>
            </w:pPr>
          </w:p>
        </w:tc>
      </w:tr>
      <w:tr w:rsidRPr="00C3071B" w:rsidR="00C3071B" w:rsidTr="00495D7D" w14:paraId="1349E0BA" w14:textId="77777777">
        <w:trPr>
          <w:trHeight w:val="300"/>
        </w:trPr>
        <w:tc>
          <w:tcPr>
            <w:tcW w:w="6804" w:type="dxa"/>
            <w:tcBorders>
              <w:left w:val="nil"/>
              <w:bottom w:val="single" w:color="auto" w:sz="4" w:space="0"/>
              <w:right w:val="nil"/>
            </w:tcBorders>
            <w:noWrap/>
          </w:tcPr>
          <w:p w:rsidRPr="00C3071B" w:rsidR="00C3071B" w:rsidP="00C3071B" w:rsidRDefault="00C3071B" w14:paraId="1FCA9FE2" w14:textId="77777777">
            <w:pPr>
              <w:ind w:firstLine="220" w:firstLineChars="100"/>
              <w:rPr>
                <w:rFonts w:ascii="Arial" w:hAnsi="Arial" w:eastAsia="Times New Roman" w:cs="Arial"/>
                <w:sz w:val="20"/>
                <w:szCs w:val="20"/>
              </w:rPr>
            </w:pPr>
            <w:r w:rsidRPr="00C3071B">
              <w:rPr>
                <w:rFonts w:ascii="Calibri" w:hAnsi="Calibri" w:cs="Arial"/>
              </w:rPr>
              <w:t>l) 21. sadaļa. Dažādu valstu jurisdikciju saistību rādītājs</w:t>
            </w:r>
          </w:p>
        </w:tc>
        <w:tc>
          <w:tcPr>
            <w:tcW w:w="2745" w:type="dxa"/>
            <w:tcBorders>
              <w:left w:val="nil"/>
              <w:right w:val="nil"/>
            </w:tcBorders>
            <w:noWrap/>
          </w:tcPr>
          <w:p w:rsidRPr="00C3071B" w:rsidR="00C3071B" w:rsidP="00C3071B" w:rsidRDefault="00C3071B" w14:paraId="3B645627" w14:textId="77777777">
            <w:pPr>
              <w:jc w:val="right"/>
              <w:rPr>
                <w:rFonts w:ascii="Arial" w:hAnsi="Arial" w:eastAsia="Times New Roman" w:cs="Arial"/>
                <w:sz w:val="20"/>
                <w:szCs w:val="20"/>
                <w:lang w:eastAsia="en-GB"/>
              </w:rPr>
            </w:pPr>
          </w:p>
        </w:tc>
      </w:tr>
    </w:tbl>
    <w:p w:rsidRPr="0069119B" w:rsidR="00B43E07" w:rsidP="00AF2BCB" w:rsidRDefault="00B43E07" w14:paraId="2BAE8127" w14:textId="5FE21A2A">
      <w:pPr>
        <w:pStyle w:val="TableParagraph"/>
        <w:spacing w:before="11"/>
        <w:ind w:left="381"/>
      </w:pPr>
    </w:p>
    <w:bookmarkEnd w:id="9"/>
    <w:bookmarkEnd w:id="8"/>
    <w:bookmarkEnd w:id="7"/>
    <w:bookmarkEnd w:id="6"/>
    <w:bookmarkEnd w:id="5"/>
    <w:bookmarkEnd w:id="4"/>
    <w:bookmarkEnd w:id="3"/>
    <w:bookmarkEnd w:id="2"/>
    <w:bookmarkEnd w:id="1"/>
    <w:bookmarkEnd w:id="0"/>
    <w:p w:rsidRPr="0069119B" w:rsidR="00B43E07" w:rsidP="00F9329F" w:rsidRDefault="00B43E07" w14:paraId="609D9107" w14:textId="34CF2015">
      <w:pPr>
        <w:pStyle w:val="TableParagraph"/>
        <w:spacing w:before="11"/>
      </w:pPr>
    </w:p>
    <w:sectPr w:rsidRPr="0069119B" w:rsidR="00B43E07"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6712" w14:textId="77777777" w:rsidR="000219AE" w:rsidRDefault="000219AE" w:rsidP="00A00E34">
      <w:r>
        <w:separator/>
      </w:r>
    </w:p>
    <w:p w14:paraId="23D6E9D1" w14:textId="77777777" w:rsidR="000219AE" w:rsidRDefault="000219AE"/>
  </w:endnote>
  <w:endnote w:type="continuationSeparator" w:id="0">
    <w:p w14:paraId="2CD586D3" w14:textId="77777777" w:rsidR="000219AE" w:rsidRDefault="000219AE" w:rsidP="00A00E34">
      <w:r>
        <w:continuationSeparator/>
      </w:r>
    </w:p>
    <w:p w14:paraId="16A223CC" w14:textId="77777777" w:rsidR="000219AE" w:rsidRDefault="0002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17667F" w:rsidRDefault="002215B5"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2215B5" w:rsidP="00610305" w:rsidRDefault="002215B5"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119B" w:rsidR="002215B5" w:rsidP="0017667F" w:rsidRDefault="002215B5" w14:paraId="7C3A9832" w14:textId="597AAC0B">
    <w:pPr>
      <w:pStyle w:val="Footer"/>
      <w:rPr>
        <w:rStyle w:val="PageNumber"/>
        <w:noProof/>
      </w:rPr>
    </w:pPr>
    <w:r w:rsidRPr="0069119B">
      <w:rPr>
        <w:rStyle w:val="PageNumber"/>
      </w:rPr>
      <w:fldChar w:fldCharType="begin"/>
    </w:r>
    <w:r w:rsidRPr="0069119B">
      <w:rPr>
        <w:rStyle w:val="PageNumber"/>
      </w:rPr>
      <w:instrText xml:space="preserve">PAGE  </w:instrText>
    </w:r>
    <w:r w:rsidRPr="0069119B">
      <w:rPr>
        <w:rStyle w:val="PageNumber"/>
      </w:rPr>
      <w:fldChar w:fldCharType="separate"/>
    </w:r>
    <w:r w:rsidR="00D42CD4">
      <w:rPr>
        <w:rStyle w:val="PageNumber"/>
        <w:noProof/>
      </w:rPr>
      <w:t>4</w:t>
    </w:r>
    <w:r w:rsidRPr="0069119B">
      <w:rPr>
        <w:rStyle w:val="PageNumber"/>
      </w:rPr>
      <w:fldChar w:fldCharType="end"/>
    </w:r>
  </w:p>
  <w:p w:rsidRPr="0069119B" w:rsidR="002215B5" w:rsidP="00610305" w:rsidRDefault="002215B5" w14:paraId="6EEDA3DB" w14:textId="77777777">
    <w:pPr>
      <w:pStyle w:val="Footer"/>
      <w:ind w:right="360"/>
      <w:rPr>
        <w:noProof/>
      </w:rPr>
    </w:pPr>
    <w:r w:rsidRPr="0069119B">
      <w:rPr>
        <w:noProof/>
        <w:lang w:val="en-GB" w:eastAsia="en-GB"/>
      </w:rPr>
      <mc:AlternateContent>
        <mc:Choice Requires="wps">
          <w:drawing>
            <wp:anchor distT="4294967295" distB="4294967295" distL="114300" distR="114300" simplePos="0" relativeHeight="251657728" behindDoc="1" locked="1" layoutInCell="1" allowOverlap="1" wp14:editId="03F879D1" wp14:anchorId="127A96D1">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from="-5.6pt,785.3pt" to="445.1pt,785.3pt" w14:anchorId="18EAF944">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19B" w:rsidRDefault="0069119B" w14:paraId="4092EC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C1C8" w14:textId="77777777" w:rsidR="000219AE" w:rsidRPr="00DB5E8F" w:rsidRDefault="000219AE">
      <w:pPr>
        <w:rPr>
          <w:sz w:val="12"/>
          <w:szCs w:val="12"/>
        </w:rPr>
      </w:pPr>
      <w:r w:rsidRPr="00DB5E8F">
        <w:rPr>
          <w:sz w:val="12"/>
          <w:szCs w:val="12"/>
        </w:rPr>
        <w:separator/>
      </w:r>
    </w:p>
  </w:footnote>
  <w:footnote w:type="continuationSeparator" w:id="0">
    <w:p w14:paraId="636B6139" w14:textId="77777777" w:rsidR="000219AE" w:rsidRDefault="000219AE" w:rsidP="00A00E34">
      <w:r>
        <w:continuationSeparator/>
      </w:r>
    </w:p>
    <w:p w14:paraId="297DBFD2" w14:textId="77777777" w:rsidR="000219AE" w:rsidRDefault="000219AE"/>
  </w:footnote>
  <w:footnote w:type="continuationNotice" w:id="1">
    <w:p w14:paraId="744FDB9F" w14:textId="77777777" w:rsidR="000219AE" w:rsidRDefault="000219AE"/>
  </w:footnote>
  <w:footnote w:id="2">
    <w:p w14:paraId="2B9C6101" w14:textId="2B4968B2" w:rsidR="002215B5" w:rsidRPr="0069119B" w:rsidRDefault="002215B5" w:rsidP="00C92B4B">
      <w:pPr>
        <w:pStyle w:val="FootnoteText"/>
        <w:rPr>
          <w:rFonts w:asciiTheme="minorHAnsi" w:hAnsiTheme="minorHAnsi" w:cstheme="minorHAnsi"/>
        </w:rPr>
      </w:pPr>
      <w:r w:rsidRPr="0069119B">
        <w:rPr>
          <w:rStyle w:val="FootnoteReference"/>
          <w:rFonts w:cstheme="minorHAnsi"/>
          <w:sz w:val="18"/>
        </w:rPr>
        <w:footnoteRef/>
      </w:r>
      <w:r w:rsidRPr="0069119B">
        <w:rPr>
          <w:rFonts w:asciiTheme="minorHAnsi" w:hAnsiTheme="minorHAnsi" w:cstheme="minorHAnsi"/>
        </w:rPr>
        <w:t> Eiropas Parlamenta un Padomes 2010. gada 24. novembra Regula (ES) Nr. 1093/2010, ar ko izveido Eiropas Uzraudzības iestādi (Eiropas Banku iestādi), groza Lēmumu Nr. 716/2009/EK un atceļ Komisijas Lēmumu 2009/78/EK (OV L 331, 15.12.2010., 12. lpp.).</w:t>
      </w:r>
    </w:p>
  </w:footnote>
  <w:footnote w:id="3">
    <w:p w14:paraId="7A2A4586" w14:textId="77777777" w:rsidR="00FD30DA" w:rsidRPr="00E94340" w:rsidRDefault="00FD30DA" w:rsidP="00FD30DA">
      <w:pPr>
        <w:pStyle w:val="FootnoteText"/>
      </w:pPr>
      <w:r w:rsidRPr="00E94340">
        <w:rPr>
          <w:rStyle w:val="FootnoteReference"/>
          <w:lang w:val="en-GB"/>
        </w:rPr>
        <w:footnoteRef/>
      </w:r>
      <w:r w:rsidRPr="00E94340">
        <w:t xml:space="preserve"> 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RDefault="002215B5" w14:paraId="41B1516F" w14:textId="12C57839">
    <w:pPr>
      <w:rPr>
        <w:noProof/>
      </w:rPr>
    </w:pPr>
    <w:r>
      <w:ptab w:alignment="center" w:relativeTo="margin" w:leader="none"/>
    </w:r>
    <w:r>
      <w:ptab w:alignment="right" w:relativeTo="margin" w:leader="none"/>
    </w:r>
  </w:p>
  <w:p w:rsidR="002215B5" w:rsidRDefault="002215B5"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arto="http://schemas.microsoft.com/office/word/2006/arto"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119B" w:rsidR="002215B5" w:rsidP="002215B5" w:rsidRDefault="002215B5" w14:paraId="233A6472" w14:textId="42F4713B">
    <w:pPr>
      <w:pStyle w:val="Runningtitle"/>
      <w:rPr>
        <w:noProof/>
      </w:rPr>
    </w:pPr>
    <w:r w:rsidRPr="0069119B">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r w:rsidRPr="0069119B">
      <w:t>NOBEIGUMA ziņojums par EBI pamatnostādnēm attiecībā uz sistēmiski nozīmīgu rādītāju</w:t>
    </w:r>
  </w:p>
  <w:p w:rsidRPr="0069119B" w:rsidR="002215B5" w:rsidP="002215B5" w:rsidRDefault="002215B5" w14:paraId="122C2463" w14:textId="77777777">
    <w:pPr>
      <w:pStyle w:val="Runningtitle"/>
      <w:rPr>
        <w:noProof/>
      </w:rPr>
    </w:pPr>
    <w:r w:rsidRPr="0069119B">
      <w:t>specifikāciju un informācijas atklāšanu</w:t>
    </w:r>
  </w:p>
  <w:p w:rsidRPr="0069119B" w:rsidR="002215B5" w:rsidP="002215B5" w:rsidRDefault="002215B5"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E677EF" w:rsidRDefault="002215B5" w14:paraId="6E4DF7C2" w14:textId="77777777">
    <w:pPr>
      <w:pStyle w:val="Runningtitle"/>
      <w:rPr>
        <w:noProof/>
      </w:rPr>
    </w:pPr>
    <w:r>
      <w:t>šeit kolumntituls ir kolumntitula stilā</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684A36"/>
    <w:multiLevelType w:val="hybridMultilevel"/>
    <w:tmpl w:val="DA36F1AC"/>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A5595"/>
    <w:multiLevelType w:val="hybridMultilevel"/>
    <w:tmpl w:val="EF8EC07E"/>
    <w:lvl w:ilvl="0" w:tplc="E36E7C1C">
      <w:start w:val="10"/>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5"/>
  </w:num>
  <w:num w:numId="4">
    <w:abstractNumId w:val="6"/>
  </w:num>
  <w:num w:numId="5">
    <w:abstractNumId w:val="13"/>
  </w:num>
  <w:num w:numId="6">
    <w:abstractNumId w:val="1"/>
  </w:num>
  <w:num w:numId="7">
    <w:abstractNumId w:val="12"/>
  </w:num>
  <w:num w:numId="8">
    <w:abstractNumId w:val="10"/>
  </w:num>
  <w:num w:numId="9">
    <w:abstractNumId w:val="0"/>
  </w:num>
  <w:num w:numId="10">
    <w:abstractNumId w:val="14"/>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8"/>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0D92"/>
    <w:rsid w:val="00001873"/>
    <w:rsid w:val="00002BCF"/>
    <w:rsid w:val="00003F50"/>
    <w:rsid w:val="0001213D"/>
    <w:rsid w:val="00013281"/>
    <w:rsid w:val="000219AE"/>
    <w:rsid w:val="00021E10"/>
    <w:rsid w:val="000231B7"/>
    <w:rsid w:val="00027CA0"/>
    <w:rsid w:val="00030D65"/>
    <w:rsid w:val="00040129"/>
    <w:rsid w:val="00051823"/>
    <w:rsid w:val="00060F40"/>
    <w:rsid w:val="00062830"/>
    <w:rsid w:val="0007574B"/>
    <w:rsid w:val="000774B3"/>
    <w:rsid w:val="000843CD"/>
    <w:rsid w:val="00087EEC"/>
    <w:rsid w:val="000A1C81"/>
    <w:rsid w:val="000A3851"/>
    <w:rsid w:val="000A5345"/>
    <w:rsid w:val="000B1645"/>
    <w:rsid w:val="000B2614"/>
    <w:rsid w:val="000C2B79"/>
    <w:rsid w:val="000C5A8A"/>
    <w:rsid w:val="000C7FD8"/>
    <w:rsid w:val="000D7A44"/>
    <w:rsid w:val="000E0C27"/>
    <w:rsid w:val="000E6D15"/>
    <w:rsid w:val="000F33D3"/>
    <w:rsid w:val="000F3C24"/>
    <w:rsid w:val="000F607B"/>
    <w:rsid w:val="000F6495"/>
    <w:rsid w:val="000F6FD8"/>
    <w:rsid w:val="001061FA"/>
    <w:rsid w:val="00112BF2"/>
    <w:rsid w:val="0011517F"/>
    <w:rsid w:val="00117062"/>
    <w:rsid w:val="0012173D"/>
    <w:rsid w:val="00121BB0"/>
    <w:rsid w:val="0012686C"/>
    <w:rsid w:val="0013090C"/>
    <w:rsid w:val="00131C5D"/>
    <w:rsid w:val="00132059"/>
    <w:rsid w:val="00132F74"/>
    <w:rsid w:val="0014310A"/>
    <w:rsid w:val="00143427"/>
    <w:rsid w:val="00145D24"/>
    <w:rsid w:val="00145E0A"/>
    <w:rsid w:val="00152832"/>
    <w:rsid w:val="001600FC"/>
    <w:rsid w:val="00160815"/>
    <w:rsid w:val="00172007"/>
    <w:rsid w:val="0017446F"/>
    <w:rsid w:val="0017667F"/>
    <w:rsid w:val="00177CB9"/>
    <w:rsid w:val="001834D4"/>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72A"/>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418E"/>
    <w:rsid w:val="00290DA3"/>
    <w:rsid w:val="002A3A19"/>
    <w:rsid w:val="002A6F7C"/>
    <w:rsid w:val="002B19D7"/>
    <w:rsid w:val="002C06C1"/>
    <w:rsid w:val="002C0DCF"/>
    <w:rsid w:val="002C1673"/>
    <w:rsid w:val="002C2703"/>
    <w:rsid w:val="002D1867"/>
    <w:rsid w:val="002F2009"/>
    <w:rsid w:val="002F2269"/>
    <w:rsid w:val="00300924"/>
    <w:rsid w:val="003025A8"/>
    <w:rsid w:val="003129B6"/>
    <w:rsid w:val="00314D6E"/>
    <w:rsid w:val="00315AB3"/>
    <w:rsid w:val="00320E57"/>
    <w:rsid w:val="003221EF"/>
    <w:rsid w:val="00322C23"/>
    <w:rsid w:val="003248A2"/>
    <w:rsid w:val="00351FDF"/>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7A72"/>
    <w:rsid w:val="003E318D"/>
    <w:rsid w:val="003F3AA3"/>
    <w:rsid w:val="00412567"/>
    <w:rsid w:val="004172D1"/>
    <w:rsid w:val="00424530"/>
    <w:rsid w:val="0043577F"/>
    <w:rsid w:val="0043675A"/>
    <w:rsid w:val="00441F85"/>
    <w:rsid w:val="00444BF7"/>
    <w:rsid w:val="00446D76"/>
    <w:rsid w:val="00452CF3"/>
    <w:rsid w:val="0045301B"/>
    <w:rsid w:val="00454B24"/>
    <w:rsid w:val="00455E0E"/>
    <w:rsid w:val="004637D3"/>
    <w:rsid w:val="004719B4"/>
    <w:rsid w:val="00471CA1"/>
    <w:rsid w:val="00471CCE"/>
    <w:rsid w:val="00481AC4"/>
    <w:rsid w:val="00482FB6"/>
    <w:rsid w:val="00490251"/>
    <w:rsid w:val="004955E7"/>
    <w:rsid w:val="004A5D8B"/>
    <w:rsid w:val="004A76C6"/>
    <w:rsid w:val="004B2FC0"/>
    <w:rsid w:val="004B7784"/>
    <w:rsid w:val="004C1B19"/>
    <w:rsid w:val="004C6392"/>
    <w:rsid w:val="004D3523"/>
    <w:rsid w:val="004D7668"/>
    <w:rsid w:val="004E405B"/>
    <w:rsid w:val="004F0AB6"/>
    <w:rsid w:val="004F63DB"/>
    <w:rsid w:val="005037F2"/>
    <w:rsid w:val="00505C64"/>
    <w:rsid w:val="005105EF"/>
    <w:rsid w:val="0051571A"/>
    <w:rsid w:val="00522627"/>
    <w:rsid w:val="00523895"/>
    <w:rsid w:val="00526B39"/>
    <w:rsid w:val="00532EBE"/>
    <w:rsid w:val="005410AB"/>
    <w:rsid w:val="00543A44"/>
    <w:rsid w:val="005574DA"/>
    <w:rsid w:val="00565691"/>
    <w:rsid w:val="005706A6"/>
    <w:rsid w:val="00571BB6"/>
    <w:rsid w:val="00574B26"/>
    <w:rsid w:val="00575BA7"/>
    <w:rsid w:val="00582AA7"/>
    <w:rsid w:val="0058477C"/>
    <w:rsid w:val="0058568F"/>
    <w:rsid w:val="005A11A7"/>
    <w:rsid w:val="005A6911"/>
    <w:rsid w:val="005B3658"/>
    <w:rsid w:val="005B5C09"/>
    <w:rsid w:val="005C3496"/>
    <w:rsid w:val="005C3DFF"/>
    <w:rsid w:val="005C498B"/>
    <w:rsid w:val="005D033E"/>
    <w:rsid w:val="005D4005"/>
    <w:rsid w:val="005D40D1"/>
    <w:rsid w:val="005D6612"/>
    <w:rsid w:val="005E167D"/>
    <w:rsid w:val="005F0888"/>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5495"/>
    <w:rsid w:val="00655112"/>
    <w:rsid w:val="00663B0A"/>
    <w:rsid w:val="006641F8"/>
    <w:rsid w:val="0066422C"/>
    <w:rsid w:val="00670254"/>
    <w:rsid w:val="00675E42"/>
    <w:rsid w:val="00683BFB"/>
    <w:rsid w:val="0069119B"/>
    <w:rsid w:val="006915A4"/>
    <w:rsid w:val="00692AB7"/>
    <w:rsid w:val="00692AD8"/>
    <w:rsid w:val="006973AC"/>
    <w:rsid w:val="006C186D"/>
    <w:rsid w:val="006C6D8E"/>
    <w:rsid w:val="006D4C7C"/>
    <w:rsid w:val="006D7393"/>
    <w:rsid w:val="006E0D7A"/>
    <w:rsid w:val="006E3CE5"/>
    <w:rsid w:val="006E55E1"/>
    <w:rsid w:val="006F2E13"/>
    <w:rsid w:val="006F445D"/>
    <w:rsid w:val="006F72C6"/>
    <w:rsid w:val="006F7529"/>
    <w:rsid w:val="00703E4E"/>
    <w:rsid w:val="007071C6"/>
    <w:rsid w:val="00711E1C"/>
    <w:rsid w:val="00721D07"/>
    <w:rsid w:val="00721FBA"/>
    <w:rsid w:val="00723921"/>
    <w:rsid w:val="00730352"/>
    <w:rsid w:val="00731463"/>
    <w:rsid w:val="0073336B"/>
    <w:rsid w:val="00734CF5"/>
    <w:rsid w:val="007373D2"/>
    <w:rsid w:val="00740F65"/>
    <w:rsid w:val="00742839"/>
    <w:rsid w:val="00755505"/>
    <w:rsid w:val="0076316D"/>
    <w:rsid w:val="00771BCE"/>
    <w:rsid w:val="00772993"/>
    <w:rsid w:val="007815FB"/>
    <w:rsid w:val="00781A37"/>
    <w:rsid w:val="00781D80"/>
    <w:rsid w:val="007850AB"/>
    <w:rsid w:val="00791EAE"/>
    <w:rsid w:val="007A0054"/>
    <w:rsid w:val="007A44A6"/>
    <w:rsid w:val="007A5353"/>
    <w:rsid w:val="007B3D63"/>
    <w:rsid w:val="007B6077"/>
    <w:rsid w:val="007B69D6"/>
    <w:rsid w:val="007B793D"/>
    <w:rsid w:val="007C08B0"/>
    <w:rsid w:val="007C3A00"/>
    <w:rsid w:val="007C55D0"/>
    <w:rsid w:val="007D2626"/>
    <w:rsid w:val="007F5092"/>
    <w:rsid w:val="007F6B00"/>
    <w:rsid w:val="007F7895"/>
    <w:rsid w:val="00804A88"/>
    <w:rsid w:val="00806DA6"/>
    <w:rsid w:val="00813BAC"/>
    <w:rsid w:val="00813CD4"/>
    <w:rsid w:val="00817C42"/>
    <w:rsid w:val="00821B9D"/>
    <w:rsid w:val="0084468C"/>
    <w:rsid w:val="008552A0"/>
    <w:rsid w:val="008651AA"/>
    <w:rsid w:val="00865492"/>
    <w:rsid w:val="00865A3C"/>
    <w:rsid w:val="00867CB4"/>
    <w:rsid w:val="008708AB"/>
    <w:rsid w:val="00870A33"/>
    <w:rsid w:val="00871962"/>
    <w:rsid w:val="008725EC"/>
    <w:rsid w:val="00874ED5"/>
    <w:rsid w:val="008A4100"/>
    <w:rsid w:val="008A7288"/>
    <w:rsid w:val="008B6155"/>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57BE"/>
    <w:rsid w:val="00943B87"/>
    <w:rsid w:val="00944AD8"/>
    <w:rsid w:val="009549FF"/>
    <w:rsid w:val="00954FC6"/>
    <w:rsid w:val="0096160F"/>
    <w:rsid w:val="009642A9"/>
    <w:rsid w:val="00965B80"/>
    <w:rsid w:val="009730FB"/>
    <w:rsid w:val="00976A15"/>
    <w:rsid w:val="00980519"/>
    <w:rsid w:val="009846C5"/>
    <w:rsid w:val="0099008B"/>
    <w:rsid w:val="00993B1E"/>
    <w:rsid w:val="00993BAA"/>
    <w:rsid w:val="00994F87"/>
    <w:rsid w:val="009A1966"/>
    <w:rsid w:val="009A294D"/>
    <w:rsid w:val="009A5AF6"/>
    <w:rsid w:val="009B7C11"/>
    <w:rsid w:val="009C12C9"/>
    <w:rsid w:val="009C1CE7"/>
    <w:rsid w:val="009D55F7"/>
    <w:rsid w:val="009E300F"/>
    <w:rsid w:val="009E38A2"/>
    <w:rsid w:val="009E697F"/>
    <w:rsid w:val="009E76BE"/>
    <w:rsid w:val="009E79BF"/>
    <w:rsid w:val="009F12DA"/>
    <w:rsid w:val="009F3FE6"/>
    <w:rsid w:val="009F53AF"/>
    <w:rsid w:val="00A00E34"/>
    <w:rsid w:val="00A02BBA"/>
    <w:rsid w:val="00A062C7"/>
    <w:rsid w:val="00A10257"/>
    <w:rsid w:val="00A12CD0"/>
    <w:rsid w:val="00A13558"/>
    <w:rsid w:val="00A14332"/>
    <w:rsid w:val="00A2290D"/>
    <w:rsid w:val="00A23608"/>
    <w:rsid w:val="00A23D22"/>
    <w:rsid w:val="00A25403"/>
    <w:rsid w:val="00A27B9D"/>
    <w:rsid w:val="00A27D88"/>
    <w:rsid w:val="00A304D0"/>
    <w:rsid w:val="00A41338"/>
    <w:rsid w:val="00A4361D"/>
    <w:rsid w:val="00A44695"/>
    <w:rsid w:val="00A4607D"/>
    <w:rsid w:val="00A53EC9"/>
    <w:rsid w:val="00A725D6"/>
    <w:rsid w:val="00A72C7D"/>
    <w:rsid w:val="00A81586"/>
    <w:rsid w:val="00A92440"/>
    <w:rsid w:val="00AA435E"/>
    <w:rsid w:val="00AA796D"/>
    <w:rsid w:val="00AB104D"/>
    <w:rsid w:val="00AB21B0"/>
    <w:rsid w:val="00AB2476"/>
    <w:rsid w:val="00AB4B80"/>
    <w:rsid w:val="00AC2312"/>
    <w:rsid w:val="00AD0C73"/>
    <w:rsid w:val="00AD3179"/>
    <w:rsid w:val="00AE1A2D"/>
    <w:rsid w:val="00AE5347"/>
    <w:rsid w:val="00AE55F6"/>
    <w:rsid w:val="00AE56DB"/>
    <w:rsid w:val="00AF0781"/>
    <w:rsid w:val="00AF21F6"/>
    <w:rsid w:val="00AF2BCB"/>
    <w:rsid w:val="00AF4C86"/>
    <w:rsid w:val="00B025DB"/>
    <w:rsid w:val="00B13C87"/>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A627B"/>
    <w:rsid w:val="00BB2111"/>
    <w:rsid w:val="00BC1D4B"/>
    <w:rsid w:val="00BC3450"/>
    <w:rsid w:val="00BC7FD2"/>
    <w:rsid w:val="00BD1538"/>
    <w:rsid w:val="00BD1DD9"/>
    <w:rsid w:val="00BE2989"/>
    <w:rsid w:val="00BF4906"/>
    <w:rsid w:val="00BF4EC0"/>
    <w:rsid w:val="00BF78EE"/>
    <w:rsid w:val="00C03AE7"/>
    <w:rsid w:val="00C05D9D"/>
    <w:rsid w:val="00C12FA8"/>
    <w:rsid w:val="00C3071B"/>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B6121"/>
    <w:rsid w:val="00CB6EBB"/>
    <w:rsid w:val="00CD4AF7"/>
    <w:rsid w:val="00CE3517"/>
    <w:rsid w:val="00CE3F04"/>
    <w:rsid w:val="00CF15C6"/>
    <w:rsid w:val="00D01670"/>
    <w:rsid w:val="00D0474C"/>
    <w:rsid w:val="00D05C26"/>
    <w:rsid w:val="00D062AC"/>
    <w:rsid w:val="00D152E7"/>
    <w:rsid w:val="00D21F91"/>
    <w:rsid w:val="00D251D0"/>
    <w:rsid w:val="00D3796C"/>
    <w:rsid w:val="00D42CD4"/>
    <w:rsid w:val="00D43C43"/>
    <w:rsid w:val="00D44360"/>
    <w:rsid w:val="00D53948"/>
    <w:rsid w:val="00D549B9"/>
    <w:rsid w:val="00D557EE"/>
    <w:rsid w:val="00D56058"/>
    <w:rsid w:val="00D57F4B"/>
    <w:rsid w:val="00D656AD"/>
    <w:rsid w:val="00D6692C"/>
    <w:rsid w:val="00D76E91"/>
    <w:rsid w:val="00D823B5"/>
    <w:rsid w:val="00D849AA"/>
    <w:rsid w:val="00D872D1"/>
    <w:rsid w:val="00D873F3"/>
    <w:rsid w:val="00D90F63"/>
    <w:rsid w:val="00DA6122"/>
    <w:rsid w:val="00DB4809"/>
    <w:rsid w:val="00DB5E8F"/>
    <w:rsid w:val="00DC3E99"/>
    <w:rsid w:val="00DC5214"/>
    <w:rsid w:val="00DC7C3E"/>
    <w:rsid w:val="00DD247B"/>
    <w:rsid w:val="00DE0FE1"/>
    <w:rsid w:val="00DE30E0"/>
    <w:rsid w:val="00DE46D0"/>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13B4"/>
    <w:rsid w:val="00EA16F3"/>
    <w:rsid w:val="00EA1807"/>
    <w:rsid w:val="00EA4947"/>
    <w:rsid w:val="00EC0C41"/>
    <w:rsid w:val="00EC11F0"/>
    <w:rsid w:val="00EC1594"/>
    <w:rsid w:val="00ED2521"/>
    <w:rsid w:val="00ED2FB9"/>
    <w:rsid w:val="00ED41FD"/>
    <w:rsid w:val="00ED4A40"/>
    <w:rsid w:val="00ED675F"/>
    <w:rsid w:val="00EE456B"/>
    <w:rsid w:val="00EF35BF"/>
    <w:rsid w:val="00F00C37"/>
    <w:rsid w:val="00F00C8E"/>
    <w:rsid w:val="00F01EA6"/>
    <w:rsid w:val="00F02D51"/>
    <w:rsid w:val="00F033B6"/>
    <w:rsid w:val="00F034AC"/>
    <w:rsid w:val="00F160D2"/>
    <w:rsid w:val="00F221AB"/>
    <w:rsid w:val="00F23DC0"/>
    <w:rsid w:val="00F311CD"/>
    <w:rsid w:val="00F3669D"/>
    <w:rsid w:val="00F42F3F"/>
    <w:rsid w:val="00F4748D"/>
    <w:rsid w:val="00F56DC4"/>
    <w:rsid w:val="00F612B3"/>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D30DA"/>
    <w:rsid w:val="00FE0C92"/>
    <w:rsid w:val="00FE0E60"/>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lv-LV"/>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lv-LV"/>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lv-LV"/>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table" w:customStyle="1" w:styleId="TableGrid1">
    <w:name w:val="Table Grid1"/>
    <w:basedOn w:val="TableNormal"/>
    <w:next w:val="TableGrid"/>
    <w:uiPriority w:val="39"/>
    <w:rsid w:val="00C3071B"/>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44BF7"/>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444BF7"/>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666516085">
      <w:bodyDiv w:val="1"/>
      <w:marLeft w:val="0"/>
      <w:marRight w:val="0"/>
      <w:marTop w:val="0"/>
      <w:marBottom w:val="0"/>
      <w:divBdr>
        <w:top w:val="none" w:sz="0" w:space="0" w:color="auto"/>
        <w:left w:val="none" w:sz="0" w:space="0" w:color="auto"/>
        <w:bottom w:val="none" w:sz="0" w:space="0" w:color="auto"/>
        <w:right w:val="none" w:sz="0" w:space="0" w:color="auto"/>
      </w:divBdr>
    </w:div>
    <w:div w:id="727338555">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9A7C-B244-4BFD-8135-CBC19D534D1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76</ap:TotalTime>
  <ap:Pages>16</ap:Pages>
  <ap:Words>3151</ap:Words>
  <ap:Characters>22262</ap:Characters>
  <ap:Application>Microsoft Office Word</ap:Application>
  <ap:DocSecurity>0</ap:DocSecurity>
  <ap:Lines>185</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25363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26</revision>
  <lastPrinted>2020-11-04T10:23:00.0000000Z</lastPrinted>
  <dcterms:created xsi:type="dcterms:W3CDTF">2020-11-04T10:04:00.0000000Z</dcterms:created>
  <dcterms:modified xsi:type="dcterms:W3CDTF">2024-04-22T07:29:00.0000000Z</dcterms:modified>
</coreProperties>
</file>