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98787969" w:displacedByCustomXml="next" w:id="0"/>
    <w:bookmarkStart w:name="_Toc298788158" w:displacedByCustomXml="next" w:id="1"/>
    <w:bookmarkStart w:name="_Toc298788641" w:displacedByCustomXml="next" w:id="2"/>
    <w:bookmarkStart w:name="_Toc305686691" w:displacedByCustomXml="next" w:id="3"/>
    <w:bookmarkStart w:name="_Toc306350093" w:displacedByCustomXml="next" w:id="4"/>
    <w:bookmarkStart w:name="_Toc306350113" w:displacedByCustomXml="next" w:id="5"/>
    <w:bookmarkStart w:name="_Toc331517265" w:displacedByCustomXml="next" w:id="6"/>
    <w:bookmarkStart w:name="_Toc245891774" w:displacedByCustomXml="next" w:id="7"/>
    <w:bookmarkStart w:name="_Toc238803087" w:displacedByCustomXml="next" w:id="8"/>
    <w:bookmarkStart w:name="_Toc238803888" w:displacedByCustomXml="next" w:id="9"/>
    <w:sdt>
      <w:sdtPr>
        <w:id w:val="1024973533"/>
        <w:docPartObj>
          <w:docPartGallery w:val="Cover Pages"/>
          <w:docPartUnique/>
        </w:docPartObj>
      </w:sdtPr>
      <w:sdtEndPr/>
      <w:sdtContent>
        <w:p w:rsidRPr="00653192" w:rsidR="00B43E07" w:rsidP="00B43E07" w:rsidRDefault="00B43E07" w14:paraId="05640F5D" w14:textId="77777777">
          <w:pPr>
            <w:rPr>
              <w:lang w:val="en-GB"/>
            </w:rPr>
          </w:pPr>
        </w:p>
        <w:tbl>
          <w:tblPr>
            <w:tblW w:w="0" w:type="auto"/>
            <w:tblCellMar>
              <w:top w:w="85" w:type="dxa"/>
              <w:bottom w:w="85" w:type="dxa"/>
            </w:tblCellMar>
            <w:tblLook w:val="04A0" w:firstRow="1" w:lastRow="0" w:firstColumn="1" w:lastColumn="0" w:noHBand="0" w:noVBand="1"/>
          </w:tblPr>
          <w:tblGrid>
            <w:gridCol w:w="5245"/>
          </w:tblGrid>
          <w:tr w:rsidRPr="00653192" w:rsidR="005B3658" w:rsidTr="0002414D" w14:paraId="3170F2D8" w14:textId="77777777">
            <w:tc>
              <w:tcPr>
                <w:tcW w:w="5245" w:type="dxa"/>
                <w:tcBorders>
                  <w:bottom w:val="single" w:color="A6A6A6" w:themeColor="background1" w:themeShade="A6" w:sz="4" w:space="0"/>
                </w:tcBorders>
                <w:shd w:val="clear" w:color="auto" w:fill="auto"/>
              </w:tcPr>
              <w:p w:rsidRPr="00653192" w:rsidR="005B3658" w:rsidP="005B3658" w:rsidRDefault="005B3658" w14:paraId="6AAE07DF" w14:textId="596E03CE">
                <w:r w:rsidRPr="00653192">
                  <w:t>EBA/GL/2020/14</w:t>
                </w:r>
                <w:r w:rsidRPr="0002414D" w:rsidR="0002414D">
                  <w:t xml:space="preserve"> (egységes szerkezetbe foglalt változat)</w:t>
                </w:r>
              </w:p>
            </w:tc>
          </w:tr>
          <w:tr w:rsidRPr="00653192" w:rsidR="005B3658" w:rsidTr="0002414D" w14:paraId="70F4DBFA" w14:textId="77777777">
            <w:tc>
              <w:tcPr>
                <w:tcW w:w="5245" w:type="dxa"/>
                <w:tcBorders>
                  <w:top w:val="single" w:color="A6A6A6" w:themeColor="background1" w:themeShade="A6" w:sz="4" w:space="0"/>
                  <w:bottom w:val="single" w:color="A6A6A6" w:themeColor="background1" w:themeShade="A6" w:sz="4" w:space="0"/>
                </w:tcBorders>
                <w:shd w:val="clear" w:color="auto" w:fill="auto"/>
              </w:tcPr>
              <w:p w:rsidRPr="00653192" w:rsidR="005B3658" w:rsidP="005B3658" w:rsidRDefault="005B3658" w14:paraId="55211379" w14:textId="73FFF2EB">
                <w:r w:rsidRPr="00653192">
                  <w:rPr>
                    <w:color w:val="000000"/>
                  </w:rPr>
                  <w:t>2020. november 4.</w:t>
                </w:r>
              </w:p>
            </w:tc>
          </w:tr>
        </w:tbl>
        <w:p w:rsidRPr="00653192" w:rsidR="00B43E07" w:rsidP="00B43E07" w:rsidRDefault="00B43E07" w14:paraId="2E2B6714" w14:textId="77777777">
          <w:pPr>
            <w:rPr>
              <w:lang w:val="en-GB"/>
            </w:rPr>
          </w:pPr>
        </w:p>
        <w:tbl>
          <w:tblPr>
            <w:tblStyle w:val="TableGrid"/>
            <w:tblW w:w="0" w:type="auto"/>
            <w:tblBorders>
              <w:bottom w:val="none" w:color="auto" w:sz="0" w:space="0"/>
              <w:insideH w:val="none" w:color="auto" w:sz="0" w:space="0"/>
            </w:tblBorders>
            <w:tblLook w:val="04A0" w:firstRow="1" w:lastRow="0" w:firstColumn="1" w:lastColumn="0" w:noHBand="0" w:noVBand="1"/>
          </w:tblPr>
          <w:tblGrid>
            <w:gridCol w:w="8781"/>
          </w:tblGrid>
          <w:tr w:rsidRPr="00653192" w:rsidR="00B43E07" w:rsidTr="00993B1E" w14:paraId="598BC7AF" w14:textId="77777777">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bottom"/>
              </w:tcPr>
              <w:p w:rsidRPr="00DC3BF4" w:rsidR="00F1590B" w:rsidP="00F1590B" w:rsidRDefault="00F1590B" w14:paraId="3A6C4E1D" w14:textId="77777777">
                <w:pPr>
                  <w:pStyle w:val="BodyText"/>
                  <w:tabs>
                    <w:tab w:val="left" w:pos="1802"/>
                  </w:tabs>
                  <w:spacing w:before="100" w:after="60" w:line="276" w:lineRule="auto"/>
                  <w:ind w:left="425" w:right="232"/>
                  <w:jc w:val="both"/>
                  <w:rPr>
                    <w:color w:val="E98E31" w:themeColor="background2"/>
                    <w:spacing w:val="-1"/>
                  </w:rPr>
                </w:pPr>
                <w:r w:rsidRPr="007B541C">
                  <w:rPr>
                    <w:rFonts w:ascii="Wingdings" w:hAnsi="Wingdings" w:eastAsia="Wingdings" w:cs="Wingdings"/>
                    <w:color w:val="E98E31"/>
                    <w:highlight w:val="yellow"/>
                    <w:lang w:val="en-GB"/>
                  </w:rPr>
                  <w:t>Ø</w:t>
                </w:r>
                <w:r w:rsidRPr="007B541C">
                  <w:rPr>
                    <w:rFonts w:eastAsia="MS PGothic" w:cs="Times New Roman"/>
                    <w:color w:val="E98E31"/>
                    <w:highlight w:val="yellow"/>
                    <w:lang w:val="en-GB"/>
                  </w:rPr>
                  <w:t>O</w:t>
                </w:r>
                <w:r w:rsidRPr="00DC3BF4">
                  <w:rPr>
                    <w:color w:val="E98E31" w:themeColor="background2"/>
                    <w:spacing w:val="-1"/>
                  </w:rPr>
                  <w:t xml:space="preserve"> </w:t>
                </w:r>
              </w:p>
              <w:p w:rsidRPr="00653192" w:rsidR="00B43E07" w:rsidP="00721D07" w:rsidRDefault="00A81586" w14:paraId="6E80AD78" w14:textId="1CA22651">
                <w:pPr>
                  <w:pStyle w:val="Contenttitle"/>
                </w:pPr>
                <w:r w:rsidRPr="00653192">
                  <w:t xml:space="preserve">Iránymutatások </w:t>
                </w:r>
              </w:p>
            </w:tc>
          </w:tr>
          <w:tr w:rsidRPr="00653192" w:rsidR="00B43E07" w:rsidTr="00993B1E" w14:paraId="15A7E3AC" w14:textId="77777777">
            <w:tc>
              <w:tcPr>
                <w:tcW w:w="8781" w:type="dxa"/>
                <w:tcMar>
                  <w:left w:w="0" w:type="dxa"/>
                  <w:right w:w="0" w:type="dxa"/>
                </w:tcMar>
                <w:vAlign w:val="top"/>
              </w:tcPr>
              <w:p w:rsidR="00B43E07" w:rsidP="0002414D" w:rsidRDefault="00B43E07" w14:paraId="19BE714F" w14:textId="3B7DBDE0">
                <w:pPr>
                  <w:pStyle w:val="Titlelevel4"/>
                  <w:spacing w:before="120" w:after="0"/>
                  <w:rPr>
                    <w:rFonts w:asciiTheme="majorHAnsi" w:hAnsiTheme="majorHAnsi"/>
                    <w:bCs/>
                    <w:color w:val="2F5773" w:themeColor="text2"/>
                    <w:sz w:val="52"/>
                    <w:szCs w:val="52"/>
                    <w:lang w:val="hu-HU"/>
                  </w:rPr>
                </w:pPr>
                <w:r w:rsidRPr="00E974A1">
                  <w:rPr>
                    <w:rFonts w:asciiTheme="majorHAnsi" w:hAnsiTheme="majorHAnsi"/>
                    <w:bCs/>
                    <w:color w:val="2F5773" w:themeColor="text2"/>
                    <w:sz w:val="52"/>
                    <w:szCs w:val="52"/>
                    <w:lang w:val="hu-HU"/>
                  </w:rPr>
                  <w:t>a rendszerszintű jelentőség mutatóinak meghatározásához és nyilvánosságra hozatalához</w:t>
                </w:r>
              </w:p>
              <w:p w:rsidRPr="0002414D" w:rsidR="009A5120" w:rsidP="0002414D" w:rsidRDefault="009A5120" w14:paraId="61EA1363" w14:textId="25B0844A">
                <w:pPr>
                  <w:widowControl w:val="0"/>
                  <w:autoSpaceDE w:val="0"/>
                  <w:autoSpaceDN w:val="0"/>
                  <w:rPr>
                    <w:sz w:val="52"/>
                    <w:szCs w:val="52"/>
                    <w:lang w:val="hu-HU"/>
                  </w:rPr>
                </w:pPr>
              </w:p>
              <w:p w:rsidRPr="0002414D" w:rsidR="0002414D" w:rsidP="0002414D" w:rsidRDefault="0002414D" w14:paraId="7FCFD954" w14:textId="63D17289">
                <w:pPr>
                  <w:pStyle w:val="body"/>
                  <w:spacing w:before="0" w:after="0"/>
                  <w:rPr>
                    <w:sz w:val="52"/>
                    <w:szCs w:val="52"/>
                    <w:lang w:val="hu-HU"/>
                  </w:rPr>
                </w:pPr>
              </w:p>
              <w:p w:rsidRPr="0002414D" w:rsidR="0002414D" w:rsidP="0002414D" w:rsidRDefault="0002414D" w14:paraId="7523D7E5" w14:textId="77777777">
                <w:pPr>
                  <w:pStyle w:val="body"/>
                  <w:spacing w:before="0" w:after="0"/>
                  <w:rPr>
                    <w:sz w:val="52"/>
                    <w:szCs w:val="52"/>
                    <w:lang w:val="hu-HU"/>
                  </w:rPr>
                </w:pPr>
              </w:p>
              <w:p w:rsidRPr="0002414D" w:rsidR="009A5120" w:rsidP="0002414D" w:rsidRDefault="009A5120" w14:paraId="728D7A42" w14:textId="556F36B7">
                <w:pPr>
                  <w:pStyle w:val="body"/>
                  <w:spacing w:before="0" w:after="0"/>
                  <w:rPr>
                    <w:sz w:val="52"/>
                    <w:szCs w:val="52"/>
                    <w:lang w:val="hu-HU"/>
                  </w:rPr>
                </w:pPr>
              </w:p>
              <w:p w:rsidR="0002414D" w:rsidP="0002414D" w:rsidRDefault="0002414D" w14:paraId="2692F93A" w14:textId="6F6FEB60">
                <w:pPr>
                  <w:pStyle w:val="body"/>
                  <w:spacing w:before="0" w:after="0"/>
                  <w:rPr>
                    <w:lang w:val="hu-HU"/>
                  </w:rPr>
                </w:pPr>
              </w:p>
              <w:tbl>
                <w:tblPr>
                  <w:tblStyle w:val="EBAtable"/>
                  <w:tblW w:w="5000" w:type="pct"/>
                  <w:tblLook w:val="04A0" w:firstRow="1" w:lastRow="0" w:firstColumn="1" w:lastColumn="0" w:noHBand="0" w:noVBand="1"/>
                </w:tblPr>
                <w:tblGrid>
                  <w:gridCol w:w="791"/>
                  <w:gridCol w:w="2100"/>
                  <w:gridCol w:w="5860"/>
                </w:tblGrid>
                <w:tr w:rsidRPr="00D13DB3" w:rsidR="0002414D" w:rsidTr="0002414D" w14:paraId="29FB50E4" w14:textId="77777777">
                  <w:trPr>
                    <w:cnfStyle w:val="100000000000" w:firstRow="1" w:lastRow="0" w:firstColumn="0" w:lastColumn="0" w:oddVBand="0" w:evenVBand="0" w:oddHBand="0" w:evenHBand="0" w:firstRowFirstColumn="0" w:firstRowLastColumn="0" w:lastRowFirstColumn="0" w:lastRowLastColumn="0"/>
                    <w:trHeight w:val="300"/>
                  </w:trPr>
                  <w:tc>
                    <w:tcPr>
                      <w:tcW w:w="1652" w:type="pct"/>
                      <w:gridSpan w:val="2"/>
                      <w:tcBorders>
                        <w:top w:val="single" w:color="auto" w:sz="12" w:space="0"/>
                        <w:left w:val="single" w:color="auto" w:sz="12" w:space="0"/>
                      </w:tcBorders>
                    </w:tcPr>
                    <w:p w:rsidRPr="00D13DB3" w:rsidR="0002414D" w:rsidP="0002414D" w:rsidRDefault="0002414D" w14:paraId="5523E6F3" w14:textId="77777777">
                      <w:pPr>
                        <w:spacing w:before="240" w:after="120" w:line="276" w:lineRule="auto"/>
                        <w:jc w:val="both"/>
                        <w:rPr>
                          <w:rFonts w:eastAsia="MS PGothic" w:cs="Times New Roman"/>
                          <w:lang w:eastAsia="en-GB"/>
                        </w:rPr>
                      </w:pPr>
                    </w:p>
                    <w:p w:rsidRPr="00D13DB3" w:rsidR="0002414D" w:rsidP="0002414D" w:rsidRDefault="0002414D" w14:paraId="5D5FE274" w14:textId="77777777">
                      <w:pPr>
                        <w:rPr>
                          <w:rFonts w:eastAsia="MS PGothic" w:cs="Times New Roman"/>
                          <w:lang w:val="en-GB" w:eastAsia="en-GB"/>
                        </w:rPr>
                      </w:pPr>
                    </w:p>
                  </w:tc>
                  <w:tc>
                    <w:tcPr>
                      <w:tcW w:w="3348" w:type="pct"/>
                      <w:tcBorders>
                        <w:top w:val="single" w:color="auto" w:sz="12" w:space="0"/>
                        <w:right w:val="single" w:color="auto" w:sz="12" w:space="0"/>
                      </w:tcBorders>
                    </w:tcPr>
                    <w:p w:rsidRPr="0002414D" w:rsidR="0002414D" w:rsidP="0002414D" w:rsidRDefault="0002414D" w14:paraId="427F5561" w14:textId="563EDF79">
                      <w:pPr>
                        <w:rPr>
                          <w:rFonts w:ascii="Calibri" w:hAnsi="Calibri" w:cs="Calibri"/>
                          <w:color w:val="000000"/>
                          <w:szCs w:val="22"/>
                        </w:rPr>
                      </w:pPr>
                      <w:r>
                        <w:rPr>
                          <w:rFonts w:ascii="Calibri" w:hAnsi="Calibri" w:cs="Calibri"/>
                          <w:color w:val="000000"/>
                          <w:szCs w:val="22"/>
                        </w:rPr>
                        <w:t>Az alkalmazás kezdő időpontja</w:t>
                      </w:r>
                    </w:p>
                  </w:tc>
                </w:tr>
                <w:tr w:rsidRPr="00D13DB3" w:rsidR="0002414D" w:rsidTr="0002414D" w14:paraId="35BAC2AA" w14:textId="77777777">
                  <w:trPr>
                    <w:trHeight w:val="300"/>
                  </w:trPr>
                  <w:tc>
                    <w:tcPr>
                      <w:tcW w:w="1652" w:type="pct"/>
                      <w:gridSpan w:val="2"/>
                      <w:tcBorders>
                        <w:left w:val="single" w:color="auto" w:sz="12" w:space="0"/>
                      </w:tcBorders>
                    </w:tcPr>
                    <w:p w:rsidRPr="00D13DB3" w:rsidR="0002414D" w:rsidP="0002414D" w:rsidRDefault="0002414D" w14:paraId="295B0ED3" w14:textId="77777777">
                      <w:pPr>
                        <w:rPr>
                          <w:rFonts w:eastAsia="MS PGothic" w:cs="Times New Roman"/>
                          <w:lang w:val="en-GB" w:eastAsia="en-GB"/>
                        </w:rPr>
                      </w:pPr>
                      <w:r w:rsidRPr="007B541C">
                        <w:rPr>
                          <w:rFonts w:ascii="Wingdings" w:hAnsi="Wingdings" w:eastAsia="Wingdings" w:cs="Wingdings"/>
                          <w:color w:val="E98E31"/>
                          <w:highlight w:val="yellow"/>
                          <w:lang w:val="en-GB" w:eastAsia="en-GB"/>
                        </w:rPr>
                        <w:t>Ø</w:t>
                      </w:r>
                      <w:r w:rsidRPr="007B541C">
                        <w:rPr>
                          <w:rFonts w:eastAsia="MS PGothic" w:cs="Times New Roman"/>
                          <w:color w:val="E98E31"/>
                          <w:highlight w:val="yellow"/>
                          <w:lang w:val="en-GB" w:eastAsia="en-GB"/>
                        </w:rPr>
                        <w:t>O</w:t>
                      </w:r>
                    </w:p>
                  </w:tc>
                  <w:tc>
                    <w:tcPr>
                      <w:tcW w:w="3348" w:type="pct"/>
                      <w:tcBorders>
                        <w:right w:val="single" w:color="auto" w:sz="12" w:space="0"/>
                      </w:tcBorders>
                    </w:tcPr>
                    <w:p w:rsidRPr="00D13DB3" w:rsidR="0002414D" w:rsidP="0002414D" w:rsidRDefault="000B72D3" w14:paraId="25547FE2" w14:textId="4F999A7B">
                      <w:pPr>
                        <w:rPr>
                          <w:rFonts w:eastAsia="MS PGothic" w:cs="Times New Roman"/>
                          <w:lang w:val="en-GB" w:eastAsia="en-GB"/>
                        </w:rPr>
                      </w:pPr>
                      <w:r>
                        <w:rPr>
                          <w:rFonts w:eastAsia="MS PGothic" w:cs="Times New Roman"/>
                          <w:lang w:val="en-GB" w:eastAsia="en-GB"/>
                        </w:rPr>
                        <w:t>2020.11.04.</w:t>
                      </w:r>
                    </w:p>
                  </w:tc>
                </w:tr>
                <w:tr w:rsidRPr="00D13DB3" w:rsidR="0002414D" w:rsidTr="0002414D" w14:paraId="71ED489C" w14:textId="77777777">
                  <w:trPr>
                    <w:trHeight w:val="300"/>
                  </w:trPr>
                  <w:tc>
                    <w:tcPr>
                      <w:tcW w:w="1652" w:type="pct"/>
                      <w:gridSpan w:val="2"/>
                      <w:tcBorders>
                        <w:left w:val="single" w:color="auto" w:sz="12" w:space="0"/>
                      </w:tcBorders>
                    </w:tcPr>
                    <w:p w:rsidRPr="0002414D" w:rsidR="0002414D" w:rsidP="0002414D" w:rsidRDefault="0002414D" w14:paraId="58CACB1F" w14:textId="7670C3D0">
                      <w:pPr>
                        <w:rPr>
                          <w:rFonts w:ascii="Calibri" w:hAnsi="Calibri" w:cs="Calibri"/>
                          <w:color w:val="000000"/>
                          <w:szCs w:val="22"/>
                        </w:rPr>
                      </w:pPr>
                      <w:r>
                        <w:rPr>
                          <w:rFonts w:ascii="Calibri" w:hAnsi="Calibri" w:cs="Calibri"/>
                          <w:color w:val="000000"/>
                          <w:szCs w:val="22"/>
                        </w:rPr>
                        <w:t>Módosította a következő:</w:t>
                      </w:r>
                    </w:p>
                  </w:tc>
                  <w:tc>
                    <w:tcPr>
                      <w:tcW w:w="3348" w:type="pct"/>
                      <w:tcBorders>
                        <w:right w:val="single" w:color="auto" w:sz="12" w:space="0"/>
                      </w:tcBorders>
                    </w:tcPr>
                    <w:p w:rsidRPr="00D13DB3" w:rsidR="0002414D" w:rsidP="0002414D" w:rsidRDefault="0002414D" w14:paraId="76DF5C85" w14:textId="77777777">
                      <w:pPr>
                        <w:rPr>
                          <w:rFonts w:eastAsia="MS PGothic" w:cs="Times New Roman"/>
                          <w:lang w:val="en-GB" w:eastAsia="en-GB"/>
                        </w:rPr>
                      </w:pPr>
                    </w:p>
                  </w:tc>
                </w:tr>
                <w:tr w:rsidRPr="00D13DB3" w:rsidR="0002414D" w:rsidTr="0002414D" w14:paraId="6BC410FA" w14:textId="77777777">
                  <w:trPr>
                    <w:trHeight w:val="58"/>
                  </w:trPr>
                  <w:tc>
                    <w:tcPr>
                      <w:tcW w:w="452" w:type="pct"/>
                      <w:tcBorders>
                        <w:left w:val="single" w:color="auto" w:sz="12" w:space="0"/>
                        <w:bottom w:val="single" w:color="auto" w:sz="12" w:space="0"/>
                      </w:tcBorders>
                    </w:tcPr>
                    <w:p w:rsidRPr="00D13DB3" w:rsidR="0002414D" w:rsidP="0002414D" w:rsidRDefault="0002414D" w14:paraId="370770E6" w14:textId="77777777">
                      <w:pPr>
                        <w:rPr>
                          <w:rFonts w:eastAsia="MS PGothic" w:cs="Times New Roman"/>
                          <w:color w:val="E98E31"/>
                          <w:lang w:val="en-GB" w:eastAsia="en-GB"/>
                        </w:rPr>
                      </w:pPr>
                      <w:r w:rsidRPr="007B541C">
                        <w:rPr>
                          <w:rFonts w:ascii="Wingdings" w:hAnsi="Wingdings" w:eastAsia="Wingdings" w:cs="Wingdings"/>
                          <w:color w:val="E98E31"/>
                          <w:highlight w:val="green"/>
                          <w:lang w:val="en-GB" w:eastAsia="en-GB"/>
                        </w:rPr>
                        <w:t>Ø</w:t>
                      </w:r>
                      <w:r w:rsidRPr="007B541C">
                        <w:rPr>
                          <w:rFonts w:eastAsia="Wingdings" w:cs="Wingdings"/>
                          <w:color w:val="E98E31"/>
                          <w:highlight w:val="green"/>
                          <w:lang w:val="en-GB" w:eastAsia="en-GB"/>
                        </w:rPr>
                        <w:t>A1</w:t>
                      </w:r>
                    </w:p>
                  </w:tc>
                  <w:tc>
                    <w:tcPr>
                      <w:tcW w:w="1200" w:type="pct"/>
                      <w:tcBorders>
                        <w:bottom w:val="single" w:color="auto" w:sz="12" w:space="0"/>
                      </w:tcBorders>
                    </w:tcPr>
                    <w:p w:rsidRPr="00D13DB3" w:rsidR="0002414D" w:rsidP="0002414D" w:rsidRDefault="0002414D" w14:paraId="3382F482" w14:textId="77777777">
                      <w:pPr>
                        <w:rPr>
                          <w:rFonts w:eastAsia="MS PGothic" w:cs="Times New Roman"/>
                        </w:rPr>
                      </w:pPr>
                      <w:r w:rsidRPr="00D13DB3">
                        <w:rPr>
                          <w:rFonts w:eastAsia="MS PGothic" w:cs="Times New Roman"/>
                        </w:rPr>
                        <w:t>EBA/GL</w:t>
                      </w:r>
                      <w:r w:rsidRPr="005261FC">
                        <w:t>/2023/10</w:t>
                      </w:r>
                    </w:p>
                  </w:tc>
                  <w:tc>
                    <w:tcPr>
                      <w:tcW w:w="3348" w:type="pct"/>
                      <w:tcBorders>
                        <w:bottom w:val="single" w:color="auto" w:sz="12" w:space="0"/>
                        <w:right w:val="single" w:color="auto" w:sz="12" w:space="0"/>
                      </w:tcBorders>
                    </w:tcPr>
                    <w:p w:rsidRPr="00D13DB3" w:rsidR="0002414D" w:rsidP="0002414D" w:rsidRDefault="0002414D" w14:paraId="41EAE79C" w14:textId="77777777">
                      <w:pPr>
                        <w:rPr>
                          <w:rFonts w:eastAsia="MS PGothic" w:cs="Times New Roman"/>
                          <w:lang w:val="en-GB" w:eastAsia="en-GB"/>
                        </w:rPr>
                      </w:pPr>
                    </w:p>
                  </w:tc>
                </w:tr>
              </w:tbl>
              <w:p w:rsidRPr="00E974A1" w:rsidR="00E974A1" w:rsidP="00F1590B" w:rsidRDefault="00E974A1" w14:paraId="0720F01B" w14:textId="04BD1F77">
                <w:pPr>
                  <w:pStyle w:val="body"/>
                  <w:rPr>
                    <w:lang w:val="hu-HU"/>
                  </w:rPr>
                </w:pPr>
              </w:p>
            </w:tc>
          </w:tr>
        </w:tbl>
        <w:p w:rsidRPr="00653192" w:rsidR="00B43E07" w:rsidP="00B43E07" w:rsidRDefault="00B43E07" w14:paraId="3673D6BB" w14:textId="56FC517C">
          <w:r w:rsidRPr="00653192">
            <w:br w:type="page"/>
          </w:r>
        </w:p>
      </w:sdtContent>
    </w:sdt>
    <w:p w:rsidRPr="00653192" w:rsidR="00B43E07" w:rsidP="00D770BF" w:rsidRDefault="00B43E07" w14:paraId="72D6F5BF" w14:textId="77777777">
      <w:pPr>
        <w:pStyle w:val="Numberedtilelevel1"/>
        <w:numPr>
          <w:ilvl w:val="0"/>
          <w:numId w:val="12"/>
        </w:numPr>
      </w:pPr>
      <w:r w:rsidRPr="00653192">
        <w:lastRenderedPageBreak/>
        <w:t>Megfelelési és jelentéstételi kötelezettségek</w:t>
      </w:r>
    </w:p>
    <w:p w:rsidRPr="00653192" w:rsidR="00B43E07" w:rsidP="00B43E07" w:rsidRDefault="00B43E07" w14:paraId="3B9E826E" w14:textId="5EE3EC56">
      <w:pPr>
        <w:pStyle w:val="Titlelevel2"/>
      </w:pPr>
      <w:r w:rsidRPr="00653192">
        <w:t>Az iránymutatások jogállása</w:t>
      </w:r>
    </w:p>
    <w:p w:rsidRPr="00653192" w:rsidR="00B43E07" w:rsidP="00D770BF" w:rsidRDefault="00B43E07" w14:paraId="4AFE96B1" w14:textId="13B187BE">
      <w:pPr>
        <w:pStyle w:val="body"/>
        <w:numPr>
          <w:ilvl w:val="0"/>
          <w:numId w:val="10"/>
        </w:numPr>
      </w:pPr>
      <w:r w:rsidRPr="00653192">
        <w:t>Az e dokumentumban szereplő iránymutatásokat az EBH az 1093/2010/EU rendelet</w:t>
      </w:r>
      <w:r w:rsidRPr="00653192">
        <w:rPr>
          <w:rStyle w:val="FootnoteReference"/>
          <w:lang w:val="en-GB"/>
        </w:rPr>
        <w:footnoteReference w:id="2"/>
      </w:r>
      <w:r w:rsidRPr="00653192">
        <w:t xml:space="preserve"> 16. cikkének rendelkezéseivel összhangban adta ki. Az 1093/2010/EU rendelet 16. cikkének (3) bekezdése szerint az illetékes hatóságok és pénzügyi intézmények minden erőfeszítést megtesznek azért, hogy megfeleljenek az iránymutatásoknak.</w:t>
      </w:r>
    </w:p>
    <w:p w:rsidRPr="00653192" w:rsidR="00B43E07" w:rsidP="00D770BF" w:rsidRDefault="00B43E07" w14:paraId="23E7F140" w14:textId="591D7378">
      <w:pPr>
        <w:pStyle w:val="body"/>
        <w:numPr>
          <w:ilvl w:val="0"/>
          <w:numId w:val="10"/>
        </w:numPr>
      </w:pPr>
      <w:r w:rsidRPr="00653192">
        <w:t>Az iránymutatások rögzítik az EBH álláspontját azzal kapcsolatban, hogy mi a megfelelő felügyeleti gyakorlat a Pénzügyi Felügyeletek Európai Rendszerében, és miként kell alkalmazni az uniós jogot egy adott területen belül. Az 1093/2010/EU rendelet 4. cikkének (2) bekezdésében meghatározott, az iránymutatások hatálya alá tartozó illetékes hatóságok azzal tesznek eleget az iránymutatásnak, hogy megfelelően beépítik azt saját gyakorlataikba (pl. saját jogi kereteik vagy felügyeleti folyamataik módosításával), beleértve azokat az eseteket is, ahol az iránymutatás elsősorban intézményekre vonatkozik.</w:t>
      </w:r>
    </w:p>
    <w:p w:rsidRPr="00653192" w:rsidR="00B43E07" w:rsidP="00B43E07" w:rsidRDefault="00B43E07" w14:paraId="141EDBC6" w14:textId="77777777">
      <w:pPr>
        <w:pStyle w:val="Titlelevel2"/>
      </w:pPr>
      <w:r w:rsidRPr="00653192">
        <w:t>Adatszolgáltatási követelmények</w:t>
      </w:r>
    </w:p>
    <w:p w:rsidRPr="00653192" w:rsidR="00B43E07" w:rsidP="00D770BF" w:rsidRDefault="00236329" w14:paraId="7EE20541" w14:textId="7BFCE54E">
      <w:pPr>
        <w:pStyle w:val="body"/>
        <w:numPr>
          <w:ilvl w:val="0"/>
          <w:numId w:val="10"/>
        </w:numPr>
      </w:pPr>
      <w:r w:rsidRPr="00653192">
        <w:t xml:space="preserve">Az 1093/2010/EU rendelet 16. cikkének (3) bekezdése értelmében az illetékes hatóságok </w:t>
      </w:r>
      <w:r w:rsidR="00D91F18">
        <w:t>2021.02.16</w:t>
      </w:r>
      <w:r w:rsidRPr="00653192">
        <w:t>-ig kötelesek értesíteni az EBH-t arról, hogy megfelelnek-e vagy meg kívánnak-e felelni ennek az iránymutatásnak, és ha nem, úgy tájékoztatniuk kell az EBH-t a meg nem felelés indokairól. Amennyiben a fenti határidőig ilyen értesítés nem érkezik, az EBH úgy tekinti, hogy a szóban forgó illetékes hatóság nem felel meg az iránymutatásnak. Az értesítéseket „EBA/GL/2020/14” hivatkozással az EBH honlapján szereplő formanyomtatványon kell megküldeni. Az értesítéseket olyan személyek nyújthatják be, akik megfelelő felhatalmazással rendelkeznek arra nézve, hogy illetékes hatóságuk nevében nyilatkozzanak annak megfeleléséről. A megfeleléssel kapcsolatban bekövetkező bármely változást szintén be kell jelenteni az EBH-nak.</w:t>
      </w:r>
    </w:p>
    <w:p w:rsidRPr="00653192" w:rsidR="00B43E07" w:rsidP="00D770BF" w:rsidRDefault="00B43E07" w14:paraId="3FF09602" w14:textId="563622BD">
      <w:pPr>
        <w:pStyle w:val="body"/>
        <w:numPr>
          <w:ilvl w:val="0"/>
          <w:numId w:val="10"/>
        </w:numPr>
      </w:pPr>
      <w:r w:rsidRPr="00653192">
        <w:t>Az értesítéseket a 16. cikk (3) bekezdésével összhangban közzéteszik az EBH honlapján.</w:t>
      </w:r>
    </w:p>
    <w:p w:rsidRPr="00653192" w:rsidR="00B43E07" w:rsidP="00B43E07" w:rsidRDefault="00B43E07" w14:paraId="0BB7AD43" w14:textId="77777777">
      <w:pPr>
        <w:pStyle w:val="Titlelevel2"/>
      </w:pPr>
      <w:r w:rsidRPr="00653192">
        <w:br w:type="page"/>
      </w:r>
    </w:p>
    <w:p w:rsidRPr="00653192" w:rsidR="00B43E07" w:rsidP="00CE3517" w:rsidRDefault="00B43E07" w14:paraId="207E9159" w14:textId="77777777">
      <w:pPr>
        <w:pStyle w:val="Numberedtilelevel1"/>
      </w:pPr>
      <w:r w:rsidRPr="00653192">
        <w:lastRenderedPageBreak/>
        <w:t>Tárgy, alkalmazási kör és fogalommeghatározások</w:t>
      </w:r>
    </w:p>
    <w:p w:rsidRPr="00653192" w:rsidR="00B43E07" w:rsidP="00B43E07" w:rsidRDefault="00B43E07" w14:paraId="329ACB0A" w14:textId="77777777">
      <w:pPr>
        <w:pStyle w:val="Titlelevel2"/>
      </w:pPr>
      <w:r w:rsidRPr="00653192">
        <w:t>Tárgy</w:t>
      </w:r>
    </w:p>
    <w:p w:rsidRPr="00653192" w:rsidR="00DE0FE1" w:rsidP="00D770BF" w:rsidRDefault="00DE0FE1" w14:paraId="667A5E79" w14:textId="75DF9FF9">
      <w:pPr>
        <w:pStyle w:val="body"/>
        <w:numPr>
          <w:ilvl w:val="0"/>
          <w:numId w:val="10"/>
        </w:numPr>
      </w:pPr>
      <w:r w:rsidRPr="00653192">
        <w:t>Jelen iránymutatás a következőkre vonatkozik:</w:t>
      </w:r>
    </w:p>
    <w:p w:rsidRPr="00653192" w:rsidR="00DE0FE1" w:rsidP="00D770BF" w:rsidRDefault="00DE0FE1" w14:paraId="7F872996" w14:textId="017F20C9">
      <w:pPr>
        <w:pStyle w:val="body"/>
        <w:numPr>
          <w:ilvl w:val="1"/>
          <w:numId w:val="13"/>
        </w:numPr>
      </w:pPr>
      <w:r w:rsidRPr="00653192">
        <w:t>az 1222/2014 /EU rendeletben meghatározott globálisan rendszerszinten jelentős intézmények azonosítására alkalmazott mutatók (a továbbiakban: mutatók) meghatározása; és</w:t>
      </w:r>
    </w:p>
    <w:p w:rsidRPr="00653192" w:rsidR="00B43E07" w:rsidP="00D770BF" w:rsidRDefault="00DE0FE1" w14:paraId="776C11F3" w14:textId="58E74370">
      <w:pPr>
        <w:pStyle w:val="body"/>
        <w:numPr>
          <w:ilvl w:val="1"/>
          <w:numId w:val="13"/>
        </w:numPr>
      </w:pPr>
      <w:r w:rsidRPr="00653192">
        <w:t>az alapul szolgáló adatok (mutatók, kiegészítő adatok és tájékoztató adatok) jelentése és az adatokon alapuló, a globálisan rendszerszinten jelentős intézmények azonosítására alkalmazott mutatók értékének éves közzététele.</w:t>
      </w:r>
    </w:p>
    <w:p w:rsidRPr="00653192" w:rsidR="00B43E07" w:rsidP="00B43E07" w:rsidRDefault="00B43E07" w14:paraId="07F996E2" w14:textId="77777777">
      <w:pPr>
        <w:pStyle w:val="Titlelevel2"/>
      </w:pPr>
      <w:r w:rsidRPr="00653192">
        <w:t>Hatály</w:t>
      </w:r>
    </w:p>
    <w:p w:rsidRPr="00653192" w:rsidR="00DE0FE1" w:rsidP="00D770BF" w:rsidRDefault="00B43E07" w14:paraId="71B629CF" w14:textId="05197A71">
      <w:pPr>
        <w:pStyle w:val="body"/>
        <w:numPr>
          <w:ilvl w:val="0"/>
          <w:numId w:val="10"/>
        </w:numPr>
      </w:pPr>
      <w:r w:rsidRPr="00653192">
        <w:t>Az iránymutatás az olyan</w:t>
      </w:r>
    </w:p>
    <w:p w:rsidRPr="00653192" w:rsidR="00DE0FE1" w:rsidP="00D770BF" w:rsidRDefault="000F3C24" w14:paraId="73EAD676" w14:textId="3140197F">
      <w:pPr>
        <w:pStyle w:val="body"/>
        <w:numPr>
          <w:ilvl w:val="0"/>
          <w:numId w:val="14"/>
        </w:numPr>
      </w:pPr>
      <w:r w:rsidRPr="00653192">
        <w:t>EU-szintű anyavállalat, EU-szintű pénzügyi holding társaság anyavállalat vagy EU-szintű vegyes pénzügyi holding társaság anyavállalat által vezetett csoportokra; továbbá</w:t>
      </w:r>
    </w:p>
    <w:p w:rsidRPr="00653192" w:rsidR="00B43E07" w:rsidP="00D770BF" w:rsidRDefault="00DE0FE1" w14:paraId="0D1E1C78" w14:textId="031EF3C2">
      <w:pPr>
        <w:pStyle w:val="body"/>
        <w:numPr>
          <w:ilvl w:val="0"/>
          <w:numId w:val="14"/>
        </w:numPr>
      </w:pPr>
      <w:r w:rsidRPr="00653192">
        <w:t>az EU-szintű anyavállalat, EU-szintű pénzügyi holding társaság anyavállalat vagy EU-szintű vegyes pénzügyi holding társaság anyavállalat leányvállalatának nem minősülő olyan intézményre terjed ki,</w:t>
      </w:r>
    </w:p>
    <w:p w:rsidRPr="00653192" w:rsidR="00B43E07" w:rsidP="00DE0FE1" w:rsidRDefault="003A2221" w14:paraId="5736DC31" w14:textId="54A8D23B">
      <w:pPr>
        <w:pStyle w:val="body"/>
      </w:pPr>
      <w:r w:rsidRPr="00653192">
        <w:t>amelyre a pénzügyi év végén az Európai Központi Bank által közzétett referencia-árfolyamon alapuló megfelelő átváltási árfolyammal és nemzetközi standardok alkalmazásával, összevont vagy egyedi alapon, külön (és a biztosítási leányvállalatokat is beleértve) megállapított, 200 milliárd euró fölötti tőkeáttétel kitettség vonatkozik (a továbbiakban: érintett szervezetek).</w:t>
      </w:r>
    </w:p>
    <w:p w:rsidRPr="00653192" w:rsidR="00B43E07" w:rsidP="00B43E07" w:rsidRDefault="00B43E07" w14:paraId="6EAA3145" w14:textId="77777777">
      <w:pPr>
        <w:pStyle w:val="Titlelevel2"/>
      </w:pPr>
      <w:r w:rsidRPr="00653192">
        <w:t>Címzettek</w:t>
      </w:r>
    </w:p>
    <w:p w:rsidRPr="00653192" w:rsidR="00B43E07" w:rsidP="00D770BF" w:rsidRDefault="00DE0FE1" w14:paraId="12310C5F" w14:textId="42F50B99">
      <w:pPr>
        <w:pStyle w:val="body"/>
        <w:numPr>
          <w:ilvl w:val="0"/>
          <w:numId w:val="10"/>
        </w:numPr>
      </w:pPr>
      <w:r w:rsidRPr="00653192">
        <w:t>Az iránymutatások címzettjei az 1093/2010/EU rendelet 4. cikke (2) bekezdésének i. pontjában meghatározott illetékes hatóságok és azok a pénzügyi intézmények, amelyek ezen iránymutatások hatálya alá tartoznak. A 2013/36/EU irányelv 131. cikkének (1) bekezdésében említett, az illetékes hatóságoktól eltérő kijelölt hatóságok számára javasolt ezen iránymutatások alkalmazása. Mind az illetékes, mind a kijelölt hatóságokra „érintett hatóságok” elnevezéssel hivatkozunk ezekben az iránymutatásokban.</w:t>
      </w:r>
    </w:p>
    <w:p w:rsidRPr="00653192" w:rsidR="00DE0FE1" w:rsidP="00D770BF" w:rsidRDefault="00DE0FE1" w14:paraId="52A8B3D5" w14:textId="77777777">
      <w:pPr>
        <w:pStyle w:val="ListParagraph"/>
        <w:numPr>
          <w:ilvl w:val="0"/>
          <w:numId w:val="10"/>
        </w:numPr>
      </w:pPr>
      <w:r w:rsidRPr="00653192">
        <w:br w:type="page"/>
      </w:r>
    </w:p>
    <w:p w:rsidRPr="00653192" w:rsidR="00B43E07" w:rsidP="00CE3517" w:rsidRDefault="00B43E07" w14:paraId="25D099DB" w14:textId="77777777">
      <w:pPr>
        <w:pStyle w:val="Numberedtilelevel1"/>
      </w:pPr>
      <w:r w:rsidRPr="00653192">
        <w:lastRenderedPageBreak/>
        <w:t>Végrehajtás</w:t>
      </w:r>
    </w:p>
    <w:p w:rsidRPr="00653192" w:rsidR="00B43E07" w:rsidP="00B43E07" w:rsidRDefault="00B43E07" w14:paraId="4EAB2FB0" w14:textId="77777777">
      <w:pPr>
        <w:pStyle w:val="Titlelevel2"/>
      </w:pPr>
      <w:r w:rsidRPr="00653192">
        <w:t>Az alkalmazás időpontja</w:t>
      </w:r>
    </w:p>
    <w:p w:rsidRPr="00653192" w:rsidR="00B43E07" w:rsidP="00D770BF" w:rsidRDefault="00DE0FE1" w14:paraId="18515792" w14:textId="1A70542B">
      <w:pPr>
        <w:pStyle w:val="body"/>
        <w:numPr>
          <w:ilvl w:val="0"/>
          <w:numId w:val="15"/>
        </w:numPr>
      </w:pPr>
      <w:r w:rsidRPr="00653192">
        <w:t xml:space="preserve">Ezek az iránymutatások </w:t>
      </w:r>
      <w:r w:rsidR="00D91F18">
        <w:t>2020.12.16</w:t>
      </w:r>
      <w:r w:rsidRPr="00653192">
        <w:t>-tól/-től alkalmazandók.</w:t>
      </w:r>
    </w:p>
    <w:p w:rsidRPr="00653192" w:rsidR="00B43E07" w:rsidP="00B43E07" w:rsidRDefault="00B43E07" w14:paraId="4AB150AF" w14:textId="64BC8239">
      <w:pPr>
        <w:pStyle w:val="Titlelevel2"/>
      </w:pPr>
      <w:r w:rsidRPr="00653192">
        <w:t>Hatályon kívül helyezés</w:t>
      </w:r>
    </w:p>
    <w:p w:rsidRPr="00653192" w:rsidR="00B43E07" w:rsidP="00A41338" w:rsidRDefault="00BD1538" w14:paraId="0F71334D" w14:textId="4DCAC658">
      <w:pPr>
        <w:rPr>
          <w:szCs w:val="22"/>
        </w:rPr>
      </w:pPr>
      <w:r w:rsidRPr="00653192">
        <w:rPr>
          <w:szCs w:val="22"/>
        </w:rPr>
        <w:t>A globális rendszerszintű jelentőség mutatóinak részletesebb meghatározásáról és nyilvánosságra hozataláról szóló, 2016. február 29-i felülvizsgált iránymutatások (EBA/GL/2016/01) hatályukat vesztik.</w:t>
      </w:r>
    </w:p>
    <w:p w:rsidRPr="00653192" w:rsidR="00BD1538" w:rsidP="00B43E07" w:rsidRDefault="00BD1538" w14:paraId="30F30A96" w14:textId="77777777">
      <w:pPr>
        <w:pStyle w:val="body"/>
        <w:sectPr w:rsidRPr="00653192" w:rsidR="00BD1538" w:rsidSect="00117FB7">
          <w:headerReference w:type="even" r:id="rId8"/>
          <w:headerReference w:type="default" r:id="rId9"/>
          <w:footerReference w:type="even" r:id="rId10"/>
          <w:footerReference w:type="default" r:id="rId11"/>
          <w:headerReference w:type="first" r:id="rId12"/>
          <w:pgSz w:w="11900" w:h="16840"/>
          <w:pgMar w:top="2268" w:right="1418" w:bottom="1134" w:left="1701" w:header="709" w:footer="397" w:gutter="0"/>
          <w:cols w:space="708"/>
          <w:docGrid w:linePitch="299"/>
        </w:sectPr>
      </w:pPr>
    </w:p>
    <w:p w:rsidRPr="00653192" w:rsidR="00B43E07" w:rsidP="00BD1538" w:rsidRDefault="00BD1538" w14:paraId="4D344DEC" w14:textId="3CE1317D">
      <w:pPr>
        <w:pStyle w:val="Numberedtilelevel1"/>
        <w:jc w:val="both"/>
      </w:pPr>
      <w:r w:rsidRPr="00653192">
        <w:lastRenderedPageBreak/>
        <w:t>A globálisan rendszerszinten jelentős intézmények azonosítására alkalmazott mutatók és az alapul szolgáló adatok meghatározása</w:t>
      </w:r>
    </w:p>
    <w:p w:rsidR="00D770BF" w:rsidP="00D770BF" w:rsidRDefault="00FE64B3" w14:paraId="753C7FB0" w14:textId="69009FCF">
      <w:pPr>
        <w:pStyle w:val="body"/>
        <w:rPr>
          <w:iCs/>
        </w:rPr>
      </w:pPr>
      <w:r w:rsidRPr="007B541C">
        <w:rPr>
          <w:spacing w:val="-1"/>
          <w:highlight w:val="green"/>
        </w:rPr>
        <w:sym w:font="Wingdings" w:char="F0DA"/>
      </w:r>
      <w:r w:rsidRPr="007B541C">
        <w:rPr>
          <w:spacing w:val="-1"/>
          <w:highlight w:val="green"/>
        </w:rPr>
        <w:t>A1</w:t>
      </w:r>
    </w:p>
    <w:p w:rsidR="00D770BF" w:rsidP="00DF5812" w:rsidRDefault="00D770BF" w14:paraId="4B6B62A6" w14:textId="6B8A8E04">
      <w:pPr>
        <w:pStyle w:val="ListParagraph"/>
        <w:widowControl w:val="0"/>
        <w:numPr>
          <w:ilvl w:val="0"/>
          <w:numId w:val="18"/>
        </w:numPr>
        <w:tabs>
          <w:tab w:val="left" w:pos="762"/>
        </w:tabs>
        <w:autoSpaceDE w:val="0"/>
        <w:autoSpaceDN w:val="0"/>
        <w:spacing w:before="56" w:line="276" w:lineRule="auto"/>
        <w:ind w:right="1140"/>
        <w:jc w:val="both"/>
      </w:pPr>
      <w:r w:rsidRPr="003E7E30">
        <w:rPr>
          <w:iCs/>
        </w:rPr>
        <w:t>Az érintett hatóságoknak és az érintett szervezeteknek követniük kell a mellékletben felsorolt adatelemekre vonatkozó utasításokat és előírásokat az EBH honlapjának a globálisan rendszerszinten jelentős intézményekre (G-SIIs) vonatkozó részében található „Reporting instructions” (Az adatszolgáltatással kapcsolatos instrukciók) című dokumentumban foglaltaknak megfelelően</w:t>
      </w:r>
      <w:r w:rsidR="00E830CC">
        <w:rPr>
          <w:rStyle w:val="FootnoteReference"/>
          <w:iCs/>
        </w:rPr>
        <w:footnoteReference w:id="3"/>
      </w:r>
      <w:r w:rsidRPr="003E7E30">
        <w:rPr>
          <w:iCs/>
        </w:rPr>
        <w:t>.</w:t>
      </w:r>
    </w:p>
    <w:p w:rsidRPr="00D770BF" w:rsidR="00D770BF" w:rsidP="00D770BF" w:rsidRDefault="00D770BF" w14:paraId="71B45AE2" w14:textId="77777777">
      <w:pPr>
        <w:pStyle w:val="BodyText"/>
        <w:spacing w:before="7"/>
        <w:rPr>
          <w:sz w:val="19"/>
          <w:lang w:val="hu-HU"/>
        </w:rPr>
      </w:pPr>
    </w:p>
    <w:p w:rsidR="00D770BF" w:rsidP="00DF5812" w:rsidRDefault="00D770BF" w14:paraId="2F0F957A" w14:textId="7F0B375C">
      <w:pPr>
        <w:pStyle w:val="ListParagraph"/>
        <w:widowControl w:val="0"/>
        <w:numPr>
          <w:ilvl w:val="0"/>
          <w:numId w:val="18"/>
        </w:numPr>
        <w:tabs>
          <w:tab w:val="left" w:pos="761"/>
        </w:tabs>
        <w:autoSpaceDE w:val="0"/>
        <w:autoSpaceDN w:val="0"/>
        <w:spacing w:line="276" w:lineRule="auto"/>
        <w:ind w:left="760" w:right="1138" w:hanging="361"/>
        <w:jc w:val="both"/>
      </w:pPr>
      <w:r w:rsidRPr="003E7E30">
        <w:rPr>
          <w:iCs/>
        </w:rPr>
        <w:t>Az érintett hatóságoknak a felügyeleti értékelésüket kiegészítő adatokkal (ezen iránymutatások mellékletének 15–16. szakasza) kell alátámasztaniuk a 2013/36/EU irányelv 131. cikke (10) bekezdésének megfelelően, a tájékoztató adatokat (a melléklet 17–22. szakasza) pedig az adatok minőségének javítására és az azonosítási módszertan jövőbeli javításai kidolgozásának elősegítésére kell használniuk. A tájékoztató adatokat adott esetben az érintett szervezeteknek az adatok minőségével és rendelkezésre állásával kapcsolatos részletes észrevételeivel kell kiegészíteni.</w:t>
      </w:r>
    </w:p>
    <w:p w:rsidR="00D770BF" w:rsidP="00D770BF" w:rsidRDefault="00D770BF" w14:paraId="03E62917" w14:textId="77777777">
      <w:pPr>
        <w:pStyle w:val="ListParagraph"/>
        <w:tabs>
          <w:tab w:val="left" w:pos="761"/>
        </w:tabs>
        <w:spacing w:line="276" w:lineRule="auto"/>
        <w:ind w:left="760" w:right="1138"/>
        <w:jc w:val="both"/>
      </w:pPr>
    </w:p>
    <w:p w:rsidR="00D770BF" w:rsidP="00D770BF" w:rsidRDefault="00D770BF" w14:paraId="2FC2FA93" w14:textId="3DC79065">
      <w:pPr>
        <w:spacing w:line="276" w:lineRule="auto"/>
        <w:ind w:left="709" w:right="1138" w:hanging="425"/>
        <w:jc w:val="both"/>
        <w:sectPr w:rsidR="00D770BF">
          <w:footnotePr>
            <w:numStart w:val="5"/>
          </w:footnotePr>
          <w:pgSz w:w="11910" w:h="16840"/>
          <w:pgMar w:top="1400" w:right="280" w:bottom="1140" w:left="1300" w:header="709" w:footer="914" w:gutter="0"/>
          <w:cols w:space="720"/>
        </w:sectPr>
      </w:pPr>
      <w:r>
        <w:t xml:space="preserve">10a. </w:t>
      </w:r>
      <w:r w:rsidRPr="003E7E30">
        <w:rPr>
          <w:iCs/>
        </w:rPr>
        <w:t>A 2013/36/EU irányelv 131. cikkének (2a) bekezdése értelmében, amely az Egységes Szanálási</w:t>
      </w:r>
      <w:r>
        <w:rPr>
          <w:iCs/>
        </w:rPr>
        <w:t xml:space="preserve">     </w:t>
      </w:r>
      <w:r w:rsidRPr="003E7E30">
        <w:rPr>
          <w:iCs/>
        </w:rPr>
        <w:t xml:space="preserve">Mechanizmusban részt vevő tagállamok közötti viszonylatban folytatott, határokon átnyúló </w:t>
      </w:r>
      <w:r>
        <w:rPr>
          <w:iCs/>
        </w:rPr>
        <w:t xml:space="preserve">    </w:t>
      </w:r>
      <w:r w:rsidRPr="003E7E30">
        <w:rPr>
          <w:iCs/>
        </w:rPr>
        <w:t>tevékenységeket kizáró kiegészítő azonosítási módszert ír elő, valamint összhangban a Bázeli Bankfelügyeleti Bizottság által 2022. május 31-én elfogadott, az európai bankunió fejlesztése terén elért haladás elismerésére vonatkozó nemzetközi megállapodással, az Egységes Szanálási Mechanizmusban részt vevő tagállamokban székhellyel rendelkező intézményekre vonatkozó kiigazított, több joghatóságot érintő mutatók kiszámítása szempontjából releváns adatelemeket a több joghatóságot érintő tevékenységek mutatói részének, nem pedig a globálisan rendszerszinten jelentős intézmények azonosítására és alkategóriái felosztására vonatkozó módszertan kiegészítő vagy tájékoztató elemeinek kell tekinteni, és a 12. bekezdéssel összhangban közzé kell tenni.</w:t>
      </w:r>
    </w:p>
    <w:p w:rsidR="00D770BF" w:rsidP="00D770BF" w:rsidRDefault="00D770BF" w14:paraId="439E7EF8" w14:textId="77777777">
      <w:pPr>
        <w:pStyle w:val="body"/>
        <w:rPr>
          <w:iCs/>
        </w:rPr>
      </w:pPr>
    </w:p>
    <w:p w:rsidRPr="00653192" w:rsidR="00B43E07" w:rsidP="00BD1538" w:rsidRDefault="00BD1538" w14:paraId="6CDBC73A" w14:textId="63126AA5">
      <w:pPr>
        <w:pStyle w:val="Numberedtilelevel1"/>
        <w:jc w:val="both"/>
      </w:pPr>
      <w:r w:rsidRPr="00653192">
        <w:t>Az érintett intézmények jelentéstételi és közzétételi kötelezettségei</w:t>
      </w:r>
    </w:p>
    <w:p w:rsidRPr="00C20DA3" w:rsidR="0007574B" w:rsidP="00C20DA3" w:rsidRDefault="000B3BA3" w14:paraId="107B3895" w14:textId="6FF86C19">
      <w:pPr>
        <w:pStyle w:val="body"/>
        <w:numPr>
          <w:ilvl w:val="0"/>
          <w:numId w:val="19"/>
        </w:numPr>
        <w:rPr>
          <w:iCs/>
        </w:rPr>
      </w:pPr>
      <w:r w:rsidRPr="00C20DA3">
        <w:rPr>
          <w:iCs/>
        </w:rPr>
        <w:t>Az érintett hatóságoknak gondoskodniuk kell arról, hogy az ezen iránymutatások 6. bekezdésében meghatározott kritériumoknak megfelelő érintett szervezetektől minden év december 31-én összegyűjtsék az ezen iránymutatások mellékletében meghatározott összes adatot</w:t>
      </w:r>
      <w:r w:rsidRPr="00C20DA3" w:rsidR="003A2221">
        <w:rPr>
          <w:iCs/>
        </w:rPr>
        <w:t>.</w:t>
      </w:r>
    </w:p>
    <w:p w:rsidR="0007574B" w:rsidP="00C20DA3" w:rsidRDefault="00C20DA3" w14:paraId="623657F6" w14:textId="090E5E0A">
      <w:pPr>
        <w:pStyle w:val="body"/>
        <w:numPr>
          <w:ilvl w:val="0"/>
          <w:numId w:val="19"/>
        </w:numPr>
        <w:rPr>
          <w:iCs/>
        </w:rPr>
      </w:pPr>
      <w:r w:rsidRPr="00C20DA3">
        <w:rPr>
          <w:iCs/>
        </w:rPr>
        <w:t>Az érintett hatóságoknak biztosítaniuk kell, hogy az érintett szervezetek az ezen iránymutatások mellékletének 1–14. szakaszában meghatározott mutatókat és – amennyiben az Egységes Szanálási Mechanizmus vonatkozásában kiegészítő azonosítási módszerre van szükség – a 21. szakasz e), f) és g) tételeit, valamint a 21. szakasz bármely más, az érintett hatóság által az ilyen módszer szerinti kiszámítás szempontjából relevánsnak tekinthető, az Egységes Szanálási Mechanizmuson belüli, több joghatóságot érintő tevékenységre vonatkozó tételt évente nyilvánosságra hozzák a honlapjukon.</w:t>
      </w:r>
    </w:p>
    <w:p w:rsidRPr="00C20DA3" w:rsidR="00FE64B3" w:rsidP="00FE64B3" w:rsidRDefault="00FE64B3" w14:paraId="073A682C" w14:textId="281F9D71">
      <w:pPr>
        <w:pStyle w:val="BodyText"/>
        <w:tabs>
          <w:tab w:val="left" w:pos="1802"/>
        </w:tabs>
        <w:spacing w:before="100" w:after="60" w:line="276" w:lineRule="auto"/>
        <w:ind w:right="232"/>
        <w:jc w:val="both"/>
        <w:rPr>
          <w:iCs/>
        </w:rPr>
      </w:pPr>
      <w:r w:rsidRPr="007B541C">
        <w:rPr>
          <w:spacing w:val="-1"/>
          <w:highlight w:val="yellow"/>
        </w:rPr>
        <w:sym w:font="Wingdings" w:char="F0DA"/>
      </w:r>
      <w:r w:rsidRPr="007B541C">
        <w:rPr>
          <w:spacing w:val="-1"/>
          <w:highlight w:val="yellow"/>
        </w:rPr>
        <w:t>O</w:t>
      </w:r>
    </w:p>
    <w:p w:rsidR="0007574B" w:rsidP="00C20DA3" w:rsidRDefault="0007574B" w14:paraId="59D95C2C" w14:textId="52231D90">
      <w:pPr>
        <w:pStyle w:val="body"/>
        <w:numPr>
          <w:ilvl w:val="0"/>
          <w:numId w:val="19"/>
        </w:numPr>
        <w:rPr>
          <w:iCs/>
        </w:rPr>
      </w:pPr>
      <w:r w:rsidRPr="00C20DA3">
        <w:rPr>
          <w:iCs/>
        </w:rPr>
        <w:t>A 11. és 12. bekezdésben említett információk jelentéséhez és nyilvánosságra hozatalához az érintett szervezeteknek az EBH honlapján az e célra közzétett elektronikus sablont kell használniuk és az éves útmutatót kell követniük.</w:t>
      </w:r>
    </w:p>
    <w:p w:rsidRPr="00C20DA3" w:rsidR="00FE64B3" w:rsidP="00FE64B3" w:rsidRDefault="00FE64B3" w14:paraId="2831FE1F" w14:textId="20EEB8D1">
      <w:pPr>
        <w:pStyle w:val="body"/>
        <w:rPr>
          <w:iCs/>
        </w:rPr>
      </w:pPr>
      <w:r w:rsidRPr="007B541C">
        <w:rPr>
          <w:spacing w:val="-1"/>
          <w:highlight w:val="green"/>
        </w:rPr>
        <w:sym w:font="Wingdings" w:char="F0DA"/>
      </w:r>
      <w:r w:rsidRPr="007B541C">
        <w:rPr>
          <w:spacing w:val="-1"/>
          <w:highlight w:val="green"/>
        </w:rPr>
        <w:t>A1</w:t>
      </w:r>
    </w:p>
    <w:p w:rsidR="006C6D8E" w:rsidP="00C20DA3" w:rsidRDefault="00C20DA3" w14:paraId="5F511C1E" w14:textId="109597CE">
      <w:pPr>
        <w:pStyle w:val="body"/>
        <w:numPr>
          <w:ilvl w:val="0"/>
          <w:numId w:val="19"/>
        </w:numPr>
      </w:pPr>
      <w:r w:rsidRPr="00C20DA3">
        <w:rPr>
          <w:iCs/>
        </w:rPr>
        <w:t>Az érintett szervezeteknek évente, legkésőbb az adott pénzügyi év végétől számított négy hónapon belül be kell jelenteniük a 11. bekezdésben említett információkat az érintett hatóságoknak, illetve nyilvánosságra kell hozniuk a 12. bekezdéseben említett információkat azon két egymást követő pénzügyi év végétől kezdődően, amikor az ezen iránymutatások 6. bekezdésében meghatározott küszöbértéket túllépték. Ennek során az érintett szervezeteknek a jogalany-azonosítójukkal kell azonosítaniuk magukat</w:t>
      </w:r>
      <w:r w:rsidRPr="00653192" w:rsidR="0007574B">
        <w:t>.</w:t>
      </w:r>
    </w:p>
    <w:p w:rsidRPr="00653192" w:rsidR="00FE64B3" w:rsidP="00FE64B3" w:rsidRDefault="00FE64B3" w14:paraId="55ED660B" w14:textId="20D1045F">
      <w:pPr>
        <w:pStyle w:val="BodyText"/>
        <w:tabs>
          <w:tab w:val="left" w:pos="1802"/>
        </w:tabs>
        <w:spacing w:before="100" w:after="60" w:line="276" w:lineRule="auto"/>
        <w:ind w:right="232"/>
        <w:jc w:val="both"/>
      </w:pPr>
      <w:r w:rsidRPr="007B541C">
        <w:rPr>
          <w:spacing w:val="-1"/>
          <w:highlight w:val="yellow"/>
        </w:rPr>
        <w:sym w:font="Wingdings" w:char="F0DA"/>
      </w:r>
      <w:r w:rsidRPr="007B541C">
        <w:rPr>
          <w:spacing w:val="-1"/>
          <w:highlight w:val="yellow"/>
        </w:rPr>
        <w:t>O</w:t>
      </w:r>
    </w:p>
    <w:p w:rsidRPr="00653192" w:rsidR="0007574B" w:rsidP="00C20DA3" w:rsidRDefault="003A2221" w14:paraId="02B1DBBB" w14:textId="35B7F7D9">
      <w:pPr>
        <w:pStyle w:val="body"/>
        <w:numPr>
          <w:ilvl w:val="0"/>
          <w:numId w:val="19"/>
        </w:numPr>
      </w:pPr>
      <w:r w:rsidRPr="00653192">
        <w:t>Az érintett hatóságok azon érintett szervezetek tekintetében, amelyek esetében a pénzügyi év vége nem december 31-ére esik, engedélyezhetik, hogy a december 31-éhez minél közelebb eső időpontban vett helyzet alapján jelentsék és hozzák nyilvánosságra az információkat. Az információkat minden esetben legkésőbb július 31-ig nyilvánosságra kell hozni.</w:t>
      </w:r>
    </w:p>
    <w:p w:rsidRPr="00653192" w:rsidR="006C6D8E" w:rsidP="00A24B8D" w:rsidRDefault="003A2221" w14:paraId="304AED26" w14:textId="02B57A02">
      <w:pPr>
        <w:pStyle w:val="body"/>
        <w:numPr>
          <w:ilvl w:val="0"/>
          <w:numId w:val="19"/>
        </w:numPr>
      </w:pPr>
      <w:r w:rsidRPr="00653192">
        <w:t>Az érintett hatóságoknak adott esetben biztosítaniuk kell, hogy a jelentett és közzétett adatok megegyezzenek a Bázeli Bankfelügyeleti Bizottsághoz benyújtott értékekkel.</w:t>
      </w:r>
    </w:p>
    <w:p w:rsidRPr="00653192" w:rsidR="006C6D8E" w:rsidP="006C6D8E" w:rsidRDefault="006C6D8E" w14:paraId="3653C3DD" w14:textId="77777777">
      <w:pPr>
        <w:pStyle w:val="body"/>
        <w:sectPr w:rsidRPr="00653192" w:rsidR="006C6D8E" w:rsidSect="00117FB7">
          <w:pgSz w:w="11900" w:h="16840"/>
          <w:pgMar w:top="2268" w:right="1418" w:bottom="1134" w:left="1701" w:header="709" w:footer="397" w:gutter="0"/>
          <w:cols w:space="708"/>
          <w:docGrid w:linePitch="299"/>
        </w:sectPr>
      </w:pPr>
    </w:p>
    <w:p w:rsidRPr="00653192" w:rsidR="00B43E07" w:rsidP="006C6D8E" w:rsidRDefault="006C6D8E" w14:paraId="78D7CAE2" w14:textId="0D9CA5B9">
      <w:pPr>
        <w:pStyle w:val="Numberedtilelevel1"/>
        <w:jc w:val="both"/>
      </w:pPr>
      <w:r w:rsidRPr="00653192">
        <w:lastRenderedPageBreak/>
        <w:t>Az EBH tájékoztatása</w:t>
      </w:r>
    </w:p>
    <w:p w:rsidRPr="00653192" w:rsidR="006C6D8E" w:rsidP="00C20DA3" w:rsidRDefault="003A2221" w14:paraId="0966C959" w14:textId="52E7A3EF">
      <w:pPr>
        <w:pStyle w:val="body"/>
        <w:numPr>
          <w:ilvl w:val="0"/>
          <w:numId w:val="19"/>
        </w:numPr>
      </w:pPr>
      <w:r w:rsidRPr="00653192">
        <w:t>Az érintett hatóságoknak az EBH rendelkezésére kell bocsátaniuk az ezen iránymutatásoknak megfelelően összegyűjtött valamennyi adatot, a kiegészítő adatokat és a tájékoztató adatokat is beleértve, hogy azok az EBH honlapján összesíthetők legyenek. Az érintett szervezeteknek a jogalany-azonosítójuk használatával kell azonosítaniuk magukat. Az EBH a kiegészítő adatokat és a tájékoztató adatokat nem hozza nyilvánosságra.</w:t>
      </w:r>
    </w:p>
    <w:p w:rsidRPr="00653192" w:rsidR="006C6D8E" w:rsidP="00B43E07" w:rsidRDefault="006C6D8E" w14:paraId="001293F4" w14:textId="77777777">
      <w:pPr>
        <w:pStyle w:val="body"/>
        <w:rPr>
          <w:lang w:eastAsia="en-GB"/>
        </w:rPr>
        <w:sectPr w:rsidRPr="00653192" w:rsidR="006C6D8E" w:rsidSect="00117FB7">
          <w:pgSz w:w="11900" w:h="16840"/>
          <w:pgMar w:top="2268" w:right="1418" w:bottom="1134" w:left="1701" w:header="709" w:footer="397" w:gutter="0"/>
          <w:cols w:space="708"/>
          <w:docGrid w:linePitch="299"/>
        </w:sectPr>
      </w:pPr>
    </w:p>
    <w:p w:rsidRPr="00653192" w:rsidR="006C6D8E" w:rsidP="006C6D8E" w:rsidRDefault="006C6D8E" w14:paraId="6FBD395E" w14:textId="77777777">
      <w:pPr>
        <w:pStyle w:val="Contenttitle"/>
      </w:pPr>
      <w:r w:rsidRPr="00653192">
        <w:lastRenderedPageBreak/>
        <w:t>Melléklet</w:t>
      </w:r>
    </w:p>
    <w:tbl>
      <w:tblPr>
        <w:tblStyle w:val="TableGrid1"/>
        <w:tblW w:w="9549" w:type="dxa"/>
        <w:tblLook w:val="04A0" w:firstRow="1" w:lastRow="0" w:firstColumn="1" w:lastColumn="0" w:noHBand="0" w:noVBand="1"/>
      </w:tblPr>
      <w:tblGrid>
        <w:gridCol w:w="6804"/>
        <w:gridCol w:w="2745"/>
      </w:tblGrid>
      <w:tr w:rsidRPr="009F3C3E" w:rsidR="00060A12" w:rsidTr="00AD2BC8" w14:paraId="416E581B" w14:textId="77777777">
        <w:trPr>
          <w:trHeight w:val="420"/>
        </w:trPr>
        <w:tc>
          <w:tcPr>
            <w:tcW w:w="9549" w:type="dxa"/>
            <w:gridSpan w:val="2"/>
            <w:tcBorders>
              <w:top w:val="nil"/>
              <w:left w:val="nil"/>
              <w:bottom w:val="nil"/>
              <w:right w:val="nil"/>
            </w:tcBorders>
            <w:noWrap/>
            <w:hideMark/>
          </w:tcPr>
          <w:bookmarkEnd w:id="9"/>
          <w:bookmarkEnd w:id="8"/>
          <w:bookmarkEnd w:id="7"/>
          <w:bookmarkEnd w:id="6"/>
          <w:bookmarkEnd w:id="5"/>
          <w:bookmarkEnd w:id="4"/>
          <w:bookmarkEnd w:id="3"/>
          <w:bookmarkEnd w:id="2"/>
          <w:bookmarkEnd w:id="1"/>
          <w:bookmarkEnd w:id="0"/>
          <w:p w:rsidR="00FE64B3" w:rsidP="00AD2BC8" w:rsidRDefault="00FE64B3" w14:paraId="2495087F" w14:textId="0473B35A">
            <w:pPr>
              <w:keepNext/>
              <w:keepLines/>
              <w:spacing w:before="47"/>
              <w:outlineLvl w:val="5"/>
              <w:rPr>
                <w:rFonts w:ascii="Arial" w:hAnsi="Arial"/>
                <w:b/>
                <w:i/>
                <w:caps/>
                <w:color w:val="172B39" w:themeColor="accent1" w:themeShade="80"/>
                <w:sz w:val="24"/>
              </w:rPr>
            </w:pPr>
            <w:r w:rsidRPr="007B541C">
              <w:rPr>
                <w:spacing w:val="-1"/>
                <w:highlight w:val="green"/>
              </w:rPr>
              <w:sym w:font="Wingdings" w:char="F0DA"/>
            </w:r>
            <w:r w:rsidRPr="007B541C">
              <w:rPr>
                <w:spacing w:val="-1"/>
                <w:highlight w:val="green"/>
              </w:rPr>
              <w:t>A1</w:t>
            </w:r>
          </w:p>
          <w:p w:rsidRPr="009F3C3E" w:rsidR="00060A12" w:rsidP="00AD2BC8" w:rsidRDefault="00060A12" w14:paraId="62AA7C45" w14:textId="423FCC7F">
            <w:pPr>
              <w:keepNext/>
              <w:keepLines/>
              <w:spacing w:before="47"/>
              <w:outlineLvl w:val="5"/>
              <w:rPr>
                <w:rFonts w:ascii="Arial" w:hAnsi="Arial" w:eastAsia="Times New Roman" w:cs="Arial"/>
                <w:b/>
                <w:bCs/>
                <w:sz w:val="24"/>
                <w:szCs w:val="24"/>
              </w:rPr>
            </w:pPr>
            <w:r w:rsidRPr="009F3C3E">
              <w:rPr>
                <w:rFonts w:ascii="Arial" w:hAnsi="Arial"/>
                <w:b/>
                <w:i/>
                <w:caps/>
                <w:color w:val="172B39" w:themeColor="accent1" w:themeShade="80"/>
                <w:sz w:val="24"/>
              </w:rPr>
              <w:t> </w:t>
            </w:r>
            <w:r w:rsidRPr="009F3C3E">
              <w:rPr>
                <w:rFonts w:asciiTheme="majorHAnsi" w:hAnsiTheme="majorHAnsi"/>
                <w:b/>
                <w:i/>
                <w:caps/>
              </w:rPr>
              <w:t>Általános banki adatok</w:t>
            </w:r>
            <w:r w:rsidRPr="009F3C3E">
              <w:rPr>
                <w:rFonts w:ascii="Arial" w:hAnsi="Arial"/>
                <w:i/>
                <w:caps/>
                <w:color w:val="172B39" w:themeColor="accent1" w:themeShade="80"/>
                <w:sz w:val="20"/>
              </w:rPr>
              <w:t> </w:t>
            </w:r>
            <w:r w:rsidRPr="009F3C3E">
              <w:rPr>
                <w:rFonts w:ascii="Arial" w:hAnsi="Arial"/>
                <w:sz w:val="20"/>
              </w:rPr>
              <w:t> </w:t>
            </w:r>
          </w:p>
        </w:tc>
      </w:tr>
      <w:tr w:rsidRPr="009F3C3E" w:rsidR="00060A12" w:rsidTr="00AD2BC8" w14:paraId="7D5765BB" w14:textId="77777777">
        <w:trPr>
          <w:trHeight w:val="300"/>
        </w:trPr>
        <w:tc>
          <w:tcPr>
            <w:tcW w:w="6804" w:type="dxa"/>
            <w:tcBorders>
              <w:top w:val="nil"/>
              <w:left w:val="nil"/>
              <w:bottom w:val="single" w:color="auto" w:sz="4" w:space="0"/>
              <w:right w:val="nil"/>
            </w:tcBorders>
            <w:noWrap/>
          </w:tcPr>
          <w:p w:rsidRPr="009F3C3E" w:rsidR="00060A12" w:rsidP="00AD2BC8" w:rsidRDefault="00060A12" w14:paraId="4136D302"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noWrap/>
          </w:tcPr>
          <w:p w:rsidRPr="009F3C3E" w:rsidR="00060A12" w:rsidP="00AD2BC8" w:rsidRDefault="00060A12" w14:paraId="6F49CD57" w14:textId="77777777">
            <w:pPr>
              <w:jc w:val="center"/>
              <w:rPr>
                <w:rFonts w:ascii="Arial" w:hAnsi="Arial" w:eastAsia="Times New Roman" w:cs="Arial"/>
                <w:b/>
                <w:bCs/>
                <w:sz w:val="20"/>
                <w:szCs w:val="20"/>
                <w:lang w:eastAsia="en-GB"/>
              </w:rPr>
            </w:pPr>
          </w:p>
        </w:tc>
      </w:tr>
      <w:tr w:rsidRPr="009F3C3E" w:rsidR="00060A12" w:rsidTr="00AD2BC8" w14:paraId="1A513CBC" w14:textId="77777777">
        <w:trPr>
          <w:trHeight w:val="300"/>
        </w:trPr>
        <w:tc>
          <w:tcPr>
            <w:tcW w:w="6804" w:type="dxa"/>
            <w:tcBorders>
              <w:top w:val="single" w:color="auto" w:sz="4" w:space="0"/>
              <w:left w:val="nil"/>
              <w:bottom w:val="single" w:color="auto" w:sz="4" w:space="0"/>
              <w:right w:val="nil"/>
            </w:tcBorders>
            <w:noWrap/>
            <w:hideMark/>
          </w:tcPr>
          <w:p w:rsidRPr="009F3C3E" w:rsidR="00060A12" w:rsidP="00AD2BC8" w:rsidRDefault="00060A12" w14:paraId="1CE6C320" w14:textId="77777777">
            <w:pPr>
              <w:rPr>
                <w:rFonts w:ascii="Arial" w:hAnsi="Arial" w:eastAsia="Times New Roman" w:cs="Arial"/>
                <w:b/>
                <w:bCs/>
                <w:sz w:val="20"/>
                <w:szCs w:val="20"/>
              </w:rPr>
            </w:pPr>
            <w:r w:rsidRPr="009F3C3E">
              <w:rPr>
                <w:rFonts w:ascii="Arial" w:hAnsi="Arial"/>
                <w:b/>
                <w:sz w:val="20"/>
              </w:rPr>
              <w:t>1. szakasz – Általános információk</w:t>
            </w:r>
          </w:p>
        </w:tc>
        <w:tc>
          <w:tcPr>
            <w:tcW w:w="2745" w:type="dxa"/>
            <w:tcBorders>
              <w:top w:val="single" w:color="auto" w:sz="4" w:space="0"/>
              <w:left w:val="nil"/>
              <w:right w:val="nil"/>
            </w:tcBorders>
            <w:noWrap/>
            <w:hideMark/>
          </w:tcPr>
          <w:p w:rsidRPr="009F3C3E" w:rsidR="00060A12" w:rsidP="00AD2BC8" w:rsidRDefault="00060A12" w14:paraId="5BD876C5" w14:textId="77777777">
            <w:pPr>
              <w:jc w:val="center"/>
              <w:rPr>
                <w:rFonts w:ascii="Arial" w:hAnsi="Arial" w:eastAsia="Times New Roman" w:cs="Arial"/>
                <w:b/>
                <w:bCs/>
                <w:sz w:val="20"/>
                <w:szCs w:val="20"/>
              </w:rPr>
            </w:pPr>
            <w:r w:rsidRPr="009F3C3E">
              <w:rPr>
                <w:rFonts w:ascii="Arial" w:hAnsi="Arial"/>
                <w:b/>
                <w:sz w:val="20"/>
              </w:rPr>
              <w:t>Válasz</w:t>
            </w:r>
          </w:p>
        </w:tc>
      </w:tr>
      <w:tr w:rsidRPr="009F3C3E" w:rsidR="00060A12" w:rsidTr="00AD2BC8" w14:paraId="7211D283" w14:textId="77777777">
        <w:trPr>
          <w:gridAfter w:val="1"/>
          <w:wAfter w:w="2745" w:type="dxa"/>
          <w:trHeight w:val="300"/>
        </w:trPr>
        <w:tc>
          <w:tcPr>
            <w:tcW w:w="6804" w:type="dxa"/>
            <w:tcBorders>
              <w:top w:val="single" w:color="auto" w:sz="4" w:space="0"/>
              <w:left w:val="nil"/>
              <w:bottom w:val="single" w:color="auto" w:sz="4" w:space="0"/>
              <w:right w:val="nil"/>
            </w:tcBorders>
            <w:noWrap/>
            <w:hideMark/>
          </w:tcPr>
          <w:p w:rsidRPr="009F3C3E" w:rsidR="00060A12" w:rsidP="00AD2BC8" w:rsidRDefault="00060A12" w14:paraId="3993B19E" w14:textId="77777777">
            <w:pPr>
              <w:ind w:firstLine="200" w:firstLineChars="100"/>
              <w:rPr>
                <w:rFonts w:ascii="Arial" w:hAnsi="Arial" w:eastAsia="Times New Roman" w:cs="Arial"/>
                <w:sz w:val="20"/>
                <w:szCs w:val="20"/>
              </w:rPr>
            </w:pPr>
            <w:r w:rsidRPr="009F3C3E">
              <w:rPr>
                <w:rFonts w:ascii="Arial" w:hAnsi="Arial"/>
                <w:sz w:val="20"/>
              </w:rPr>
              <w:t>a. Az érintett felügyeleti hatóság által szolgáltatott általános információk:</w:t>
            </w:r>
          </w:p>
        </w:tc>
      </w:tr>
      <w:tr w:rsidRPr="009F3C3E" w:rsidR="00060A12" w:rsidTr="00AD2BC8" w14:paraId="7CC4B3FF" w14:textId="77777777">
        <w:trPr>
          <w:trHeight w:val="300"/>
        </w:trPr>
        <w:tc>
          <w:tcPr>
            <w:tcW w:w="6804" w:type="dxa"/>
            <w:tcBorders>
              <w:left w:val="nil"/>
              <w:right w:val="nil"/>
            </w:tcBorders>
            <w:noWrap/>
            <w:hideMark/>
          </w:tcPr>
          <w:p w:rsidRPr="009F3C3E" w:rsidR="00060A12" w:rsidP="00AD2BC8" w:rsidRDefault="00060A12" w14:paraId="30C5DCCF" w14:textId="77777777">
            <w:pPr>
              <w:ind w:firstLine="400" w:firstLineChars="200"/>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Országkód</w:t>
            </w:r>
          </w:p>
        </w:tc>
        <w:tc>
          <w:tcPr>
            <w:tcW w:w="2745" w:type="dxa"/>
            <w:tcBorders>
              <w:left w:val="nil"/>
              <w:bottom w:val="single" w:color="auto" w:sz="4" w:space="0"/>
              <w:right w:val="nil"/>
            </w:tcBorders>
            <w:noWrap/>
            <w:hideMark/>
          </w:tcPr>
          <w:p w:rsidRPr="009F3C3E" w:rsidR="00060A12" w:rsidP="00AD2BC8" w:rsidRDefault="00060A12" w14:paraId="31B4B65C" w14:textId="77777777">
            <w:pPr>
              <w:jc w:val="center"/>
              <w:rPr>
                <w:rFonts w:ascii="Arial" w:hAnsi="Arial" w:eastAsia="Times New Roman" w:cs="Arial"/>
                <w:sz w:val="20"/>
                <w:szCs w:val="20"/>
              </w:rPr>
            </w:pPr>
            <w:r w:rsidRPr="009F3C3E">
              <w:rPr>
                <w:rFonts w:ascii="Arial" w:hAnsi="Arial"/>
                <w:sz w:val="20"/>
              </w:rPr>
              <w:t> </w:t>
            </w:r>
          </w:p>
        </w:tc>
      </w:tr>
      <w:tr w:rsidRPr="009F3C3E" w:rsidR="00060A12" w:rsidTr="00AD2BC8" w14:paraId="2379C5E4" w14:textId="77777777">
        <w:trPr>
          <w:trHeight w:val="300"/>
        </w:trPr>
        <w:tc>
          <w:tcPr>
            <w:tcW w:w="6804" w:type="dxa"/>
            <w:tcBorders>
              <w:left w:val="nil"/>
              <w:right w:val="nil"/>
            </w:tcBorders>
            <w:noWrap/>
            <w:hideMark/>
          </w:tcPr>
          <w:p w:rsidRPr="009F3C3E" w:rsidR="00060A12" w:rsidP="00AD2BC8" w:rsidRDefault="00060A12" w14:paraId="213A2FE8" w14:textId="77777777">
            <w:pPr>
              <w:ind w:firstLine="400" w:firstLineChars="200"/>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A bank neve</w:t>
            </w:r>
          </w:p>
        </w:tc>
        <w:tc>
          <w:tcPr>
            <w:tcW w:w="2745" w:type="dxa"/>
            <w:tcBorders>
              <w:left w:val="nil"/>
              <w:bottom w:val="single" w:color="auto" w:sz="4" w:space="0"/>
              <w:right w:val="nil"/>
            </w:tcBorders>
            <w:hideMark/>
          </w:tcPr>
          <w:p w:rsidRPr="009F3C3E" w:rsidR="00060A12" w:rsidP="00AD2BC8" w:rsidRDefault="00060A12" w14:paraId="504C8AE8" w14:textId="77777777">
            <w:pPr>
              <w:jc w:val="center"/>
              <w:rPr>
                <w:rFonts w:ascii="Arial" w:hAnsi="Arial" w:eastAsia="Times New Roman" w:cs="Arial"/>
                <w:sz w:val="20"/>
                <w:szCs w:val="20"/>
              </w:rPr>
            </w:pPr>
            <w:r w:rsidRPr="009F3C3E">
              <w:rPr>
                <w:rFonts w:ascii="Arial" w:hAnsi="Arial"/>
                <w:sz w:val="20"/>
              </w:rPr>
              <w:t> </w:t>
            </w:r>
          </w:p>
        </w:tc>
      </w:tr>
      <w:tr w:rsidRPr="009F3C3E" w:rsidR="00060A12" w:rsidTr="00AD2BC8" w14:paraId="712753D1" w14:textId="77777777">
        <w:trPr>
          <w:trHeight w:val="300"/>
        </w:trPr>
        <w:tc>
          <w:tcPr>
            <w:tcW w:w="6804" w:type="dxa"/>
            <w:tcBorders>
              <w:left w:val="nil"/>
              <w:right w:val="nil"/>
            </w:tcBorders>
            <w:noWrap/>
            <w:hideMark/>
          </w:tcPr>
          <w:p w:rsidRPr="009F3C3E" w:rsidR="00060A12" w:rsidP="00AD2BC8" w:rsidRDefault="00060A12" w14:paraId="11A98CFB" w14:textId="77777777">
            <w:pPr>
              <w:ind w:firstLine="400" w:firstLineChars="200"/>
              <w:rPr>
                <w:rFonts w:ascii="Arial" w:hAnsi="Arial" w:eastAsia="Times New Roman" w:cs="Arial"/>
                <w:sz w:val="20"/>
                <w:szCs w:val="20"/>
              </w:rPr>
            </w:pPr>
            <w:r w:rsidRPr="009F3C3E">
              <w:rPr>
                <w:rFonts w:ascii="Arial" w:hAnsi="Arial"/>
                <w:sz w:val="20"/>
                <w:lang w:eastAsia="en-GB"/>
              </w:rPr>
              <w:t xml:space="preserve">(3) </w:t>
            </w:r>
            <w:r w:rsidRPr="009F3C3E">
              <w:rPr>
                <w:rFonts w:ascii="Arial" w:hAnsi="Arial"/>
                <w:sz w:val="20"/>
              </w:rPr>
              <w:t>Az adatszolgáltatás időpontja (éééé-hh-nn)</w:t>
            </w:r>
          </w:p>
        </w:tc>
        <w:tc>
          <w:tcPr>
            <w:tcW w:w="2745" w:type="dxa"/>
            <w:tcBorders>
              <w:left w:val="nil"/>
              <w:bottom w:val="single" w:color="auto" w:sz="4" w:space="0"/>
              <w:right w:val="nil"/>
            </w:tcBorders>
            <w:noWrap/>
            <w:hideMark/>
          </w:tcPr>
          <w:p w:rsidRPr="009F3C3E" w:rsidR="00060A12" w:rsidP="00AD2BC8" w:rsidRDefault="00060A12" w14:paraId="309221CC" w14:textId="77777777">
            <w:pPr>
              <w:jc w:val="center"/>
              <w:rPr>
                <w:rFonts w:ascii="Arial" w:hAnsi="Arial" w:eastAsia="Times New Roman" w:cs="Arial"/>
                <w:sz w:val="20"/>
                <w:szCs w:val="20"/>
                <w:lang w:eastAsia="en-GB"/>
              </w:rPr>
            </w:pPr>
          </w:p>
        </w:tc>
      </w:tr>
      <w:tr w:rsidRPr="009F3C3E" w:rsidR="00060A12" w:rsidTr="00AD2BC8" w14:paraId="1828C72B" w14:textId="77777777">
        <w:trPr>
          <w:trHeight w:val="300"/>
        </w:trPr>
        <w:tc>
          <w:tcPr>
            <w:tcW w:w="6804" w:type="dxa"/>
            <w:tcBorders>
              <w:left w:val="nil"/>
              <w:right w:val="nil"/>
            </w:tcBorders>
            <w:noWrap/>
            <w:hideMark/>
          </w:tcPr>
          <w:p w:rsidRPr="009F3C3E" w:rsidR="00060A12" w:rsidP="00AD2BC8" w:rsidRDefault="00060A12" w14:paraId="0CC7686C" w14:textId="77777777">
            <w:pPr>
              <w:ind w:firstLine="400" w:firstLineChars="200"/>
              <w:rPr>
                <w:rFonts w:ascii="Arial" w:hAnsi="Arial" w:eastAsia="Times New Roman" w:cs="Arial"/>
                <w:sz w:val="20"/>
                <w:szCs w:val="20"/>
              </w:rPr>
            </w:pPr>
            <w:r w:rsidRPr="009F3C3E">
              <w:rPr>
                <w:rFonts w:ascii="Arial" w:hAnsi="Arial"/>
                <w:sz w:val="20"/>
                <w:lang w:eastAsia="en-GB"/>
              </w:rPr>
              <w:t xml:space="preserve">(4) </w:t>
            </w:r>
            <w:r w:rsidRPr="009F3C3E">
              <w:rPr>
                <w:rFonts w:ascii="Arial" w:hAnsi="Arial"/>
                <w:sz w:val="20"/>
              </w:rPr>
              <w:t>Az adatszolgáltatáshoz használt pénznem</w:t>
            </w:r>
          </w:p>
        </w:tc>
        <w:tc>
          <w:tcPr>
            <w:tcW w:w="2745" w:type="dxa"/>
            <w:tcBorders>
              <w:left w:val="nil"/>
              <w:bottom w:val="single" w:color="auto" w:sz="4" w:space="0"/>
              <w:right w:val="nil"/>
            </w:tcBorders>
            <w:noWrap/>
            <w:hideMark/>
          </w:tcPr>
          <w:p w:rsidRPr="009F3C3E" w:rsidR="00060A12" w:rsidP="00AD2BC8" w:rsidRDefault="00060A12" w14:paraId="58FDB580" w14:textId="77777777">
            <w:pPr>
              <w:jc w:val="center"/>
              <w:rPr>
                <w:rFonts w:ascii="Arial" w:hAnsi="Arial" w:eastAsia="Times New Roman" w:cs="Arial"/>
                <w:sz w:val="20"/>
                <w:szCs w:val="20"/>
                <w:lang w:eastAsia="en-GB"/>
              </w:rPr>
            </w:pPr>
          </w:p>
        </w:tc>
      </w:tr>
      <w:tr w:rsidRPr="009F3C3E" w:rsidR="00060A12" w:rsidTr="00AD2BC8" w14:paraId="53550C6B" w14:textId="77777777">
        <w:trPr>
          <w:trHeight w:val="300"/>
        </w:trPr>
        <w:tc>
          <w:tcPr>
            <w:tcW w:w="6804" w:type="dxa"/>
            <w:tcBorders>
              <w:left w:val="nil"/>
              <w:right w:val="nil"/>
            </w:tcBorders>
            <w:noWrap/>
            <w:hideMark/>
          </w:tcPr>
          <w:p w:rsidRPr="009F3C3E" w:rsidR="00060A12" w:rsidP="00AD2BC8" w:rsidRDefault="00060A12" w14:paraId="6F6D8406" w14:textId="77777777">
            <w:pPr>
              <w:ind w:firstLine="400" w:firstLineChars="200"/>
              <w:rPr>
                <w:rFonts w:ascii="Arial" w:hAnsi="Arial" w:eastAsia="Times New Roman" w:cs="Arial"/>
                <w:sz w:val="20"/>
                <w:szCs w:val="20"/>
              </w:rPr>
            </w:pPr>
            <w:r w:rsidRPr="009F3C3E">
              <w:rPr>
                <w:rFonts w:ascii="Arial" w:hAnsi="Arial"/>
                <w:sz w:val="20"/>
                <w:lang w:eastAsia="en-GB"/>
              </w:rPr>
              <w:t xml:space="preserve">(5) </w:t>
            </w:r>
            <w:r w:rsidRPr="009F3C3E">
              <w:rPr>
                <w:rFonts w:ascii="Arial" w:hAnsi="Arial"/>
                <w:sz w:val="20"/>
              </w:rPr>
              <w:t>Euróátváltási árfolyam</w:t>
            </w:r>
          </w:p>
        </w:tc>
        <w:tc>
          <w:tcPr>
            <w:tcW w:w="2745" w:type="dxa"/>
            <w:tcBorders>
              <w:left w:val="nil"/>
              <w:bottom w:val="single" w:color="auto" w:sz="4" w:space="0"/>
              <w:right w:val="nil"/>
            </w:tcBorders>
            <w:noWrap/>
            <w:hideMark/>
          </w:tcPr>
          <w:p w:rsidRPr="009F3C3E" w:rsidR="00060A12" w:rsidP="00AD2BC8" w:rsidRDefault="00060A12" w14:paraId="576EDE5A" w14:textId="77777777">
            <w:pPr>
              <w:rPr>
                <w:rFonts w:ascii="Arial" w:hAnsi="Arial" w:eastAsia="Times New Roman" w:cs="Arial"/>
                <w:sz w:val="20"/>
                <w:szCs w:val="20"/>
              </w:rPr>
            </w:pPr>
            <w:r w:rsidRPr="009F3C3E">
              <w:rPr>
                <w:rFonts w:ascii="Arial" w:hAnsi="Arial"/>
                <w:sz w:val="20"/>
              </w:rPr>
              <w:t> </w:t>
            </w:r>
          </w:p>
        </w:tc>
      </w:tr>
      <w:tr w:rsidRPr="009F3C3E" w:rsidR="00060A12" w:rsidTr="00AD2BC8" w14:paraId="283E9D44" w14:textId="77777777">
        <w:trPr>
          <w:trHeight w:val="300"/>
        </w:trPr>
        <w:tc>
          <w:tcPr>
            <w:tcW w:w="6804" w:type="dxa"/>
            <w:tcBorders>
              <w:left w:val="nil"/>
              <w:right w:val="nil"/>
            </w:tcBorders>
            <w:noWrap/>
            <w:hideMark/>
          </w:tcPr>
          <w:p w:rsidRPr="009F3C3E" w:rsidR="00060A12" w:rsidP="00AD2BC8" w:rsidRDefault="00060A12" w14:paraId="00CA4A07" w14:textId="77777777">
            <w:pPr>
              <w:ind w:firstLine="400" w:firstLineChars="200"/>
              <w:rPr>
                <w:rFonts w:ascii="Arial" w:hAnsi="Arial" w:eastAsia="Times New Roman" w:cs="Arial"/>
                <w:sz w:val="20"/>
                <w:szCs w:val="20"/>
              </w:rPr>
            </w:pPr>
            <w:r w:rsidRPr="009F3C3E">
              <w:rPr>
                <w:rFonts w:ascii="Arial" w:hAnsi="Arial"/>
                <w:sz w:val="20"/>
                <w:lang w:eastAsia="en-GB"/>
              </w:rPr>
              <w:t xml:space="preserve">(6) </w:t>
            </w:r>
            <w:r w:rsidRPr="009F3C3E">
              <w:rPr>
                <w:rFonts w:ascii="Arial" w:hAnsi="Arial"/>
                <w:sz w:val="20"/>
              </w:rPr>
              <w:t>Benyújtás időpontja (éééé-hh-nn)</w:t>
            </w:r>
          </w:p>
        </w:tc>
        <w:tc>
          <w:tcPr>
            <w:tcW w:w="2745" w:type="dxa"/>
            <w:tcBorders>
              <w:left w:val="nil"/>
              <w:bottom w:val="single" w:color="auto" w:sz="4" w:space="0"/>
              <w:right w:val="nil"/>
            </w:tcBorders>
            <w:noWrap/>
            <w:hideMark/>
          </w:tcPr>
          <w:p w:rsidRPr="009F3C3E" w:rsidR="00060A12" w:rsidP="00AD2BC8" w:rsidRDefault="00060A12" w14:paraId="6B86AA42" w14:textId="77777777">
            <w:pPr>
              <w:jc w:val="center"/>
              <w:rPr>
                <w:rFonts w:ascii="Arial" w:hAnsi="Arial" w:eastAsia="Times New Roman" w:cs="Arial"/>
                <w:sz w:val="20"/>
                <w:szCs w:val="20"/>
              </w:rPr>
            </w:pPr>
            <w:r w:rsidRPr="009F3C3E">
              <w:rPr>
                <w:rFonts w:ascii="Arial" w:hAnsi="Arial"/>
                <w:sz w:val="20"/>
              </w:rPr>
              <w:t> </w:t>
            </w:r>
          </w:p>
        </w:tc>
      </w:tr>
      <w:tr w:rsidRPr="009F3C3E" w:rsidR="00060A12" w:rsidTr="00AD2BC8" w14:paraId="7F06D587" w14:textId="77777777">
        <w:trPr>
          <w:trHeight w:val="300"/>
        </w:trPr>
        <w:tc>
          <w:tcPr>
            <w:tcW w:w="6804" w:type="dxa"/>
            <w:tcBorders>
              <w:left w:val="nil"/>
              <w:right w:val="nil"/>
            </w:tcBorders>
            <w:noWrap/>
            <w:hideMark/>
          </w:tcPr>
          <w:p w:rsidRPr="009F3C3E" w:rsidR="00060A12" w:rsidP="00AD2BC8" w:rsidRDefault="00060A12" w14:paraId="0523FF51" w14:textId="77777777">
            <w:pPr>
              <w:ind w:firstLine="200" w:firstLineChars="100"/>
              <w:rPr>
                <w:rFonts w:ascii="Arial" w:hAnsi="Arial" w:eastAsia="Times New Roman" w:cs="Arial"/>
                <w:sz w:val="20"/>
                <w:szCs w:val="20"/>
              </w:rPr>
            </w:pPr>
            <w:r w:rsidRPr="009F3C3E">
              <w:rPr>
                <w:rFonts w:ascii="Arial" w:hAnsi="Arial"/>
                <w:sz w:val="20"/>
              </w:rPr>
              <w:t>b. Az adatszolgáltató intézmény által szolgáltatott általános információk:</w:t>
            </w:r>
          </w:p>
        </w:tc>
        <w:tc>
          <w:tcPr>
            <w:tcW w:w="2745" w:type="dxa"/>
            <w:tcBorders>
              <w:left w:val="nil"/>
              <w:bottom w:val="single" w:color="auto" w:sz="4" w:space="0"/>
              <w:right w:val="nil"/>
            </w:tcBorders>
            <w:noWrap/>
            <w:hideMark/>
          </w:tcPr>
          <w:p w:rsidRPr="009F3C3E" w:rsidR="00060A12" w:rsidP="00AD2BC8" w:rsidRDefault="00060A12" w14:paraId="51067016" w14:textId="77777777">
            <w:pPr>
              <w:ind w:firstLine="200" w:firstLineChars="100"/>
              <w:rPr>
                <w:rFonts w:ascii="Arial" w:hAnsi="Arial" w:eastAsia="Times New Roman" w:cs="Arial"/>
                <w:sz w:val="20"/>
                <w:szCs w:val="20"/>
              </w:rPr>
            </w:pPr>
            <w:r w:rsidRPr="009F3C3E">
              <w:rPr>
                <w:rFonts w:ascii="Arial" w:hAnsi="Arial"/>
                <w:sz w:val="20"/>
              </w:rPr>
              <w:t> </w:t>
            </w:r>
          </w:p>
        </w:tc>
      </w:tr>
      <w:tr w:rsidRPr="009F3C3E" w:rsidR="00060A12" w:rsidTr="00AD2BC8" w14:paraId="55C14FB1" w14:textId="77777777">
        <w:trPr>
          <w:trHeight w:val="300"/>
        </w:trPr>
        <w:tc>
          <w:tcPr>
            <w:tcW w:w="6804" w:type="dxa"/>
            <w:tcBorders>
              <w:left w:val="nil"/>
              <w:right w:val="nil"/>
            </w:tcBorders>
            <w:noWrap/>
            <w:hideMark/>
          </w:tcPr>
          <w:p w:rsidRPr="009F3C3E" w:rsidR="00060A12" w:rsidP="00AD2BC8" w:rsidRDefault="00060A12" w14:paraId="443A9E91" w14:textId="77777777">
            <w:pPr>
              <w:ind w:firstLine="400" w:firstLineChars="200"/>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Adatszolgáltatási egység</w:t>
            </w:r>
          </w:p>
        </w:tc>
        <w:tc>
          <w:tcPr>
            <w:tcW w:w="2745" w:type="dxa"/>
            <w:tcBorders>
              <w:left w:val="nil"/>
              <w:bottom w:val="single" w:color="auto" w:sz="4" w:space="0"/>
              <w:right w:val="nil"/>
            </w:tcBorders>
            <w:noWrap/>
            <w:hideMark/>
          </w:tcPr>
          <w:p w:rsidRPr="009F3C3E" w:rsidR="00060A12" w:rsidP="00AD2BC8" w:rsidRDefault="00060A12" w14:paraId="17E20AB4" w14:textId="77777777">
            <w:pPr>
              <w:jc w:val="center"/>
              <w:rPr>
                <w:rFonts w:ascii="Arial" w:hAnsi="Arial" w:eastAsia="Times New Roman" w:cs="Arial"/>
                <w:sz w:val="20"/>
                <w:szCs w:val="20"/>
              </w:rPr>
            </w:pPr>
            <w:r w:rsidRPr="009F3C3E">
              <w:rPr>
                <w:rFonts w:ascii="Arial" w:hAnsi="Arial"/>
                <w:sz w:val="20"/>
              </w:rPr>
              <w:t> </w:t>
            </w:r>
          </w:p>
        </w:tc>
      </w:tr>
      <w:tr w:rsidRPr="009F3C3E" w:rsidR="00060A12" w:rsidTr="00AD2BC8" w14:paraId="15D2A82B" w14:textId="77777777">
        <w:trPr>
          <w:trHeight w:val="300"/>
        </w:trPr>
        <w:tc>
          <w:tcPr>
            <w:tcW w:w="6804" w:type="dxa"/>
            <w:tcBorders>
              <w:left w:val="nil"/>
              <w:right w:val="nil"/>
            </w:tcBorders>
            <w:noWrap/>
            <w:hideMark/>
          </w:tcPr>
          <w:p w:rsidRPr="009F3C3E" w:rsidR="00060A12" w:rsidP="00AD2BC8" w:rsidRDefault="00060A12" w14:paraId="741B0AE5" w14:textId="77777777">
            <w:pPr>
              <w:ind w:firstLine="400" w:firstLineChars="200"/>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Számviteli standard</w:t>
            </w:r>
          </w:p>
        </w:tc>
        <w:tc>
          <w:tcPr>
            <w:tcW w:w="2745" w:type="dxa"/>
            <w:tcBorders>
              <w:left w:val="nil"/>
              <w:bottom w:val="single" w:color="auto" w:sz="4" w:space="0"/>
              <w:right w:val="nil"/>
            </w:tcBorders>
            <w:hideMark/>
          </w:tcPr>
          <w:p w:rsidRPr="009F3C3E" w:rsidR="00060A12" w:rsidP="00AD2BC8" w:rsidRDefault="00060A12" w14:paraId="4C7DEBFA" w14:textId="77777777">
            <w:pPr>
              <w:jc w:val="center"/>
              <w:rPr>
                <w:rFonts w:ascii="Arial" w:hAnsi="Arial" w:eastAsia="Times New Roman" w:cs="Arial"/>
                <w:sz w:val="20"/>
                <w:szCs w:val="20"/>
              </w:rPr>
            </w:pPr>
            <w:r w:rsidRPr="009F3C3E">
              <w:rPr>
                <w:rFonts w:ascii="Arial" w:hAnsi="Arial"/>
                <w:sz w:val="20"/>
              </w:rPr>
              <w:t> </w:t>
            </w:r>
          </w:p>
        </w:tc>
      </w:tr>
      <w:tr w:rsidRPr="009F3C3E" w:rsidR="00060A12" w:rsidTr="00AD2BC8" w14:paraId="47025DA0" w14:textId="77777777">
        <w:trPr>
          <w:trHeight w:val="300"/>
        </w:trPr>
        <w:tc>
          <w:tcPr>
            <w:tcW w:w="6804" w:type="dxa"/>
            <w:tcBorders>
              <w:left w:val="nil"/>
              <w:right w:val="nil"/>
            </w:tcBorders>
            <w:noWrap/>
            <w:hideMark/>
          </w:tcPr>
          <w:p w:rsidRPr="009F3C3E" w:rsidR="00060A12" w:rsidP="00AD2BC8" w:rsidRDefault="00060A12" w14:paraId="4D8A4500" w14:textId="77777777">
            <w:pPr>
              <w:ind w:firstLine="400" w:firstLineChars="200"/>
              <w:rPr>
                <w:rFonts w:ascii="Arial" w:hAnsi="Arial" w:eastAsia="Times New Roman" w:cs="Arial"/>
                <w:sz w:val="20"/>
                <w:szCs w:val="20"/>
              </w:rPr>
            </w:pPr>
            <w:r w:rsidRPr="009F3C3E">
              <w:rPr>
                <w:rFonts w:ascii="Arial" w:hAnsi="Arial"/>
                <w:sz w:val="20"/>
                <w:lang w:eastAsia="en-GB"/>
              </w:rPr>
              <w:t xml:space="preserve">(3) </w:t>
            </w:r>
            <w:r w:rsidRPr="009F3C3E">
              <w:rPr>
                <w:rFonts w:ascii="Arial" w:hAnsi="Arial"/>
                <w:sz w:val="20"/>
              </w:rPr>
              <w:t>Nyilvánosságra hozatal időpontja (éééé-hh-nn)</w:t>
            </w:r>
          </w:p>
        </w:tc>
        <w:tc>
          <w:tcPr>
            <w:tcW w:w="2745" w:type="dxa"/>
            <w:tcBorders>
              <w:left w:val="nil"/>
              <w:bottom w:val="single" w:color="auto" w:sz="4" w:space="0"/>
              <w:right w:val="nil"/>
            </w:tcBorders>
            <w:noWrap/>
            <w:hideMark/>
          </w:tcPr>
          <w:p w:rsidRPr="009F3C3E" w:rsidR="00060A12" w:rsidP="00AD2BC8" w:rsidRDefault="00060A12" w14:paraId="4C85E080" w14:textId="77777777">
            <w:pPr>
              <w:jc w:val="center"/>
              <w:rPr>
                <w:rFonts w:ascii="Arial" w:hAnsi="Arial" w:eastAsia="Times New Roman" w:cs="Arial"/>
                <w:sz w:val="20"/>
                <w:szCs w:val="20"/>
              </w:rPr>
            </w:pPr>
            <w:r w:rsidRPr="009F3C3E">
              <w:rPr>
                <w:rFonts w:ascii="Arial" w:hAnsi="Arial"/>
                <w:sz w:val="20"/>
              </w:rPr>
              <w:t> </w:t>
            </w:r>
          </w:p>
        </w:tc>
      </w:tr>
      <w:tr w:rsidRPr="009F3C3E" w:rsidR="00060A12" w:rsidTr="00AD2BC8" w14:paraId="56D1704D" w14:textId="77777777">
        <w:trPr>
          <w:trHeight w:val="300"/>
        </w:trPr>
        <w:tc>
          <w:tcPr>
            <w:tcW w:w="6804" w:type="dxa"/>
            <w:tcBorders>
              <w:left w:val="nil"/>
              <w:right w:val="nil"/>
            </w:tcBorders>
            <w:noWrap/>
            <w:hideMark/>
          </w:tcPr>
          <w:p w:rsidRPr="009F3C3E" w:rsidR="00060A12" w:rsidP="00AD2BC8" w:rsidRDefault="00060A12" w14:paraId="40CE95C5" w14:textId="77777777">
            <w:pPr>
              <w:ind w:firstLine="400" w:firstLineChars="200"/>
              <w:rPr>
                <w:rFonts w:ascii="Arial" w:hAnsi="Arial" w:eastAsia="Times New Roman" w:cs="Arial"/>
                <w:sz w:val="20"/>
                <w:szCs w:val="20"/>
              </w:rPr>
            </w:pPr>
            <w:r w:rsidRPr="009F3C3E">
              <w:rPr>
                <w:rFonts w:ascii="Arial" w:hAnsi="Arial"/>
                <w:sz w:val="20"/>
                <w:lang w:eastAsia="en-GB"/>
              </w:rPr>
              <w:t xml:space="preserve">(4) </w:t>
            </w:r>
            <w:r w:rsidRPr="009F3C3E">
              <w:rPr>
                <w:rFonts w:ascii="Arial" w:hAnsi="Arial"/>
                <w:sz w:val="20"/>
              </w:rPr>
              <w:t>Nyilvánosságra hozatal nyelve</w:t>
            </w:r>
          </w:p>
        </w:tc>
        <w:tc>
          <w:tcPr>
            <w:tcW w:w="2745" w:type="dxa"/>
            <w:tcBorders>
              <w:left w:val="nil"/>
              <w:bottom w:val="single" w:color="auto" w:sz="4" w:space="0"/>
              <w:right w:val="nil"/>
            </w:tcBorders>
            <w:hideMark/>
          </w:tcPr>
          <w:p w:rsidRPr="009F3C3E" w:rsidR="00060A12" w:rsidP="00AD2BC8" w:rsidRDefault="00060A12" w14:paraId="50548DD1" w14:textId="77777777">
            <w:pPr>
              <w:jc w:val="center"/>
              <w:rPr>
                <w:rFonts w:ascii="Arial" w:hAnsi="Arial" w:eastAsia="Times New Roman" w:cs="Arial"/>
                <w:sz w:val="20"/>
                <w:szCs w:val="20"/>
              </w:rPr>
            </w:pPr>
            <w:r w:rsidRPr="009F3C3E">
              <w:rPr>
                <w:rFonts w:ascii="Arial" w:hAnsi="Arial"/>
                <w:sz w:val="20"/>
              </w:rPr>
              <w:t> </w:t>
            </w:r>
          </w:p>
        </w:tc>
      </w:tr>
      <w:tr w:rsidRPr="009F3C3E" w:rsidR="00060A12" w:rsidTr="00AD2BC8" w14:paraId="587192A7" w14:textId="77777777">
        <w:trPr>
          <w:trHeight w:val="300"/>
        </w:trPr>
        <w:tc>
          <w:tcPr>
            <w:tcW w:w="6804" w:type="dxa"/>
            <w:tcBorders>
              <w:left w:val="nil"/>
              <w:bottom w:val="single" w:color="auto" w:sz="4" w:space="0"/>
              <w:right w:val="nil"/>
            </w:tcBorders>
            <w:noWrap/>
            <w:hideMark/>
          </w:tcPr>
          <w:p w:rsidRPr="009F3C3E" w:rsidR="00060A12" w:rsidP="00AD2BC8" w:rsidRDefault="00060A12" w14:paraId="3BCE30F6" w14:textId="77777777">
            <w:pPr>
              <w:ind w:firstLine="400" w:firstLineChars="200"/>
              <w:rPr>
                <w:rFonts w:ascii="Arial" w:hAnsi="Arial" w:eastAsia="Times New Roman" w:cs="Arial"/>
                <w:sz w:val="20"/>
                <w:szCs w:val="20"/>
              </w:rPr>
            </w:pPr>
            <w:r w:rsidRPr="009F3C3E">
              <w:rPr>
                <w:rFonts w:ascii="Arial" w:hAnsi="Arial"/>
                <w:sz w:val="20"/>
                <w:lang w:eastAsia="en-GB"/>
              </w:rPr>
              <w:t xml:space="preserve">(5) </w:t>
            </w:r>
            <w:r w:rsidRPr="009F3C3E">
              <w:rPr>
                <w:rFonts w:ascii="Arial" w:hAnsi="Arial"/>
                <w:sz w:val="20"/>
              </w:rPr>
              <w:t>Nyilvánosságra hozatal internetes címe</w:t>
            </w:r>
          </w:p>
        </w:tc>
        <w:tc>
          <w:tcPr>
            <w:tcW w:w="2745" w:type="dxa"/>
            <w:tcBorders>
              <w:left w:val="nil"/>
              <w:bottom w:val="single" w:color="auto" w:sz="4" w:space="0"/>
              <w:right w:val="nil"/>
            </w:tcBorders>
            <w:noWrap/>
            <w:hideMark/>
          </w:tcPr>
          <w:p w:rsidRPr="009F3C3E" w:rsidR="00060A12" w:rsidP="00AD2BC8" w:rsidRDefault="00060A12" w14:paraId="703911ED" w14:textId="77777777">
            <w:pPr>
              <w:jc w:val="center"/>
              <w:rPr>
                <w:rFonts w:ascii="Arial" w:hAnsi="Arial" w:eastAsia="Times New Roman" w:cs="Arial"/>
                <w:color w:val="0000FF"/>
                <w:sz w:val="20"/>
                <w:szCs w:val="20"/>
                <w:u w:val="single"/>
                <w:lang w:eastAsia="en-GB"/>
              </w:rPr>
            </w:pPr>
          </w:p>
        </w:tc>
      </w:tr>
      <w:tr w:rsidRPr="009F3C3E" w:rsidR="00060A12" w:rsidTr="00AD2BC8" w14:paraId="39018AF4" w14:textId="77777777">
        <w:trPr>
          <w:trHeight w:val="300"/>
        </w:trPr>
        <w:tc>
          <w:tcPr>
            <w:tcW w:w="6804" w:type="dxa"/>
            <w:tcBorders>
              <w:left w:val="nil"/>
              <w:bottom w:val="single" w:color="auto" w:sz="4" w:space="0"/>
              <w:right w:val="nil"/>
            </w:tcBorders>
            <w:noWrap/>
            <w:hideMark/>
          </w:tcPr>
          <w:p w:rsidRPr="009F3C3E" w:rsidR="00060A12" w:rsidP="00AD2BC8" w:rsidRDefault="00060A12" w14:paraId="1813FDB1" w14:textId="77777777">
            <w:pPr>
              <w:ind w:firstLine="400" w:firstLineChars="200"/>
              <w:rPr>
                <w:rFonts w:ascii="Arial" w:hAnsi="Arial" w:eastAsia="Times New Roman" w:cs="Arial"/>
                <w:sz w:val="20"/>
                <w:szCs w:val="20"/>
              </w:rPr>
            </w:pPr>
            <w:r w:rsidRPr="009F3C3E">
              <w:rPr>
                <w:rFonts w:ascii="Arial" w:hAnsi="Arial"/>
                <w:sz w:val="20"/>
                <w:lang w:eastAsia="en-GB"/>
              </w:rPr>
              <w:t xml:space="preserve">(6) </w:t>
            </w:r>
            <w:r w:rsidRPr="009F3C3E">
              <w:rPr>
                <w:rFonts w:ascii="Arial" w:hAnsi="Arial"/>
                <w:sz w:val="20"/>
              </w:rPr>
              <w:t>Jogalany-azonosító</w:t>
            </w:r>
          </w:p>
        </w:tc>
        <w:tc>
          <w:tcPr>
            <w:tcW w:w="2745" w:type="dxa"/>
            <w:tcBorders>
              <w:left w:val="nil"/>
              <w:bottom w:val="single" w:color="auto" w:sz="4" w:space="0"/>
              <w:right w:val="nil"/>
            </w:tcBorders>
            <w:hideMark/>
          </w:tcPr>
          <w:p w:rsidRPr="009F3C3E" w:rsidR="00060A12" w:rsidP="00AD2BC8" w:rsidRDefault="00060A12" w14:paraId="51F82DCA" w14:textId="77777777">
            <w:pPr>
              <w:jc w:val="center"/>
              <w:rPr>
                <w:rFonts w:ascii="Arial" w:hAnsi="Arial" w:eastAsia="Times New Roman" w:cs="Arial"/>
                <w:sz w:val="20"/>
                <w:szCs w:val="20"/>
              </w:rPr>
            </w:pPr>
            <w:r w:rsidRPr="009F3C3E">
              <w:rPr>
                <w:rFonts w:ascii="Arial" w:hAnsi="Arial"/>
                <w:sz w:val="20"/>
              </w:rPr>
              <w:t> </w:t>
            </w:r>
          </w:p>
        </w:tc>
      </w:tr>
      <w:tr w:rsidRPr="009F3C3E" w:rsidR="00060A12" w:rsidTr="00AD2BC8" w14:paraId="14A26F68" w14:textId="77777777">
        <w:trPr>
          <w:trHeight w:val="300"/>
        </w:trPr>
        <w:tc>
          <w:tcPr>
            <w:tcW w:w="6804" w:type="dxa"/>
            <w:tcBorders>
              <w:left w:val="nil"/>
              <w:bottom w:val="nil"/>
              <w:right w:val="nil"/>
            </w:tcBorders>
            <w:noWrap/>
          </w:tcPr>
          <w:p w:rsidRPr="009F3C3E" w:rsidR="00060A12" w:rsidP="00AD2BC8" w:rsidRDefault="00060A12" w14:paraId="0B3C940D" w14:textId="77777777">
            <w:pPr>
              <w:ind w:firstLine="400" w:firstLineChars="200"/>
              <w:rPr>
                <w:rFonts w:ascii="Arial" w:hAnsi="Arial" w:eastAsia="Times New Roman" w:cs="Arial"/>
                <w:sz w:val="20"/>
                <w:szCs w:val="20"/>
                <w:lang w:eastAsia="en-GB"/>
              </w:rPr>
            </w:pPr>
          </w:p>
        </w:tc>
        <w:tc>
          <w:tcPr>
            <w:tcW w:w="2745" w:type="dxa"/>
            <w:tcBorders>
              <w:left w:val="nil"/>
              <w:bottom w:val="nil"/>
              <w:right w:val="nil"/>
            </w:tcBorders>
          </w:tcPr>
          <w:p w:rsidRPr="009F3C3E" w:rsidR="00060A12" w:rsidP="00AD2BC8" w:rsidRDefault="00060A12" w14:paraId="2E086F4C" w14:textId="77777777">
            <w:pPr>
              <w:jc w:val="center"/>
              <w:rPr>
                <w:rFonts w:ascii="Arial" w:hAnsi="Arial" w:eastAsia="Times New Roman" w:cs="Arial"/>
                <w:sz w:val="20"/>
                <w:szCs w:val="20"/>
                <w:lang w:eastAsia="en-GB"/>
              </w:rPr>
            </w:pPr>
          </w:p>
        </w:tc>
      </w:tr>
      <w:tr w:rsidRPr="009F3C3E" w:rsidR="00060A12" w:rsidTr="00AD2BC8" w14:paraId="0286BC6E" w14:textId="77777777">
        <w:trPr>
          <w:trHeight w:val="300"/>
        </w:trPr>
        <w:tc>
          <w:tcPr>
            <w:tcW w:w="6804" w:type="dxa"/>
            <w:tcBorders>
              <w:top w:val="nil"/>
              <w:left w:val="nil"/>
              <w:bottom w:val="nil"/>
              <w:right w:val="nil"/>
            </w:tcBorders>
            <w:noWrap/>
          </w:tcPr>
          <w:p w:rsidRPr="009F3C3E" w:rsidR="00060A12" w:rsidP="00AD2BC8" w:rsidRDefault="00060A12" w14:paraId="3698B67C" w14:textId="77777777">
            <w:pPr>
              <w:keepNext/>
              <w:keepLines/>
              <w:spacing w:before="47"/>
              <w:outlineLvl w:val="5"/>
              <w:rPr>
                <w:rFonts w:ascii="Arial" w:hAnsi="Arial" w:eastAsia="Times New Roman" w:cs="Arial"/>
                <w:i/>
                <w:iCs/>
                <w:caps/>
                <w:color w:val="172B39" w:themeColor="accent1" w:themeShade="80"/>
                <w:sz w:val="20"/>
                <w:szCs w:val="20"/>
              </w:rPr>
            </w:pPr>
            <w:r w:rsidRPr="009F3C3E">
              <w:rPr>
                <w:rFonts w:asciiTheme="majorHAnsi" w:hAnsiTheme="majorHAnsi"/>
                <w:b/>
                <w:i/>
                <w:caps/>
              </w:rPr>
              <w:t>Méretre vonatkozó mutatók</w:t>
            </w:r>
          </w:p>
        </w:tc>
        <w:tc>
          <w:tcPr>
            <w:tcW w:w="2745" w:type="dxa"/>
            <w:tcBorders>
              <w:top w:val="nil"/>
              <w:left w:val="nil"/>
              <w:bottom w:val="nil"/>
              <w:right w:val="nil"/>
            </w:tcBorders>
          </w:tcPr>
          <w:p w:rsidRPr="009F3C3E" w:rsidR="00060A12" w:rsidP="00AD2BC8" w:rsidRDefault="00060A12" w14:paraId="1B9D7463" w14:textId="77777777">
            <w:pPr>
              <w:jc w:val="center"/>
              <w:rPr>
                <w:rFonts w:ascii="Arial" w:hAnsi="Arial" w:eastAsia="Times New Roman" w:cs="Arial"/>
                <w:sz w:val="20"/>
                <w:szCs w:val="20"/>
                <w:lang w:eastAsia="en-GB"/>
              </w:rPr>
            </w:pPr>
          </w:p>
        </w:tc>
      </w:tr>
      <w:tr w:rsidRPr="009F3C3E" w:rsidR="00060A12" w:rsidTr="00AD2BC8" w14:paraId="6E10A65A" w14:textId="77777777">
        <w:trPr>
          <w:trHeight w:val="300"/>
        </w:trPr>
        <w:tc>
          <w:tcPr>
            <w:tcW w:w="6804" w:type="dxa"/>
            <w:tcBorders>
              <w:top w:val="nil"/>
              <w:left w:val="nil"/>
              <w:bottom w:val="single" w:color="auto" w:sz="4" w:space="0"/>
              <w:right w:val="nil"/>
            </w:tcBorders>
            <w:noWrap/>
          </w:tcPr>
          <w:p w:rsidRPr="009F3C3E" w:rsidR="00060A12" w:rsidP="00AD2BC8" w:rsidRDefault="00060A12" w14:paraId="05F77FDC" w14:textId="77777777">
            <w:pPr>
              <w:ind w:firstLine="400" w:firstLineChars="200"/>
              <w:rPr>
                <w:rFonts w:ascii="Arial" w:hAnsi="Arial" w:eastAsia="Times New Roman" w:cs="Arial"/>
                <w:sz w:val="20"/>
                <w:szCs w:val="20"/>
                <w:lang w:eastAsia="en-GB"/>
              </w:rPr>
            </w:pPr>
          </w:p>
        </w:tc>
        <w:tc>
          <w:tcPr>
            <w:tcW w:w="2745" w:type="dxa"/>
            <w:tcBorders>
              <w:top w:val="nil"/>
              <w:left w:val="nil"/>
              <w:bottom w:val="single" w:color="auto" w:sz="4" w:space="0"/>
              <w:right w:val="nil"/>
            </w:tcBorders>
          </w:tcPr>
          <w:p w:rsidRPr="009F3C3E" w:rsidR="00060A12" w:rsidP="00AD2BC8" w:rsidRDefault="00060A12" w14:paraId="02F0E1BC" w14:textId="77777777">
            <w:pPr>
              <w:jc w:val="center"/>
              <w:rPr>
                <w:rFonts w:ascii="Arial" w:hAnsi="Arial" w:eastAsia="Times New Roman" w:cs="Arial"/>
                <w:sz w:val="20"/>
                <w:szCs w:val="20"/>
                <w:lang w:eastAsia="en-GB"/>
              </w:rPr>
            </w:pPr>
          </w:p>
        </w:tc>
      </w:tr>
      <w:tr w:rsidRPr="009F3C3E" w:rsidR="00060A12" w:rsidTr="00AD2BC8" w14:paraId="4F5E5FAD" w14:textId="77777777">
        <w:trPr>
          <w:trHeight w:val="300"/>
        </w:trPr>
        <w:tc>
          <w:tcPr>
            <w:tcW w:w="6804" w:type="dxa"/>
            <w:tcBorders>
              <w:left w:val="nil"/>
              <w:right w:val="nil"/>
            </w:tcBorders>
            <w:noWrap/>
          </w:tcPr>
          <w:p w:rsidRPr="009F3C3E" w:rsidR="00060A12" w:rsidP="00AD2BC8" w:rsidRDefault="00060A12" w14:paraId="0FCABD12" w14:textId="77777777">
            <w:pPr>
              <w:rPr>
                <w:rFonts w:ascii="Arial" w:hAnsi="Arial" w:eastAsia="Times New Roman" w:cs="Arial"/>
                <w:sz w:val="20"/>
                <w:szCs w:val="20"/>
              </w:rPr>
            </w:pPr>
            <w:r w:rsidRPr="009F3C3E">
              <w:rPr>
                <w:rFonts w:ascii="Arial" w:hAnsi="Arial"/>
                <w:b/>
                <w:sz w:val="20"/>
              </w:rPr>
              <w:t>2. szakasz – Teljes kitettség</w:t>
            </w:r>
          </w:p>
        </w:tc>
        <w:tc>
          <w:tcPr>
            <w:tcW w:w="2745" w:type="dxa"/>
            <w:tcBorders>
              <w:left w:val="nil"/>
              <w:right w:val="nil"/>
            </w:tcBorders>
            <w:noWrap/>
          </w:tcPr>
          <w:p w:rsidRPr="009F3C3E" w:rsidR="00060A12" w:rsidP="00AD2BC8" w:rsidRDefault="00060A12" w14:paraId="6FC40E1D" w14:textId="77777777">
            <w:pPr>
              <w:ind w:firstLine="201" w:firstLineChars="100"/>
              <w:jc w:val="center"/>
              <w:rPr>
                <w:rFonts w:ascii="Arial" w:hAnsi="Arial" w:eastAsia="Times New Roman" w:cs="Arial"/>
                <w:sz w:val="20"/>
                <w:szCs w:val="20"/>
              </w:rPr>
            </w:pPr>
            <w:r w:rsidRPr="009F3C3E">
              <w:rPr>
                <w:rFonts w:ascii="Arial" w:hAnsi="Arial"/>
                <w:b/>
                <w:sz w:val="20"/>
              </w:rPr>
              <w:t>Összeg</w:t>
            </w:r>
          </w:p>
        </w:tc>
      </w:tr>
      <w:tr w:rsidRPr="009F3C3E" w:rsidR="00060A12" w:rsidTr="00AD2BC8" w14:paraId="10F1E878" w14:textId="77777777">
        <w:trPr>
          <w:trHeight w:val="300"/>
        </w:trPr>
        <w:tc>
          <w:tcPr>
            <w:tcW w:w="6804" w:type="dxa"/>
            <w:tcBorders>
              <w:left w:val="nil"/>
              <w:right w:val="nil"/>
            </w:tcBorders>
            <w:noWrap/>
            <w:hideMark/>
          </w:tcPr>
          <w:p w:rsidRPr="009F3C3E" w:rsidR="00060A12" w:rsidP="00AD2BC8" w:rsidRDefault="00060A12" w14:paraId="72895479" w14:textId="77777777">
            <w:pPr>
              <w:ind w:firstLine="200" w:firstLineChars="100"/>
              <w:rPr>
                <w:rFonts w:ascii="Arial" w:hAnsi="Arial" w:eastAsia="Times New Roman" w:cs="Arial"/>
                <w:sz w:val="20"/>
                <w:szCs w:val="20"/>
              </w:rPr>
            </w:pPr>
            <w:r w:rsidRPr="009F3C3E">
              <w:rPr>
                <w:rFonts w:ascii="Arial" w:hAnsi="Arial"/>
                <w:sz w:val="20"/>
              </w:rPr>
              <w:t>a. Származtatott ügyletek</w:t>
            </w:r>
          </w:p>
        </w:tc>
        <w:tc>
          <w:tcPr>
            <w:tcW w:w="2745" w:type="dxa"/>
            <w:tcBorders>
              <w:left w:val="nil"/>
              <w:right w:val="nil"/>
            </w:tcBorders>
            <w:noWrap/>
            <w:hideMark/>
          </w:tcPr>
          <w:p w:rsidRPr="009F3C3E" w:rsidR="00060A12" w:rsidP="00AD2BC8" w:rsidRDefault="00060A12" w14:paraId="197AA3FD" w14:textId="77777777">
            <w:pPr>
              <w:ind w:firstLine="200" w:firstLineChars="100"/>
              <w:rPr>
                <w:rFonts w:ascii="Arial" w:hAnsi="Arial" w:eastAsia="Times New Roman" w:cs="Arial"/>
                <w:sz w:val="20"/>
                <w:szCs w:val="20"/>
              </w:rPr>
            </w:pPr>
            <w:r w:rsidRPr="009F3C3E">
              <w:rPr>
                <w:rFonts w:ascii="Arial" w:hAnsi="Arial"/>
                <w:sz w:val="20"/>
              </w:rPr>
              <w:t> </w:t>
            </w:r>
          </w:p>
        </w:tc>
      </w:tr>
      <w:tr w:rsidRPr="009F3C3E" w:rsidR="00060A12" w:rsidTr="00AD2BC8" w14:paraId="3E50AFE0" w14:textId="77777777">
        <w:trPr>
          <w:trHeight w:val="300"/>
        </w:trPr>
        <w:tc>
          <w:tcPr>
            <w:tcW w:w="6804" w:type="dxa"/>
            <w:tcBorders>
              <w:left w:val="nil"/>
              <w:right w:val="nil"/>
            </w:tcBorders>
            <w:noWrap/>
            <w:hideMark/>
          </w:tcPr>
          <w:p w:rsidRPr="009F3C3E" w:rsidR="00060A12" w:rsidP="00AD2BC8" w:rsidRDefault="00060A12" w14:paraId="2B7008FB" w14:textId="77777777">
            <w:pPr>
              <w:ind w:firstLine="400" w:firstLineChars="200"/>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Származtatott ügyletekből eredő partnerkitettség</w:t>
            </w:r>
          </w:p>
        </w:tc>
        <w:tc>
          <w:tcPr>
            <w:tcW w:w="2745" w:type="dxa"/>
            <w:tcBorders>
              <w:left w:val="nil"/>
              <w:right w:val="nil"/>
            </w:tcBorders>
            <w:noWrap/>
            <w:hideMark/>
          </w:tcPr>
          <w:p w:rsidRPr="009F3C3E" w:rsidR="00060A12" w:rsidP="00AD2BC8" w:rsidRDefault="00060A12" w14:paraId="0415404E"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65295F4E" w14:textId="77777777">
        <w:trPr>
          <w:trHeight w:val="300"/>
        </w:trPr>
        <w:tc>
          <w:tcPr>
            <w:tcW w:w="6804" w:type="dxa"/>
            <w:tcBorders>
              <w:left w:val="nil"/>
              <w:right w:val="nil"/>
            </w:tcBorders>
            <w:noWrap/>
            <w:hideMark/>
          </w:tcPr>
          <w:p w:rsidRPr="009F3C3E" w:rsidR="00060A12" w:rsidP="00AD2BC8" w:rsidRDefault="00060A12" w14:paraId="3877FF6A" w14:textId="77777777">
            <w:pPr>
              <w:ind w:firstLine="400" w:firstLineChars="200"/>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Hitelderivatívák csökkentett névleges összege</w:t>
            </w:r>
          </w:p>
        </w:tc>
        <w:tc>
          <w:tcPr>
            <w:tcW w:w="2745" w:type="dxa"/>
            <w:tcBorders>
              <w:left w:val="nil"/>
              <w:right w:val="nil"/>
            </w:tcBorders>
            <w:noWrap/>
            <w:hideMark/>
          </w:tcPr>
          <w:p w:rsidRPr="009F3C3E" w:rsidR="00060A12" w:rsidP="00AD2BC8" w:rsidRDefault="00060A12" w14:paraId="6E8E5395"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782F4A50" w14:textId="77777777">
        <w:trPr>
          <w:trHeight w:val="300"/>
        </w:trPr>
        <w:tc>
          <w:tcPr>
            <w:tcW w:w="6804" w:type="dxa"/>
            <w:tcBorders>
              <w:left w:val="nil"/>
              <w:right w:val="nil"/>
            </w:tcBorders>
            <w:noWrap/>
            <w:hideMark/>
          </w:tcPr>
          <w:p w:rsidRPr="009F3C3E" w:rsidR="00060A12" w:rsidP="00AD2BC8" w:rsidRDefault="00060A12" w14:paraId="7F3A2DFD" w14:textId="77777777">
            <w:pPr>
              <w:ind w:firstLine="400" w:firstLineChars="200"/>
              <w:rPr>
                <w:rFonts w:ascii="Arial" w:hAnsi="Arial" w:eastAsia="Times New Roman" w:cs="Arial"/>
                <w:sz w:val="20"/>
                <w:szCs w:val="20"/>
              </w:rPr>
            </w:pPr>
            <w:r w:rsidRPr="009F3C3E">
              <w:rPr>
                <w:rFonts w:ascii="Arial" w:hAnsi="Arial"/>
                <w:sz w:val="20"/>
                <w:lang w:eastAsia="en-GB"/>
              </w:rPr>
              <w:t xml:space="preserve">(3) </w:t>
            </w:r>
            <w:r w:rsidRPr="009F3C3E">
              <w:rPr>
                <w:rFonts w:ascii="Arial" w:hAnsi="Arial"/>
                <w:sz w:val="20"/>
              </w:rPr>
              <w:t>Származtatott ügyletekből eredő potenciális jövőbeni kitettség</w:t>
            </w:r>
          </w:p>
        </w:tc>
        <w:tc>
          <w:tcPr>
            <w:tcW w:w="2745" w:type="dxa"/>
            <w:tcBorders>
              <w:left w:val="nil"/>
              <w:right w:val="nil"/>
            </w:tcBorders>
            <w:noWrap/>
            <w:hideMark/>
          </w:tcPr>
          <w:p w:rsidRPr="009F3C3E" w:rsidR="00060A12" w:rsidP="00AD2BC8" w:rsidRDefault="00060A12" w14:paraId="7603505F"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769CF672" w14:textId="77777777">
        <w:trPr>
          <w:trHeight w:val="300"/>
        </w:trPr>
        <w:tc>
          <w:tcPr>
            <w:tcW w:w="6804" w:type="dxa"/>
            <w:tcBorders>
              <w:left w:val="nil"/>
              <w:right w:val="nil"/>
            </w:tcBorders>
            <w:noWrap/>
            <w:hideMark/>
          </w:tcPr>
          <w:p w:rsidRPr="009F3C3E" w:rsidR="00060A12" w:rsidP="00AD2BC8" w:rsidRDefault="00060A12" w14:paraId="4942DE5E" w14:textId="77777777">
            <w:pPr>
              <w:ind w:firstLine="200" w:firstLineChars="100"/>
              <w:rPr>
                <w:rFonts w:ascii="Arial" w:hAnsi="Arial" w:eastAsia="Times New Roman" w:cs="Arial"/>
                <w:sz w:val="20"/>
                <w:szCs w:val="20"/>
              </w:rPr>
            </w:pPr>
            <w:r w:rsidRPr="009F3C3E">
              <w:rPr>
                <w:rFonts w:ascii="Arial" w:hAnsi="Arial"/>
                <w:sz w:val="20"/>
              </w:rPr>
              <w:t>b. Értékpapír-finanszírozási ügyletek</w:t>
            </w:r>
          </w:p>
        </w:tc>
        <w:tc>
          <w:tcPr>
            <w:tcW w:w="2745" w:type="dxa"/>
            <w:tcBorders>
              <w:left w:val="nil"/>
              <w:right w:val="nil"/>
            </w:tcBorders>
            <w:noWrap/>
            <w:hideMark/>
          </w:tcPr>
          <w:p w:rsidRPr="009F3C3E" w:rsidR="00060A12" w:rsidP="00AD2BC8" w:rsidRDefault="00060A12" w14:paraId="25598701" w14:textId="77777777">
            <w:pPr>
              <w:ind w:firstLine="200" w:firstLineChars="100"/>
              <w:rPr>
                <w:rFonts w:ascii="Arial" w:hAnsi="Arial" w:eastAsia="Times New Roman" w:cs="Arial"/>
                <w:sz w:val="20"/>
                <w:szCs w:val="20"/>
              </w:rPr>
            </w:pPr>
            <w:r w:rsidRPr="009F3C3E">
              <w:rPr>
                <w:rFonts w:ascii="Arial" w:hAnsi="Arial"/>
                <w:sz w:val="20"/>
              </w:rPr>
              <w:t> </w:t>
            </w:r>
          </w:p>
        </w:tc>
      </w:tr>
      <w:tr w:rsidRPr="009F3C3E" w:rsidR="00060A12" w:rsidTr="00AD2BC8" w14:paraId="724B2B64" w14:textId="77777777">
        <w:trPr>
          <w:trHeight w:val="300"/>
        </w:trPr>
        <w:tc>
          <w:tcPr>
            <w:tcW w:w="6804" w:type="dxa"/>
            <w:tcBorders>
              <w:left w:val="nil"/>
              <w:right w:val="nil"/>
            </w:tcBorders>
            <w:noWrap/>
            <w:hideMark/>
          </w:tcPr>
          <w:p w:rsidRPr="009F3C3E" w:rsidR="00060A12" w:rsidP="00AD2BC8" w:rsidRDefault="00060A12" w14:paraId="7EA75F62" w14:textId="77777777">
            <w:pPr>
              <w:ind w:firstLine="400" w:firstLineChars="200"/>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Értékpapír-finanszírozási ügyletek kiigazított bruttó értéke</w:t>
            </w:r>
          </w:p>
        </w:tc>
        <w:tc>
          <w:tcPr>
            <w:tcW w:w="2745" w:type="dxa"/>
            <w:tcBorders>
              <w:left w:val="nil"/>
              <w:right w:val="nil"/>
            </w:tcBorders>
            <w:noWrap/>
            <w:hideMark/>
          </w:tcPr>
          <w:p w:rsidRPr="009F3C3E" w:rsidR="00060A12" w:rsidP="00AD2BC8" w:rsidRDefault="00060A12" w14:paraId="7603290F"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6709E6DF" w14:textId="77777777">
        <w:trPr>
          <w:trHeight w:val="300"/>
        </w:trPr>
        <w:tc>
          <w:tcPr>
            <w:tcW w:w="6804" w:type="dxa"/>
            <w:tcBorders>
              <w:left w:val="nil"/>
              <w:right w:val="nil"/>
            </w:tcBorders>
            <w:noWrap/>
            <w:hideMark/>
          </w:tcPr>
          <w:p w:rsidRPr="009F3C3E" w:rsidR="00060A12" w:rsidP="00AD2BC8" w:rsidRDefault="00060A12" w14:paraId="48CCA0C6" w14:textId="77777777">
            <w:pPr>
              <w:ind w:firstLine="400" w:firstLineChars="200"/>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Értékpapír-finanszírozási ügyletekből eredő partnerkitettség</w:t>
            </w:r>
          </w:p>
        </w:tc>
        <w:tc>
          <w:tcPr>
            <w:tcW w:w="2745" w:type="dxa"/>
            <w:tcBorders>
              <w:left w:val="nil"/>
              <w:right w:val="nil"/>
            </w:tcBorders>
            <w:noWrap/>
            <w:hideMark/>
          </w:tcPr>
          <w:p w:rsidRPr="009F3C3E" w:rsidR="00060A12" w:rsidP="00AD2BC8" w:rsidRDefault="00060A12" w14:paraId="6D40B919"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606F4BC" w14:textId="77777777">
        <w:trPr>
          <w:trHeight w:val="300"/>
        </w:trPr>
        <w:tc>
          <w:tcPr>
            <w:tcW w:w="6804" w:type="dxa"/>
            <w:tcBorders>
              <w:left w:val="nil"/>
              <w:right w:val="nil"/>
            </w:tcBorders>
            <w:noWrap/>
            <w:hideMark/>
          </w:tcPr>
          <w:p w:rsidRPr="009F3C3E" w:rsidR="00060A12" w:rsidP="00AD2BC8" w:rsidRDefault="00060A12" w14:paraId="01EADD58" w14:textId="77777777">
            <w:pPr>
              <w:ind w:firstLine="200" w:firstLineChars="100"/>
              <w:rPr>
                <w:rFonts w:ascii="Arial" w:hAnsi="Arial" w:eastAsia="Times New Roman" w:cs="Arial"/>
                <w:sz w:val="20"/>
                <w:szCs w:val="20"/>
              </w:rPr>
            </w:pPr>
            <w:r w:rsidRPr="009F3C3E">
              <w:rPr>
                <w:rFonts w:ascii="Arial" w:hAnsi="Arial"/>
                <w:sz w:val="20"/>
              </w:rPr>
              <w:t>c. Egyéb eszközök</w:t>
            </w:r>
          </w:p>
        </w:tc>
        <w:tc>
          <w:tcPr>
            <w:tcW w:w="2745" w:type="dxa"/>
            <w:tcBorders>
              <w:left w:val="nil"/>
              <w:right w:val="nil"/>
            </w:tcBorders>
            <w:noWrap/>
            <w:hideMark/>
          </w:tcPr>
          <w:p w:rsidRPr="009F3C3E" w:rsidR="00060A12" w:rsidP="00AD2BC8" w:rsidRDefault="00060A12" w14:paraId="2A3A34C3"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722D42A" w14:textId="77777777">
        <w:trPr>
          <w:trHeight w:val="300"/>
        </w:trPr>
        <w:tc>
          <w:tcPr>
            <w:tcW w:w="6804" w:type="dxa"/>
            <w:tcBorders>
              <w:left w:val="nil"/>
              <w:right w:val="nil"/>
            </w:tcBorders>
            <w:noWrap/>
            <w:hideMark/>
          </w:tcPr>
          <w:p w:rsidRPr="009F3C3E" w:rsidR="00060A12" w:rsidP="00AD2BC8" w:rsidRDefault="00060A12" w14:paraId="23E79D40" w14:textId="77777777">
            <w:pPr>
              <w:ind w:firstLine="200" w:firstLineChars="100"/>
              <w:rPr>
                <w:rFonts w:ascii="Arial" w:hAnsi="Arial" w:eastAsia="Times New Roman" w:cs="Arial"/>
                <w:sz w:val="20"/>
                <w:szCs w:val="20"/>
              </w:rPr>
            </w:pPr>
            <w:r w:rsidRPr="009F3C3E">
              <w:rPr>
                <w:rFonts w:ascii="Arial" w:hAnsi="Arial"/>
                <w:sz w:val="20"/>
              </w:rPr>
              <w:t>d. Mérlegen kívüli tételek bruttó névleges értéke</w:t>
            </w:r>
          </w:p>
        </w:tc>
        <w:tc>
          <w:tcPr>
            <w:tcW w:w="2745" w:type="dxa"/>
            <w:tcBorders>
              <w:left w:val="nil"/>
              <w:right w:val="nil"/>
            </w:tcBorders>
            <w:noWrap/>
            <w:hideMark/>
          </w:tcPr>
          <w:p w:rsidRPr="009F3C3E" w:rsidR="00060A12" w:rsidP="00AD2BC8" w:rsidRDefault="00060A12" w14:paraId="078868A2" w14:textId="77777777">
            <w:pPr>
              <w:ind w:firstLine="200" w:firstLineChars="100"/>
              <w:rPr>
                <w:rFonts w:ascii="Arial" w:hAnsi="Arial" w:eastAsia="Times New Roman" w:cs="Arial"/>
                <w:sz w:val="20"/>
                <w:szCs w:val="20"/>
              </w:rPr>
            </w:pPr>
            <w:r w:rsidRPr="009F3C3E">
              <w:rPr>
                <w:rFonts w:ascii="Arial" w:hAnsi="Arial"/>
                <w:sz w:val="20"/>
              </w:rPr>
              <w:t> </w:t>
            </w:r>
          </w:p>
        </w:tc>
      </w:tr>
      <w:tr w:rsidRPr="009F3C3E" w:rsidR="00060A12" w:rsidTr="00AD2BC8" w14:paraId="1DDB3780" w14:textId="77777777">
        <w:trPr>
          <w:trHeight w:val="300"/>
        </w:trPr>
        <w:tc>
          <w:tcPr>
            <w:tcW w:w="6804" w:type="dxa"/>
            <w:tcBorders>
              <w:left w:val="nil"/>
              <w:right w:val="nil"/>
            </w:tcBorders>
            <w:noWrap/>
            <w:hideMark/>
          </w:tcPr>
          <w:p w:rsidRPr="009F3C3E" w:rsidR="00060A12" w:rsidP="00AD2BC8" w:rsidRDefault="00060A12" w14:paraId="2E320369" w14:textId="77777777">
            <w:pPr>
              <w:ind w:firstLine="400" w:firstLineChars="200"/>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0%-os hitel-egyenértékesítési tényezővel rendelkező tételek</w:t>
            </w:r>
          </w:p>
        </w:tc>
        <w:tc>
          <w:tcPr>
            <w:tcW w:w="2745" w:type="dxa"/>
            <w:tcBorders>
              <w:left w:val="nil"/>
              <w:right w:val="nil"/>
            </w:tcBorders>
            <w:noWrap/>
            <w:hideMark/>
          </w:tcPr>
          <w:p w:rsidRPr="009F3C3E" w:rsidR="00060A12" w:rsidP="00AD2BC8" w:rsidRDefault="00060A12" w14:paraId="4FB996CE"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7F0AE735" w14:textId="77777777">
        <w:trPr>
          <w:trHeight w:val="300"/>
        </w:trPr>
        <w:tc>
          <w:tcPr>
            <w:tcW w:w="6804" w:type="dxa"/>
            <w:tcBorders>
              <w:left w:val="nil"/>
              <w:right w:val="nil"/>
            </w:tcBorders>
            <w:noWrap/>
            <w:hideMark/>
          </w:tcPr>
          <w:p w:rsidRPr="009F3C3E" w:rsidR="00060A12" w:rsidP="00AD2BC8" w:rsidRDefault="00060A12" w14:paraId="7DECFB18" w14:textId="77777777">
            <w:pPr>
              <w:ind w:firstLine="400" w:firstLineChars="200"/>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20%-os hitel-egyenértékesítési tényezővel rendelkező tételek</w:t>
            </w:r>
          </w:p>
        </w:tc>
        <w:tc>
          <w:tcPr>
            <w:tcW w:w="2745" w:type="dxa"/>
            <w:tcBorders>
              <w:left w:val="nil"/>
              <w:right w:val="nil"/>
            </w:tcBorders>
            <w:noWrap/>
            <w:hideMark/>
          </w:tcPr>
          <w:p w:rsidRPr="009F3C3E" w:rsidR="00060A12" w:rsidP="00AD2BC8" w:rsidRDefault="00060A12" w14:paraId="0769C082"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072F095" w14:textId="77777777">
        <w:trPr>
          <w:trHeight w:val="300"/>
        </w:trPr>
        <w:tc>
          <w:tcPr>
            <w:tcW w:w="6804" w:type="dxa"/>
            <w:tcBorders>
              <w:left w:val="nil"/>
              <w:right w:val="nil"/>
            </w:tcBorders>
            <w:noWrap/>
            <w:hideMark/>
          </w:tcPr>
          <w:p w:rsidRPr="009F3C3E" w:rsidR="00060A12" w:rsidP="00AD2BC8" w:rsidRDefault="00060A12" w14:paraId="6054CDFE" w14:textId="77777777">
            <w:pPr>
              <w:ind w:firstLine="400" w:firstLineChars="200"/>
              <w:rPr>
                <w:rFonts w:ascii="Arial" w:hAnsi="Arial" w:eastAsia="Times New Roman" w:cs="Arial"/>
                <w:sz w:val="20"/>
                <w:szCs w:val="20"/>
              </w:rPr>
            </w:pPr>
            <w:r w:rsidRPr="009F3C3E">
              <w:rPr>
                <w:rFonts w:ascii="Arial" w:hAnsi="Arial"/>
                <w:sz w:val="20"/>
                <w:lang w:eastAsia="en-GB"/>
              </w:rPr>
              <w:t xml:space="preserve">(3) </w:t>
            </w:r>
            <w:r w:rsidRPr="009F3C3E">
              <w:rPr>
                <w:rFonts w:ascii="Arial" w:hAnsi="Arial"/>
                <w:sz w:val="20"/>
              </w:rPr>
              <w:t>50%-os hitel-egyenértékesítési tényezővel rendelkező tételek</w:t>
            </w:r>
          </w:p>
        </w:tc>
        <w:tc>
          <w:tcPr>
            <w:tcW w:w="2745" w:type="dxa"/>
            <w:tcBorders>
              <w:left w:val="nil"/>
              <w:right w:val="nil"/>
            </w:tcBorders>
            <w:noWrap/>
            <w:hideMark/>
          </w:tcPr>
          <w:p w:rsidRPr="009F3C3E" w:rsidR="00060A12" w:rsidP="00AD2BC8" w:rsidRDefault="00060A12" w14:paraId="306F7F49"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6281371D" w14:textId="77777777">
        <w:trPr>
          <w:trHeight w:val="300"/>
        </w:trPr>
        <w:tc>
          <w:tcPr>
            <w:tcW w:w="6804" w:type="dxa"/>
            <w:tcBorders>
              <w:left w:val="nil"/>
              <w:right w:val="nil"/>
            </w:tcBorders>
            <w:noWrap/>
            <w:hideMark/>
          </w:tcPr>
          <w:p w:rsidRPr="009F3C3E" w:rsidR="00060A12" w:rsidP="00AD2BC8" w:rsidRDefault="00060A12" w14:paraId="14844E89" w14:textId="77777777">
            <w:pPr>
              <w:ind w:firstLine="400" w:firstLineChars="200"/>
              <w:rPr>
                <w:rFonts w:ascii="Arial" w:hAnsi="Arial" w:eastAsia="Times New Roman" w:cs="Arial"/>
                <w:sz w:val="20"/>
                <w:szCs w:val="20"/>
              </w:rPr>
            </w:pPr>
            <w:r w:rsidRPr="009F3C3E">
              <w:rPr>
                <w:rFonts w:ascii="Arial" w:hAnsi="Arial"/>
                <w:sz w:val="20"/>
                <w:lang w:eastAsia="en-GB"/>
              </w:rPr>
              <w:t xml:space="preserve">(4) </w:t>
            </w:r>
            <w:r w:rsidRPr="009F3C3E">
              <w:rPr>
                <w:rFonts w:ascii="Arial" w:hAnsi="Arial"/>
                <w:sz w:val="20"/>
              </w:rPr>
              <w:t>100%-os hitel-egyenértékesítési tényezővel rendelkező tételek</w:t>
            </w:r>
          </w:p>
        </w:tc>
        <w:tc>
          <w:tcPr>
            <w:tcW w:w="2745" w:type="dxa"/>
            <w:tcBorders>
              <w:left w:val="nil"/>
              <w:right w:val="nil"/>
            </w:tcBorders>
            <w:noWrap/>
            <w:hideMark/>
          </w:tcPr>
          <w:p w:rsidRPr="009F3C3E" w:rsidR="00060A12" w:rsidP="00AD2BC8" w:rsidRDefault="00060A12" w14:paraId="32C59F68"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52F3CE0" w14:textId="77777777">
        <w:trPr>
          <w:trHeight w:val="300"/>
        </w:trPr>
        <w:tc>
          <w:tcPr>
            <w:tcW w:w="6804" w:type="dxa"/>
            <w:tcBorders>
              <w:left w:val="nil"/>
              <w:right w:val="nil"/>
            </w:tcBorders>
            <w:noWrap/>
            <w:hideMark/>
          </w:tcPr>
          <w:p w:rsidRPr="009F3C3E" w:rsidR="00060A12" w:rsidP="00AD2BC8" w:rsidRDefault="00060A12" w14:paraId="122C47AD" w14:textId="77777777">
            <w:pPr>
              <w:ind w:firstLine="200" w:firstLineChars="100"/>
              <w:rPr>
                <w:rFonts w:ascii="Arial" w:hAnsi="Arial" w:eastAsia="Times New Roman" w:cs="Arial"/>
                <w:sz w:val="20"/>
                <w:szCs w:val="20"/>
              </w:rPr>
            </w:pPr>
            <w:r w:rsidRPr="009F3C3E">
              <w:rPr>
                <w:rFonts w:ascii="Arial" w:hAnsi="Arial"/>
                <w:sz w:val="20"/>
              </w:rPr>
              <w:t>e. Szabályozói kiigazítások</w:t>
            </w:r>
          </w:p>
        </w:tc>
        <w:tc>
          <w:tcPr>
            <w:tcW w:w="2745" w:type="dxa"/>
            <w:tcBorders>
              <w:left w:val="nil"/>
              <w:right w:val="nil"/>
            </w:tcBorders>
            <w:noWrap/>
            <w:hideMark/>
          </w:tcPr>
          <w:p w:rsidRPr="009F3C3E" w:rsidR="00060A12" w:rsidP="00AD2BC8" w:rsidRDefault="00060A12" w14:paraId="47C68027"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D0A330B" w14:textId="77777777">
        <w:trPr>
          <w:trHeight w:val="300"/>
        </w:trPr>
        <w:tc>
          <w:tcPr>
            <w:tcW w:w="6804" w:type="dxa"/>
            <w:tcBorders>
              <w:left w:val="nil"/>
              <w:right w:val="nil"/>
            </w:tcBorders>
            <w:noWrap/>
          </w:tcPr>
          <w:p w:rsidRPr="009F3C3E" w:rsidR="00060A12" w:rsidP="00AD2BC8" w:rsidRDefault="00060A12" w14:paraId="203F15A6" w14:textId="77777777">
            <w:pPr>
              <w:ind w:left="171" w:firstLine="28" w:firstLineChars="14"/>
              <w:rPr>
                <w:rFonts w:ascii="Arial" w:hAnsi="Arial" w:eastAsia="Times New Roman" w:cs="Arial"/>
                <w:sz w:val="20"/>
                <w:szCs w:val="20"/>
              </w:rPr>
            </w:pPr>
            <w:r w:rsidRPr="009F3C3E">
              <w:rPr>
                <w:rFonts w:ascii="Arial" w:hAnsi="Arial"/>
                <w:sz w:val="20"/>
              </w:rPr>
              <w:t>f. A szabályozói korrekciók előtti teljes kitettség (a 2.a.(1)–2.c tételek összege, 0,1 × 2.d.(1), 0,2 × 2.d.(2), 0,5 × 2.d.(3) és 2.d.(4))</w:t>
            </w:r>
          </w:p>
        </w:tc>
        <w:tc>
          <w:tcPr>
            <w:tcW w:w="2745" w:type="dxa"/>
            <w:tcBorders>
              <w:left w:val="nil"/>
              <w:right w:val="nil"/>
            </w:tcBorders>
            <w:noWrap/>
          </w:tcPr>
          <w:p w:rsidRPr="009F3C3E" w:rsidR="00060A12" w:rsidP="00AD2BC8" w:rsidRDefault="00060A12" w14:paraId="2F2E4497" w14:textId="77777777">
            <w:pPr>
              <w:jc w:val="right"/>
              <w:rPr>
                <w:rFonts w:ascii="Arial" w:hAnsi="Arial" w:eastAsia="Times New Roman" w:cs="Arial"/>
                <w:sz w:val="20"/>
                <w:szCs w:val="20"/>
                <w:lang w:eastAsia="en-GB"/>
              </w:rPr>
            </w:pPr>
          </w:p>
        </w:tc>
      </w:tr>
      <w:tr w:rsidRPr="009F3C3E" w:rsidR="00060A12" w:rsidTr="00AD2BC8" w14:paraId="6FDB60D6" w14:textId="77777777">
        <w:trPr>
          <w:trHeight w:val="300"/>
        </w:trPr>
        <w:tc>
          <w:tcPr>
            <w:tcW w:w="6804" w:type="dxa"/>
            <w:tcBorders>
              <w:left w:val="nil"/>
              <w:right w:val="nil"/>
            </w:tcBorders>
            <w:noWrap/>
          </w:tcPr>
          <w:p w:rsidRPr="009F3C3E" w:rsidR="00060A12" w:rsidP="00AD2BC8" w:rsidRDefault="00060A12" w14:paraId="2B54ECD6" w14:textId="77777777">
            <w:pPr>
              <w:ind w:left="171" w:firstLine="28" w:firstLineChars="14"/>
              <w:rPr>
                <w:rFonts w:ascii="Arial" w:hAnsi="Arial" w:eastAsia="Times New Roman" w:cs="Arial"/>
                <w:sz w:val="20"/>
                <w:szCs w:val="20"/>
              </w:rPr>
            </w:pPr>
            <w:r w:rsidRPr="009F3C3E">
              <w:rPr>
                <w:rFonts w:ascii="Arial" w:hAnsi="Arial"/>
                <w:sz w:val="20"/>
              </w:rPr>
              <w:lastRenderedPageBreak/>
              <w:t>g. Biztosítási leányvállalatokból eredő, a 2.f. csoporton belüli nettóban nem szereplő kitettségek:</w:t>
            </w:r>
          </w:p>
        </w:tc>
        <w:tc>
          <w:tcPr>
            <w:tcW w:w="2745" w:type="dxa"/>
            <w:tcBorders>
              <w:left w:val="nil"/>
              <w:right w:val="nil"/>
            </w:tcBorders>
            <w:noWrap/>
          </w:tcPr>
          <w:p w:rsidRPr="009F3C3E" w:rsidR="00060A12" w:rsidP="00AD2BC8" w:rsidRDefault="00060A12" w14:paraId="740E9E4A" w14:textId="77777777">
            <w:pPr>
              <w:jc w:val="right"/>
              <w:rPr>
                <w:rFonts w:ascii="Arial" w:hAnsi="Arial" w:eastAsia="Times New Roman" w:cs="Arial"/>
                <w:sz w:val="20"/>
                <w:szCs w:val="20"/>
                <w:lang w:eastAsia="en-GB"/>
              </w:rPr>
            </w:pPr>
          </w:p>
        </w:tc>
      </w:tr>
      <w:tr w:rsidRPr="009F3C3E" w:rsidR="00060A12" w:rsidTr="00AD2BC8" w14:paraId="217F743E" w14:textId="77777777">
        <w:trPr>
          <w:trHeight w:val="300"/>
        </w:trPr>
        <w:tc>
          <w:tcPr>
            <w:tcW w:w="6804" w:type="dxa"/>
            <w:tcBorders>
              <w:left w:val="nil"/>
              <w:right w:val="nil"/>
            </w:tcBorders>
            <w:noWrap/>
          </w:tcPr>
          <w:p w:rsidRPr="009F3C3E" w:rsidR="00060A12" w:rsidP="00AD2BC8" w:rsidRDefault="00060A12" w14:paraId="4E1ED792" w14:textId="77777777">
            <w:pPr>
              <w:ind w:left="720" w:firstLine="28" w:firstLineChars="14"/>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Biztosítási leányvállalatok mérlegen belüli és mérlegen kívüli eszközei</w:t>
            </w:r>
          </w:p>
        </w:tc>
        <w:tc>
          <w:tcPr>
            <w:tcW w:w="2745" w:type="dxa"/>
            <w:tcBorders>
              <w:left w:val="nil"/>
              <w:right w:val="nil"/>
            </w:tcBorders>
            <w:noWrap/>
          </w:tcPr>
          <w:p w:rsidRPr="009F3C3E" w:rsidR="00060A12" w:rsidP="00AD2BC8" w:rsidRDefault="00060A12" w14:paraId="1040D030" w14:textId="77777777">
            <w:pPr>
              <w:jc w:val="right"/>
              <w:rPr>
                <w:rFonts w:ascii="Arial" w:hAnsi="Arial" w:eastAsia="Times New Roman" w:cs="Arial"/>
                <w:sz w:val="20"/>
                <w:szCs w:val="20"/>
                <w:lang w:eastAsia="en-GB"/>
              </w:rPr>
            </w:pPr>
          </w:p>
        </w:tc>
      </w:tr>
      <w:tr w:rsidRPr="009F3C3E" w:rsidR="00060A12" w:rsidTr="00AD2BC8" w14:paraId="48308258" w14:textId="77777777">
        <w:trPr>
          <w:trHeight w:val="300"/>
        </w:trPr>
        <w:tc>
          <w:tcPr>
            <w:tcW w:w="6804" w:type="dxa"/>
            <w:tcBorders>
              <w:left w:val="nil"/>
              <w:right w:val="nil"/>
            </w:tcBorders>
            <w:noWrap/>
          </w:tcPr>
          <w:p w:rsidRPr="009F3C3E" w:rsidR="00060A12" w:rsidP="00AD2BC8" w:rsidRDefault="00060A12" w14:paraId="319B27D8" w14:textId="77777777">
            <w:pPr>
              <w:ind w:left="720" w:firstLine="28" w:firstLineChars="14"/>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Biztosítási leányvállalatok származtatott ügyleteiből eredő potenciális jövőbeni kitettség</w:t>
            </w:r>
          </w:p>
        </w:tc>
        <w:tc>
          <w:tcPr>
            <w:tcW w:w="2745" w:type="dxa"/>
            <w:tcBorders>
              <w:left w:val="nil"/>
              <w:right w:val="nil"/>
            </w:tcBorders>
            <w:noWrap/>
          </w:tcPr>
          <w:p w:rsidRPr="009F3C3E" w:rsidR="00060A12" w:rsidP="00AD2BC8" w:rsidRDefault="00060A12" w14:paraId="28546196" w14:textId="77777777">
            <w:pPr>
              <w:jc w:val="right"/>
              <w:rPr>
                <w:rFonts w:ascii="Arial" w:hAnsi="Arial" w:eastAsia="Times New Roman" w:cs="Arial"/>
                <w:sz w:val="20"/>
                <w:szCs w:val="20"/>
                <w:lang w:eastAsia="en-GB"/>
              </w:rPr>
            </w:pPr>
          </w:p>
        </w:tc>
      </w:tr>
      <w:tr w:rsidRPr="009F3C3E" w:rsidR="00060A12" w:rsidTr="00AD2BC8" w14:paraId="621AD1B5" w14:textId="77777777">
        <w:trPr>
          <w:trHeight w:val="300"/>
        </w:trPr>
        <w:tc>
          <w:tcPr>
            <w:tcW w:w="6804" w:type="dxa"/>
            <w:tcBorders>
              <w:left w:val="nil"/>
              <w:right w:val="nil"/>
            </w:tcBorders>
            <w:noWrap/>
          </w:tcPr>
          <w:p w:rsidRPr="009F3C3E" w:rsidR="00060A12" w:rsidP="00AD2BC8" w:rsidRDefault="00060A12" w14:paraId="0805556B" w14:textId="77777777">
            <w:pPr>
              <w:ind w:left="720" w:firstLine="28" w:firstLineChars="14"/>
              <w:rPr>
                <w:rFonts w:ascii="Arial" w:hAnsi="Arial" w:eastAsia="Times New Roman" w:cs="Arial"/>
                <w:sz w:val="20"/>
                <w:szCs w:val="20"/>
              </w:rPr>
            </w:pPr>
            <w:r w:rsidRPr="009F3C3E">
              <w:rPr>
                <w:rFonts w:ascii="Arial" w:hAnsi="Arial"/>
                <w:sz w:val="20"/>
                <w:lang w:eastAsia="en-GB"/>
              </w:rPr>
              <w:t xml:space="preserve">(3) </w:t>
            </w:r>
            <w:r w:rsidRPr="009F3C3E">
              <w:rPr>
                <w:rFonts w:ascii="Arial" w:hAnsi="Arial"/>
                <w:sz w:val="20"/>
              </w:rPr>
              <w:t>Konszolidált szervezetekbe történő befektetés értéke</w:t>
            </w:r>
          </w:p>
        </w:tc>
        <w:tc>
          <w:tcPr>
            <w:tcW w:w="2745" w:type="dxa"/>
            <w:tcBorders>
              <w:left w:val="nil"/>
              <w:right w:val="nil"/>
            </w:tcBorders>
            <w:noWrap/>
          </w:tcPr>
          <w:p w:rsidRPr="009F3C3E" w:rsidR="00060A12" w:rsidP="00AD2BC8" w:rsidRDefault="00060A12" w14:paraId="4FAAAF7B" w14:textId="77777777">
            <w:pPr>
              <w:jc w:val="right"/>
              <w:rPr>
                <w:rFonts w:ascii="Arial" w:hAnsi="Arial" w:eastAsia="Times New Roman" w:cs="Arial"/>
                <w:sz w:val="20"/>
                <w:szCs w:val="20"/>
                <w:lang w:eastAsia="en-GB"/>
              </w:rPr>
            </w:pPr>
          </w:p>
        </w:tc>
      </w:tr>
      <w:tr w:rsidRPr="009F3C3E" w:rsidR="00060A12" w:rsidTr="00AD2BC8" w14:paraId="43992AA8" w14:textId="77777777">
        <w:trPr>
          <w:trHeight w:val="300"/>
        </w:trPr>
        <w:tc>
          <w:tcPr>
            <w:tcW w:w="6804" w:type="dxa"/>
            <w:tcBorders>
              <w:left w:val="nil"/>
              <w:right w:val="nil"/>
            </w:tcBorders>
            <w:noWrap/>
          </w:tcPr>
          <w:p w:rsidRPr="009F3C3E" w:rsidR="00060A12" w:rsidP="00AD2BC8" w:rsidRDefault="00060A12" w14:paraId="39EBE64B" w14:textId="77777777">
            <w:pPr>
              <w:ind w:left="171"/>
              <w:rPr>
                <w:rFonts w:ascii="Arial" w:hAnsi="Arial" w:eastAsia="Times New Roman" w:cs="Arial"/>
                <w:sz w:val="20"/>
                <w:szCs w:val="20"/>
              </w:rPr>
            </w:pPr>
            <w:r w:rsidRPr="009F3C3E">
              <w:rPr>
                <w:rFonts w:ascii="Arial" w:hAnsi="Arial"/>
                <w:sz w:val="20"/>
              </w:rPr>
              <w:t>h. A 2.f. tételben szereplő csoporton belüli kitettségek a 2.g. tételben jelentett biztosítási leányvállalatokkal szemben</w:t>
            </w:r>
          </w:p>
        </w:tc>
        <w:tc>
          <w:tcPr>
            <w:tcW w:w="2745" w:type="dxa"/>
            <w:tcBorders>
              <w:left w:val="nil"/>
              <w:right w:val="nil"/>
            </w:tcBorders>
            <w:noWrap/>
          </w:tcPr>
          <w:p w:rsidRPr="009F3C3E" w:rsidR="00060A12" w:rsidP="00AD2BC8" w:rsidRDefault="00060A12" w14:paraId="29EEA769" w14:textId="77777777">
            <w:pPr>
              <w:jc w:val="right"/>
              <w:rPr>
                <w:rFonts w:ascii="Arial" w:hAnsi="Arial" w:eastAsia="Times New Roman" w:cs="Arial"/>
                <w:sz w:val="20"/>
                <w:szCs w:val="20"/>
                <w:lang w:eastAsia="en-GB"/>
              </w:rPr>
            </w:pPr>
          </w:p>
        </w:tc>
      </w:tr>
      <w:tr w:rsidRPr="009F3C3E" w:rsidR="00060A12" w:rsidTr="00AD2BC8" w14:paraId="6BCF0418" w14:textId="77777777">
        <w:trPr>
          <w:trHeight w:val="300"/>
        </w:trPr>
        <w:tc>
          <w:tcPr>
            <w:tcW w:w="6804" w:type="dxa"/>
            <w:tcBorders>
              <w:left w:val="nil"/>
              <w:bottom w:val="single" w:color="auto" w:sz="4" w:space="0"/>
              <w:right w:val="nil"/>
            </w:tcBorders>
            <w:noWrap/>
          </w:tcPr>
          <w:p w:rsidRPr="009F3C3E" w:rsidR="00060A12" w:rsidP="00AD2BC8" w:rsidRDefault="00060A12" w14:paraId="66063BC1" w14:textId="77777777">
            <w:pPr>
              <w:ind w:left="171"/>
              <w:rPr>
                <w:rFonts w:ascii="Arial" w:hAnsi="Arial" w:eastAsia="Times New Roman" w:cs="Arial"/>
                <w:sz w:val="20"/>
                <w:szCs w:val="20"/>
              </w:rPr>
            </w:pPr>
            <w:r w:rsidRPr="009F3C3E">
              <w:rPr>
                <w:rFonts w:ascii="Arial" w:hAnsi="Arial"/>
                <w:sz w:val="20"/>
              </w:rPr>
              <w:t>i. A teljes kitettség mutatója, beleértve a biztosítási leányvállalatokat is (a 2.f., a 2.g. (1)–2.g.(2) tételek összege mínusz a 2.g.(3)–2.h tételek összege.)</w:t>
            </w:r>
          </w:p>
        </w:tc>
        <w:tc>
          <w:tcPr>
            <w:tcW w:w="2745" w:type="dxa"/>
            <w:tcBorders>
              <w:left w:val="nil"/>
              <w:bottom w:val="single" w:color="auto" w:sz="4" w:space="0"/>
              <w:right w:val="nil"/>
            </w:tcBorders>
            <w:noWrap/>
          </w:tcPr>
          <w:p w:rsidRPr="009F3C3E" w:rsidR="00060A12" w:rsidP="00AD2BC8" w:rsidRDefault="00060A12" w14:paraId="182F5B51" w14:textId="77777777">
            <w:pPr>
              <w:jc w:val="right"/>
              <w:rPr>
                <w:rFonts w:ascii="Arial" w:hAnsi="Arial" w:eastAsia="Times New Roman" w:cs="Arial"/>
                <w:sz w:val="20"/>
                <w:szCs w:val="20"/>
                <w:lang w:eastAsia="en-GB"/>
              </w:rPr>
            </w:pPr>
          </w:p>
        </w:tc>
      </w:tr>
      <w:tr w:rsidRPr="009F3C3E" w:rsidR="00060A12" w:rsidTr="00AD2BC8" w14:paraId="189A44C2" w14:textId="77777777">
        <w:trPr>
          <w:trHeight w:val="403"/>
        </w:trPr>
        <w:tc>
          <w:tcPr>
            <w:tcW w:w="9549" w:type="dxa"/>
            <w:gridSpan w:val="2"/>
            <w:tcBorders>
              <w:left w:val="nil"/>
              <w:right w:val="nil"/>
            </w:tcBorders>
            <w:noWrap/>
            <w:hideMark/>
          </w:tcPr>
          <w:p w:rsidRPr="009F3C3E" w:rsidR="00060A12" w:rsidP="00AD2BC8" w:rsidRDefault="00060A12" w14:paraId="7FDD0C78" w14:textId="77777777">
            <w:pPr>
              <w:keepNext/>
              <w:keepLines/>
              <w:spacing w:before="47"/>
              <w:outlineLvl w:val="5"/>
              <w:rPr>
                <w:rFonts w:ascii="Arial" w:hAnsi="Arial" w:eastAsia="Times New Roman" w:cs="Arial"/>
                <w:b/>
                <w:bCs/>
                <w:i/>
                <w:iCs/>
                <w:caps/>
                <w:color w:val="172B39" w:themeColor="accent1" w:themeShade="80"/>
                <w:sz w:val="20"/>
                <w:szCs w:val="20"/>
                <w:lang w:eastAsia="en-GB"/>
              </w:rPr>
            </w:pPr>
          </w:p>
          <w:p w:rsidRPr="009F3C3E" w:rsidR="00060A12" w:rsidP="00AD2BC8" w:rsidRDefault="00060A12" w14:paraId="5E344C41" w14:textId="77777777">
            <w:pPr>
              <w:keepNext/>
              <w:keepLines/>
              <w:spacing w:before="47"/>
              <w:outlineLvl w:val="5"/>
              <w:rPr>
                <w:rFonts w:ascii="Arial" w:hAnsi="Arial" w:eastAsia="Times New Roman" w:cs="Arial"/>
                <w:i/>
                <w:iCs/>
                <w:caps/>
                <w:color w:val="172B39" w:themeColor="accent1" w:themeShade="80"/>
                <w:sz w:val="20"/>
                <w:szCs w:val="20"/>
              </w:rPr>
            </w:pPr>
            <w:r w:rsidRPr="009F3C3E">
              <w:rPr>
                <w:rFonts w:ascii="Arial" w:hAnsi="Arial"/>
                <w:b/>
                <w:i/>
                <w:caps/>
                <w:color w:val="172B39" w:themeColor="accent1" w:themeShade="80"/>
                <w:sz w:val="24"/>
              </w:rPr>
              <w:t> </w:t>
            </w:r>
            <w:r w:rsidRPr="009F3C3E">
              <w:rPr>
                <w:rFonts w:asciiTheme="majorHAnsi" w:hAnsiTheme="majorHAnsi"/>
                <w:b/>
                <w:i/>
                <w:caps/>
              </w:rPr>
              <w:t>Összekapcsoltsági mutatók</w:t>
            </w:r>
          </w:p>
          <w:p w:rsidRPr="009F3C3E" w:rsidR="00060A12" w:rsidP="00AD2BC8" w:rsidRDefault="00060A12" w14:paraId="175E52C6" w14:textId="77777777">
            <w:pPr>
              <w:rPr>
                <w:rFonts w:ascii="Arial" w:hAnsi="Arial" w:eastAsia="Times New Roman" w:cs="Arial"/>
                <w:b/>
                <w:bCs/>
                <w:sz w:val="24"/>
                <w:szCs w:val="24"/>
              </w:rPr>
            </w:pPr>
            <w:r w:rsidRPr="009F3C3E">
              <w:rPr>
                <w:rFonts w:ascii="Arial" w:hAnsi="Arial"/>
                <w:b/>
                <w:sz w:val="24"/>
              </w:rPr>
              <w:t> </w:t>
            </w:r>
          </w:p>
        </w:tc>
      </w:tr>
      <w:tr w:rsidRPr="009F3C3E" w:rsidR="00060A12" w:rsidTr="00AD2BC8" w14:paraId="760FA4CA" w14:textId="77777777">
        <w:trPr>
          <w:trHeight w:val="300"/>
        </w:trPr>
        <w:tc>
          <w:tcPr>
            <w:tcW w:w="6804" w:type="dxa"/>
            <w:tcBorders>
              <w:left w:val="nil"/>
              <w:bottom w:val="single" w:color="auto" w:sz="4" w:space="0"/>
              <w:right w:val="nil"/>
            </w:tcBorders>
            <w:noWrap/>
            <w:hideMark/>
          </w:tcPr>
          <w:p w:rsidRPr="009F3C3E" w:rsidR="00060A12" w:rsidP="00AD2BC8" w:rsidRDefault="00060A12" w14:paraId="714C7D3F" w14:textId="77777777">
            <w:pPr>
              <w:rPr>
                <w:rFonts w:ascii="Arial" w:hAnsi="Arial" w:eastAsia="Times New Roman" w:cs="Arial"/>
                <w:b/>
                <w:bCs/>
                <w:sz w:val="20"/>
                <w:szCs w:val="20"/>
              </w:rPr>
            </w:pPr>
            <w:r w:rsidRPr="009F3C3E">
              <w:rPr>
                <w:rFonts w:ascii="Arial" w:hAnsi="Arial"/>
                <w:b/>
                <w:sz w:val="20"/>
              </w:rPr>
              <w:t>3. szakasz – Pénzügyi rendszeren belüli eszközök</w:t>
            </w:r>
          </w:p>
        </w:tc>
        <w:tc>
          <w:tcPr>
            <w:tcW w:w="2745" w:type="dxa"/>
            <w:tcBorders>
              <w:left w:val="nil"/>
              <w:bottom w:val="single" w:color="auto" w:sz="4" w:space="0"/>
              <w:right w:val="nil"/>
            </w:tcBorders>
            <w:hideMark/>
          </w:tcPr>
          <w:p w:rsidRPr="009F3C3E" w:rsidR="00060A12" w:rsidP="00AD2BC8" w:rsidRDefault="00060A12" w14:paraId="1E6DD1A0"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3AC1EBED" w14:textId="77777777">
        <w:trPr>
          <w:trHeight w:val="300"/>
        </w:trPr>
        <w:tc>
          <w:tcPr>
            <w:tcW w:w="6804" w:type="dxa"/>
            <w:tcBorders>
              <w:left w:val="nil"/>
              <w:right w:val="nil"/>
            </w:tcBorders>
            <w:noWrap/>
            <w:hideMark/>
          </w:tcPr>
          <w:p w:rsidRPr="009F3C3E" w:rsidR="00060A12" w:rsidP="00AD2BC8" w:rsidRDefault="00060A12" w14:paraId="5131C607" w14:textId="77777777">
            <w:pPr>
              <w:ind w:firstLine="200" w:firstLineChars="100"/>
              <w:rPr>
                <w:rFonts w:ascii="Arial" w:hAnsi="Arial" w:eastAsia="Times New Roman" w:cs="Arial"/>
                <w:sz w:val="20"/>
                <w:szCs w:val="20"/>
              </w:rPr>
            </w:pPr>
            <w:r w:rsidRPr="009F3C3E">
              <w:rPr>
                <w:rFonts w:ascii="Arial" w:hAnsi="Arial"/>
                <w:sz w:val="20"/>
              </w:rPr>
              <w:t>a. Más pénzügyi intézménynél elhelyezett vagy annak kölcsönadott összegek</w:t>
            </w:r>
          </w:p>
        </w:tc>
        <w:tc>
          <w:tcPr>
            <w:tcW w:w="2745" w:type="dxa"/>
            <w:tcBorders>
              <w:left w:val="nil"/>
              <w:right w:val="nil"/>
            </w:tcBorders>
            <w:noWrap/>
            <w:hideMark/>
          </w:tcPr>
          <w:p w:rsidRPr="009F3C3E" w:rsidR="00060A12" w:rsidP="00AD2BC8" w:rsidRDefault="00060A12" w14:paraId="7D86E311"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37CCD8D0" w14:textId="77777777">
        <w:trPr>
          <w:trHeight w:val="300"/>
        </w:trPr>
        <w:tc>
          <w:tcPr>
            <w:tcW w:w="6804" w:type="dxa"/>
            <w:tcBorders>
              <w:left w:val="nil"/>
              <w:bottom w:val="single" w:color="auto" w:sz="4" w:space="0"/>
              <w:right w:val="nil"/>
            </w:tcBorders>
            <w:noWrap/>
            <w:hideMark/>
          </w:tcPr>
          <w:p w:rsidRPr="009F3C3E" w:rsidR="00060A12" w:rsidP="00AD2BC8" w:rsidRDefault="00060A12" w14:paraId="3C84BA8A" w14:textId="77777777">
            <w:pPr>
              <w:ind w:firstLine="400" w:firstLineChars="200"/>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 xml:space="preserve">Letéti jegyek </w:t>
            </w:r>
          </w:p>
        </w:tc>
        <w:tc>
          <w:tcPr>
            <w:tcW w:w="2745" w:type="dxa"/>
            <w:tcBorders>
              <w:left w:val="nil"/>
              <w:right w:val="nil"/>
            </w:tcBorders>
            <w:noWrap/>
            <w:hideMark/>
          </w:tcPr>
          <w:p w:rsidRPr="009F3C3E" w:rsidR="00060A12" w:rsidP="00AD2BC8" w:rsidRDefault="00060A12" w14:paraId="4AF518FF"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329C32D4" w14:textId="77777777">
        <w:trPr>
          <w:gridAfter w:val="1"/>
          <w:wAfter w:w="2745" w:type="dxa"/>
          <w:trHeight w:val="300"/>
        </w:trPr>
        <w:tc>
          <w:tcPr>
            <w:tcW w:w="6804" w:type="dxa"/>
            <w:tcBorders>
              <w:left w:val="nil"/>
              <w:right w:val="nil"/>
            </w:tcBorders>
            <w:noWrap/>
            <w:hideMark/>
          </w:tcPr>
          <w:p w:rsidRPr="009F3C3E" w:rsidR="00060A12" w:rsidP="00AD2BC8" w:rsidRDefault="00060A12" w14:paraId="48A665CD" w14:textId="77777777">
            <w:pPr>
              <w:ind w:left="171" w:firstLine="28" w:firstLineChars="14"/>
              <w:rPr>
                <w:rFonts w:ascii="Arial" w:hAnsi="Arial" w:eastAsia="Times New Roman" w:cs="Arial"/>
                <w:sz w:val="20"/>
                <w:szCs w:val="20"/>
              </w:rPr>
            </w:pPr>
            <w:r w:rsidRPr="009F3C3E">
              <w:rPr>
                <w:rFonts w:ascii="Arial" w:hAnsi="Arial"/>
                <w:sz w:val="20"/>
              </w:rPr>
              <w:t>b. Más pénzügyi intézménynek nyújtott, rendelkezésre tartott, le nem hívott hitelkeretek</w:t>
            </w:r>
          </w:p>
        </w:tc>
      </w:tr>
      <w:tr w:rsidRPr="009F3C3E" w:rsidR="00060A12" w:rsidTr="00AD2BC8" w14:paraId="4D2C1F8E" w14:textId="77777777">
        <w:trPr>
          <w:trHeight w:val="300"/>
        </w:trPr>
        <w:tc>
          <w:tcPr>
            <w:tcW w:w="6804" w:type="dxa"/>
            <w:tcBorders>
              <w:left w:val="nil"/>
              <w:right w:val="nil"/>
            </w:tcBorders>
            <w:noWrap/>
            <w:hideMark/>
          </w:tcPr>
          <w:p w:rsidRPr="009F3C3E" w:rsidR="00060A12" w:rsidP="00AD2BC8" w:rsidRDefault="00060A12" w14:paraId="2D56C230" w14:textId="77777777">
            <w:pPr>
              <w:ind w:firstLine="200" w:firstLineChars="100"/>
              <w:rPr>
                <w:rFonts w:ascii="Arial" w:hAnsi="Arial" w:eastAsia="Times New Roman" w:cs="Arial"/>
                <w:sz w:val="20"/>
                <w:szCs w:val="20"/>
              </w:rPr>
            </w:pPr>
            <w:r w:rsidRPr="009F3C3E">
              <w:rPr>
                <w:rFonts w:ascii="Arial" w:hAnsi="Arial"/>
                <w:sz w:val="20"/>
              </w:rPr>
              <w:t>c. Más pénzügyi intézmények által kibocsátott értékpapírok állománya</w:t>
            </w:r>
          </w:p>
        </w:tc>
        <w:tc>
          <w:tcPr>
            <w:tcW w:w="2745" w:type="dxa"/>
            <w:tcBorders>
              <w:left w:val="nil"/>
              <w:right w:val="nil"/>
            </w:tcBorders>
            <w:noWrap/>
            <w:hideMark/>
          </w:tcPr>
          <w:p w:rsidRPr="009F3C3E" w:rsidR="00060A12" w:rsidP="00AD2BC8" w:rsidRDefault="00060A12" w14:paraId="746476BD" w14:textId="77777777">
            <w:pPr>
              <w:ind w:firstLine="200" w:firstLineChars="100"/>
              <w:rPr>
                <w:rFonts w:ascii="Arial" w:hAnsi="Arial" w:eastAsia="Times New Roman" w:cs="Arial"/>
                <w:sz w:val="20"/>
                <w:szCs w:val="20"/>
              </w:rPr>
            </w:pPr>
            <w:r w:rsidRPr="009F3C3E">
              <w:rPr>
                <w:rFonts w:ascii="Arial" w:hAnsi="Arial"/>
                <w:sz w:val="20"/>
              </w:rPr>
              <w:t> </w:t>
            </w:r>
          </w:p>
        </w:tc>
      </w:tr>
      <w:tr w:rsidRPr="009F3C3E" w:rsidR="00060A12" w:rsidTr="00AD2BC8" w14:paraId="06817915" w14:textId="77777777">
        <w:trPr>
          <w:trHeight w:val="300"/>
        </w:trPr>
        <w:tc>
          <w:tcPr>
            <w:tcW w:w="6804" w:type="dxa"/>
            <w:tcBorders>
              <w:left w:val="nil"/>
              <w:right w:val="nil"/>
            </w:tcBorders>
            <w:noWrap/>
            <w:hideMark/>
          </w:tcPr>
          <w:p w:rsidRPr="009F3C3E" w:rsidR="00060A12" w:rsidP="00AD2BC8" w:rsidRDefault="00060A12" w14:paraId="30C35DD5" w14:textId="77777777">
            <w:pPr>
              <w:ind w:firstLine="400" w:firstLineChars="200"/>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Hitelviszonyt megtestesítő fedezett értékpapírok</w:t>
            </w:r>
          </w:p>
        </w:tc>
        <w:tc>
          <w:tcPr>
            <w:tcW w:w="2745" w:type="dxa"/>
            <w:tcBorders>
              <w:left w:val="nil"/>
              <w:right w:val="nil"/>
            </w:tcBorders>
            <w:noWrap/>
            <w:hideMark/>
          </w:tcPr>
          <w:p w:rsidRPr="009F3C3E" w:rsidR="00060A12" w:rsidP="00AD2BC8" w:rsidRDefault="00060A12" w14:paraId="51F386A6"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0BEEFA27" w14:textId="77777777">
        <w:trPr>
          <w:trHeight w:val="300"/>
        </w:trPr>
        <w:tc>
          <w:tcPr>
            <w:tcW w:w="6804" w:type="dxa"/>
            <w:tcBorders>
              <w:left w:val="nil"/>
              <w:right w:val="nil"/>
            </w:tcBorders>
            <w:noWrap/>
            <w:hideMark/>
          </w:tcPr>
          <w:p w:rsidRPr="009F3C3E" w:rsidR="00060A12" w:rsidP="00AD2BC8" w:rsidRDefault="00060A12" w14:paraId="300EC7E3" w14:textId="77777777">
            <w:pPr>
              <w:ind w:firstLine="400" w:firstLineChars="200"/>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Hitelviszonyt megtestesítő fedezetlen elsőbbségi értékpapírok</w:t>
            </w:r>
          </w:p>
        </w:tc>
        <w:tc>
          <w:tcPr>
            <w:tcW w:w="2745" w:type="dxa"/>
            <w:tcBorders>
              <w:left w:val="nil"/>
              <w:right w:val="nil"/>
            </w:tcBorders>
            <w:noWrap/>
            <w:hideMark/>
          </w:tcPr>
          <w:p w:rsidRPr="009F3C3E" w:rsidR="00060A12" w:rsidP="00AD2BC8" w:rsidRDefault="00060A12" w14:paraId="42171E37"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329EE6C4" w14:textId="77777777">
        <w:trPr>
          <w:trHeight w:val="300"/>
        </w:trPr>
        <w:tc>
          <w:tcPr>
            <w:tcW w:w="6804" w:type="dxa"/>
            <w:tcBorders>
              <w:left w:val="nil"/>
              <w:right w:val="nil"/>
            </w:tcBorders>
            <w:noWrap/>
            <w:hideMark/>
          </w:tcPr>
          <w:p w:rsidRPr="009F3C3E" w:rsidR="00060A12" w:rsidP="00AD2BC8" w:rsidRDefault="00060A12" w14:paraId="69FF594C" w14:textId="77777777">
            <w:pPr>
              <w:ind w:firstLine="400" w:firstLineChars="200"/>
              <w:rPr>
                <w:rFonts w:ascii="Arial" w:hAnsi="Arial" w:eastAsia="Times New Roman" w:cs="Arial"/>
                <w:sz w:val="20"/>
                <w:szCs w:val="20"/>
              </w:rPr>
            </w:pPr>
            <w:r w:rsidRPr="009F3C3E">
              <w:rPr>
                <w:rFonts w:ascii="Arial" w:hAnsi="Arial"/>
                <w:sz w:val="20"/>
                <w:lang w:eastAsia="en-GB"/>
              </w:rPr>
              <w:t xml:space="preserve">(3) </w:t>
            </w:r>
            <w:r w:rsidRPr="009F3C3E">
              <w:rPr>
                <w:rFonts w:ascii="Arial" w:hAnsi="Arial"/>
                <w:sz w:val="20"/>
              </w:rPr>
              <w:t>Hitelviszonyt megtestesítő alárendelt értékpapírok</w:t>
            </w:r>
          </w:p>
        </w:tc>
        <w:tc>
          <w:tcPr>
            <w:tcW w:w="2745" w:type="dxa"/>
            <w:tcBorders>
              <w:left w:val="nil"/>
              <w:right w:val="nil"/>
            </w:tcBorders>
            <w:noWrap/>
            <w:hideMark/>
          </w:tcPr>
          <w:p w:rsidRPr="009F3C3E" w:rsidR="00060A12" w:rsidP="00AD2BC8" w:rsidRDefault="00060A12" w14:paraId="04119C1E"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B85AA30" w14:textId="77777777">
        <w:trPr>
          <w:trHeight w:val="300"/>
        </w:trPr>
        <w:tc>
          <w:tcPr>
            <w:tcW w:w="6804" w:type="dxa"/>
            <w:tcBorders>
              <w:left w:val="nil"/>
              <w:right w:val="nil"/>
            </w:tcBorders>
            <w:noWrap/>
            <w:hideMark/>
          </w:tcPr>
          <w:p w:rsidRPr="009F3C3E" w:rsidR="00060A12" w:rsidP="00AD2BC8" w:rsidRDefault="00060A12" w14:paraId="1507CC11" w14:textId="77777777">
            <w:pPr>
              <w:ind w:firstLine="400" w:firstLineChars="200"/>
              <w:rPr>
                <w:rFonts w:ascii="Arial" w:hAnsi="Arial" w:eastAsia="Times New Roman" w:cs="Arial"/>
                <w:sz w:val="20"/>
                <w:szCs w:val="20"/>
              </w:rPr>
            </w:pPr>
            <w:r w:rsidRPr="009F3C3E">
              <w:rPr>
                <w:rFonts w:ascii="Arial" w:hAnsi="Arial"/>
                <w:sz w:val="20"/>
                <w:lang w:eastAsia="en-GB"/>
              </w:rPr>
              <w:t xml:space="preserve">(4) </w:t>
            </w:r>
            <w:r w:rsidRPr="009F3C3E">
              <w:rPr>
                <w:rFonts w:ascii="Arial" w:hAnsi="Arial"/>
                <w:sz w:val="20"/>
              </w:rPr>
              <w:t xml:space="preserve">Kereskedelmi értékpapírok </w:t>
            </w:r>
          </w:p>
        </w:tc>
        <w:tc>
          <w:tcPr>
            <w:tcW w:w="2745" w:type="dxa"/>
            <w:tcBorders>
              <w:left w:val="nil"/>
              <w:right w:val="nil"/>
            </w:tcBorders>
            <w:noWrap/>
            <w:hideMark/>
          </w:tcPr>
          <w:p w:rsidRPr="009F3C3E" w:rsidR="00060A12" w:rsidP="00AD2BC8" w:rsidRDefault="00060A12" w14:paraId="672C5A00"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2F8D0EC" w14:textId="77777777">
        <w:trPr>
          <w:trHeight w:val="300"/>
        </w:trPr>
        <w:tc>
          <w:tcPr>
            <w:tcW w:w="6804" w:type="dxa"/>
            <w:tcBorders>
              <w:left w:val="nil"/>
              <w:bottom w:val="single" w:color="auto" w:sz="4" w:space="0"/>
              <w:right w:val="nil"/>
            </w:tcBorders>
            <w:noWrap/>
            <w:hideMark/>
          </w:tcPr>
          <w:p w:rsidRPr="009F3C3E" w:rsidR="00060A12" w:rsidP="00AD2BC8" w:rsidRDefault="00060A12" w14:paraId="41DEB467" w14:textId="77777777">
            <w:pPr>
              <w:ind w:firstLine="400" w:firstLineChars="200"/>
              <w:rPr>
                <w:rFonts w:ascii="Arial" w:hAnsi="Arial" w:eastAsia="Times New Roman" w:cs="Arial"/>
                <w:sz w:val="20"/>
                <w:szCs w:val="20"/>
              </w:rPr>
            </w:pPr>
            <w:r w:rsidRPr="009F3C3E">
              <w:rPr>
                <w:rFonts w:ascii="Arial" w:hAnsi="Arial"/>
                <w:sz w:val="20"/>
                <w:lang w:eastAsia="en-GB"/>
              </w:rPr>
              <w:t xml:space="preserve">(5) </w:t>
            </w:r>
            <w:r w:rsidRPr="009F3C3E">
              <w:rPr>
                <w:rFonts w:ascii="Arial" w:hAnsi="Arial"/>
                <w:sz w:val="20"/>
              </w:rPr>
              <w:t>Tulajdonviszonyt megtestesítő értékpapírok</w:t>
            </w:r>
          </w:p>
        </w:tc>
        <w:tc>
          <w:tcPr>
            <w:tcW w:w="2745" w:type="dxa"/>
            <w:tcBorders>
              <w:left w:val="nil"/>
              <w:right w:val="nil"/>
            </w:tcBorders>
            <w:noWrap/>
            <w:hideMark/>
          </w:tcPr>
          <w:p w:rsidRPr="009F3C3E" w:rsidR="00060A12" w:rsidP="00AD2BC8" w:rsidRDefault="00060A12" w14:paraId="17BB9967"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0035EE0" w14:textId="77777777">
        <w:trPr>
          <w:trHeight w:val="300"/>
        </w:trPr>
        <w:tc>
          <w:tcPr>
            <w:tcW w:w="6804" w:type="dxa"/>
            <w:tcBorders>
              <w:left w:val="nil"/>
              <w:bottom w:val="single" w:color="auto" w:sz="4" w:space="0"/>
              <w:right w:val="nil"/>
            </w:tcBorders>
            <w:noWrap/>
          </w:tcPr>
          <w:p w:rsidRPr="009F3C3E" w:rsidR="00060A12" w:rsidP="00AD2BC8" w:rsidRDefault="00060A12" w14:paraId="6E73B2AA" w14:textId="77777777">
            <w:pPr>
              <w:ind w:left="313" w:firstLine="86" w:firstLineChars="43"/>
              <w:rPr>
                <w:rFonts w:ascii="Arial" w:hAnsi="Arial" w:eastAsia="Times New Roman" w:cs="Arial"/>
                <w:sz w:val="20"/>
                <w:szCs w:val="20"/>
              </w:rPr>
            </w:pPr>
            <w:r w:rsidRPr="009F3C3E">
              <w:rPr>
                <w:rFonts w:ascii="Arial" w:hAnsi="Arial"/>
                <w:sz w:val="20"/>
                <w:lang w:eastAsia="en-GB"/>
              </w:rPr>
              <w:t xml:space="preserve">(6) </w:t>
            </w:r>
            <w:r w:rsidRPr="009F3C3E">
              <w:rPr>
                <w:rFonts w:ascii="Arial" w:hAnsi="Arial"/>
                <w:sz w:val="20"/>
              </w:rPr>
              <w:t>A 3.c.(5) tételben szereplő, egyedi tulajdonviszonyt megtestesítő értékpapírok tekintetében fennálló kiegyenlítő rövid pozíciók</w:t>
            </w:r>
          </w:p>
        </w:tc>
        <w:tc>
          <w:tcPr>
            <w:tcW w:w="2745" w:type="dxa"/>
            <w:tcBorders>
              <w:left w:val="nil"/>
              <w:right w:val="nil"/>
            </w:tcBorders>
            <w:noWrap/>
          </w:tcPr>
          <w:p w:rsidRPr="009F3C3E" w:rsidR="00060A12" w:rsidP="00AD2BC8" w:rsidRDefault="00060A12" w14:paraId="679A2827" w14:textId="77777777">
            <w:pPr>
              <w:jc w:val="right"/>
              <w:rPr>
                <w:rFonts w:ascii="Arial" w:hAnsi="Arial" w:eastAsia="Times New Roman" w:cs="Arial"/>
                <w:sz w:val="20"/>
                <w:szCs w:val="20"/>
                <w:lang w:eastAsia="en-GB"/>
              </w:rPr>
            </w:pPr>
          </w:p>
        </w:tc>
      </w:tr>
      <w:tr w:rsidRPr="009F3C3E" w:rsidR="00060A12" w:rsidTr="00AD2BC8" w14:paraId="39DF1167" w14:textId="77777777">
        <w:trPr>
          <w:trHeight w:val="300"/>
        </w:trPr>
        <w:tc>
          <w:tcPr>
            <w:tcW w:w="6804" w:type="dxa"/>
            <w:tcBorders>
              <w:left w:val="nil"/>
              <w:bottom w:val="single" w:color="auto" w:sz="4" w:space="0"/>
              <w:right w:val="nil"/>
            </w:tcBorders>
            <w:noWrap/>
          </w:tcPr>
          <w:p w:rsidRPr="009F3C3E" w:rsidR="00060A12" w:rsidP="00AD2BC8" w:rsidRDefault="00060A12" w14:paraId="3C5B70C5" w14:textId="77777777">
            <w:pPr>
              <w:ind w:firstLine="171"/>
              <w:rPr>
                <w:rFonts w:ascii="Arial" w:hAnsi="Arial" w:eastAsia="Times New Roman" w:cs="Arial"/>
                <w:sz w:val="20"/>
                <w:szCs w:val="20"/>
              </w:rPr>
            </w:pPr>
            <w:r w:rsidRPr="009F3C3E">
              <w:rPr>
                <w:rFonts w:ascii="Arial" w:hAnsi="Arial"/>
                <w:sz w:val="20"/>
              </w:rPr>
              <w:t>d. Más pénzügyi intézményekkel folytatott értékpapír-finanszírozási ügyletekből eredő nettó pozitív aktuális kitettség</w:t>
            </w:r>
          </w:p>
        </w:tc>
        <w:tc>
          <w:tcPr>
            <w:tcW w:w="2745" w:type="dxa"/>
            <w:tcBorders>
              <w:left w:val="nil"/>
              <w:right w:val="nil"/>
            </w:tcBorders>
            <w:noWrap/>
          </w:tcPr>
          <w:p w:rsidRPr="009F3C3E" w:rsidR="00060A12" w:rsidP="00AD2BC8" w:rsidRDefault="00060A12" w14:paraId="1B0214A7" w14:textId="77777777">
            <w:pPr>
              <w:jc w:val="right"/>
              <w:rPr>
                <w:rFonts w:ascii="Arial" w:hAnsi="Arial" w:eastAsia="Times New Roman" w:cs="Arial"/>
                <w:sz w:val="20"/>
                <w:szCs w:val="20"/>
                <w:lang w:eastAsia="en-GB"/>
              </w:rPr>
            </w:pPr>
          </w:p>
        </w:tc>
      </w:tr>
      <w:tr w:rsidRPr="009F3C3E" w:rsidR="00060A12" w:rsidTr="00AD2BC8" w14:paraId="32309E6F" w14:textId="77777777">
        <w:trPr>
          <w:trHeight w:val="300"/>
        </w:trPr>
        <w:tc>
          <w:tcPr>
            <w:tcW w:w="6804" w:type="dxa"/>
            <w:tcBorders>
              <w:left w:val="nil"/>
              <w:bottom w:val="single" w:color="auto" w:sz="4" w:space="0"/>
              <w:right w:val="nil"/>
            </w:tcBorders>
            <w:noWrap/>
          </w:tcPr>
          <w:p w:rsidRPr="009F3C3E" w:rsidR="00060A12" w:rsidP="00AD2BC8" w:rsidRDefault="00060A12" w14:paraId="3DAB61E1" w14:textId="77777777">
            <w:pPr>
              <w:ind w:left="171"/>
              <w:rPr>
                <w:rFonts w:ascii="Arial" w:hAnsi="Arial" w:eastAsia="Times New Roman" w:cs="Arial"/>
                <w:sz w:val="20"/>
                <w:szCs w:val="20"/>
              </w:rPr>
            </w:pPr>
            <w:r w:rsidRPr="009F3C3E">
              <w:rPr>
                <w:rFonts w:ascii="Arial" w:hAnsi="Arial"/>
                <w:sz w:val="20"/>
              </w:rPr>
              <w:t>e. Tőzsdén kívül forgalmazott, nettó pozitív valós értékkel rendelkező származtatott eszközökre vonatkozó, más pénzügyi intézményekkel folytatott ügyletek</w:t>
            </w:r>
          </w:p>
        </w:tc>
        <w:tc>
          <w:tcPr>
            <w:tcW w:w="2745" w:type="dxa"/>
            <w:tcBorders>
              <w:left w:val="nil"/>
              <w:right w:val="nil"/>
            </w:tcBorders>
            <w:noWrap/>
          </w:tcPr>
          <w:p w:rsidRPr="009F3C3E" w:rsidR="00060A12" w:rsidP="00AD2BC8" w:rsidRDefault="00060A12" w14:paraId="72D6B6D2" w14:textId="77777777">
            <w:pPr>
              <w:jc w:val="right"/>
              <w:rPr>
                <w:rFonts w:ascii="Arial" w:hAnsi="Arial" w:eastAsia="Times New Roman" w:cs="Arial"/>
                <w:sz w:val="20"/>
                <w:szCs w:val="20"/>
                <w:lang w:eastAsia="en-GB"/>
              </w:rPr>
            </w:pPr>
          </w:p>
        </w:tc>
      </w:tr>
      <w:tr w:rsidRPr="009F3C3E" w:rsidR="00060A12" w:rsidTr="00AD2BC8" w14:paraId="046C3B73" w14:textId="77777777">
        <w:trPr>
          <w:trHeight w:val="300"/>
        </w:trPr>
        <w:tc>
          <w:tcPr>
            <w:tcW w:w="6804" w:type="dxa"/>
            <w:tcBorders>
              <w:left w:val="nil"/>
              <w:bottom w:val="single" w:color="auto" w:sz="4" w:space="0"/>
              <w:right w:val="nil"/>
            </w:tcBorders>
            <w:noWrap/>
          </w:tcPr>
          <w:p w:rsidRPr="009F3C3E" w:rsidR="00060A12" w:rsidP="00AD2BC8" w:rsidRDefault="00060A12" w14:paraId="0E3AE3D1" w14:textId="77777777">
            <w:pPr>
              <w:ind w:left="313" w:firstLine="86" w:firstLineChars="43"/>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Nettó pozitív valós érték</w:t>
            </w:r>
          </w:p>
        </w:tc>
        <w:tc>
          <w:tcPr>
            <w:tcW w:w="2745" w:type="dxa"/>
            <w:tcBorders>
              <w:left w:val="nil"/>
              <w:right w:val="nil"/>
            </w:tcBorders>
            <w:noWrap/>
          </w:tcPr>
          <w:p w:rsidRPr="009F3C3E" w:rsidR="00060A12" w:rsidP="00AD2BC8" w:rsidRDefault="00060A12" w14:paraId="04427417" w14:textId="77777777">
            <w:pPr>
              <w:jc w:val="right"/>
              <w:rPr>
                <w:rFonts w:ascii="Arial" w:hAnsi="Arial" w:eastAsia="Times New Roman" w:cs="Arial"/>
                <w:sz w:val="20"/>
                <w:szCs w:val="20"/>
                <w:lang w:eastAsia="en-GB"/>
              </w:rPr>
            </w:pPr>
          </w:p>
        </w:tc>
      </w:tr>
      <w:tr w:rsidRPr="009F3C3E" w:rsidR="00060A12" w:rsidTr="00AD2BC8" w14:paraId="634BEDD4" w14:textId="77777777">
        <w:trPr>
          <w:trHeight w:val="300"/>
        </w:trPr>
        <w:tc>
          <w:tcPr>
            <w:tcW w:w="6804" w:type="dxa"/>
            <w:tcBorders>
              <w:left w:val="nil"/>
              <w:bottom w:val="single" w:color="auto" w:sz="4" w:space="0"/>
              <w:right w:val="nil"/>
            </w:tcBorders>
            <w:noWrap/>
          </w:tcPr>
          <w:p w:rsidRPr="009F3C3E" w:rsidR="00060A12" w:rsidP="00AD2BC8" w:rsidRDefault="00060A12" w14:paraId="47315AE2" w14:textId="77777777">
            <w:pPr>
              <w:ind w:left="313" w:firstLine="86" w:firstLineChars="43"/>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Potenciális jövőbeni kitettség</w:t>
            </w:r>
          </w:p>
        </w:tc>
        <w:tc>
          <w:tcPr>
            <w:tcW w:w="2745" w:type="dxa"/>
            <w:tcBorders>
              <w:left w:val="nil"/>
              <w:right w:val="nil"/>
            </w:tcBorders>
            <w:noWrap/>
          </w:tcPr>
          <w:p w:rsidRPr="009F3C3E" w:rsidR="00060A12" w:rsidP="00AD2BC8" w:rsidRDefault="00060A12" w14:paraId="4B785B1B" w14:textId="77777777">
            <w:pPr>
              <w:jc w:val="right"/>
              <w:rPr>
                <w:rFonts w:ascii="Arial" w:hAnsi="Arial" w:eastAsia="Times New Roman" w:cs="Arial"/>
                <w:sz w:val="20"/>
                <w:szCs w:val="20"/>
                <w:lang w:eastAsia="en-GB"/>
              </w:rPr>
            </w:pPr>
          </w:p>
        </w:tc>
      </w:tr>
      <w:tr w:rsidRPr="009F3C3E" w:rsidR="00060A12" w:rsidTr="00AD2BC8" w14:paraId="72E88D28" w14:textId="77777777">
        <w:trPr>
          <w:gridAfter w:val="1"/>
          <w:wAfter w:w="2745" w:type="dxa"/>
          <w:trHeight w:val="450"/>
        </w:trPr>
        <w:tc>
          <w:tcPr>
            <w:tcW w:w="6804" w:type="dxa"/>
            <w:vMerge w:val="restart"/>
            <w:tcBorders>
              <w:left w:val="nil"/>
              <w:right w:val="nil"/>
            </w:tcBorders>
            <w:hideMark/>
          </w:tcPr>
          <w:p w:rsidRPr="009F3C3E" w:rsidR="00060A12" w:rsidP="00AD2BC8" w:rsidRDefault="00060A12" w14:paraId="72EFC1BE" w14:textId="77777777">
            <w:pPr>
              <w:ind w:left="171" w:firstLine="28" w:firstLineChars="14"/>
              <w:rPr>
                <w:rFonts w:ascii="Arial" w:hAnsi="Arial" w:eastAsia="Times New Roman" w:cs="Arial"/>
                <w:sz w:val="20"/>
                <w:szCs w:val="20"/>
              </w:rPr>
            </w:pPr>
            <w:r w:rsidRPr="009F3C3E">
              <w:rPr>
                <w:rFonts w:ascii="Arial" w:hAnsi="Arial"/>
                <w:sz w:val="20"/>
              </w:rPr>
              <w:t>f. A pénzügyi rendszeren belüli eszközök mutatója, beleértve a biztosítási leányvállalatokat is (a 3.a., a 3.b–3.c.(5), a 3.d., a 3.e.(1) és a 3.e.(2) tételek összege mínusz a 3.c.(6) tétel összege)</w:t>
            </w:r>
          </w:p>
        </w:tc>
      </w:tr>
      <w:tr w:rsidRPr="009F3C3E" w:rsidR="00060A12" w:rsidTr="00AD2BC8" w14:paraId="5D5F0575" w14:textId="77777777">
        <w:trPr>
          <w:gridAfter w:val="1"/>
          <w:wAfter w:w="2745" w:type="dxa"/>
          <w:trHeight w:val="450"/>
        </w:trPr>
        <w:tc>
          <w:tcPr>
            <w:tcW w:w="6804" w:type="dxa"/>
            <w:vMerge/>
            <w:tcBorders>
              <w:left w:val="nil"/>
              <w:right w:val="nil"/>
            </w:tcBorders>
            <w:hideMark/>
          </w:tcPr>
          <w:p w:rsidRPr="009F3C3E" w:rsidR="00060A12" w:rsidP="00AD2BC8" w:rsidRDefault="00060A12" w14:paraId="5E7C308A" w14:textId="77777777">
            <w:pPr>
              <w:rPr>
                <w:rFonts w:ascii="Arial" w:hAnsi="Arial" w:eastAsia="Times New Roman" w:cs="Arial"/>
                <w:sz w:val="20"/>
                <w:szCs w:val="20"/>
                <w:lang w:eastAsia="en-GB"/>
              </w:rPr>
            </w:pPr>
          </w:p>
        </w:tc>
      </w:tr>
      <w:tr w:rsidRPr="009F3C3E" w:rsidR="00060A12" w:rsidTr="00AD2BC8" w14:paraId="3AA5FFF6" w14:textId="77777777">
        <w:trPr>
          <w:trHeight w:val="300"/>
        </w:trPr>
        <w:tc>
          <w:tcPr>
            <w:tcW w:w="6804" w:type="dxa"/>
            <w:tcBorders>
              <w:left w:val="nil"/>
              <w:bottom w:val="nil"/>
              <w:right w:val="nil"/>
            </w:tcBorders>
            <w:noWrap/>
          </w:tcPr>
          <w:p w:rsidRPr="009F3C3E" w:rsidR="00060A12" w:rsidP="00AD2BC8" w:rsidRDefault="00060A12" w14:paraId="216145DA"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2BC188B3" w14:textId="77777777">
            <w:pPr>
              <w:jc w:val="center"/>
              <w:rPr>
                <w:rFonts w:ascii="Arial" w:hAnsi="Arial" w:eastAsia="Times New Roman" w:cs="Arial"/>
                <w:b/>
                <w:bCs/>
                <w:sz w:val="20"/>
                <w:szCs w:val="20"/>
                <w:lang w:eastAsia="en-GB"/>
              </w:rPr>
            </w:pPr>
          </w:p>
        </w:tc>
      </w:tr>
      <w:tr w:rsidRPr="009F3C3E" w:rsidR="00060A12" w:rsidTr="00AD2BC8" w14:paraId="3E87AB5D" w14:textId="77777777">
        <w:trPr>
          <w:trHeight w:val="300"/>
        </w:trPr>
        <w:tc>
          <w:tcPr>
            <w:tcW w:w="6804" w:type="dxa"/>
            <w:tcBorders>
              <w:top w:val="nil"/>
              <w:left w:val="nil"/>
              <w:bottom w:val="single" w:color="auto" w:sz="4" w:space="0"/>
              <w:right w:val="nil"/>
            </w:tcBorders>
            <w:noWrap/>
            <w:hideMark/>
          </w:tcPr>
          <w:p w:rsidRPr="009F3C3E" w:rsidR="00060A12" w:rsidP="00AD2BC8" w:rsidRDefault="00060A12" w14:paraId="0D595E68" w14:textId="77777777">
            <w:pPr>
              <w:rPr>
                <w:rFonts w:ascii="Arial" w:hAnsi="Arial" w:eastAsia="Times New Roman" w:cs="Arial"/>
                <w:b/>
                <w:bCs/>
                <w:sz w:val="20"/>
                <w:szCs w:val="20"/>
              </w:rPr>
            </w:pPr>
            <w:r w:rsidRPr="009F3C3E">
              <w:rPr>
                <w:rFonts w:ascii="Arial" w:hAnsi="Arial"/>
                <w:b/>
                <w:sz w:val="20"/>
              </w:rPr>
              <w:t>4. szakasz – Pénzügyi rendszeren belüli kötelezettségek</w:t>
            </w:r>
          </w:p>
        </w:tc>
        <w:tc>
          <w:tcPr>
            <w:tcW w:w="2745" w:type="dxa"/>
            <w:tcBorders>
              <w:top w:val="nil"/>
              <w:left w:val="nil"/>
              <w:right w:val="nil"/>
            </w:tcBorders>
            <w:hideMark/>
          </w:tcPr>
          <w:p w:rsidRPr="009F3C3E" w:rsidR="00060A12" w:rsidP="00AD2BC8" w:rsidRDefault="00060A12" w14:paraId="38876DAF"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45E163A2" w14:textId="77777777">
        <w:trPr>
          <w:gridAfter w:val="1"/>
          <w:wAfter w:w="2745" w:type="dxa"/>
          <w:trHeight w:val="300"/>
        </w:trPr>
        <w:tc>
          <w:tcPr>
            <w:tcW w:w="6804" w:type="dxa"/>
            <w:tcBorders>
              <w:left w:val="nil"/>
              <w:right w:val="nil"/>
            </w:tcBorders>
            <w:noWrap/>
            <w:hideMark/>
          </w:tcPr>
          <w:p w:rsidRPr="009F3C3E" w:rsidR="00060A12" w:rsidP="00AD2BC8" w:rsidRDefault="00060A12" w14:paraId="75C5F1FD" w14:textId="77777777">
            <w:pPr>
              <w:ind w:left="171" w:firstLine="28" w:firstLineChars="14"/>
              <w:rPr>
                <w:rFonts w:ascii="Arial" w:hAnsi="Arial" w:eastAsia="Times New Roman" w:cs="Arial"/>
                <w:sz w:val="20"/>
                <w:szCs w:val="20"/>
              </w:rPr>
            </w:pPr>
            <w:r w:rsidRPr="009F3C3E">
              <w:rPr>
                <w:rFonts w:ascii="Arial" w:hAnsi="Arial"/>
                <w:sz w:val="20"/>
              </w:rPr>
              <w:t>a. Más pénzügyi intézmény által elhelyezett vagy attól kölcsönvett összegek</w:t>
            </w:r>
          </w:p>
        </w:tc>
      </w:tr>
      <w:tr w:rsidRPr="009F3C3E" w:rsidR="00060A12" w:rsidTr="00AD2BC8" w14:paraId="764F2C7C" w14:textId="77777777">
        <w:trPr>
          <w:trHeight w:val="300"/>
        </w:trPr>
        <w:tc>
          <w:tcPr>
            <w:tcW w:w="6804" w:type="dxa"/>
            <w:tcBorders>
              <w:left w:val="nil"/>
              <w:right w:val="nil"/>
            </w:tcBorders>
            <w:noWrap/>
            <w:hideMark/>
          </w:tcPr>
          <w:p w:rsidRPr="009F3C3E" w:rsidR="00060A12" w:rsidP="00AD2BC8" w:rsidRDefault="00060A12" w14:paraId="72B806E7" w14:textId="77777777">
            <w:pPr>
              <w:ind w:firstLine="400" w:firstLineChars="200"/>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Letétkezelő intézmények betétei</w:t>
            </w:r>
          </w:p>
        </w:tc>
        <w:tc>
          <w:tcPr>
            <w:tcW w:w="2745" w:type="dxa"/>
            <w:tcBorders>
              <w:left w:val="nil"/>
              <w:right w:val="nil"/>
            </w:tcBorders>
            <w:noWrap/>
            <w:hideMark/>
          </w:tcPr>
          <w:p w:rsidRPr="009F3C3E" w:rsidR="00060A12" w:rsidP="00AD2BC8" w:rsidRDefault="00060A12" w14:paraId="18EDCFF2"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7BA1B4F8" w14:textId="77777777">
        <w:trPr>
          <w:trHeight w:val="300"/>
        </w:trPr>
        <w:tc>
          <w:tcPr>
            <w:tcW w:w="6804" w:type="dxa"/>
            <w:tcBorders>
              <w:left w:val="nil"/>
              <w:right w:val="nil"/>
            </w:tcBorders>
            <w:noWrap/>
            <w:hideMark/>
          </w:tcPr>
          <w:p w:rsidRPr="009F3C3E" w:rsidR="00060A12" w:rsidP="00AD2BC8" w:rsidRDefault="00060A12" w14:paraId="566A8C61" w14:textId="77777777">
            <w:pPr>
              <w:ind w:firstLine="400" w:firstLineChars="200"/>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Nem letétkezelő pénzügyi intézmények betétei</w:t>
            </w:r>
          </w:p>
        </w:tc>
        <w:tc>
          <w:tcPr>
            <w:tcW w:w="2745" w:type="dxa"/>
            <w:tcBorders>
              <w:left w:val="nil"/>
              <w:right w:val="nil"/>
            </w:tcBorders>
            <w:noWrap/>
            <w:hideMark/>
          </w:tcPr>
          <w:p w:rsidRPr="009F3C3E" w:rsidR="00060A12" w:rsidP="00AD2BC8" w:rsidRDefault="00060A12" w14:paraId="50983E7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57CFEF2" w14:textId="77777777">
        <w:trPr>
          <w:trHeight w:val="300"/>
        </w:trPr>
        <w:tc>
          <w:tcPr>
            <w:tcW w:w="6804" w:type="dxa"/>
            <w:tcBorders>
              <w:left w:val="nil"/>
              <w:right w:val="nil"/>
            </w:tcBorders>
            <w:noWrap/>
            <w:hideMark/>
          </w:tcPr>
          <w:p w:rsidRPr="009F3C3E" w:rsidR="00060A12" w:rsidP="00AD2BC8" w:rsidRDefault="00060A12" w14:paraId="05A88875" w14:textId="77777777">
            <w:pPr>
              <w:ind w:firstLine="400" w:firstLineChars="200"/>
              <w:rPr>
                <w:rFonts w:ascii="Arial" w:hAnsi="Arial" w:eastAsia="Times New Roman" w:cs="Arial"/>
                <w:sz w:val="20"/>
                <w:szCs w:val="20"/>
              </w:rPr>
            </w:pPr>
            <w:r w:rsidRPr="009F3C3E">
              <w:rPr>
                <w:rFonts w:ascii="Arial" w:hAnsi="Arial"/>
                <w:sz w:val="20"/>
                <w:lang w:eastAsia="en-GB"/>
              </w:rPr>
              <w:t xml:space="preserve">(3) </w:t>
            </w:r>
            <w:r w:rsidRPr="009F3C3E">
              <w:rPr>
                <w:rFonts w:ascii="Arial" w:hAnsi="Arial"/>
                <w:sz w:val="20"/>
              </w:rPr>
              <w:t>Más pénzügyi intézményektől felvett kölcsönök</w:t>
            </w:r>
          </w:p>
        </w:tc>
        <w:tc>
          <w:tcPr>
            <w:tcW w:w="2745" w:type="dxa"/>
            <w:tcBorders>
              <w:left w:val="nil"/>
              <w:right w:val="nil"/>
            </w:tcBorders>
            <w:noWrap/>
            <w:hideMark/>
          </w:tcPr>
          <w:p w:rsidRPr="009F3C3E" w:rsidR="00060A12" w:rsidP="00AD2BC8" w:rsidRDefault="00060A12" w14:paraId="2D879572"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5E07F607" w14:textId="77777777">
        <w:trPr>
          <w:trHeight w:val="300"/>
        </w:trPr>
        <w:tc>
          <w:tcPr>
            <w:tcW w:w="6804" w:type="dxa"/>
            <w:tcBorders>
              <w:left w:val="nil"/>
              <w:right w:val="nil"/>
            </w:tcBorders>
            <w:noWrap/>
          </w:tcPr>
          <w:p w:rsidRPr="009F3C3E" w:rsidR="00060A12" w:rsidP="00AD2BC8" w:rsidRDefault="00060A12" w14:paraId="674D5D28" w14:textId="77777777">
            <w:pPr>
              <w:ind w:left="171"/>
              <w:rPr>
                <w:rFonts w:ascii="Arial" w:hAnsi="Arial" w:eastAsia="Times New Roman" w:cs="Arial"/>
                <w:sz w:val="20"/>
                <w:szCs w:val="20"/>
              </w:rPr>
            </w:pPr>
            <w:r w:rsidRPr="009F3C3E">
              <w:rPr>
                <w:rFonts w:ascii="Arial" w:hAnsi="Arial"/>
                <w:sz w:val="20"/>
              </w:rPr>
              <w:t>b. Más pénzügyi intézménytől kapott, rendelkezésre tartott, le nem hívott hitelkeret</w:t>
            </w:r>
          </w:p>
        </w:tc>
        <w:tc>
          <w:tcPr>
            <w:tcW w:w="2745" w:type="dxa"/>
            <w:tcBorders>
              <w:left w:val="nil"/>
              <w:right w:val="nil"/>
            </w:tcBorders>
            <w:noWrap/>
          </w:tcPr>
          <w:p w:rsidRPr="009F3C3E" w:rsidR="00060A12" w:rsidP="00AD2BC8" w:rsidRDefault="00060A12" w14:paraId="1DFBC02B" w14:textId="77777777">
            <w:pPr>
              <w:jc w:val="right"/>
              <w:rPr>
                <w:rFonts w:ascii="Arial" w:hAnsi="Arial" w:eastAsia="Times New Roman" w:cs="Arial"/>
                <w:sz w:val="20"/>
                <w:szCs w:val="20"/>
                <w:lang w:eastAsia="en-GB"/>
              </w:rPr>
            </w:pPr>
          </w:p>
        </w:tc>
      </w:tr>
      <w:tr w:rsidRPr="009F3C3E" w:rsidR="00060A12" w:rsidTr="00AD2BC8" w14:paraId="404A0AFD" w14:textId="77777777">
        <w:trPr>
          <w:trHeight w:val="300"/>
        </w:trPr>
        <w:tc>
          <w:tcPr>
            <w:tcW w:w="6804" w:type="dxa"/>
            <w:tcBorders>
              <w:left w:val="nil"/>
              <w:right w:val="nil"/>
            </w:tcBorders>
            <w:noWrap/>
          </w:tcPr>
          <w:p w:rsidRPr="009F3C3E" w:rsidR="00060A12" w:rsidP="00AD2BC8" w:rsidRDefault="00060A12" w14:paraId="72766486" w14:textId="77777777">
            <w:pPr>
              <w:ind w:left="171"/>
              <w:rPr>
                <w:rFonts w:ascii="Arial" w:hAnsi="Arial" w:eastAsia="Times New Roman" w:cs="Arial"/>
                <w:sz w:val="20"/>
                <w:szCs w:val="20"/>
              </w:rPr>
            </w:pPr>
            <w:r w:rsidRPr="009F3C3E">
              <w:rPr>
                <w:rFonts w:ascii="Arial" w:hAnsi="Arial"/>
                <w:sz w:val="20"/>
              </w:rPr>
              <w:t>c. Más pénzügyi intézményekkel folytatott értékpapír-finanszírozási ügyletekből eredő nettó negatív aktuális kitettség</w:t>
            </w:r>
          </w:p>
        </w:tc>
        <w:tc>
          <w:tcPr>
            <w:tcW w:w="2745" w:type="dxa"/>
            <w:tcBorders>
              <w:left w:val="nil"/>
              <w:right w:val="nil"/>
            </w:tcBorders>
            <w:noWrap/>
          </w:tcPr>
          <w:p w:rsidRPr="009F3C3E" w:rsidR="00060A12" w:rsidP="00AD2BC8" w:rsidRDefault="00060A12" w14:paraId="42FB5DCB" w14:textId="77777777">
            <w:pPr>
              <w:jc w:val="right"/>
              <w:rPr>
                <w:rFonts w:ascii="Arial" w:hAnsi="Arial" w:eastAsia="Times New Roman" w:cs="Arial"/>
                <w:sz w:val="20"/>
                <w:szCs w:val="20"/>
                <w:lang w:eastAsia="en-GB"/>
              </w:rPr>
            </w:pPr>
          </w:p>
        </w:tc>
      </w:tr>
      <w:tr w:rsidRPr="009F3C3E" w:rsidR="00060A12" w:rsidTr="00AD2BC8" w14:paraId="6257AADF" w14:textId="77777777">
        <w:trPr>
          <w:trHeight w:val="300"/>
        </w:trPr>
        <w:tc>
          <w:tcPr>
            <w:tcW w:w="6804" w:type="dxa"/>
            <w:tcBorders>
              <w:left w:val="nil"/>
              <w:bottom w:val="single" w:color="auto" w:sz="4" w:space="0"/>
              <w:right w:val="nil"/>
            </w:tcBorders>
            <w:noWrap/>
          </w:tcPr>
          <w:p w:rsidRPr="009F3C3E" w:rsidR="00060A12" w:rsidP="00AD2BC8" w:rsidRDefault="00060A12" w14:paraId="7394685E" w14:textId="77777777">
            <w:pPr>
              <w:ind w:left="171"/>
              <w:rPr>
                <w:rFonts w:ascii="Arial" w:hAnsi="Arial" w:eastAsia="Times New Roman" w:cs="Arial"/>
                <w:sz w:val="20"/>
                <w:szCs w:val="20"/>
              </w:rPr>
            </w:pPr>
            <w:r w:rsidRPr="009F3C3E">
              <w:rPr>
                <w:rFonts w:ascii="Arial" w:hAnsi="Arial"/>
                <w:sz w:val="20"/>
              </w:rPr>
              <w:lastRenderedPageBreak/>
              <w:t>d. Tőzsdén kívül forgalmazott, nettó negatív valós értékkel rendelkező származtatott eszközökre vonatkozó, más pénzügyi intézményekkel folytatott ügyletek</w:t>
            </w:r>
          </w:p>
        </w:tc>
        <w:tc>
          <w:tcPr>
            <w:tcW w:w="2745" w:type="dxa"/>
            <w:tcBorders>
              <w:left w:val="nil"/>
              <w:bottom w:val="single" w:color="auto" w:sz="4" w:space="0"/>
              <w:right w:val="nil"/>
            </w:tcBorders>
            <w:noWrap/>
          </w:tcPr>
          <w:p w:rsidRPr="009F3C3E" w:rsidR="00060A12" w:rsidP="00AD2BC8" w:rsidRDefault="00060A12" w14:paraId="1F74E3E6" w14:textId="77777777">
            <w:pPr>
              <w:jc w:val="right"/>
              <w:rPr>
                <w:rFonts w:ascii="Arial" w:hAnsi="Arial" w:eastAsia="Times New Roman" w:cs="Arial"/>
                <w:sz w:val="20"/>
                <w:szCs w:val="20"/>
                <w:lang w:eastAsia="en-GB"/>
              </w:rPr>
            </w:pPr>
          </w:p>
        </w:tc>
      </w:tr>
      <w:tr w:rsidRPr="009F3C3E" w:rsidR="00060A12" w:rsidTr="00AD2BC8" w14:paraId="2A3E9DAF" w14:textId="77777777">
        <w:trPr>
          <w:trHeight w:val="300"/>
        </w:trPr>
        <w:tc>
          <w:tcPr>
            <w:tcW w:w="6804" w:type="dxa"/>
            <w:tcBorders>
              <w:left w:val="nil"/>
              <w:right w:val="nil"/>
            </w:tcBorders>
            <w:noWrap/>
            <w:hideMark/>
          </w:tcPr>
          <w:p w:rsidRPr="009F3C3E" w:rsidR="00060A12" w:rsidP="00AD2BC8" w:rsidRDefault="00060A12" w14:paraId="58430F51" w14:textId="77777777">
            <w:pPr>
              <w:ind w:firstLine="400" w:firstLineChars="200"/>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Nettó negatív valós érték</w:t>
            </w:r>
          </w:p>
        </w:tc>
        <w:tc>
          <w:tcPr>
            <w:tcW w:w="2745" w:type="dxa"/>
            <w:tcBorders>
              <w:left w:val="nil"/>
              <w:right w:val="nil"/>
            </w:tcBorders>
            <w:noWrap/>
            <w:hideMark/>
          </w:tcPr>
          <w:p w:rsidRPr="009F3C3E" w:rsidR="00060A12" w:rsidP="00AD2BC8" w:rsidRDefault="00060A12" w14:paraId="1FAF7C41"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3C0ED41" w14:textId="77777777">
        <w:trPr>
          <w:trHeight w:val="300"/>
        </w:trPr>
        <w:tc>
          <w:tcPr>
            <w:tcW w:w="6804" w:type="dxa"/>
            <w:tcBorders>
              <w:left w:val="nil"/>
              <w:right w:val="nil"/>
            </w:tcBorders>
            <w:noWrap/>
            <w:hideMark/>
          </w:tcPr>
          <w:p w:rsidRPr="009F3C3E" w:rsidR="00060A12" w:rsidP="00AD2BC8" w:rsidRDefault="00060A12" w14:paraId="3F3414C5" w14:textId="77777777">
            <w:pPr>
              <w:ind w:firstLine="400" w:firstLineChars="200"/>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Potenciális jövőbeni kitettség</w:t>
            </w:r>
          </w:p>
        </w:tc>
        <w:tc>
          <w:tcPr>
            <w:tcW w:w="2745" w:type="dxa"/>
            <w:tcBorders>
              <w:left w:val="nil"/>
              <w:right w:val="nil"/>
            </w:tcBorders>
            <w:noWrap/>
            <w:hideMark/>
          </w:tcPr>
          <w:p w:rsidRPr="009F3C3E" w:rsidR="00060A12" w:rsidP="00AD2BC8" w:rsidRDefault="00060A12" w14:paraId="4C0DAD5F"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06C572AF" w14:textId="77777777">
        <w:trPr>
          <w:trHeight w:val="300"/>
        </w:trPr>
        <w:tc>
          <w:tcPr>
            <w:tcW w:w="6804" w:type="dxa"/>
            <w:tcBorders>
              <w:left w:val="nil"/>
              <w:bottom w:val="single" w:color="auto" w:sz="4" w:space="0"/>
              <w:right w:val="nil"/>
            </w:tcBorders>
            <w:noWrap/>
          </w:tcPr>
          <w:p w:rsidRPr="009F3C3E" w:rsidR="00060A12" w:rsidP="00AD2BC8" w:rsidRDefault="00060A12" w14:paraId="5B5AA4FD" w14:textId="77777777">
            <w:pPr>
              <w:ind w:left="171"/>
              <w:rPr>
                <w:rFonts w:ascii="Arial" w:hAnsi="Arial" w:eastAsia="Times New Roman" w:cs="Arial"/>
                <w:sz w:val="20"/>
                <w:szCs w:val="20"/>
              </w:rPr>
            </w:pPr>
            <w:r w:rsidRPr="009F3C3E">
              <w:rPr>
                <w:rFonts w:ascii="Arial" w:hAnsi="Arial"/>
                <w:sz w:val="20"/>
              </w:rPr>
              <w:t>e. A pénzügyi rendszeren belüli kötelezettségek mutatója, beleértve a biztosítási leányvállalatokat is (a 4.a.(1)–4.d.(2) tételek összege)</w:t>
            </w:r>
          </w:p>
        </w:tc>
        <w:tc>
          <w:tcPr>
            <w:tcW w:w="2745" w:type="dxa"/>
            <w:tcBorders>
              <w:left w:val="nil"/>
              <w:bottom w:val="single" w:color="auto" w:sz="4" w:space="0"/>
              <w:right w:val="nil"/>
            </w:tcBorders>
            <w:noWrap/>
          </w:tcPr>
          <w:p w:rsidRPr="009F3C3E" w:rsidR="00060A12" w:rsidP="00AD2BC8" w:rsidRDefault="00060A12" w14:paraId="3F78579A" w14:textId="77777777">
            <w:pPr>
              <w:jc w:val="right"/>
              <w:rPr>
                <w:rFonts w:ascii="Arial" w:hAnsi="Arial" w:eastAsia="Times New Roman" w:cs="Arial"/>
                <w:sz w:val="20"/>
                <w:szCs w:val="20"/>
                <w:lang w:eastAsia="en-GB"/>
              </w:rPr>
            </w:pPr>
          </w:p>
        </w:tc>
      </w:tr>
      <w:tr w:rsidRPr="009F3C3E" w:rsidR="00060A12" w:rsidTr="00AD2BC8" w14:paraId="27A083B6" w14:textId="77777777">
        <w:trPr>
          <w:trHeight w:val="300"/>
        </w:trPr>
        <w:tc>
          <w:tcPr>
            <w:tcW w:w="6804" w:type="dxa"/>
            <w:tcBorders>
              <w:left w:val="nil"/>
              <w:bottom w:val="nil"/>
              <w:right w:val="nil"/>
            </w:tcBorders>
            <w:noWrap/>
          </w:tcPr>
          <w:p w:rsidRPr="009F3C3E" w:rsidR="00060A12" w:rsidP="00AD2BC8" w:rsidRDefault="00060A12" w14:paraId="5FCD5ED7"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64BC51F1" w14:textId="77777777">
            <w:pPr>
              <w:jc w:val="center"/>
              <w:rPr>
                <w:rFonts w:ascii="Arial" w:hAnsi="Arial" w:eastAsia="Times New Roman" w:cs="Arial"/>
                <w:b/>
                <w:bCs/>
                <w:sz w:val="20"/>
                <w:szCs w:val="20"/>
                <w:lang w:eastAsia="en-GB"/>
              </w:rPr>
            </w:pPr>
          </w:p>
        </w:tc>
      </w:tr>
      <w:tr w:rsidRPr="009F3C3E" w:rsidR="00060A12" w:rsidTr="00AD2BC8" w14:paraId="3BC4464F" w14:textId="77777777">
        <w:trPr>
          <w:trHeight w:val="300"/>
        </w:trPr>
        <w:tc>
          <w:tcPr>
            <w:tcW w:w="6804" w:type="dxa"/>
            <w:tcBorders>
              <w:top w:val="nil"/>
              <w:left w:val="nil"/>
              <w:right w:val="nil"/>
            </w:tcBorders>
            <w:noWrap/>
            <w:hideMark/>
          </w:tcPr>
          <w:p w:rsidRPr="009F3C3E" w:rsidR="00060A12" w:rsidP="00AD2BC8" w:rsidRDefault="00060A12" w14:paraId="53E9ABF1" w14:textId="77777777">
            <w:pPr>
              <w:rPr>
                <w:rFonts w:ascii="Arial" w:hAnsi="Arial" w:eastAsia="Times New Roman" w:cs="Arial"/>
                <w:b/>
                <w:bCs/>
                <w:sz w:val="20"/>
                <w:szCs w:val="20"/>
              </w:rPr>
            </w:pPr>
            <w:r w:rsidRPr="009F3C3E">
              <w:rPr>
                <w:rFonts w:ascii="Arial" w:hAnsi="Arial"/>
                <w:b/>
                <w:sz w:val="20"/>
              </w:rPr>
              <w:t>5. szakasz – Forgalomban lévő értékpapírok</w:t>
            </w:r>
          </w:p>
        </w:tc>
        <w:tc>
          <w:tcPr>
            <w:tcW w:w="2745" w:type="dxa"/>
            <w:tcBorders>
              <w:top w:val="nil"/>
              <w:left w:val="nil"/>
              <w:right w:val="nil"/>
            </w:tcBorders>
            <w:hideMark/>
          </w:tcPr>
          <w:p w:rsidRPr="009F3C3E" w:rsidR="00060A12" w:rsidP="00AD2BC8" w:rsidRDefault="00060A12" w14:paraId="467619B0"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2BE3D693" w14:textId="77777777">
        <w:trPr>
          <w:trHeight w:val="300"/>
        </w:trPr>
        <w:tc>
          <w:tcPr>
            <w:tcW w:w="6804" w:type="dxa"/>
            <w:tcBorders>
              <w:left w:val="nil"/>
              <w:right w:val="nil"/>
            </w:tcBorders>
            <w:noWrap/>
            <w:hideMark/>
          </w:tcPr>
          <w:p w:rsidRPr="009F3C3E" w:rsidR="00060A12" w:rsidP="00AD2BC8" w:rsidRDefault="00060A12" w14:paraId="73CA2893" w14:textId="77777777">
            <w:pPr>
              <w:ind w:firstLine="200" w:firstLineChars="100"/>
              <w:rPr>
                <w:rFonts w:ascii="Arial" w:hAnsi="Arial" w:eastAsia="Times New Roman" w:cs="Arial"/>
                <w:sz w:val="20"/>
                <w:szCs w:val="20"/>
              </w:rPr>
            </w:pPr>
            <w:r w:rsidRPr="009F3C3E">
              <w:rPr>
                <w:rFonts w:ascii="Arial" w:hAnsi="Arial"/>
                <w:sz w:val="20"/>
              </w:rPr>
              <w:t>a. Hitelviszonyt megtestesítő fedezett értékpapírok</w:t>
            </w:r>
          </w:p>
        </w:tc>
        <w:tc>
          <w:tcPr>
            <w:tcW w:w="2745" w:type="dxa"/>
            <w:tcBorders>
              <w:left w:val="nil"/>
              <w:right w:val="nil"/>
            </w:tcBorders>
            <w:noWrap/>
            <w:hideMark/>
          </w:tcPr>
          <w:p w:rsidRPr="009F3C3E" w:rsidR="00060A12" w:rsidP="00AD2BC8" w:rsidRDefault="00060A12" w14:paraId="2D83947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F3A983A" w14:textId="77777777">
        <w:trPr>
          <w:trHeight w:val="300"/>
        </w:trPr>
        <w:tc>
          <w:tcPr>
            <w:tcW w:w="6804" w:type="dxa"/>
            <w:tcBorders>
              <w:left w:val="nil"/>
              <w:right w:val="nil"/>
            </w:tcBorders>
            <w:noWrap/>
            <w:hideMark/>
          </w:tcPr>
          <w:p w:rsidRPr="009F3C3E" w:rsidR="00060A12" w:rsidP="00AD2BC8" w:rsidRDefault="00060A12" w14:paraId="5EAB9F77" w14:textId="77777777">
            <w:pPr>
              <w:ind w:firstLine="200" w:firstLineChars="100"/>
              <w:rPr>
                <w:rFonts w:ascii="Arial" w:hAnsi="Arial" w:eastAsia="Times New Roman" w:cs="Arial"/>
                <w:sz w:val="20"/>
                <w:szCs w:val="20"/>
              </w:rPr>
            </w:pPr>
            <w:r w:rsidRPr="009F3C3E">
              <w:rPr>
                <w:rFonts w:ascii="Arial" w:hAnsi="Arial"/>
                <w:sz w:val="20"/>
              </w:rPr>
              <w:t>b. Hitelviszonyt megtestesítő fedezetlen elsőbbségi értékpapírok</w:t>
            </w:r>
          </w:p>
        </w:tc>
        <w:tc>
          <w:tcPr>
            <w:tcW w:w="2745" w:type="dxa"/>
            <w:tcBorders>
              <w:left w:val="nil"/>
              <w:right w:val="nil"/>
            </w:tcBorders>
            <w:noWrap/>
            <w:hideMark/>
          </w:tcPr>
          <w:p w:rsidRPr="009F3C3E" w:rsidR="00060A12" w:rsidP="00AD2BC8" w:rsidRDefault="00060A12" w14:paraId="79117ECE"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5E86B245" w14:textId="77777777">
        <w:trPr>
          <w:trHeight w:val="300"/>
        </w:trPr>
        <w:tc>
          <w:tcPr>
            <w:tcW w:w="6804" w:type="dxa"/>
            <w:tcBorders>
              <w:left w:val="nil"/>
              <w:right w:val="nil"/>
            </w:tcBorders>
            <w:noWrap/>
            <w:hideMark/>
          </w:tcPr>
          <w:p w:rsidRPr="009F3C3E" w:rsidR="00060A12" w:rsidP="00AD2BC8" w:rsidRDefault="00060A12" w14:paraId="75EEB86B" w14:textId="77777777">
            <w:pPr>
              <w:ind w:firstLine="200" w:firstLineChars="100"/>
              <w:rPr>
                <w:rFonts w:ascii="Arial" w:hAnsi="Arial" w:eastAsia="Times New Roman" w:cs="Arial"/>
                <w:sz w:val="20"/>
                <w:szCs w:val="20"/>
              </w:rPr>
            </w:pPr>
            <w:r w:rsidRPr="009F3C3E">
              <w:rPr>
                <w:rFonts w:ascii="Arial" w:hAnsi="Arial"/>
                <w:sz w:val="20"/>
              </w:rPr>
              <w:t>c. Hitelviszonyt megtestesítő alárendelt értékpapírok</w:t>
            </w:r>
          </w:p>
        </w:tc>
        <w:tc>
          <w:tcPr>
            <w:tcW w:w="2745" w:type="dxa"/>
            <w:tcBorders>
              <w:left w:val="nil"/>
              <w:right w:val="nil"/>
            </w:tcBorders>
            <w:noWrap/>
            <w:hideMark/>
          </w:tcPr>
          <w:p w:rsidRPr="009F3C3E" w:rsidR="00060A12" w:rsidP="00AD2BC8" w:rsidRDefault="00060A12" w14:paraId="6225C86C"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74938C4A" w14:textId="77777777">
        <w:trPr>
          <w:trHeight w:val="300"/>
        </w:trPr>
        <w:tc>
          <w:tcPr>
            <w:tcW w:w="6804" w:type="dxa"/>
            <w:tcBorders>
              <w:left w:val="nil"/>
              <w:right w:val="nil"/>
            </w:tcBorders>
            <w:noWrap/>
            <w:hideMark/>
          </w:tcPr>
          <w:p w:rsidRPr="009F3C3E" w:rsidR="00060A12" w:rsidP="00AD2BC8" w:rsidRDefault="00060A12" w14:paraId="7071F581" w14:textId="77777777">
            <w:pPr>
              <w:ind w:firstLine="200" w:firstLineChars="100"/>
              <w:rPr>
                <w:rFonts w:ascii="Arial" w:hAnsi="Arial" w:eastAsia="Times New Roman" w:cs="Arial"/>
                <w:sz w:val="20"/>
                <w:szCs w:val="20"/>
              </w:rPr>
            </w:pPr>
            <w:r w:rsidRPr="009F3C3E">
              <w:rPr>
                <w:rFonts w:ascii="Arial" w:hAnsi="Arial"/>
                <w:sz w:val="20"/>
              </w:rPr>
              <w:t>d. Kereskedelmi értékpapírok</w:t>
            </w:r>
          </w:p>
        </w:tc>
        <w:tc>
          <w:tcPr>
            <w:tcW w:w="2745" w:type="dxa"/>
            <w:tcBorders>
              <w:left w:val="nil"/>
              <w:right w:val="nil"/>
            </w:tcBorders>
            <w:noWrap/>
            <w:hideMark/>
          </w:tcPr>
          <w:p w:rsidRPr="009F3C3E" w:rsidR="00060A12" w:rsidP="00AD2BC8" w:rsidRDefault="00060A12" w14:paraId="5EE43A0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E5115C7" w14:textId="77777777">
        <w:trPr>
          <w:trHeight w:val="300"/>
        </w:trPr>
        <w:tc>
          <w:tcPr>
            <w:tcW w:w="6804" w:type="dxa"/>
            <w:tcBorders>
              <w:left w:val="nil"/>
              <w:right w:val="nil"/>
            </w:tcBorders>
            <w:noWrap/>
            <w:hideMark/>
          </w:tcPr>
          <w:p w:rsidRPr="009F3C3E" w:rsidR="00060A12" w:rsidP="00AD2BC8" w:rsidRDefault="00060A12" w14:paraId="5B79D9FC" w14:textId="77777777">
            <w:pPr>
              <w:ind w:firstLine="200" w:firstLineChars="100"/>
              <w:rPr>
                <w:rFonts w:ascii="Arial" w:hAnsi="Arial" w:eastAsia="Times New Roman" w:cs="Arial"/>
                <w:sz w:val="20"/>
                <w:szCs w:val="20"/>
              </w:rPr>
            </w:pPr>
            <w:r w:rsidRPr="009F3C3E">
              <w:rPr>
                <w:rFonts w:ascii="Arial" w:hAnsi="Arial"/>
                <w:sz w:val="20"/>
              </w:rPr>
              <w:t>e. Letéti jegyek</w:t>
            </w:r>
          </w:p>
        </w:tc>
        <w:tc>
          <w:tcPr>
            <w:tcW w:w="2745" w:type="dxa"/>
            <w:tcBorders>
              <w:left w:val="nil"/>
              <w:right w:val="nil"/>
            </w:tcBorders>
            <w:noWrap/>
            <w:hideMark/>
          </w:tcPr>
          <w:p w:rsidRPr="009F3C3E" w:rsidR="00060A12" w:rsidP="00AD2BC8" w:rsidRDefault="00060A12" w14:paraId="6CAC6FFC"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09756EA6" w14:textId="77777777">
        <w:trPr>
          <w:trHeight w:val="300"/>
        </w:trPr>
        <w:tc>
          <w:tcPr>
            <w:tcW w:w="6804" w:type="dxa"/>
            <w:tcBorders>
              <w:left w:val="nil"/>
              <w:right w:val="nil"/>
            </w:tcBorders>
            <w:noWrap/>
            <w:hideMark/>
          </w:tcPr>
          <w:p w:rsidRPr="009F3C3E" w:rsidR="00060A12" w:rsidP="00AD2BC8" w:rsidRDefault="00060A12" w14:paraId="77BD3740" w14:textId="77777777">
            <w:pPr>
              <w:ind w:firstLine="200" w:firstLineChars="100"/>
              <w:rPr>
                <w:rFonts w:ascii="Arial" w:hAnsi="Arial" w:eastAsia="Times New Roman" w:cs="Arial"/>
                <w:sz w:val="20"/>
                <w:szCs w:val="20"/>
              </w:rPr>
            </w:pPr>
            <w:r w:rsidRPr="009F3C3E">
              <w:rPr>
                <w:rFonts w:ascii="Arial" w:hAnsi="Arial"/>
                <w:sz w:val="20"/>
              </w:rPr>
              <w:t>f. Törzsrészvények</w:t>
            </w:r>
          </w:p>
        </w:tc>
        <w:tc>
          <w:tcPr>
            <w:tcW w:w="2745" w:type="dxa"/>
            <w:tcBorders>
              <w:left w:val="nil"/>
              <w:right w:val="nil"/>
            </w:tcBorders>
            <w:noWrap/>
            <w:hideMark/>
          </w:tcPr>
          <w:p w:rsidRPr="009F3C3E" w:rsidR="00060A12" w:rsidP="00AD2BC8" w:rsidRDefault="00060A12" w14:paraId="30FD88C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3D51A548" w14:textId="77777777">
        <w:trPr>
          <w:trHeight w:val="300"/>
        </w:trPr>
        <w:tc>
          <w:tcPr>
            <w:tcW w:w="6804" w:type="dxa"/>
            <w:tcBorders>
              <w:left w:val="nil"/>
              <w:right w:val="nil"/>
            </w:tcBorders>
            <w:noWrap/>
          </w:tcPr>
          <w:p w:rsidRPr="009F3C3E" w:rsidR="00060A12" w:rsidP="00AD2BC8" w:rsidRDefault="00060A12" w14:paraId="792291CB" w14:textId="77777777">
            <w:pPr>
              <w:ind w:left="171"/>
              <w:rPr>
                <w:rFonts w:ascii="Arial" w:hAnsi="Arial" w:eastAsia="Times New Roman" w:cs="Arial"/>
                <w:sz w:val="20"/>
                <w:szCs w:val="20"/>
              </w:rPr>
            </w:pPr>
            <w:r w:rsidRPr="009F3C3E">
              <w:rPr>
                <w:rFonts w:ascii="Arial" w:hAnsi="Arial"/>
                <w:sz w:val="20"/>
              </w:rPr>
              <w:t>g. Elsőbbségi részvények és az alárendelt kötelezettség 5.c. tételben nem említett egyéb formái.</w:t>
            </w:r>
          </w:p>
        </w:tc>
        <w:tc>
          <w:tcPr>
            <w:tcW w:w="2745" w:type="dxa"/>
            <w:tcBorders>
              <w:left w:val="nil"/>
              <w:right w:val="nil"/>
            </w:tcBorders>
            <w:noWrap/>
          </w:tcPr>
          <w:p w:rsidRPr="009F3C3E" w:rsidR="00060A12" w:rsidP="00AD2BC8" w:rsidRDefault="00060A12" w14:paraId="3E40217E" w14:textId="77777777">
            <w:pPr>
              <w:jc w:val="right"/>
              <w:rPr>
                <w:rFonts w:ascii="Arial" w:hAnsi="Arial" w:eastAsia="Times New Roman" w:cs="Arial"/>
                <w:sz w:val="20"/>
                <w:szCs w:val="20"/>
                <w:lang w:eastAsia="en-GB"/>
              </w:rPr>
            </w:pPr>
          </w:p>
        </w:tc>
      </w:tr>
      <w:tr w:rsidRPr="009F3C3E" w:rsidR="00060A12" w:rsidTr="00AD2BC8" w14:paraId="137EAA5B" w14:textId="77777777">
        <w:trPr>
          <w:trHeight w:val="300"/>
        </w:trPr>
        <w:tc>
          <w:tcPr>
            <w:tcW w:w="6804" w:type="dxa"/>
            <w:tcBorders>
              <w:left w:val="nil"/>
              <w:bottom w:val="single" w:color="auto" w:sz="4" w:space="0"/>
              <w:right w:val="nil"/>
            </w:tcBorders>
            <w:noWrap/>
          </w:tcPr>
          <w:p w:rsidRPr="009F3C3E" w:rsidR="00060A12" w:rsidP="00AD2BC8" w:rsidRDefault="00060A12" w14:paraId="003E9214" w14:textId="77777777">
            <w:pPr>
              <w:ind w:left="171"/>
              <w:rPr>
                <w:rFonts w:ascii="Arial" w:hAnsi="Arial" w:eastAsia="Times New Roman" w:cs="Arial"/>
                <w:sz w:val="20"/>
                <w:szCs w:val="20"/>
              </w:rPr>
            </w:pPr>
            <w:r w:rsidRPr="009F3C3E">
              <w:rPr>
                <w:rFonts w:ascii="Arial" w:hAnsi="Arial"/>
                <w:sz w:val="20"/>
              </w:rPr>
              <w:t>h. A forgalomban lévő értékpapírok mutatója, beleértve a biztosítási leányvállalatok által kibocsátott értékpapírokat is (az 5.a–5.g. tételek összege)</w:t>
            </w:r>
          </w:p>
        </w:tc>
        <w:tc>
          <w:tcPr>
            <w:tcW w:w="2745" w:type="dxa"/>
            <w:tcBorders>
              <w:left w:val="nil"/>
              <w:bottom w:val="single" w:color="auto" w:sz="4" w:space="0"/>
              <w:right w:val="nil"/>
            </w:tcBorders>
            <w:noWrap/>
          </w:tcPr>
          <w:p w:rsidRPr="009F3C3E" w:rsidR="00060A12" w:rsidP="00AD2BC8" w:rsidRDefault="00060A12" w14:paraId="7B76B159" w14:textId="77777777">
            <w:pPr>
              <w:jc w:val="right"/>
              <w:rPr>
                <w:rFonts w:ascii="Arial" w:hAnsi="Arial" w:eastAsia="Times New Roman" w:cs="Arial"/>
                <w:sz w:val="20"/>
                <w:szCs w:val="20"/>
                <w:lang w:eastAsia="en-GB"/>
              </w:rPr>
            </w:pPr>
          </w:p>
        </w:tc>
      </w:tr>
      <w:tr w:rsidRPr="009F3C3E" w:rsidR="00060A12" w:rsidTr="00AD2BC8" w14:paraId="3E4462BC" w14:textId="77777777">
        <w:trPr>
          <w:trHeight w:val="300"/>
        </w:trPr>
        <w:tc>
          <w:tcPr>
            <w:tcW w:w="6804" w:type="dxa"/>
            <w:tcBorders>
              <w:top w:val="single" w:color="auto" w:sz="4" w:space="0"/>
              <w:left w:val="nil"/>
              <w:bottom w:val="nil"/>
              <w:right w:val="nil"/>
            </w:tcBorders>
            <w:noWrap/>
          </w:tcPr>
          <w:p w:rsidRPr="009F3C3E" w:rsidR="00060A12" w:rsidP="00AD2BC8" w:rsidRDefault="00060A12" w14:paraId="7D5A330E" w14:textId="77777777">
            <w:pPr>
              <w:keepNext/>
              <w:keepLines/>
              <w:spacing w:before="47"/>
              <w:outlineLvl w:val="5"/>
              <w:rPr>
                <w:rFonts w:ascii="Arial" w:hAnsi="Arial" w:cs="Arial" w:eastAsiaTheme="majorEastAsia"/>
                <w:b/>
                <w:bCs/>
                <w:i/>
                <w:iCs/>
                <w:caps/>
                <w:spacing w:val="-2"/>
                <w:sz w:val="20"/>
                <w:szCs w:val="20"/>
              </w:rPr>
            </w:pPr>
          </w:p>
        </w:tc>
        <w:tc>
          <w:tcPr>
            <w:tcW w:w="2745" w:type="dxa"/>
            <w:tcBorders>
              <w:top w:val="single" w:color="auto" w:sz="4" w:space="0"/>
              <w:left w:val="nil"/>
              <w:bottom w:val="nil"/>
              <w:right w:val="nil"/>
            </w:tcBorders>
            <w:noWrap/>
          </w:tcPr>
          <w:p w:rsidRPr="009F3C3E" w:rsidR="00060A12" w:rsidP="00AD2BC8" w:rsidRDefault="00060A12" w14:paraId="0865A3AA" w14:textId="77777777">
            <w:pPr>
              <w:jc w:val="center"/>
              <w:rPr>
                <w:rFonts w:ascii="Arial" w:hAnsi="Arial" w:eastAsia="Times New Roman" w:cs="Arial"/>
                <w:b/>
                <w:bCs/>
                <w:sz w:val="20"/>
                <w:szCs w:val="20"/>
                <w:lang w:eastAsia="en-GB"/>
              </w:rPr>
            </w:pPr>
          </w:p>
        </w:tc>
      </w:tr>
      <w:tr w:rsidRPr="009F3C3E" w:rsidR="00060A12" w:rsidTr="00AD2BC8" w14:paraId="3B6D744E" w14:textId="77777777">
        <w:trPr>
          <w:trHeight w:val="300"/>
        </w:trPr>
        <w:tc>
          <w:tcPr>
            <w:tcW w:w="6804" w:type="dxa"/>
            <w:tcBorders>
              <w:top w:val="nil"/>
              <w:left w:val="nil"/>
              <w:bottom w:val="nil"/>
              <w:right w:val="nil"/>
            </w:tcBorders>
            <w:noWrap/>
          </w:tcPr>
          <w:p w:rsidRPr="009F3C3E" w:rsidR="00060A12" w:rsidP="00AD2BC8" w:rsidRDefault="00060A12" w14:paraId="608CA60E" w14:textId="77777777">
            <w:pPr>
              <w:keepNext/>
              <w:keepLines/>
              <w:spacing w:before="47"/>
              <w:outlineLvl w:val="5"/>
              <w:rPr>
                <w:rFonts w:asciiTheme="majorHAnsi" w:hAnsiTheme="majorHAnsi" w:eastAsiaTheme="majorEastAsia" w:cstheme="majorBidi"/>
                <w:b/>
                <w:bCs/>
                <w:i/>
                <w:iCs/>
                <w:caps/>
                <w:spacing w:val="-2"/>
              </w:rPr>
            </w:pPr>
            <w:r w:rsidRPr="009F3C3E">
              <w:rPr>
                <w:rFonts w:asciiTheme="majorHAnsi" w:hAnsiTheme="majorHAnsi"/>
                <w:b/>
                <w:i/>
                <w:caps/>
              </w:rPr>
              <w:t>A helyettesíthetőség/a pénzügyi intézmény infrastruktúrájára vonatkozó mutatók</w:t>
            </w:r>
          </w:p>
          <w:p w:rsidRPr="009F3C3E" w:rsidR="00060A12" w:rsidP="00AD2BC8" w:rsidRDefault="00060A12" w14:paraId="0ECB462C" w14:textId="77777777">
            <w:pPr>
              <w:rPr>
                <w:rFonts w:ascii="Arial" w:hAnsi="Arial" w:eastAsia="Times New Roman" w:cs="Arial"/>
                <w:b/>
                <w:bCs/>
                <w:sz w:val="20"/>
                <w:szCs w:val="20"/>
                <w:lang w:eastAsia="en-GB"/>
              </w:rPr>
            </w:pPr>
          </w:p>
        </w:tc>
        <w:tc>
          <w:tcPr>
            <w:tcW w:w="2745" w:type="dxa"/>
            <w:tcBorders>
              <w:top w:val="nil"/>
              <w:left w:val="nil"/>
              <w:bottom w:val="nil"/>
              <w:right w:val="nil"/>
            </w:tcBorders>
            <w:noWrap/>
          </w:tcPr>
          <w:p w:rsidRPr="009F3C3E" w:rsidR="00060A12" w:rsidP="00AD2BC8" w:rsidRDefault="00060A12" w14:paraId="274FCCB8" w14:textId="77777777">
            <w:pPr>
              <w:jc w:val="center"/>
              <w:rPr>
                <w:rFonts w:ascii="Arial" w:hAnsi="Arial" w:eastAsia="Times New Roman" w:cs="Arial"/>
                <w:b/>
                <w:bCs/>
                <w:sz w:val="20"/>
                <w:szCs w:val="20"/>
                <w:lang w:eastAsia="en-GB"/>
              </w:rPr>
            </w:pPr>
          </w:p>
        </w:tc>
      </w:tr>
      <w:tr w:rsidRPr="009F3C3E" w:rsidR="00060A12" w:rsidTr="00AD2BC8" w14:paraId="6D4167F0" w14:textId="77777777">
        <w:trPr>
          <w:trHeight w:val="300"/>
        </w:trPr>
        <w:tc>
          <w:tcPr>
            <w:tcW w:w="6804" w:type="dxa"/>
            <w:tcBorders>
              <w:left w:val="nil"/>
              <w:bottom w:val="single" w:color="auto" w:sz="4" w:space="0"/>
              <w:right w:val="nil"/>
            </w:tcBorders>
            <w:noWrap/>
          </w:tcPr>
          <w:p w:rsidRPr="009F3C3E" w:rsidR="00060A12" w:rsidP="00AD2BC8" w:rsidRDefault="00060A12" w14:paraId="7113966C" w14:textId="77777777">
            <w:pPr>
              <w:rPr>
                <w:rFonts w:ascii="Arial" w:hAnsi="Arial" w:eastAsia="Times New Roman" w:cs="Arial"/>
                <w:sz w:val="20"/>
                <w:szCs w:val="20"/>
              </w:rPr>
            </w:pPr>
            <w:r w:rsidRPr="009F3C3E">
              <w:rPr>
                <w:rFonts w:ascii="Arial" w:hAnsi="Arial"/>
                <w:b/>
                <w:sz w:val="20"/>
              </w:rPr>
              <w:t>6. szakasz – A tárgyévben lebonyolított pénzforgalom (a csoporton belüli pénzforgalom kivételével)</w:t>
            </w:r>
          </w:p>
        </w:tc>
        <w:tc>
          <w:tcPr>
            <w:tcW w:w="2745" w:type="dxa"/>
            <w:tcBorders>
              <w:left w:val="nil"/>
              <w:bottom w:val="single" w:color="auto" w:sz="4" w:space="0"/>
              <w:right w:val="nil"/>
            </w:tcBorders>
            <w:noWrap/>
          </w:tcPr>
          <w:p w:rsidRPr="009F3C3E" w:rsidR="00060A12" w:rsidP="00AD2BC8" w:rsidRDefault="00060A12" w14:paraId="177E8F05"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2CBEB787" w14:textId="77777777">
        <w:trPr>
          <w:trHeight w:val="300"/>
        </w:trPr>
        <w:tc>
          <w:tcPr>
            <w:tcW w:w="6804" w:type="dxa"/>
            <w:tcBorders>
              <w:left w:val="nil"/>
              <w:right w:val="nil"/>
            </w:tcBorders>
            <w:noWrap/>
            <w:hideMark/>
          </w:tcPr>
          <w:p w:rsidRPr="009F3C3E" w:rsidR="00060A12" w:rsidP="00AD2BC8" w:rsidRDefault="00060A12" w14:paraId="013D5A14" w14:textId="77777777">
            <w:pPr>
              <w:ind w:firstLine="200" w:firstLineChars="100"/>
              <w:rPr>
                <w:rFonts w:ascii="Arial" w:hAnsi="Arial" w:eastAsia="Times New Roman" w:cs="Arial"/>
                <w:sz w:val="20"/>
                <w:szCs w:val="20"/>
              </w:rPr>
            </w:pPr>
            <w:r w:rsidRPr="009F3C3E">
              <w:rPr>
                <w:rFonts w:ascii="Arial" w:hAnsi="Arial"/>
                <w:sz w:val="20"/>
              </w:rPr>
              <w:t xml:space="preserve"> a. Ausztrál dollár (AUD)</w:t>
            </w:r>
          </w:p>
        </w:tc>
        <w:tc>
          <w:tcPr>
            <w:tcW w:w="2745" w:type="dxa"/>
            <w:tcBorders>
              <w:left w:val="nil"/>
              <w:right w:val="nil"/>
            </w:tcBorders>
            <w:noWrap/>
            <w:hideMark/>
          </w:tcPr>
          <w:p w:rsidRPr="009F3C3E" w:rsidR="00060A12" w:rsidP="00AD2BC8" w:rsidRDefault="00060A12" w14:paraId="29B5565B"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64AF730" w14:textId="77777777">
        <w:trPr>
          <w:trHeight w:val="300"/>
        </w:trPr>
        <w:tc>
          <w:tcPr>
            <w:tcW w:w="6804" w:type="dxa"/>
            <w:tcBorders>
              <w:left w:val="nil"/>
              <w:right w:val="nil"/>
            </w:tcBorders>
            <w:noWrap/>
            <w:hideMark/>
          </w:tcPr>
          <w:p w:rsidRPr="009F3C3E" w:rsidR="00060A12" w:rsidP="00AD2BC8" w:rsidRDefault="00060A12" w14:paraId="2B938C8D" w14:textId="77777777">
            <w:pPr>
              <w:ind w:firstLine="200" w:firstLineChars="100"/>
              <w:rPr>
                <w:rFonts w:ascii="Arial" w:hAnsi="Arial" w:eastAsia="Times New Roman" w:cs="Arial"/>
                <w:sz w:val="20"/>
                <w:szCs w:val="20"/>
              </w:rPr>
            </w:pPr>
            <w:r w:rsidRPr="009F3C3E">
              <w:rPr>
                <w:rFonts w:ascii="Arial" w:hAnsi="Arial"/>
                <w:sz w:val="20"/>
              </w:rPr>
              <w:t>b. Kanadai dollár (CAD)</w:t>
            </w:r>
          </w:p>
        </w:tc>
        <w:tc>
          <w:tcPr>
            <w:tcW w:w="2745" w:type="dxa"/>
            <w:tcBorders>
              <w:left w:val="nil"/>
              <w:right w:val="nil"/>
            </w:tcBorders>
            <w:noWrap/>
            <w:hideMark/>
          </w:tcPr>
          <w:p w:rsidRPr="009F3C3E" w:rsidR="00060A12" w:rsidP="00AD2BC8" w:rsidRDefault="00060A12" w14:paraId="5683B887"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619AB4D7" w14:textId="77777777">
        <w:trPr>
          <w:trHeight w:val="300"/>
        </w:trPr>
        <w:tc>
          <w:tcPr>
            <w:tcW w:w="6804" w:type="dxa"/>
            <w:tcBorders>
              <w:left w:val="nil"/>
              <w:right w:val="nil"/>
            </w:tcBorders>
            <w:noWrap/>
            <w:hideMark/>
          </w:tcPr>
          <w:p w:rsidRPr="009F3C3E" w:rsidR="00060A12" w:rsidP="00AD2BC8" w:rsidRDefault="00060A12" w14:paraId="54F9AA07" w14:textId="77777777">
            <w:pPr>
              <w:ind w:firstLine="200" w:firstLineChars="100"/>
              <w:rPr>
                <w:rFonts w:ascii="Arial" w:hAnsi="Arial" w:eastAsia="Times New Roman" w:cs="Arial"/>
                <w:sz w:val="20"/>
                <w:szCs w:val="20"/>
              </w:rPr>
            </w:pPr>
            <w:r w:rsidRPr="009F3C3E">
              <w:rPr>
                <w:rFonts w:ascii="Arial" w:hAnsi="Arial"/>
                <w:sz w:val="20"/>
              </w:rPr>
              <w:t>c. Svájci frank (CHF)</w:t>
            </w:r>
          </w:p>
        </w:tc>
        <w:tc>
          <w:tcPr>
            <w:tcW w:w="2745" w:type="dxa"/>
            <w:tcBorders>
              <w:left w:val="nil"/>
              <w:right w:val="nil"/>
            </w:tcBorders>
            <w:noWrap/>
            <w:hideMark/>
          </w:tcPr>
          <w:p w:rsidRPr="009F3C3E" w:rsidR="00060A12" w:rsidP="00AD2BC8" w:rsidRDefault="00060A12" w14:paraId="08FCB439"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2DE2102" w14:textId="77777777">
        <w:trPr>
          <w:trHeight w:val="300"/>
        </w:trPr>
        <w:tc>
          <w:tcPr>
            <w:tcW w:w="6804" w:type="dxa"/>
            <w:tcBorders>
              <w:left w:val="nil"/>
              <w:right w:val="nil"/>
            </w:tcBorders>
            <w:noWrap/>
            <w:hideMark/>
          </w:tcPr>
          <w:p w:rsidRPr="009F3C3E" w:rsidR="00060A12" w:rsidP="00AD2BC8" w:rsidRDefault="00060A12" w14:paraId="0718768C" w14:textId="77777777">
            <w:pPr>
              <w:ind w:firstLine="200" w:firstLineChars="100"/>
              <w:rPr>
                <w:rFonts w:ascii="Arial" w:hAnsi="Arial" w:eastAsia="Times New Roman" w:cs="Arial"/>
                <w:sz w:val="20"/>
                <w:szCs w:val="20"/>
              </w:rPr>
            </w:pPr>
            <w:r w:rsidRPr="009F3C3E">
              <w:rPr>
                <w:rFonts w:ascii="Arial" w:hAnsi="Arial"/>
                <w:sz w:val="20"/>
              </w:rPr>
              <w:t>d. Kínai jüan (CNY)</w:t>
            </w:r>
          </w:p>
        </w:tc>
        <w:tc>
          <w:tcPr>
            <w:tcW w:w="2745" w:type="dxa"/>
            <w:tcBorders>
              <w:left w:val="nil"/>
              <w:right w:val="nil"/>
            </w:tcBorders>
            <w:noWrap/>
            <w:hideMark/>
          </w:tcPr>
          <w:p w:rsidRPr="009F3C3E" w:rsidR="00060A12" w:rsidP="00AD2BC8" w:rsidRDefault="00060A12" w14:paraId="5088958D"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54CF54C" w14:textId="77777777">
        <w:trPr>
          <w:trHeight w:val="300"/>
        </w:trPr>
        <w:tc>
          <w:tcPr>
            <w:tcW w:w="6804" w:type="dxa"/>
            <w:tcBorders>
              <w:left w:val="nil"/>
              <w:right w:val="nil"/>
            </w:tcBorders>
            <w:noWrap/>
            <w:hideMark/>
          </w:tcPr>
          <w:p w:rsidRPr="009F3C3E" w:rsidR="00060A12" w:rsidP="00AD2BC8" w:rsidRDefault="00060A12" w14:paraId="3EA51AF3" w14:textId="77777777">
            <w:pPr>
              <w:ind w:firstLine="200" w:firstLineChars="100"/>
              <w:rPr>
                <w:rFonts w:ascii="Arial" w:hAnsi="Arial" w:eastAsia="Times New Roman" w:cs="Arial"/>
                <w:sz w:val="20"/>
                <w:szCs w:val="20"/>
              </w:rPr>
            </w:pPr>
            <w:r w:rsidRPr="009F3C3E">
              <w:rPr>
                <w:rFonts w:ascii="Arial" w:hAnsi="Arial"/>
                <w:sz w:val="20"/>
              </w:rPr>
              <w:t>e. Euró (EUR)</w:t>
            </w:r>
          </w:p>
        </w:tc>
        <w:tc>
          <w:tcPr>
            <w:tcW w:w="2745" w:type="dxa"/>
            <w:tcBorders>
              <w:left w:val="nil"/>
              <w:right w:val="nil"/>
            </w:tcBorders>
            <w:noWrap/>
            <w:hideMark/>
          </w:tcPr>
          <w:p w:rsidRPr="009F3C3E" w:rsidR="00060A12" w:rsidP="00AD2BC8" w:rsidRDefault="00060A12" w14:paraId="5F07B238"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9FA5001" w14:textId="77777777">
        <w:trPr>
          <w:trHeight w:val="300"/>
        </w:trPr>
        <w:tc>
          <w:tcPr>
            <w:tcW w:w="6804" w:type="dxa"/>
            <w:tcBorders>
              <w:left w:val="nil"/>
              <w:right w:val="nil"/>
            </w:tcBorders>
            <w:noWrap/>
            <w:hideMark/>
          </w:tcPr>
          <w:p w:rsidRPr="009F3C3E" w:rsidR="00060A12" w:rsidP="00AD2BC8" w:rsidRDefault="00060A12" w14:paraId="346B2E1D" w14:textId="77777777">
            <w:pPr>
              <w:ind w:firstLine="200" w:firstLineChars="100"/>
              <w:rPr>
                <w:rFonts w:ascii="Arial" w:hAnsi="Arial" w:eastAsia="Times New Roman" w:cs="Arial"/>
                <w:sz w:val="20"/>
                <w:szCs w:val="20"/>
              </w:rPr>
            </w:pPr>
            <w:r w:rsidRPr="009F3C3E">
              <w:rPr>
                <w:rFonts w:ascii="Arial" w:hAnsi="Arial"/>
                <w:sz w:val="20"/>
              </w:rPr>
              <w:t>f. Angol font (GBP)</w:t>
            </w:r>
          </w:p>
        </w:tc>
        <w:tc>
          <w:tcPr>
            <w:tcW w:w="2745" w:type="dxa"/>
            <w:tcBorders>
              <w:left w:val="nil"/>
              <w:right w:val="nil"/>
            </w:tcBorders>
            <w:noWrap/>
            <w:hideMark/>
          </w:tcPr>
          <w:p w:rsidRPr="009F3C3E" w:rsidR="00060A12" w:rsidP="00AD2BC8" w:rsidRDefault="00060A12" w14:paraId="0ED4EFA5"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4963FDE" w14:textId="77777777">
        <w:trPr>
          <w:trHeight w:val="300"/>
        </w:trPr>
        <w:tc>
          <w:tcPr>
            <w:tcW w:w="6804" w:type="dxa"/>
            <w:tcBorders>
              <w:left w:val="nil"/>
              <w:right w:val="nil"/>
            </w:tcBorders>
            <w:noWrap/>
            <w:hideMark/>
          </w:tcPr>
          <w:p w:rsidRPr="009F3C3E" w:rsidR="00060A12" w:rsidP="00AD2BC8" w:rsidRDefault="00060A12" w14:paraId="32DBFFA5" w14:textId="77777777">
            <w:pPr>
              <w:ind w:firstLine="200" w:firstLineChars="100"/>
              <w:rPr>
                <w:rFonts w:ascii="Arial" w:hAnsi="Arial" w:eastAsia="Times New Roman" w:cs="Arial"/>
                <w:sz w:val="20"/>
                <w:szCs w:val="20"/>
              </w:rPr>
            </w:pPr>
            <w:r w:rsidRPr="009F3C3E">
              <w:rPr>
                <w:rFonts w:ascii="Arial" w:hAnsi="Arial"/>
                <w:sz w:val="20"/>
              </w:rPr>
              <w:t>g. Hongkongi dollár (HKD)</w:t>
            </w:r>
          </w:p>
        </w:tc>
        <w:tc>
          <w:tcPr>
            <w:tcW w:w="2745" w:type="dxa"/>
            <w:tcBorders>
              <w:left w:val="nil"/>
              <w:right w:val="nil"/>
            </w:tcBorders>
            <w:noWrap/>
            <w:hideMark/>
          </w:tcPr>
          <w:p w:rsidRPr="009F3C3E" w:rsidR="00060A12" w:rsidP="00AD2BC8" w:rsidRDefault="00060A12" w14:paraId="3CEB2925"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60D62D2" w14:textId="77777777">
        <w:trPr>
          <w:trHeight w:val="300"/>
        </w:trPr>
        <w:tc>
          <w:tcPr>
            <w:tcW w:w="6804" w:type="dxa"/>
            <w:tcBorders>
              <w:left w:val="nil"/>
              <w:right w:val="nil"/>
            </w:tcBorders>
            <w:noWrap/>
            <w:hideMark/>
          </w:tcPr>
          <w:p w:rsidRPr="009F3C3E" w:rsidR="00060A12" w:rsidP="00AD2BC8" w:rsidRDefault="00060A12" w14:paraId="331CEFCE" w14:textId="77777777">
            <w:pPr>
              <w:ind w:firstLine="200" w:firstLineChars="100"/>
              <w:rPr>
                <w:rFonts w:ascii="Arial" w:hAnsi="Arial" w:eastAsia="Times New Roman" w:cs="Arial"/>
                <w:sz w:val="20"/>
                <w:szCs w:val="20"/>
              </w:rPr>
            </w:pPr>
            <w:r w:rsidRPr="009F3C3E">
              <w:rPr>
                <w:rFonts w:ascii="Arial" w:hAnsi="Arial"/>
                <w:sz w:val="20"/>
              </w:rPr>
              <w:t>h. Indiai rúpia (INR)</w:t>
            </w:r>
          </w:p>
        </w:tc>
        <w:tc>
          <w:tcPr>
            <w:tcW w:w="2745" w:type="dxa"/>
            <w:tcBorders>
              <w:left w:val="nil"/>
              <w:right w:val="nil"/>
            </w:tcBorders>
            <w:noWrap/>
            <w:hideMark/>
          </w:tcPr>
          <w:p w:rsidRPr="009F3C3E" w:rsidR="00060A12" w:rsidP="00AD2BC8" w:rsidRDefault="00060A12" w14:paraId="7828889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6C44DDB2" w14:textId="77777777">
        <w:trPr>
          <w:trHeight w:val="300"/>
        </w:trPr>
        <w:tc>
          <w:tcPr>
            <w:tcW w:w="6804" w:type="dxa"/>
            <w:tcBorders>
              <w:left w:val="nil"/>
              <w:right w:val="nil"/>
            </w:tcBorders>
            <w:noWrap/>
            <w:hideMark/>
          </w:tcPr>
          <w:p w:rsidRPr="009F3C3E" w:rsidR="00060A12" w:rsidP="00AD2BC8" w:rsidRDefault="00060A12" w14:paraId="0A94FB44" w14:textId="77777777">
            <w:pPr>
              <w:ind w:firstLine="200" w:firstLineChars="100"/>
              <w:rPr>
                <w:rFonts w:ascii="Arial" w:hAnsi="Arial" w:eastAsia="Times New Roman" w:cs="Arial"/>
                <w:sz w:val="20"/>
                <w:szCs w:val="20"/>
              </w:rPr>
            </w:pPr>
            <w:r w:rsidRPr="009F3C3E">
              <w:rPr>
                <w:rFonts w:ascii="Arial" w:hAnsi="Arial"/>
                <w:sz w:val="20"/>
              </w:rPr>
              <w:t>i. Japán jen (JPY)</w:t>
            </w:r>
          </w:p>
        </w:tc>
        <w:tc>
          <w:tcPr>
            <w:tcW w:w="2745" w:type="dxa"/>
            <w:tcBorders>
              <w:left w:val="nil"/>
              <w:right w:val="nil"/>
            </w:tcBorders>
            <w:noWrap/>
            <w:hideMark/>
          </w:tcPr>
          <w:p w:rsidRPr="009F3C3E" w:rsidR="00060A12" w:rsidP="00AD2BC8" w:rsidRDefault="00060A12" w14:paraId="1078258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06C75667" w14:textId="77777777">
        <w:trPr>
          <w:trHeight w:val="300"/>
        </w:trPr>
        <w:tc>
          <w:tcPr>
            <w:tcW w:w="6804" w:type="dxa"/>
            <w:tcBorders>
              <w:left w:val="nil"/>
              <w:right w:val="nil"/>
            </w:tcBorders>
            <w:noWrap/>
            <w:hideMark/>
          </w:tcPr>
          <w:p w:rsidRPr="009F3C3E" w:rsidR="00060A12" w:rsidP="00AD2BC8" w:rsidRDefault="00060A12" w14:paraId="28F9E935" w14:textId="77777777">
            <w:pPr>
              <w:ind w:firstLine="200" w:firstLineChars="100"/>
              <w:rPr>
                <w:rFonts w:ascii="Arial" w:hAnsi="Arial" w:eastAsia="Times New Roman" w:cs="Arial"/>
                <w:sz w:val="20"/>
                <w:szCs w:val="20"/>
              </w:rPr>
            </w:pPr>
            <w:r w:rsidRPr="009F3C3E">
              <w:rPr>
                <w:rFonts w:ascii="Arial" w:hAnsi="Arial"/>
                <w:sz w:val="20"/>
              </w:rPr>
              <w:t>j. Új-zélandi dollár (NZD)</w:t>
            </w:r>
          </w:p>
        </w:tc>
        <w:tc>
          <w:tcPr>
            <w:tcW w:w="2745" w:type="dxa"/>
            <w:tcBorders>
              <w:left w:val="nil"/>
              <w:right w:val="nil"/>
            </w:tcBorders>
            <w:noWrap/>
            <w:hideMark/>
          </w:tcPr>
          <w:p w:rsidRPr="009F3C3E" w:rsidR="00060A12" w:rsidP="00AD2BC8" w:rsidRDefault="00060A12" w14:paraId="16744D54"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9F71F15" w14:textId="77777777">
        <w:trPr>
          <w:trHeight w:val="300"/>
        </w:trPr>
        <w:tc>
          <w:tcPr>
            <w:tcW w:w="6804" w:type="dxa"/>
            <w:tcBorders>
              <w:left w:val="nil"/>
              <w:right w:val="nil"/>
            </w:tcBorders>
            <w:noWrap/>
            <w:hideMark/>
          </w:tcPr>
          <w:p w:rsidRPr="009F3C3E" w:rsidR="00060A12" w:rsidP="00AD2BC8" w:rsidRDefault="00060A12" w14:paraId="284A5A74" w14:textId="77777777">
            <w:pPr>
              <w:ind w:firstLine="200" w:firstLineChars="100"/>
              <w:rPr>
                <w:rFonts w:ascii="Arial" w:hAnsi="Arial" w:eastAsia="Times New Roman" w:cs="Arial"/>
                <w:sz w:val="20"/>
                <w:szCs w:val="20"/>
              </w:rPr>
            </w:pPr>
            <w:r w:rsidRPr="009F3C3E">
              <w:rPr>
                <w:rFonts w:ascii="Arial" w:hAnsi="Arial"/>
                <w:sz w:val="20"/>
              </w:rPr>
              <w:t>k. Svéd korona (SEK)</w:t>
            </w:r>
          </w:p>
        </w:tc>
        <w:tc>
          <w:tcPr>
            <w:tcW w:w="2745" w:type="dxa"/>
            <w:tcBorders>
              <w:left w:val="nil"/>
              <w:right w:val="nil"/>
            </w:tcBorders>
            <w:noWrap/>
            <w:hideMark/>
          </w:tcPr>
          <w:p w:rsidRPr="009F3C3E" w:rsidR="00060A12" w:rsidP="00AD2BC8" w:rsidRDefault="00060A12" w14:paraId="477CCDFC"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77AB5B0D" w14:textId="77777777">
        <w:trPr>
          <w:trHeight w:val="300"/>
        </w:trPr>
        <w:tc>
          <w:tcPr>
            <w:tcW w:w="6804" w:type="dxa"/>
            <w:tcBorders>
              <w:left w:val="nil"/>
              <w:right w:val="nil"/>
            </w:tcBorders>
            <w:noWrap/>
            <w:hideMark/>
          </w:tcPr>
          <w:p w:rsidRPr="009F3C3E" w:rsidR="00060A12" w:rsidP="00AD2BC8" w:rsidRDefault="00060A12" w14:paraId="387016A3" w14:textId="77777777">
            <w:pPr>
              <w:ind w:firstLine="200" w:firstLineChars="100"/>
              <w:rPr>
                <w:rFonts w:ascii="Arial" w:hAnsi="Arial" w:eastAsia="Times New Roman" w:cs="Arial"/>
                <w:sz w:val="20"/>
                <w:szCs w:val="20"/>
              </w:rPr>
            </w:pPr>
            <w:r w:rsidRPr="009F3C3E">
              <w:rPr>
                <w:rFonts w:ascii="Arial" w:hAnsi="Arial"/>
                <w:sz w:val="20"/>
              </w:rPr>
              <w:t>l. USA dollár (USD)</w:t>
            </w:r>
          </w:p>
        </w:tc>
        <w:tc>
          <w:tcPr>
            <w:tcW w:w="2745" w:type="dxa"/>
            <w:tcBorders>
              <w:left w:val="nil"/>
              <w:right w:val="nil"/>
            </w:tcBorders>
            <w:noWrap/>
            <w:hideMark/>
          </w:tcPr>
          <w:p w:rsidRPr="009F3C3E" w:rsidR="00060A12" w:rsidP="00AD2BC8" w:rsidRDefault="00060A12" w14:paraId="3F2132EC"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1FD99B4" w14:textId="77777777">
        <w:trPr>
          <w:trHeight w:val="300"/>
        </w:trPr>
        <w:tc>
          <w:tcPr>
            <w:tcW w:w="6804" w:type="dxa"/>
            <w:tcBorders>
              <w:left w:val="nil"/>
              <w:bottom w:val="single" w:color="auto" w:sz="4" w:space="0"/>
              <w:right w:val="nil"/>
            </w:tcBorders>
            <w:noWrap/>
            <w:hideMark/>
          </w:tcPr>
          <w:p w:rsidRPr="009F3C3E" w:rsidR="00060A12" w:rsidP="00AD2BC8" w:rsidRDefault="00060A12" w14:paraId="03D10154" w14:textId="77777777">
            <w:pPr>
              <w:ind w:firstLine="200" w:firstLineChars="100"/>
              <w:rPr>
                <w:rFonts w:ascii="Arial" w:hAnsi="Arial" w:eastAsia="Times New Roman" w:cs="Arial"/>
                <w:sz w:val="20"/>
                <w:szCs w:val="20"/>
              </w:rPr>
            </w:pPr>
            <w:r w:rsidRPr="009F3C3E">
              <w:rPr>
                <w:rFonts w:ascii="Arial" w:hAnsi="Arial"/>
                <w:sz w:val="20"/>
              </w:rPr>
              <w:t>m. A pénzforgalmi tevékenység mutatója (a 6.a–6.l. tételek összege)</w:t>
            </w:r>
          </w:p>
        </w:tc>
        <w:tc>
          <w:tcPr>
            <w:tcW w:w="2745" w:type="dxa"/>
            <w:tcBorders>
              <w:left w:val="nil"/>
              <w:bottom w:val="single" w:color="auto" w:sz="4" w:space="0"/>
              <w:right w:val="nil"/>
            </w:tcBorders>
            <w:noWrap/>
            <w:hideMark/>
          </w:tcPr>
          <w:p w:rsidRPr="009F3C3E" w:rsidR="00060A12" w:rsidP="00AD2BC8" w:rsidRDefault="00060A12" w14:paraId="042CB3E2" w14:textId="77777777">
            <w:pPr>
              <w:jc w:val="right"/>
              <w:rPr>
                <w:rFonts w:ascii="Arial" w:hAnsi="Arial" w:eastAsia="Times New Roman" w:cs="Arial"/>
                <w:sz w:val="20"/>
                <w:szCs w:val="20"/>
              </w:rPr>
            </w:pPr>
            <w:r w:rsidRPr="009F3C3E">
              <w:rPr>
                <w:rFonts w:ascii="Arial" w:hAnsi="Arial"/>
                <w:sz w:val="20"/>
              </w:rPr>
              <w:t xml:space="preserve"> </w:t>
            </w:r>
          </w:p>
        </w:tc>
      </w:tr>
      <w:tr w:rsidRPr="009F3C3E" w:rsidR="00060A12" w:rsidTr="00AD2BC8" w14:paraId="22C98989" w14:textId="77777777">
        <w:trPr>
          <w:trHeight w:val="300"/>
        </w:trPr>
        <w:tc>
          <w:tcPr>
            <w:tcW w:w="6804" w:type="dxa"/>
            <w:tcBorders>
              <w:left w:val="nil"/>
              <w:bottom w:val="nil"/>
              <w:right w:val="nil"/>
            </w:tcBorders>
            <w:noWrap/>
          </w:tcPr>
          <w:p w:rsidRPr="009F3C3E" w:rsidR="00060A12" w:rsidP="00AD2BC8" w:rsidRDefault="00060A12" w14:paraId="38FE558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1022D171" w14:textId="77777777">
            <w:pPr>
              <w:jc w:val="center"/>
              <w:rPr>
                <w:rFonts w:ascii="Arial" w:hAnsi="Arial" w:eastAsia="Times New Roman" w:cs="Arial"/>
                <w:b/>
                <w:bCs/>
                <w:sz w:val="20"/>
                <w:szCs w:val="20"/>
                <w:lang w:eastAsia="en-GB"/>
              </w:rPr>
            </w:pPr>
          </w:p>
        </w:tc>
      </w:tr>
      <w:tr w:rsidRPr="009F3C3E" w:rsidR="00060A12" w:rsidTr="00AD2BC8" w14:paraId="14AA7105" w14:textId="77777777">
        <w:trPr>
          <w:trHeight w:val="300"/>
        </w:trPr>
        <w:tc>
          <w:tcPr>
            <w:tcW w:w="6804" w:type="dxa"/>
            <w:tcBorders>
              <w:top w:val="nil"/>
              <w:left w:val="nil"/>
              <w:bottom w:val="single" w:color="auto" w:sz="4" w:space="0"/>
              <w:right w:val="nil"/>
            </w:tcBorders>
            <w:noWrap/>
            <w:hideMark/>
          </w:tcPr>
          <w:p w:rsidRPr="009F3C3E" w:rsidR="00060A12" w:rsidP="00AD2BC8" w:rsidRDefault="00060A12" w14:paraId="28AE0A10" w14:textId="77777777">
            <w:pPr>
              <w:rPr>
                <w:rFonts w:ascii="Arial" w:hAnsi="Arial" w:eastAsia="Times New Roman" w:cs="Arial"/>
                <w:b/>
                <w:bCs/>
                <w:sz w:val="20"/>
                <w:szCs w:val="20"/>
              </w:rPr>
            </w:pPr>
            <w:r w:rsidRPr="009F3C3E">
              <w:rPr>
                <w:rFonts w:ascii="Arial" w:hAnsi="Arial"/>
                <w:b/>
                <w:sz w:val="20"/>
              </w:rPr>
              <w:t>7. szakasz – Letétbe helyezett eszközök</w:t>
            </w:r>
          </w:p>
        </w:tc>
        <w:tc>
          <w:tcPr>
            <w:tcW w:w="2745" w:type="dxa"/>
            <w:tcBorders>
              <w:top w:val="nil"/>
              <w:left w:val="nil"/>
              <w:bottom w:val="single" w:color="auto" w:sz="4" w:space="0"/>
              <w:right w:val="nil"/>
            </w:tcBorders>
            <w:hideMark/>
          </w:tcPr>
          <w:p w:rsidRPr="009F3C3E" w:rsidR="00060A12" w:rsidP="00AD2BC8" w:rsidRDefault="00060A12" w14:paraId="37C4D19E"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04C6B014" w14:textId="77777777">
        <w:trPr>
          <w:trHeight w:val="300"/>
        </w:trPr>
        <w:tc>
          <w:tcPr>
            <w:tcW w:w="6804" w:type="dxa"/>
            <w:tcBorders>
              <w:left w:val="nil"/>
              <w:bottom w:val="single" w:color="auto" w:sz="4" w:space="0"/>
              <w:right w:val="nil"/>
            </w:tcBorders>
            <w:noWrap/>
            <w:hideMark/>
          </w:tcPr>
          <w:p w:rsidRPr="009F3C3E" w:rsidR="00060A12" w:rsidP="00AD2BC8" w:rsidRDefault="00060A12" w14:paraId="69BE7F64" w14:textId="77777777">
            <w:pPr>
              <w:ind w:firstLine="200" w:firstLineChars="100"/>
              <w:rPr>
                <w:rFonts w:ascii="Arial" w:hAnsi="Arial" w:eastAsia="Times New Roman" w:cs="Arial"/>
                <w:sz w:val="20"/>
                <w:szCs w:val="20"/>
              </w:rPr>
            </w:pPr>
            <w:r w:rsidRPr="009F3C3E">
              <w:rPr>
                <w:rFonts w:ascii="Arial" w:hAnsi="Arial"/>
                <w:sz w:val="20"/>
              </w:rPr>
              <w:t>a. A letétbe helyezett eszközök mutatója</w:t>
            </w:r>
          </w:p>
        </w:tc>
        <w:tc>
          <w:tcPr>
            <w:tcW w:w="2745" w:type="dxa"/>
            <w:tcBorders>
              <w:left w:val="nil"/>
              <w:bottom w:val="single" w:color="auto" w:sz="4" w:space="0"/>
              <w:right w:val="nil"/>
            </w:tcBorders>
            <w:noWrap/>
            <w:hideMark/>
          </w:tcPr>
          <w:p w:rsidRPr="009F3C3E" w:rsidR="00060A12" w:rsidP="00AD2BC8" w:rsidRDefault="00060A12" w14:paraId="4C2A1078"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021EAB91" w14:textId="77777777">
        <w:trPr>
          <w:trHeight w:val="300"/>
        </w:trPr>
        <w:tc>
          <w:tcPr>
            <w:tcW w:w="6804" w:type="dxa"/>
            <w:tcBorders>
              <w:left w:val="nil"/>
              <w:bottom w:val="nil"/>
              <w:right w:val="nil"/>
            </w:tcBorders>
            <w:noWrap/>
          </w:tcPr>
          <w:p w:rsidRPr="009F3C3E" w:rsidR="00060A12" w:rsidP="00AD2BC8" w:rsidRDefault="00060A12" w14:paraId="555D92A1"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9F3C3E" w:rsidR="00060A12" w:rsidP="00AD2BC8" w:rsidRDefault="00060A12" w14:paraId="01CF2081" w14:textId="77777777">
            <w:pPr>
              <w:jc w:val="center"/>
              <w:rPr>
                <w:rFonts w:ascii="Arial" w:hAnsi="Arial" w:eastAsia="Times New Roman" w:cs="Arial"/>
                <w:b/>
                <w:bCs/>
                <w:sz w:val="20"/>
                <w:szCs w:val="20"/>
                <w:lang w:eastAsia="en-GB"/>
              </w:rPr>
            </w:pPr>
          </w:p>
        </w:tc>
      </w:tr>
      <w:tr w:rsidRPr="009F3C3E" w:rsidR="00060A12" w:rsidTr="00AD2BC8" w14:paraId="39434063" w14:textId="77777777">
        <w:trPr>
          <w:trHeight w:val="300"/>
        </w:trPr>
        <w:tc>
          <w:tcPr>
            <w:tcW w:w="6804" w:type="dxa"/>
            <w:tcBorders>
              <w:top w:val="nil"/>
              <w:left w:val="nil"/>
              <w:bottom w:val="single" w:color="auto" w:sz="4" w:space="0"/>
              <w:right w:val="nil"/>
            </w:tcBorders>
            <w:noWrap/>
          </w:tcPr>
          <w:p w:rsidRPr="009F3C3E" w:rsidR="00060A12" w:rsidP="00AD2BC8" w:rsidRDefault="00060A12" w14:paraId="6DA87DB7" w14:textId="77777777">
            <w:pPr>
              <w:rPr>
                <w:rFonts w:ascii="Arial" w:hAnsi="Arial" w:eastAsia="Times New Roman" w:cs="Arial"/>
                <w:sz w:val="20"/>
                <w:szCs w:val="20"/>
              </w:rPr>
            </w:pPr>
            <w:r w:rsidRPr="009F3C3E">
              <w:rPr>
                <w:rFonts w:ascii="Arial" w:hAnsi="Arial"/>
                <w:b/>
                <w:sz w:val="20"/>
              </w:rPr>
              <w:t>8. szakasz – Kötvény- és részvénypiaci, jegyzési garanciával biztosított ügyletek</w:t>
            </w:r>
          </w:p>
        </w:tc>
        <w:tc>
          <w:tcPr>
            <w:tcW w:w="2745" w:type="dxa"/>
            <w:tcBorders>
              <w:top w:val="nil"/>
              <w:left w:val="nil"/>
              <w:bottom w:val="single" w:color="auto" w:sz="4" w:space="0"/>
              <w:right w:val="nil"/>
            </w:tcBorders>
            <w:noWrap/>
          </w:tcPr>
          <w:p w:rsidRPr="009F3C3E" w:rsidR="00060A12" w:rsidP="00AD2BC8" w:rsidRDefault="00060A12" w14:paraId="73EBD47A"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3AB41343" w14:textId="77777777">
        <w:trPr>
          <w:trHeight w:val="300"/>
        </w:trPr>
        <w:tc>
          <w:tcPr>
            <w:tcW w:w="6804" w:type="dxa"/>
            <w:tcBorders>
              <w:left w:val="nil"/>
              <w:right w:val="nil"/>
            </w:tcBorders>
            <w:noWrap/>
            <w:hideMark/>
          </w:tcPr>
          <w:p w:rsidRPr="009F3C3E" w:rsidR="00060A12" w:rsidP="00AD2BC8" w:rsidRDefault="00060A12" w14:paraId="6409D760" w14:textId="77777777">
            <w:pPr>
              <w:ind w:firstLine="200" w:firstLineChars="100"/>
              <w:rPr>
                <w:rFonts w:ascii="Arial" w:hAnsi="Arial" w:eastAsia="Times New Roman" w:cs="Arial"/>
                <w:sz w:val="20"/>
                <w:szCs w:val="20"/>
              </w:rPr>
            </w:pPr>
            <w:r w:rsidRPr="009F3C3E">
              <w:rPr>
                <w:rFonts w:ascii="Arial" w:hAnsi="Arial"/>
                <w:sz w:val="20"/>
              </w:rPr>
              <w:t>a. Jegyzési garanciával biztosított kötvénykibocsátások</w:t>
            </w:r>
          </w:p>
        </w:tc>
        <w:tc>
          <w:tcPr>
            <w:tcW w:w="2745" w:type="dxa"/>
            <w:tcBorders>
              <w:left w:val="nil"/>
              <w:right w:val="nil"/>
            </w:tcBorders>
            <w:noWrap/>
            <w:hideMark/>
          </w:tcPr>
          <w:p w:rsidRPr="009F3C3E" w:rsidR="00060A12" w:rsidP="00AD2BC8" w:rsidRDefault="00060A12" w14:paraId="68986DA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60750B37" w14:textId="77777777">
        <w:trPr>
          <w:trHeight w:val="300"/>
        </w:trPr>
        <w:tc>
          <w:tcPr>
            <w:tcW w:w="6804" w:type="dxa"/>
            <w:tcBorders>
              <w:left w:val="nil"/>
              <w:right w:val="nil"/>
            </w:tcBorders>
            <w:noWrap/>
            <w:hideMark/>
          </w:tcPr>
          <w:p w:rsidRPr="009F3C3E" w:rsidR="00060A12" w:rsidP="00AD2BC8" w:rsidRDefault="00060A12" w14:paraId="2953B886" w14:textId="77777777">
            <w:pPr>
              <w:ind w:firstLine="200" w:firstLineChars="100"/>
              <w:rPr>
                <w:rFonts w:ascii="Arial" w:hAnsi="Arial" w:eastAsia="Times New Roman" w:cs="Arial"/>
                <w:sz w:val="20"/>
                <w:szCs w:val="20"/>
              </w:rPr>
            </w:pPr>
            <w:r w:rsidRPr="009F3C3E">
              <w:rPr>
                <w:rFonts w:ascii="Arial" w:hAnsi="Arial"/>
                <w:sz w:val="20"/>
              </w:rPr>
              <w:t>b. Jegyzési garanciával biztosított részvénykibocsátások</w:t>
            </w:r>
          </w:p>
        </w:tc>
        <w:tc>
          <w:tcPr>
            <w:tcW w:w="2745" w:type="dxa"/>
            <w:tcBorders>
              <w:left w:val="nil"/>
              <w:right w:val="nil"/>
            </w:tcBorders>
            <w:noWrap/>
            <w:hideMark/>
          </w:tcPr>
          <w:p w:rsidRPr="009F3C3E" w:rsidR="00060A12" w:rsidP="00AD2BC8" w:rsidRDefault="00060A12" w14:paraId="0BDAB597"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04F1C2E4" w14:textId="77777777">
        <w:trPr>
          <w:trHeight w:val="300"/>
        </w:trPr>
        <w:tc>
          <w:tcPr>
            <w:tcW w:w="6804" w:type="dxa"/>
            <w:tcBorders>
              <w:left w:val="nil"/>
              <w:bottom w:val="single" w:color="auto" w:sz="4" w:space="0"/>
              <w:right w:val="nil"/>
            </w:tcBorders>
            <w:noWrap/>
            <w:hideMark/>
          </w:tcPr>
          <w:p w:rsidRPr="009F3C3E" w:rsidR="00060A12" w:rsidP="00AD2BC8" w:rsidRDefault="00060A12" w14:paraId="053C2103" w14:textId="77777777">
            <w:pPr>
              <w:ind w:firstLine="200" w:firstLineChars="100"/>
              <w:rPr>
                <w:rFonts w:ascii="Arial" w:hAnsi="Arial" w:eastAsia="Times New Roman" w:cs="Arial"/>
                <w:sz w:val="20"/>
                <w:szCs w:val="20"/>
              </w:rPr>
            </w:pPr>
            <w:r w:rsidRPr="009F3C3E">
              <w:rPr>
                <w:rFonts w:ascii="Arial" w:hAnsi="Arial"/>
                <w:sz w:val="20"/>
              </w:rPr>
              <w:lastRenderedPageBreak/>
              <w:t>A jegyzési garanciával biztosított ügyletek mutatója(a 8.a. és a 8.b. tételek összege)</w:t>
            </w:r>
          </w:p>
        </w:tc>
        <w:tc>
          <w:tcPr>
            <w:tcW w:w="2745" w:type="dxa"/>
            <w:tcBorders>
              <w:left w:val="nil"/>
              <w:bottom w:val="single" w:color="auto" w:sz="4" w:space="0"/>
              <w:right w:val="nil"/>
            </w:tcBorders>
            <w:noWrap/>
            <w:hideMark/>
          </w:tcPr>
          <w:p w:rsidRPr="009F3C3E" w:rsidR="00060A12" w:rsidP="00AD2BC8" w:rsidRDefault="00060A12" w14:paraId="6ECB365F"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0154297" w14:textId="77777777">
        <w:trPr>
          <w:trHeight w:val="300"/>
        </w:trPr>
        <w:tc>
          <w:tcPr>
            <w:tcW w:w="6804" w:type="dxa"/>
            <w:tcBorders>
              <w:left w:val="nil"/>
              <w:bottom w:val="nil"/>
              <w:right w:val="nil"/>
            </w:tcBorders>
            <w:noWrap/>
          </w:tcPr>
          <w:p w:rsidRPr="009F3C3E" w:rsidR="00060A12" w:rsidP="00AD2BC8" w:rsidRDefault="00060A12" w14:paraId="49CE595A"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0C46B833" w14:textId="77777777">
            <w:pPr>
              <w:jc w:val="center"/>
              <w:rPr>
                <w:rFonts w:ascii="Arial" w:hAnsi="Arial" w:eastAsia="Times New Roman" w:cs="Arial"/>
                <w:b/>
                <w:bCs/>
                <w:sz w:val="20"/>
                <w:szCs w:val="20"/>
                <w:lang w:eastAsia="en-GB"/>
              </w:rPr>
            </w:pPr>
          </w:p>
        </w:tc>
      </w:tr>
      <w:tr w:rsidRPr="009F3C3E" w:rsidR="00060A12" w:rsidTr="00AD2BC8" w14:paraId="02D8A5E9" w14:textId="77777777">
        <w:trPr>
          <w:trHeight w:val="300"/>
        </w:trPr>
        <w:tc>
          <w:tcPr>
            <w:tcW w:w="6804" w:type="dxa"/>
            <w:tcBorders>
              <w:top w:val="nil"/>
              <w:left w:val="nil"/>
              <w:right w:val="nil"/>
            </w:tcBorders>
            <w:noWrap/>
            <w:hideMark/>
          </w:tcPr>
          <w:p w:rsidRPr="009F3C3E" w:rsidR="00060A12" w:rsidP="00AD2BC8" w:rsidRDefault="00060A12" w14:paraId="1AA847F7" w14:textId="77777777">
            <w:pPr>
              <w:rPr>
                <w:rFonts w:ascii="Arial" w:hAnsi="Arial" w:eastAsia="Times New Roman" w:cs="Arial"/>
                <w:b/>
                <w:bCs/>
                <w:sz w:val="20"/>
                <w:szCs w:val="20"/>
              </w:rPr>
            </w:pPr>
            <w:r w:rsidRPr="009F3C3E">
              <w:rPr>
                <w:rFonts w:ascii="Arial" w:hAnsi="Arial"/>
                <w:b/>
                <w:sz w:val="20"/>
              </w:rPr>
              <w:t>9. szakasz – Kereskedési volumen</w:t>
            </w:r>
          </w:p>
        </w:tc>
        <w:tc>
          <w:tcPr>
            <w:tcW w:w="2745" w:type="dxa"/>
            <w:tcBorders>
              <w:top w:val="nil"/>
              <w:left w:val="nil"/>
              <w:right w:val="nil"/>
            </w:tcBorders>
            <w:hideMark/>
          </w:tcPr>
          <w:p w:rsidRPr="009F3C3E" w:rsidR="00060A12" w:rsidP="00AD2BC8" w:rsidRDefault="00060A12" w14:paraId="44DD8F8B"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6D84C5A6" w14:textId="77777777">
        <w:trPr>
          <w:trHeight w:val="300"/>
        </w:trPr>
        <w:tc>
          <w:tcPr>
            <w:tcW w:w="6804" w:type="dxa"/>
            <w:tcBorders>
              <w:left w:val="nil"/>
              <w:right w:val="nil"/>
            </w:tcBorders>
            <w:noWrap/>
          </w:tcPr>
          <w:p w:rsidRPr="009F3C3E" w:rsidR="00060A12" w:rsidP="00AD2BC8" w:rsidRDefault="00060A12" w14:paraId="4C618A06" w14:textId="77777777">
            <w:pPr>
              <w:ind w:left="171" w:firstLine="28" w:firstLineChars="14"/>
              <w:rPr>
                <w:rFonts w:ascii="Arial" w:hAnsi="Arial" w:eastAsia="Times New Roman" w:cs="Arial"/>
                <w:sz w:val="20"/>
                <w:szCs w:val="20"/>
              </w:rPr>
            </w:pPr>
            <w:r w:rsidRPr="009F3C3E">
              <w:rPr>
                <w:rFonts w:ascii="Arial" w:hAnsi="Arial"/>
                <w:sz w:val="20"/>
              </w:rPr>
              <w:t>A. Más közszektorbeli intézmény által kibocsátott értékpapírok kereskedési volumene, a csoporton belüli ügyletek kivételével</w:t>
            </w:r>
          </w:p>
        </w:tc>
        <w:tc>
          <w:tcPr>
            <w:tcW w:w="2745" w:type="dxa"/>
            <w:tcBorders>
              <w:left w:val="nil"/>
              <w:right w:val="nil"/>
            </w:tcBorders>
            <w:noWrap/>
          </w:tcPr>
          <w:p w:rsidRPr="009F3C3E" w:rsidR="00060A12" w:rsidP="00AD2BC8" w:rsidRDefault="00060A12" w14:paraId="54F8F2BB" w14:textId="77777777">
            <w:pPr>
              <w:jc w:val="right"/>
              <w:rPr>
                <w:rFonts w:ascii="Arial" w:hAnsi="Arial" w:eastAsia="Times New Roman" w:cs="Arial"/>
                <w:sz w:val="20"/>
                <w:szCs w:val="20"/>
                <w:lang w:eastAsia="en-GB"/>
              </w:rPr>
            </w:pPr>
          </w:p>
        </w:tc>
      </w:tr>
      <w:tr w:rsidRPr="009F3C3E" w:rsidR="00060A12" w:rsidTr="00AD2BC8" w14:paraId="18378130" w14:textId="77777777">
        <w:trPr>
          <w:trHeight w:val="300"/>
        </w:trPr>
        <w:tc>
          <w:tcPr>
            <w:tcW w:w="6804" w:type="dxa"/>
            <w:tcBorders>
              <w:left w:val="nil"/>
              <w:bottom w:val="single" w:color="auto" w:sz="4" w:space="0"/>
              <w:right w:val="nil"/>
            </w:tcBorders>
            <w:noWrap/>
            <w:hideMark/>
          </w:tcPr>
          <w:p w:rsidRPr="009F3C3E" w:rsidR="00060A12" w:rsidP="00AD2BC8" w:rsidRDefault="00060A12" w14:paraId="199F69B8" w14:textId="77777777">
            <w:pPr>
              <w:ind w:left="171" w:firstLine="28" w:firstLineChars="14"/>
              <w:rPr>
                <w:rFonts w:ascii="Arial" w:hAnsi="Arial" w:eastAsia="Times New Roman" w:cs="Arial"/>
                <w:sz w:val="20"/>
                <w:szCs w:val="20"/>
              </w:rPr>
            </w:pPr>
            <w:r w:rsidRPr="009F3C3E">
              <w:rPr>
                <w:rFonts w:ascii="Arial" w:hAnsi="Arial"/>
                <w:sz w:val="20"/>
              </w:rPr>
              <w:t>b. Egyéb rögzített kamatozású értékpapírok kereskedési volumene, a csoporton belüli ügyletek kivételével</w:t>
            </w:r>
          </w:p>
        </w:tc>
        <w:tc>
          <w:tcPr>
            <w:tcW w:w="2745" w:type="dxa"/>
            <w:tcBorders>
              <w:left w:val="nil"/>
              <w:right w:val="nil"/>
            </w:tcBorders>
            <w:noWrap/>
            <w:hideMark/>
          </w:tcPr>
          <w:p w:rsidRPr="009F3C3E" w:rsidR="00060A12" w:rsidP="00AD2BC8" w:rsidRDefault="00060A12" w14:paraId="13A7676D"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56019A9" w14:textId="77777777">
        <w:trPr>
          <w:gridAfter w:val="1"/>
          <w:wAfter w:w="2745" w:type="dxa"/>
          <w:trHeight w:val="300"/>
        </w:trPr>
        <w:tc>
          <w:tcPr>
            <w:tcW w:w="6804" w:type="dxa"/>
            <w:tcBorders>
              <w:left w:val="nil"/>
              <w:bottom w:val="single" w:color="auto" w:sz="4" w:space="0"/>
              <w:right w:val="nil"/>
            </w:tcBorders>
            <w:noWrap/>
            <w:hideMark/>
          </w:tcPr>
          <w:p w:rsidRPr="009F3C3E" w:rsidR="00060A12" w:rsidP="00AD2BC8" w:rsidRDefault="00060A12" w14:paraId="2463D7F2" w14:textId="77777777">
            <w:pPr>
              <w:ind w:firstLine="200" w:firstLineChars="100"/>
              <w:rPr>
                <w:rFonts w:ascii="Arial" w:hAnsi="Arial" w:eastAsia="Times New Roman" w:cs="Arial"/>
                <w:sz w:val="20"/>
                <w:szCs w:val="20"/>
              </w:rPr>
            </w:pPr>
            <w:r w:rsidRPr="009F3C3E">
              <w:rPr>
                <w:rFonts w:ascii="Arial" w:hAnsi="Arial"/>
                <w:sz w:val="20"/>
              </w:rPr>
              <w:t>c. A fix kamatozású eszközök kereskedési volumenének almutatója (9.a. és 9.b. tételek összege)</w:t>
            </w:r>
          </w:p>
        </w:tc>
      </w:tr>
      <w:tr w:rsidRPr="009F3C3E" w:rsidR="00060A12" w:rsidTr="00AD2BC8" w14:paraId="37C21B5F" w14:textId="77777777">
        <w:trPr>
          <w:trHeight w:val="300"/>
        </w:trPr>
        <w:tc>
          <w:tcPr>
            <w:tcW w:w="6804" w:type="dxa"/>
            <w:tcBorders>
              <w:left w:val="nil"/>
              <w:right w:val="nil"/>
            </w:tcBorders>
            <w:noWrap/>
            <w:hideMark/>
          </w:tcPr>
          <w:p w:rsidRPr="009F3C3E" w:rsidR="00060A12" w:rsidP="00AD2BC8" w:rsidRDefault="00060A12" w14:paraId="72C52B74" w14:textId="77777777">
            <w:pPr>
              <w:ind w:firstLine="200" w:firstLineChars="100"/>
              <w:rPr>
                <w:rFonts w:ascii="Arial" w:hAnsi="Arial" w:eastAsia="Times New Roman" w:cs="Arial"/>
                <w:sz w:val="20"/>
                <w:szCs w:val="20"/>
              </w:rPr>
            </w:pPr>
            <w:r w:rsidRPr="009F3C3E">
              <w:rPr>
                <w:rFonts w:ascii="Arial" w:hAnsi="Arial"/>
                <w:sz w:val="20"/>
              </w:rPr>
              <w:t>d. Tőzsdén jegyzett részvények kereskedési volumene, a csoporton belüli ügyletek kivételével</w:t>
            </w:r>
          </w:p>
        </w:tc>
        <w:tc>
          <w:tcPr>
            <w:tcW w:w="2745" w:type="dxa"/>
            <w:tcBorders>
              <w:left w:val="nil"/>
              <w:right w:val="nil"/>
            </w:tcBorders>
            <w:noWrap/>
            <w:hideMark/>
          </w:tcPr>
          <w:p w:rsidRPr="009F3C3E" w:rsidR="00060A12" w:rsidP="00AD2BC8" w:rsidRDefault="00060A12" w14:paraId="1120F0C9"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88F8366" w14:textId="77777777">
        <w:trPr>
          <w:trHeight w:val="300"/>
        </w:trPr>
        <w:tc>
          <w:tcPr>
            <w:tcW w:w="6804" w:type="dxa"/>
            <w:tcBorders>
              <w:left w:val="nil"/>
              <w:bottom w:val="single" w:color="auto" w:sz="4" w:space="0"/>
              <w:right w:val="nil"/>
            </w:tcBorders>
            <w:noWrap/>
            <w:hideMark/>
          </w:tcPr>
          <w:p w:rsidRPr="009F3C3E" w:rsidR="00060A12" w:rsidP="00AD2BC8" w:rsidRDefault="00060A12" w14:paraId="2CA0E8E0" w14:textId="77777777">
            <w:pPr>
              <w:ind w:left="171"/>
              <w:rPr>
                <w:rFonts w:ascii="Arial" w:hAnsi="Arial" w:eastAsia="Times New Roman" w:cs="Arial"/>
                <w:sz w:val="20"/>
                <w:szCs w:val="20"/>
              </w:rPr>
            </w:pPr>
            <w:r w:rsidRPr="009F3C3E">
              <w:rPr>
                <w:rFonts w:ascii="Arial" w:hAnsi="Arial"/>
                <w:sz w:val="20"/>
              </w:rPr>
              <w:t>e. Az összes többi értékpapír kereskedési volumene, a csoporton belüli ügyletek kivételével</w:t>
            </w:r>
          </w:p>
        </w:tc>
        <w:tc>
          <w:tcPr>
            <w:tcW w:w="2745" w:type="dxa"/>
            <w:tcBorders>
              <w:left w:val="nil"/>
              <w:right w:val="nil"/>
            </w:tcBorders>
            <w:noWrap/>
            <w:hideMark/>
          </w:tcPr>
          <w:p w:rsidRPr="009F3C3E" w:rsidR="00060A12" w:rsidP="00AD2BC8" w:rsidRDefault="00060A12" w14:paraId="3412994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BBE4D84" w14:textId="77777777">
        <w:trPr>
          <w:gridAfter w:val="1"/>
          <w:wAfter w:w="2745" w:type="dxa"/>
          <w:trHeight w:val="300"/>
        </w:trPr>
        <w:tc>
          <w:tcPr>
            <w:tcW w:w="6804" w:type="dxa"/>
            <w:tcBorders>
              <w:left w:val="nil"/>
              <w:bottom w:val="single" w:color="auto" w:sz="4" w:space="0"/>
              <w:right w:val="nil"/>
            </w:tcBorders>
            <w:noWrap/>
            <w:hideMark/>
          </w:tcPr>
          <w:p w:rsidRPr="009F3C3E" w:rsidR="00060A12" w:rsidP="00AD2BC8" w:rsidRDefault="00060A12" w14:paraId="44B0BFE3" w14:textId="77777777">
            <w:pPr>
              <w:ind w:left="171" w:firstLine="28" w:firstLineChars="14"/>
              <w:rPr>
                <w:rFonts w:ascii="Arial" w:hAnsi="Arial" w:eastAsia="Times New Roman" w:cs="Arial"/>
                <w:sz w:val="20"/>
                <w:szCs w:val="20"/>
              </w:rPr>
            </w:pPr>
            <w:r w:rsidRPr="009F3C3E">
              <w:rPr>
                <w:rFonts w:ascii="Arial" w:hAnsi="Arial"/>
                <w:sz w:val="20"/>
              </w:rPr>
              <w:t>f. A részvények és egyéb értékpapírok kereskedési volumenének almutatója (a 9.d. és a 9.e. tételek összege)</w:t>
            </w:r>
          </w:p>
        </w:tc>
      </w:tr>
      <w:tr w:rsidRPr="009F3C3E" w:rsidR="00060A12" w:rsidTr="00AD2BC8" w14:paraId="08CA832E" w14:textId="77777777">
        <w:trPr>
          <w:trHeight w:val="403"/>
        </w:trPr>
        <w:tc>
          <w:tcPr>
            <w:tcW w:w="6804" w:type="dxa"/>
            <w:tcBorders>
              <w:left w:val="nil"/>
              <w:bottom w:val="nil"/>
              <w:right w:val="nil"/>
            </w:tcBorders>
            <w:noWrap/>
          </w:tcPr>
          <w:p w:rsidRPr="009F3C3E" w:rsidR="00060A12" w:rsidP="00AD2BC8" w:rsidRDefault="00060A12" w14:paraId="5EB0A9ED"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left w:val="nil"/>
              <w:bottom w:val="nil"/>
              <w:right w:val="nil"/>
            </w:tcBorders>
            <w:noWrap/>
          </w:tcPr>
          <w:p w:rsidRPr="009F3C3E" w:rsidR="00060A12" w:rsidP="00AD2BC8" w:rsidRDefault="00060A12" w14:paraId="3A73D54B" w14:textId="77777777">
            <w:pPr>
              <w:rPr>
                <w:rFonts w:ascii="Arial" w:hAnsi="Arial" w:eastAsia="Times New Roman" w:cs="Arial"/>
                <w:sz w:val="20"/>
                <w:szCs w:val="20"/>
                <w:lang w:eastAsia="en-GB"/>
              </w:rPr>
            </w:pPr>
          </w:p>
        </w:tc>
      </w:tr>
      <w:tr w:rsidRPr="009F3C3E" w:rsidR="00060A12" w:rsidTr="00AD2BC8" w14:paraId="36ADB545" w14:textId="77777777">
        <w:trPr>
          <w:trHeight w:val="403"/>
        </w:trPr>
        <w:tc>
          <w:tcPr>
            <w:tcW w:w="6804" w:type="dxa"/>
            <w:tcBorders>
              <w:top w:val="nil"/>
              <w:left w:val="nil"/>
              <w:bottom w:val="nil"/>
              <w:right w:val="nil"/>
            </w:tcBorders>
            <w:noWrap/>
            <w:hideMark/>
          </w:tcPr>
          <w:p w:rsidRPr="009F3C3E" w:rsidR="00060A12" w:rsidP="00AD2BC8" w:rsidRDefault="00060A12" w14:paraId="5C172286" w14:textId="77777777">
            <w:pPr>
              <w:keepNext/>
              <w:keepLines/>
              <w:spacing w:before="47"/>
              <w:outlineLvl w:val="5"/>
              <w:rPr>
                <w:rFonts w:asciiTheme="majorHAnsi" w:hAnsiTheme="majorHAnsi" w:eastAsiaTheme="majorEastAsia" w:cstheme="majorBidi"/>
                <w:b/>
                <w:bCs/>
                <w:i/>
                <w:iCs/>
                <w:caps/>
                <w:spacing w:val="-2"/>
              </w:rPr>
            </w:pPr>
            <w:r w:rsidRPr="009F3C3E">
              <w:rPr>
                <w:rFonts w:ascii="Arial" w:hAnsi="Arial"/>
                <w:i/>
                <w:caps/>
                <w:color w:val="172B39" w:themeColor="accent1" w:themeShade="80"/>
                <w:sz w:val="20"/>
              </w:rPr>
              <w:t> </w:t>
            </w:r>
            <w:r w:rsidRPr="009F3C3E">
              <w:rPr>
                <w:rFonts w:asciiTheme="majorHAnsi" w:hAnsiTheme="majorHAnsi"/>
                <w:b/>
                <w:i/>
                <w:caps/>
              </w:rPr>
              <w:t>Összetettségi mutatók</w:t>
            </w:r>
          </w:p>
          <w:p w:rsidRPr="009F3C3E" w:rsidR="00060A12" w:rsidP="00AD2BC8" w:rsidRDefault="00060A12" w14:paraId="7E944BF6" w14:textId="77777777">
            <w:pPr>
              <w:ind w:firstLine="200" w:firstLineChars="100"/>
              <w:rPr>
                <w:rFonts w:ascii="Arial" w:hAnsi="Arial" w:eastAsia="Times New Roman" w:cs="Arial"/>
                <w:sz w:val="20"/>
                <w:szCs w:val="20"/>
                <w:lang w:eastAsia="en-GB"/>
              </w:rPr>
            </w:pPr>
          </w:p>
        </w:tc>
        <w:tc>
          <w:tcPr>
            <w:tcW w:w="2745" w:type="dxa"/>
            <w:tcBorders>
              <w:top w:val="nil"/>
              <w:left w:val="nil"/>
              <w:bottom w:val="nil"/>
              <w:right w:val="nil"/>
            </w:tcBorders>
            <w:noWrap/>
            <w:hideMark/>
          </w:tcPr>
          <w:p w:rsidRPr="009F3C3E" w:rsidR="00060A12" w:rsidP="00AD2BC8" w:rsidRDefault="00060A12" w14:paraId="1A33220B" w14:textId="77777777">
            <w:pPr>
              <w:rPr>
                <w:rFonts w:ascii="Arial" w:hAnsi="Arial" w:eastAsia="Times New Roman" w:cs="Arial"/>
                <w:sz w:val="20"/>
                <w:szCs w:val="20"/>
              </w:rPr>
            </w:pPr>
            <w:r w:rsidRPr="009F3C3E">
              <w:rPr>
                <w:rFonts w:ascii="Arial" w:hAnsi="Arial"/>
                <w:sz w:val="20"/>
              </w:rPr>
              <w:t> </w:t>
            </w:r>
          </w:p>
        </w:tc>
      </w:tr>
      <w:tr w:rsidRPr="009F3C3E" w:rsidR="00060A12" w:rsidTr="00AD2BC8" w14:paraId="03AAC9D5" w14:textId="77777777">
        <w:trPr>
          <w:trHeight w:val="403"/>
        </w:trPr>
        <w:tc>
          <w:tcPr>
            <w:tcW w:w="6804" w:type="dxa"/>
            <w:tcBorders>
              <w:top w:val="nil"/>
              <w:left w:val="nil"/>
              <w:bottom w:val="single" w:color="auto" w:sz="4" w:space="0"/>
              <w:right w:val="nil"/>
            </w:tcBorders>
            <w:noWrap/>
          </w:tcPr>
          <w:p w:rsidRPr="009F3C3E" w:rsidR="00060A12" w:rsidP="00AD2BC8" w:rsidRDefault="00060A12" w14:paraId="410FF786"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top w:val="nil"/>
              <w:left w:val="nil"/>
              <w:bottom w:val="single" w:color="auto" w:sz="4" w:space="0"/>
              <w:right w:val="nil"/>
            </w:tcBorders>
            <w:noWrap/>
          </w:tcPr>
          <w:p w:rsidRPr="009F3C3E" w:rsidR="00060A12" w:rsidP="00AD2BC8" w:rsidRDefault="00060A12" w14:paraId="1C97B942" w14:textId="77777777">
            <w:pPr>
              <w:rPr>
                <w:rFonts w:ascii="Arial" w:hAnsi="Arial" w:eastAsia="Times New Roman" w:cs="Arial"/>
                <w:sz w:val="20"/>
                <w:szCs w:val="20"/>
                <w:lang w:eastAsia="en-GB"/>
              </w:rPr>
            </w:pPr>
          </w:p>
        </w:tc>
      </w:tr>
      <w:tr w:rsidRPr="009F3C3E" w:rsidR="00060A12" w:rsidTr="00AD2BC8" w14:paraId="586AE2C5" w14:textId="77777777">
        <w:trPr>
          <w:trHeight w:val="300"/>
        </w:trPr>
        <w:tc>
          <w:tcPr>
            <w:tcW w:w="6804" w:type="dxa"/>
            <w:tcBorders>
              <w:left w:val="nil"/>
              <w:right w:val="nil"/>
            </w:tcBorders>
            <w:noWrap/>
          </w:tcPr>
          <w:p w:rsidRPr="009F3C3E" w:rsidR="00060A12" w:rsidP="00AD2BC8" w:rsidRDefault="00060A12" w14:paraId="4A0DB457" w14:textId="77777777">
            <w:pPr>
              <w:ind w:firstLine="201" w:firstLineChars="100"/>
              <w:rPr>
                <w:rFonts w:ascii="Arial" w:hAnsi="Arial" w:eastAsia="Times New Roman" w:cs="Arial"/>
                <w:sz w:val="20"/>
                <w:szCs w:val="20"/>
              </w:rPr>
            </w:pPr>
            <w:r w:rsidRPr="009F3C3E">
              <w:rPr>
                <w:rFonts w:ascii="Arial" w:hAnsi="Arial"/>
                <w:b/>
                <w:sz w:val="20"/>
              </w:rPr>
              <w:t>9. szakasz – A tőzsdén kívüli származtatott ügyletek névleges összege</w:t>
            </w:r>
          </w:p>
        </w:tc>
        <w:tc>
          <w:tcPr>
            <w:tcW w:w="2745" w:type="dxa"/>
            <w:tcBorders>
              <w:left w:val="nil"/>
              <w:right w:val="nil"/>
            </w:tcBorders>
            <w:noWrap/>
          </w:tcPr>
          <w:p w:rsidRPr="009F3C3E" w:rsidR="00060A12" w:rsidP="00AD2BC8" w:rsidRDefault="00060A12" w14:paraId="0ACC3DC8"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220CFA2B" w14:textId="77777777">
        <w:trPr>
          <w:trHeight w:val="300"/>
        </w:trPr>
        <w:tc>
          <w:tcPr>
            <w:tcW w:w="6804" w:type="dxa"/>
            <w:tcBorders>
              <w:left w:val="nil"/>
              <w:right w:val="nil"/>
            </w:tcBorders>
            <w:noWrap/>
            <w:hideMark/>
          </w:tcPr>
          <w:p w:rsidRPr="009F3C3E" w:rsidR="00060A12" w:rsidP="00AD2BC8" w:rsidRDefault="00060A12" w14:paraId="178A737D" w14:textId="77777777">
            <w:pPr>
              <w:ind w:firstLine="200" w:firstLineChars="100"/>
              <w:rPr>
                <w:rFonts w:ascii="Arial" w:hAnsi="Arial" w:eastAsia="Times New Roman" w:cs="Arial"/>
                <w:sz w:val="20"/>
                <w:szCs w:val="20"/>
              </w:rPr>
            </w:pPr>
            <w:r w:rsidRPr="009F3C3E">
              <w:rPr>
                <w:rFonts w:ascii="Arial" w:hAnsi="Arial"/>
                <w:sz w:val="20"/>
              </w:rPr>
              <w:t>a. Központi szerződő fél által elszámolt tőzsdén kívüli származtatott ügyletek</w:t>
            </w:r>
          </w:p>
        </w:tc>
        <w:tc>
          <w:tcPr>
            <w:tcW w:w="2745" w:type="dxa"/>
            <w:tcBorders>
              <w:left w:val="nil"/>
              <w:right w:val="nil"/>
            </w:tcBorders>
            <w:noWrap/>
            <w:hideMark/>
          </w:tcPr>
          <w:p w:rsidRPr="009F3C3E" w:rsidR="00060A12" w:rsidP="00AD2BC8" w:rsidRDefault="00060A12" w14:paraId="357D46AC"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6ED814AD" w14:textId="77777777">
        <w:trPr>
          <w:trHeight w:val="300"/>
        </w:trPr>
        <w:tc>
          <w:tcPr>
            <w:tcW w:w="6804" w:type="dxa"/>
            <w:tcBorders>
              <w:left w:val="nil"/>
              <w:right w:val="nil"/>
            </w:tcBorders>
            <w:noWrap/>
            <w:hideMark/>
          </w:tcPr>
          <w:p w:rsidRPr="009F3C3E" w:rsidR="00060A12" w:rsidP="00AD2BC8" w:rsidRDefault="00060A12" w14:paraId="66E61A9C" w14:textId="77777777">
            <w:pPr>
              <w:ind w:firstLine="200" w:firstLineChars="100"/>
              <w:rPr>
                <w:rFonts w:ascii="Arial" w:hAnsi="Arial" w:eastAsia="Times New Roman" w:cs="Arial"/>
                <w:sz w:val="20"/>
                <w:szCs w:val="20"/>
              </w:rPr>
            </w:pPr>
            <w:r w:rsidRPr="009F3C3E">
              <w:rPr>
                <w:rFonts w:ascii="Arial" w:hAnsi="Arial"/>
                <w:sz w:val="20"/>
              </w:rPr>
              <w:t>b. Bilaterális teljesítésű tőzsdén kívüli származtatott ügyletek</w:t>
            </w:r>
          </w:p>
        </w:tc>
        <w:tc>
          <w:tcPr>
            <w:tcW w:w="2745" w:type="dxa"/>
            <w:tcBorders>
              <w:left w:val="nil"/>
              <w:right w:val="nil"/>
            </w:tcBorders>
            <w:noWrap/>
            <w:hideMark/>
          </w:tcPr>
          <w:p w:rsidRPr="009F3C3E" w:rsidR="00060A12" w:rsidP="00AD2BC8" w:rsidRDefault="00060A12" w14:paraId="2497CE75"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5B13B49E" w14:textId="77777777">
        <w:trPr>
          <w:trHeight w:val="300"/>
        </w:trPr>
        <w:tc>
          <w:tcPr>
            <w:tcW w:w="6804" w:type="dxa"/>
            <w:tcBorders>
              <w:left w:val="nil"/>
              <w:bottom w:val="single" w:color="auto" w:sz="4" w:space="0"/>
              <w:right w:val="nil"/>
            </w:tcBorders>
            <w:noWrap/>
          </w:tcPr>
          <w:p w:rsidRPr="009F3C3E" w:rsidR="00060A12" w:rsidP="00AD2BC8" w:rsidRDefault="00060A12" w14:paraId="729E1732" w14:textId="77777777">
            <w:pPr>
              <w:ind w:left="171" w:firstLine="28" w:firstLineChars="14"/>
              <w:rPr>
                <w:rFonts w:ascii="Arial" w:hAnsi="Arial" w:eastAsia="Times New Roman" w:cs="Arial"/>
                <w:sz w:val="20"/>
                <w:szCs w:val="20"/>
              </w:rPr>
            </w:pPr>
            <w:r w:rsidRPr="009F3C3E">
              <w:rPr>
                <w:rFonts w:ascii="Arial" w:hAnsi="Arial"/>
                <w:sz w:val="20"/>
              </w:rPr>
              <w:t>c. A tőzsdén kívüli származtatott ügyletek névleges összegének mutatója, beleértve a biztosítási leányvállalatokat is (a 10.a. és 10.b. tételek összege)</w:t>
            </w:r>
          </w:p>
        </w:tc>
        <w:tc>
          <w:tcPr>
            <w:tcW w:w="2745" w:type="dxa"/>
            <w:tcBorders>
              <w:left w:val="nil"/>
              <w:bottom w:val="single" w:color="auto" w:sz="4" w:space="0"/>
              <w:right w:val="nil"/>
            </w:tcBorders>
            <w:noWrap/>
          </w:tcPr>
          <w:p w:rsidRPr="009F3C3E" w:rsidR="00060A12" w:rsidP="00AD2BC8" w:rsidRDefault="00060A12" w14:paraId="35ECDE2A" w14:textId="77777777">
            <w:pPr>
              <w:jc w:val="right"/>
              <w:rPr>
                <w:rFonts w:ascii="Arial" w:hAnsi="Arial" w:eastAsia="Times New Roman" w:cs="Arial"/>
                <w:sz w:val="20"/>
                <w:szCs w:val="20"/>
                <w:lang w:eastAsia="en-GB"/>
              </w:rPr>
            </w:pPr>
          </w:p>
        </w:tc>
      </w:tr>
      <w:tr w:rsidRPr="009F3C3E" w:rsidR="00060A12" w:rsidTr="00AD2BC8" w14:paraId="4868BE42" w14:textId="77777777">
        <w:trPr>
          <w:trHeight w:val="300"/>
        </w:trPr>
        <w:tc>
          <w:tcPr>
            <w:tcW w:w="6804" w:type="dxa"/>
            <w:tcBorders>
              <w:left w:val="nil"/>
              <w:bottom w:val="nil"/>
              <w:right w:val="nil"/>
            </w:tcBorders>
            <w:noWrap/>
          </w:tcPr>
          <w:p w:rsidRPr="009F3C3E" w:rsidR="00060A12" w:rsidP="00AD2BC8" w:rsidRDefault="00060A12" w14:paraId="1E04F68E"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3F73614E" w14:textId="77777777">
            <w:pPr>
              <w:jc w:val="center"/>
              <w:rPr>
                <w:rFonts w:ascii="Arial" w:hAnsi="Arial" w:eastAsia="Times New Roman" w:cs="Arial"/>
                <w:b/>
                <w:bCs/>
                <w:sz w:val="20"/>
                <w:szCs w:val="20"/>
                <w:lang w:eastAsia="en-GB"/>
              </w:rPr>
            </w:pPr>
          </w:p>
        </w:tc>
      </w:tr>
      <w:tr w:rsidRPr="009F3C3E" w:rsidR="00060A12" w:rsidTr="00AD2BC8" w14:paraId="5971FF80" w14:textId="77777777">
        <w:trPr>
          <w:trHeight w:val="300"/>
        </w:trPr>
        <w:tc>
          <w:tcPr>
            <w:tcW w:w="6804" w:type="dxa"/>
            <w:tcBorders>
              <w:top w:val="nil"/>
              <w:left w:val="nil"/>
              <w:bottom w:val="single" w:color="auto" w:sz="4" w:space="0"/>
              <w:right w:val="nil"/>
            </w:tcBorders>
            <w:noWrap/>
            <w:hideMark/>
          </w:tcPr>
          <w:p w:rsidRPr="009F3C3E" w:rsidR="00060A12" w:rsidP="00AD2BC8" w:rsidRDefault="00060A12" w14:paraId="7557CA68" w14:textId="77777777">
            <w:pPr>
              <w:rPr>
                <w:rFonts w:ascii="Arial" w:hAnsi="Arial" w:eastAsia="Times New Roman" w:cs="Arial"/>
                <w:b/>
                <w:bCs/>
                <w:sz w:val="20"/>
                <w:szCs w:val="20"/>
              </w:rPr>
            </w:pPr>
            <w:r w:rsidRPr="009F3C3E">
              <w:rPr>
                <w:rFonts w:ascii="Arial" w:hAnsi="Arial"/>
                <w:b/>
                <w:sz w:val="20"/>
              </w:rPr>
              <w:t>11. szakasz – Kereskedési célú és értékesíthető értékpapírok</w:t>
            </w:r>
          </w:p>
        </w:tc>
        <w:tc>
          <w:tcPr>
            <w:tcW w:w="2745" w:type="dxa"/>
            <w:tcBorders>
              <w:top w:val="nil"/>
              <w:left w:val="nil"/>
              <w:bottom w:val="single" w:color="auto" w:sz="4" w:space="0"/>
              <w:right w:val="nil"/>
            </w:tcBorders>
            <w:hideMark/>
          </w:tcPr>
          <w:p w:rsidRPr="009F3C3E" w:rsidR="00060A12" w:rsidP="00AD2BC8" w:rsidRDefault="00060A12" w14:paraId="43FCEF38"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063759AB" w14:textId="77777777">
        <w:trPr>
          <w:trHeight w:val="300"/>
        </w:trPr>
        <w:tc>
          <w:tcPr>
            <w:tcW w:w="6804" w:type="dxa"/>
            <w:tcBorders>
              <w:left w:val="nil"/>
              <w:right w:val="nil"/>
            </w:tcBorders>
            <w:noWrap/>
            <w:hideMark/>
          </w:tcPr>
          <w:p w:rsidRPr="009F3C3E" w:rsidR="00060A12" w:rsidP="00AD2BC8" w:rsidRDefault="00060A12" w14:paraId="0563A845" w14:textId="77777777">
            <w:pPr>
              <w:ind w:firstLine="200" w:firstLineChars="100"/>
              <w:rPr>
                <w:rFonts w:ascii="Arial" w:hAnsi="Arial" w:eastAsia="Times New Roman" w:cs="Arial"/>
                <w:sz w:val="20"/>
                <w:szCs w:val="20"/>
              </w:rPr>
            </w:pPr>
            <w:r w:rsidRPr="009F3C3E">
              <w:rPr>
                <w:rFonts w:ascii="Arial" w:hAnsi="Arial"/>
                <w:sz w:val="20"/>
              </w:rPr>
              <w:t>a. Kereskedési célú értékpapírok</w:t>
            </w:r>
          </w:p>
        </w:tc>
        <w:tc>
          <w:tcPr>
            <w:tcW w:w="2745" w:type="dxa"/>
            <w:tcBorders>
              <w:left w:val="nil"/>
              <w:right w:val="nil"/>
            </w:tcBorders>
            <w:noWrap/>
            <w:hideMark/>
          </w:tcPr>
          <w:p w:rsidRPr="009F3C3E" w:rsidR="00060A12" w:rsidP="00AD2BC8" w:rsidRDefault="00060A12" w14:paraId="5B3B1F94"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0036C163" w14:textId="77777777">
        <w:trPr>
          <w:trHeight w:val="300"/>
        </w:trPr>
        <w:tc>
          <w:tcPr>
            <w:tcW w:w="6804" w:type="dxa"/>
            <w:tcBorders>
              <w:left w:val="nil"/>
              <w:bottom w:val="single" w:color="auto" w:sz="4" w:space="0"/>
              <w:right w:val="nil"/>
            </w:tcBorders>
            <w:noWrap/>
            <w:hideMark/>
          </w:tcPr>
          <w:p w:rsidRPr="009F3C3E" w:rsidR="00060A12" w:rsidP="00AD2BC8" w:rsidRDefault="00060A12" w14:paraId="1477B3FD" w14:textId="77777777">
            <w:pPr>
              <w:ind w:firstLine="200" w:firstLineChars="100"/>
              <w:rPr>
                <w:rFonts w:ascii="Arial" w:hAnsi="Arial" w:eastAsia="Times New Roman" w:cs="Arial"/>
                <w:sz w:val="20"/>
                <w:szCs w:val="20"/>
              </w:rPr>
            </w:pPr>
            <w:r w:rsidRPr="009F3C3E">
              <w:rPr>
                <w:rFonts w:ascii="Arial" w:hAnsi="Arial"/>
                <w:sz w:val="20"/>
              </w:rPr>
              <w:t>b. Értékesíthető értékpapírok</w:t>
            </w:r>
          </w:p>
        </w:tc>
        <w:tc>
          <w:tcPr>
            <w:tcW w:w="2745" w:type="dxa"/>
            <w:tcBorders>
              <w:left w:val="nil"/>
              <w:right w:val="nil"/>
            </w:tcBorders>
            <w:noWrap/>
            <w:hideMark/>
          </w:tcPr>
          <w:p w:rsidRPr="009F3C3E" w:rsidR="00060A12" w:rsidP="00AD2BC8" w:rsidRDefault="00060A12" w14:paraId="4F40B399"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DA92ED1" w14:textId="77777777">
        <w:trPr>
          <w:trHeight w:val="300"/>
        </w:trPr>
        <w:tc>
          <w:tcPr>
            <w:tcW w:w="6804" w:type="dxa"/>
            <w:tcBorders>
              <w:left w:val="nil"/>
              <w:bottom w:val="single" w:color="auto" w:sz="4" w:space="0"/>
              <w:right w:val="nil"/>
            </w:tcBorders>
            <w:noWrap/>
          </w:tcPr>
          <w:p w:rsidRPr="009F3C3E" w:rsidR="00060A12" w:rsidP="00AD2BC8" w:rsidRDefault="00060A12" w14:paraId="4FA5AD69" w14:textId="77777777">
            <w:pPr>
              <w:ind w:firstLine="200" w:firstLineChars="100"/>
              <w:rPr>
                <w:rFonts w:ascii="Arial" w:hAnsi="Arial" w:eastAsia="Times New Roman" w:cs="Arial"/>
                <w:sz w:val="20"/>
                <w:szCs w:val="20"/>
              </w:rPr>
            </w:pPr>
            <w:r w:rsidRPr="009F3C3E">
              <w:rPr>
                <w:rFonts w:ascii="Arial" w:hAnsi="Arial"/>
                <w:sz w:val="20"/>
              </w:rPr>
              <w:t>c. Az 1. szintű eszközök definíciójának megfelelő kereskedési célú és értékesíthető értékpapírok</w:t>
            </w:r>
          </w:p>
        </w:tc>
        <w:tc>
          <w:tcPr>
            <w:tcW w:w="2745" w:type="dxa"/>
            <w:tcBorders>
              <w:left w:val="nil"/>
              <w:right w:val="nil"/>
            </w:tcBorders>
            <w:noWrap/>
          </w:tcPr>
          <w:p w:rsidRPr="009F3C3E" w:rsidR="00060A12" w:rsidP="00AD2BC8" w:rsidRDefault="00060A12" w14:paraId="21FA62B3" w14:textId="77777777">
            <w:pPr>
              <w:jc w:val="right"/>
              <w:rPr>
                <w:rFonts w:ascii="Arial" w:hAnsi="Arial" w:eastAsia="Times New Roman" w:cs="Arial"/>
                <w:sz w:val="20"/>
                <w:szCs w:val="20"/>
                <w:lang w:eastAsia="en-GB"/>
              </w:rPr>
            </w:pPr>
          </w:p>
        </w:tc>
      </w:tr>
      <w:tr w:rsidRPr="009F3C3E" w:rsidR="00060A12" w:rsidTr="00AD2BC8" w14:paraId="58227CD9" w14:textId="77777777">
        <w:trPr>
          <w:trHeight w:val="300"/>
        </w:trPr>
        <w:tc>
          <w:tcPr>
            <w:tcW w:w="6804" w:type="dxa"/>
            <w:tcBorders>
              <w:left w:val="nil"/>
              <w:bottom w:val="single" w:color="auto" w:sz="4" w:space="0"/>
              <w:right w:val="nil"/>
            </w:tcBorders>
            <w:noWrap/>
          </w:tcPr>
          <w:p w:rsidRPr="009F3C3E" w:rsidR="00060A12" w:rsidP="00AD2BC8" w:rsidRDefault="00060A12" w14:paraId="7E75CDD5" w14:textId="77777777">
            <w:pPr>
              <w:ind w:left="171" w:firstLine="28" w:firstLineChars="14"/>
              <w:rPr>
                <w:rFonts w:ascii="Arial" w:hAnsi="Arial" w:eastAsia="Times New Roman" w:cs="Arial"/>
                <w:sz w:val="20"/>
                <w:szCs w:val="20"/>
              </w:rPr>
            </w:pPr>
            <w:r w:rsidRPr="009F3C3E">
              <w:rPr>
                <w:rFonts w:ascii="Arial" w:hAnsi="Arial"/>
                <w:sz w:val="20"/>
              </w:rPr>
              <w:t>d. A 2. szintű eszközök definíciójának megfelelő kereskedési célú és értékesíthető értékpapírok, korrekcióval (haircut)</w:t>
            </w:r>
          </w:p>
        </w:tc>
        <w:tc>
          <w:tcPr>
            <w:tcW w:w="2745" w:type="dxa"/>
            <w:tcBorders>
              <w:left w:val="nil"/>
              <w:right w:val="nil"/>
            </w:tcBorders>
            <w:noWrap/>
          </w:tcPr>
          <w:p w:rsidRPr="009F3C3E" w:rsidR="00060A12" w:rsidP="00AD2BC8" w:rsidRDefault="00060A12" w14:paraId="08665048" w14:textId="77777777">
            <w:pPr>
              <w:jc w:val="right"/>
              <w:rPr>
                <w:rFonts w:ascii="Arial" w:hAnsi="Arial" w:eastAsia="Times New Roman" w:cs="Arial"/>
                <w:sz w:val="20"/>
                <w:szCs w:val="20"/>
                <w:lang w:eastAsia="en-GB"/>
              </w:rPr>
            </w:pPr>
          </w:p>
        </w:tc>
      </w:tr>
      <w:tr w:rsidRPr="009F3C3E" w:rsidR="00060A12" w:rsidTr="00AD2BC8" w14:paraId="7F406257" w14:textId="77777777">
        <w:trPr>
          <w:trHeight w:val="300"/>
        </w:trPr>
        <w:tc>
          <w:tcPr>
            <w:tcW w:w="6804" w:type="dxa"/>
            <w:tcBorders>
              <w:left w:val="nil"/>
              <w:bottom w:val="single" w:color="auto" w:sz="4" w:space="0"/>
              <w:right w:val="nil"/>
            </w:tcBorders>
            <w:noWrap/>
          </w:tcPr>
          <w:p w:rsidRPr="009F3C3E" w:rsidR="00060A12" w:rsidP="00AD2BC8" w:rsidRDefault="00060A12" w14:paraId="3E1C6E7E" w14:textId="77777777">
            <w:pPr>
              <w:ind w:left="171" w:firstLine="28" w:firstLineChars="14"/>
              <w:rPr>
                <w:rFonts w:ascii="Arial" w:hAnsi="Arial" w:eastAsia="Times New Roman" w:cs="Arial"/>
                <w:sz w:val="20"/>
                <w:szCs w:val="20"/>
              </w:rPr>
            </w:pPr>
            <w:r w:rsidRPr="009F3C3E">
              <w:rPr>
                <w:rFonts w:ascii="Arial" w:hAnsi="Arial"/>
                <w:sz w:val="20"/>
              </w:rPr>
              <w:t>e. A kereskedési célú és értékesíthető értékpapírok mutatója (a 10.a. és a 10.b. tételek összege, mínusz a 10.c. és a 10.d. tételek összege)</w:t>
            </w:r>
          </w:p>
        </w:tc>
        <w:tc>
          <w:tcPr>
            <w:tcW w:w="2745" w:type="dxa"/>
            <w:tcBorders>
              <w:left w:val="nil"/>
              <w:bottom w:val="single" w:color="auto" w:sz="4" w:space="0"/>
              <w:right w:val="nil"/>
            </w:tcBorders>
            <w:noWrap/>
          </w:tcPr>
          <w:p w:rsidRPr="009F3C3E" w:rsidR="00060A12" w:rsidP="00AD2BC8" w:rsidRDefault="00060A12" w14:paraId="63C7B38F" w14:textId="77777777">
            <w:pPr>
              <w:jc w:val="right"/>
              <w:rPr>
                <w:rFonts w:ascii="Arial" w:hAnsi="Arial" w:eastAsia="Times New Roman" w:cs="Arial"/>
                <w:sz w:val="20"/>
                <w:szCs w:val="20"/>
                <w:lang w:eastAsia="en-GB"/>
              </w:rPr>
            </w:pPr>
          </w:p>
        </w:tc>
      </w:tr>
      <w:tr w:rsidRPr="009F3C3E" w:rsidR="00060A12" w:rsidTr="00AD2BC8" w14:paraId="554B3A56" w14:textId="77777777">
        <w:trPr>
          <w:trHeight w:val="300"/>
        </w:trPr>
        <w:tc>
          <w:tcPr>
            <w:tcW w:w="6804" w:type="dxa"/>
            <w:tcBorders>
              <w:left w:val="nil"/>
              <w:bottom w:val="nil"/>
              <w:right w:val="nil"/>
            </w:tcBorders>
            <w:noWrap/>
          </w:tcPr>
          <w:p w:rsidRPr="009F3C3E" w:rsidR="00060A12" w:rsidP="00AD2BC8" w:rsidRDefault="00060A12" w14:paraId="6409AB4C"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61FD8103" w14:textId="77777777">
            <w:pPr>
              <w:jc w:val="center"/>
              <w:rPr>
                <w:rFonts w:ascii="Arial" w:hAnsi="Arial" w:eastAsia="Times New Roman" w:cs="Arial"/>
                <w:b/>
                <w:bCs/>
                <w:sz w:val="20"/>
                <w:szCs w:val="20"/>
                <w:lang w:eastAsia="en-GB"/>
              </w:rPr>
            </w:pPr>
          </w:p>
        </w:tc>
      </w:tr>
      <w:tr w:rsidRPr="009F3C3E" w:rsidR="00060A12" w:rsidTr="00AD2BC8" w14:paraId="42D999A8" w14:textId="77777777">
        <w:trPr>
          <w:trHeight w:val="300"/>
        </w:trPr>
        <w:tc>
          <w:tcPr>
            <w:tcW w:w="6804" w:type="dxa"/>
            <w:tcBorders>
              <w:top w:val="nil"/>
              <w:left w:val="nil"/>
              <w:bottom w:val="single" w:color="auto" w:sz="4" w:space="0"/>
              <w:right w:val="nil"/>
            </w:tcBorders>
            <w:noWrap/>
            <w:hideMark/>
          </w:tcPr>
          <w:p w:rsidRPr="009F3C3E" w:rsidR="00060A12" w:rsidP="00AD2BC8" w:rsidRDefault="00060A12" w14:paraId="4209E4D0" w14:textId="77777777">
            <w:pPr>
              <w:rPr>
                <w:rFonts w:ascii="Arial" w:hAnsi="Arial" w:eastAsia="Times New Roman" w:cs="Arial"/>
                <w:b/>
                <w:bCs/>
                <w:sz w:val="20"/>
                <w:szCs w:val="20"/>
              </w:rPr>
            </w:pPr>
            <w:r w:rsidRPr="009F3C3E">
              <w:rPr>
                <w:rFonts w:ascii="Arial" w:hAnsi="Arial"/>
                <w:b/>
                <w:sz w:val="20"/>
              </w:rPr>
              <w:t>12. szakasz – 3. szintű eszközök</w:t>
            </w:r>
          </w:p>
        </w:tc>
        <w:tc>
          <w:tcPr>
            <w:tcW w:w="2745" w:type="dxa"/>
            <w:tcBorders>
              <w:top w:val="nil"/>
              <w:left w:val="nil"/>
              <w:bottom w:val="single" w:color="auto" w:sz="4" w:space="0"/>
              <w:right w:val="nil"/>
            </w:tcBorders>
            <w:hideMark/>
          </w:tcPr>
          <w:p w:rsidRPr="009F3C3E" w:rsidR="00060A12" w:rsidP="00AD2BC8" w:rsidRDefault="00060A12" w14:paraId="109BC4CD"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4DA1E250" w14:textId="77777777">
        <w:trPr>
          <w:trHeight w:val="300"/>
        </w:trPr>
        <w:tc>
          <w:tcPr>
            <w:tcW w:w="6804" w:type="dxa"/>
            <w:tcBorders>
              <w:left w:val="nil"/>
              <w:bottom w:val="single" w:color="auto" w:sz="4" w:space="0"/>
              <w:right w:val="nil"/>
            </w:tcBorders>
            <w:noWrap/>
            <w:hideMark/>
          </w:tcPr>
          <w:p w:rsidRPr="009F3C3E" w:rsidR="00060A12" w:rsidP="00AD2BC8" w:rsidRDefault="00060A12" w14:paraId="30E889D0" w14:textId="77777777">
            <w:pPr>
              <w:ind w:firstLine="200" w:firstLineChars="100"/>
              <w:rPr>
                <w:rFonts w:ascii="Arial" w:hAnsi="Arial" w:eastAsia="Times New Roman" w:cs="Arial"/>
                <w:sz w:val="20"/>
                <w:szCs w:val="20"/>
              </w:rPr>
            </w:pPr>
            <w:r w:rsidRPr="009F3C3E">
              <w:rPr>
                <w:rFonts w:ascii="Arial" w:hAnsi="Arial"/>
                <w:sz w:val="20"/>
              </w:rPr>
              <w:t xml:space="preserve">a. A 3. szintű eszközök mutatója, beleértve a biztosítási leányvállalatokat is </w:t>
            </w:r>
          </w:p>
        </w:tc>
        <w:tc>
          <w:tcPr>
            <w:tcW w:w="2745" w:type="dxa"/>
            <w:tcBorders>
              <w:left w:val="nil"/>
              <w:bottom w:val="single" w:color="auto" w:sz="4" w:space="0"/>
              <w:right w:val="nil"/>
            </w:tcBorders>
            <w:noWrap/>
            <w:hideMark/>
          </w:tcPr>
          <w:p w:rsidRPr="009F3C3E" w:rsidR="00060A12" w:rsidP="00AD2BC8" w:rsidRDefault="00060A12" w14:paraId="63FBCAD9"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5F790A00" w14:textId="77777777">
        <w:trPr>
          <w:trHeight w:val="300"/>
        </w:trPr>
        <w:tc>
          <w:tcPr>
            <w:tcW w:w="6804" w:type="dxa"/>
            <w:tcBorders>
              <w:left w:val="nil"/>
              <w:bottom w:val="nil"/>
              <w:right w:val="nil"/>
            </w:tcBorders>
            <w:noWrap/>
          </w:tcPr>
          <w:p w:rsidRPr="009F3C3E" w:rsidR="00060A12" w:rsidP="00AD2BC8" w:rsidRDefault="00060A12" w14:paraId="5673FE16"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9F3C3E" w:rsidR="00060A12" w:rsidP="00AD2BC8" w:rsidRDefault="00060A12" w14:paraId="3AE788D4" w14:textId="77777777">
            <w:pPr>
              <w:jc w:val="right"/>
              <w:rPr>
                <w:rFonts w:ascii="Arial" w:hAnsi="Arial" w:eastAsia="Times New Roman" w:cs="Arial"/>
                <w:sz w:val="20"/>
                <w:szCs w:val="20"/>
                <w:lang w:eastAsia="en-GB"/>
              </w:rPr>
            </w:pPr>
          </w:p>
        </w:tc>
      </w:tr>
      <w:tr w:rsidRPr="009F3C3E" w:rsidR="00060A12" w:rsidTr="00AD2BC8" w14:paraId="35EB9E65" w14:textId="77777777">
        <w:trPr>
          <w:trHeight w:val="300"/>
        </w:trPr>
        <w:tc>
          <w:tcPr>
            <w:tcW w:w="6804" w:type="dxa"/>
            <w:tcBorders>
              <w:top w:val="nil"/>
              <w:left w:val="nil"/>
              <w:bottom w:val="nil"/>
              <w:right w:val="nil"/>
            </w:tcBorders>
            <w:noWrap/>
          </w:tcPr>
          <w:p w:rsidRPr="009F3C3E" w:rsidR="00060A12" w:rsidP="00AD2BC8" w:rsidRDefault="00060A12" w14:paraId="41818BCD" w14:textId="77777777">
            <w:pPr>
              <w:ind w:firstLine="221" w:firstLineChars="100"/>
              <w:rPr>
                <w:rFonts w:ascii="Arial" w:hAnsi="Arial" w:eastAsia="Times New Roman" w:cs="Arial"/>
                <w:sz w:val="20"/>
                <w:szCs w:val="20"/>
              </w:rPr>
            </w:pPr>
            <w:r w:rsidRPr="009F3C3E">
              <w:rPr>
                <w:rFonts w:asciiTheme="majorHAnsi" w:hAnsiTheme="majorHAnsi"/>
                <w:b/>
                <w:i/>
                <w:caps/>
              </w:rPr>
              <w:t>A több joghatóságot érintő tevékenységek mutatói</w:t>
            </w:r>
          </w:p>
        </w:tc>
        <w:tc>
          <w:tcPr>
            <w:tcW w:w="2745" w:type="dxa"/>
            <w:tcBorders>
              <w:top w:val="nil"/>
              <w:left w:val="nil"/>
              <w:bottom w:val="nil"/>
              <w:right w:val="nil"/>
            </w:tcBorders>
            <w:noWrap/>
          </w:tcPr>
          <w:p w:rsidRPr="009F3C3E" w:rsidR="00060A12" w:rsidP="00AD2BC8" w:rsidRDefault="00060A12" w14:paraId="21DCFD3C" w14:textId="77777777">
            <w:pPr>
              <w:jc w:val="right"/>
              <w:rPr>
                <w:rFonts w:ascii="Arial" w:hAnsi="Arial" w:eastAsia="Times New Roman" w:cs="Arial"/>
                <w:sz w:val="20"/>
                <w:szCs w:val="20"/>
                <w:lang w:eastAsia="en-GB"/>
              </w:rPr>
            </w:pPr>
          </w:p>
        </w:tc>
      </w:tr>
      <w:tr w:rsidRPr="009F3C3E" w:rsidR="00060A12" w:rsidTr="00AD2BC8" w14:paraId="19652A1F" w14:textId="77777777">
        <w:trPr>
          <w:trHeight w:val="300"/>
        </w:trPr>
        <w:tc>
          <w:tcPr>
            <w:tcW w:w="6804" w:type="dxa"/>
            <w:tcBorders>
              <w:top w:val="nil"/>
              <w:left w:val="nil"/>
              <w:bottom w:val="single" w:color="auto" w:sz="4" w:space="0"/>
              <w:right w:val="nil"/>
            </w:tcBorders>
            <w:noWrap/>
          </w:tcPr>
          <w:p w:rsidRPr="009F3C3E" w:rsidR="00060A12" w:rsidP="00AD2BC8" w:rsidRDefault="00060A12" w14:paraId="2B2859FD" w14:textId="77777777">
            <w:pPr>
              <w:ind w:firstLine="200" w:firstLineChars="100"/>
              <w:rPr>
                <w:rFonts w:ascii="Arial" w:hAnsi="Arial" w:eastAsia="Times New Roman" w:cs="Arial"/>
                <w:sz w:val="20"/>
                <w:szCs w:val="20"/>
                <w:lang w:eastAsia="en-GB"/>
              </w:rPr>
            </w:pPr>
          </w:p>
        </w:tc>
        <w:tc>
          <w:tcPr>
            <w:tcW w:w="2745" w:type="dxa"/>
            <w:tcBorders>
              <w:top w:val="nil"/>
              <w:left w:val="nil"/>
              <w:bottom w:val="single" w:color="auto" w:sz="4" w:space="0"/>
              <w:right w:val="nil"/>
            </w:tcBorders>
            <w:noWrap/>
          </w:tcPr>
          <w:p w:rsidRPr="009F3C3E" w:rsidR="00060A12" w:rsidP="00AD2BC8" w:rsidRDefault="00060A12" w14:paraId="46111BD2" w14:textId="77777777">
            <w:pPr>
              <w:jc w:val="right"/>
              <w:rPr>
                <w:rFonts w:ascii="Arial" w:hAnsi="Arial" w:eastAsia="Times New Roman" w:cs="Arial"/>
                <w:sz w:val="20"/>
                <w:szCs w:val="20"/>
                <w:lang w:eastAsia="en-GB"/>
              </w:rPr>
            </w:pPr>
          </w:p>
        </w:tc>
      </w:tr>
      <w:tr w:rsidRPr="009F3C3E" w:rsidR="00060A12" w:rsidTr="00AD2BC8" w14:paraId="3D014194" w14:textId="77777777">
        <w:trPr>
          <w:trHeight w:val="300"/>
        </w:trPr>
        <w:tc>
          <w:tcPr>
            <w:tcW w:w="6804" w:type="dxa"/>
            <w:tcBorders>
              <w:left w:val="nil"/>
              <w:bottom w:val="single" w:color="auto" w:sz="4" w:space="0"/>
              <w:right w:val="nil"/>
            </w:tcBorders>
            <w:noWrap/>
            <w:hideMark/>
          </w:tcPr>
          <w:p w:rsidRPr="009F3C3E" w:rsidR="00060A12" w:rsidP="00AD2BC8" w:rsidRDefault="00060A12" w14:paraId="590DB124" w14:textId="77777777">
            <w:pPr>
              <w:rPr>
                <w:rFonts w:ascii="Arial" w:hAnsi="Arial" w:eastAsia="Times New Roman" w:cs="Arial"/>
                <w:b/>
                <w:bCs/>
                <w:sz w:val="20"/>
                <w:szCs w:val="20"/>
              </w:rPr>
            </w:pPr>
            <w:r w:rsidRPr="009F3C3E">
              <w:rPr>
                <w:rFonts w:ascii="Arial" w:hAnsi="Arial"/>
                <w:b/>
                <w:sz w:val="20"/>
              </w:rPr>
              <w:t>13. szakasz – Több joghatóságot érintő követelések</w:t>
            </w:r>
          </w:p>
        </w:tc>
        <w:tc>
          <w:tcPr>
            <w:tcW w:w="2745" w:type="dxa"/>
            <w:tcBorders>
              <w:left w:val="nil"/>
              <w:bottom w:val="single" w:color="auto" w:sz="4" w:space="0"/>
              <w:right w:val="nil"/>
            </w:tcBorders>
            <w:hideMark/>
          </w:tcPr>
          <w:p w:rsidRPr="009F3C3E" w:rsidR="00060A12" w:rsidP="00AD2BC8" w:rsidRDefault="00060A12" w14:paraId="7D518FA9"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057D2728" w14:textId="77777777">
        <w:trPr>
          <w:trHeight w:val="300"/>
        </w:trPr>
        <w:tc>
          <w:tcPr>
            <w:tcW w:w="6804" w:type="dxa"/>
            <w:tcBorders>
              <w:left w:val="nil"/>
              <w:right w:val="nil"/>
            </w:tcBorders>
            <w:noWrap/>
            <w:hideMark/>
          </w:tcPr>
          <w:p w:rsidRPr="009F3C3E" w:rsidR="00060A12" w:rsidP="00AD2BC8" w:rsidRDefault="00060A12" w14:paraId="743D95EA" w14:textId="77777777">
            <w:pPr>
              <w:ind w:firstLine="200" w:firstLineChars="100"/>
              <w:rPr>
                <w:rFonts w:ascii="Arial" w:hAnsi="Arial" w:eastAsia="Times New Roman" w:cs="Arial"/>
                <w:sz w:val="20"/>
                <w:szCs w:val="20"/>
              </w:rPr>
            </w:pPr>
            <w:r w:rsidRPr="009F3C3E">
              <w:rPr>
                <w:rFonts w:ascii="Arial" w:hAnsi="Arial"/>
                <w:sz w:val="20"/>
              </w:rPr>
              <w:t>a. Összes külföldi követelés a végső kockázatviselés elve alapján</w:t>
            </w:r>
          </w:p>
        </w:tc>
        <w:tc>
          <w:tcPr>
            <w:tcW w:w="2745" w:type="dxa"/>
            <w:tcBorders>
              <w:left w:val="nil"/>
              <w:right w:val="nil"/>
            </w:tcBorders>
            <w:noWrap/>
            <w:hideMark/>
          </w:tcPr>
          <w:p w:rsidRPr="009F3C3E" w:rsidR="00060A12" w:rsidP="00AD2BC8" w:rsidRDefault="00060A12" w14:paraId="79AD3953"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023CFD23" w14:textId="77777777">
        <w:trPr>
          <w:trHeight w:val="300"/>
        </w:trPr>
        <w:tc>
          <w:tcPr>
            <w:tcW w:w="6804" w:type="dxa"/>
            <w:tcBorders>
              <w:left w:val="nil"/>
              <w:right w:val="nil"/>
            </w:tcBorders>
            <w:noWrap/>
            <w:hideMark/>
          </w:tcPr>
          <w:p w:rsidRPr="009F3C3E" w:rsidR="00060A12" w:rsidP="00AD2BC8" w:rsidRDefault="00060A12" w14:paraId="2D53E2B4" w14:textId="77777777">
            <w:pPr>
              <w:ind w:firstLine="200" w:firstLineChars="100"/>
              <w:rPr>
                <w:rFonts w:ascii="Arial" w:hAnsi="Arial" w:eastAsia="Times New Roman" w:cs="Arial"/>
                <w:sz w:val="20"/>
                <w:szCs w:val="20"/>
              </w:rPr>
            </w:pPr>
            <w:r w:rsidRPr="009F3C3E">
              <w:rPr>
                <w:rFonts w:ascii="Arial" w:hAnsi="Arial"/>
                <w:sz w:val="20"/>
              </w:rPr>
              <w:t>b. Származtatott ügyletekkel kapcsolatos külföldi követelések a végső kockázatviselés elve alapján</w:t>
            </w:r>
          </w:p>
        </w:tc>
        <w:tc>
          <w:tcPr>
            <w:tcW w:w="2745" w:type="dxa"/>
            <w:tcBorders>
              <w:left w:val="nil"/>
              <w:right w:val="nil"/>
            </w:tcBorders>
            <w:noWrap/>
            <w:hideMark/>
          </w:tcPr>
          <w:p w:rsidRPr="009F3C3E" w:rsidR="00060A12" w:rsidP="00AD2BC8" w:rsidRDefault="00060A12" w14:paraId="062CDD93"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8B77B61" w14:textId="77777777">
        <w:trPr>
          <w:gridAfter w:val="1"/>
          <w:wAfter w:w="2745" w:type="dxa"/>
          <w:trHeight w:val="300"/>
        </w:trPr>
        <w:tc>
          <w:tcPr>
            <w:tcW w:w="6804" w:type="dxa"/>
            <w:tcBorders>
              <w:left w:val="nil"/>
              <w:bottom w:val="single" w:color="auto" w:sz="4" w:space="0"/>
              <w:right w:val="nil"/>
            </w:tcBorders>
            <w:hideMark/>
          </w:tcPr>
          <w:p w:rsidRPr="009F3C3E" w:rsidR="00060A12" w:rsidP="00AD2BC8" w:rsidRDefault="00060A12" w14:paraId="78C7EC0C" w14:textId="77777777">
            <w:pPr>
              <w:ind w:firstLine="200" w:firstLineChars="100"/>
              <w:rPr>
                <w:rFonts w:ascii="Arial" w:hAnsi="Arial" w:eastAsia="Times New Roman" w:cs="Arial"/>
                <w:sz w:val="20"/>
                <w:szCs w:val="20"/>
              </w:rPr>
            </w:pPr>
            <w:r w:rsidRPr="009F3C3E">
              <w:rPr>
                <w:rFonts w:ascii="Arial" w:hAnsi="Arial"/>
                <w:sz w:val="20"/>
              </w:rPr>
              <w:t>c. A több joghatóságot érintő követelések mutatója (a 13.a. és a 13.b. tételek összege)</w:t>
            </w:r>
          </w:p>
        </w:tc>
      </w:tr>
      <w:tr w:rsidRPr="009F3C3E" w:rsidR="00060A12" w:rsidTr="00AD2BC8" w14:paraId="4D1D3F29" w14:textId="77777777">
        <w:trPr>
          <w:trHeight w:val="300"/>
        </w:trPr>
        <w:tc>
          <w:tcPr>
            <w:tcW w:w="6804" w:type="dxa"/>
            <w:tcBorders>
              <w:left w:val="nil"/>
              <w:bottom w:val="nil"/>
              <w:right w:val="nil"/>
            </w:tcBorders>
            <w:noWrap/>
          </w:tcPr>
          <w:p w:rsidRPr="009F3C3E" w:rsidR="00060A12" w:rsidP="00AD2BC8" w:rsidRDefault="00060A12" w14:paraId="2204FBC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343AC17A" w14:textId="77777777">
            <w:pPr>
              <w:jc w:val="center"/>
              <w:rPr>
                <w:rFonts w:ascii="Arial" w:hAnsi="Arial" w:eastAsia="Times New Roman" w:cs="Arial"/>
                <w:b/>
                <w:bCs/>
                <w:sz w:val="20"/>
                <w:szCs w:val="20"/>
                <w:lang w:eastAsia="en-GB"/>
              </w:rPr>
            </w:pPr>
          </w:p>
        </w:tc>
      </w:tr>
      <w:tr w:rsidRPr="009F3C3E" w:rsidR="00060A12" w:rsidTr="00AD2BC8" w14:paraId="2BE27F7A" w14:textId="77777777">
        <w:trPr>
          <w:trHeight w:val="300"/>
        </w:trPr>
        <w:tc>
          <w:tcPr>
            <w:tcW w:w="6804" w:type="dxa"/>
            <w:tcBorders>
              <w:top w:val="nil"/>
              <w:left w:val="nil"/>
              <w:bottom w:val="single" w:color="auto" w:sz="4" w:space="0"/>
              <w:right w:val="nil"/>
            </w:tcBorders>
            <w:noWrap/>
            <w:hideMark/>
          </w:tcPr>
          <w:p w:rsidRPr="009F3C3E" w:rsidR="00060A12" w:rsidP="00AD2BC8" w:rsidRDefault="00060A12" w14:paraId="760CD990" w14:textId="77777777">
            <w:pPr>
              <w:rPr>
                <w:rFonts w:ascii="Arial" w:hAnsi="Arial" w:eastAsia="Times New Roman" w:cs="Arial"/>
                <w:b/>
                <w:bCs/>
                <w:sz w:val="20"/>
                <w:szCs w:val="20"/>
              </w:rPr>
            </w:pPr>
            <w:r w:rsidRPr="009F3C3E">
              <w:rPr>
                <w:rFonts w:ascii="Arial" w:hAnsi="Arial"/>
                <w:b/>
                <w:sz w:val="20"/>
              </w:rPr>
              <w:t>14. szakasz – Több joghatóságot érintő kötelezettségek</w:t>
            </w:r>
          </w:p>
        </w:tc>
        <w:tc>
          <w:tcPr>
            <w:tcW w:w="2745" w:type="dxa"/>
            <w:tcBorders>
              <w:top w:val="nil"/>
              <w:left w:val="nil"/>
              <w:right w:val="nil"/>
            </w:tcBorders>
            <w:hideMark/>
          </w:tcPr>
          <w:p w:rsidRPr="009F3C3E" w:rsidR="00060A12" w:rsidP="00AD2BC8" w:rsidRDefault="00060A12" w14:paraId="66036910"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00F5F3DB" w14:textId="77777777">
        <w:trPr>
          <w:gridAfter w:val="1"/>
          <w:wAfter w:w="2745" w:type="dxa"/>
          <w:trHeight w:val="300"/>
        </w:trPr>
        <w:tc>
          <w:tcPr>
            <w:tcW w:w="6804" w:type="dxa"/>
            <w:tcBorders>
              <w:left w:val="nil"/>
              <w:right w:val="nil"/>
            </w:tcBorders>
            <w:noWrap/>
            <w:hideMark/>
          </w:tcPr>
          <w:p w:rsidRPr="009F3C3E" w:rsidR="00060A12" w:rsidP="00AD2BC8" w:rsidRDefault="00060A12" w14:paraId="2B413E0B" w14:textId="77777777">
            <w:pPr>
              <w:ind w:left="171" w:firstLine="28" w:firstLineChars="14"/>
              <w:rPr>
                <w:rFonts w:ascii="Arial" w:hAnsi="Arial" w:eastAsia="Times New Roman" w:cs="Arial"/>
                <w:sz w:val="20"/>
                <w:szCs w:val="20"/>
              </w:rPr>
            </w:pPr>
            <w:r w:rsidRPr="009F3C3E">
              <w:rPr>
                <w:rFonts w:ascii="Arial" w:hAnsi="Arial"/>
                <w:sz w:val="20"/>
              </w:rPr>
              <w:t>a. Külföldi kötelezettségek a közvetlen kockázat elve alapján, származtatott ügyletek nélkül és a helyi pénznemben fennálló helyi kötelezettségeket beleértve</w:t>
            </w:r>
          </w:p>
        </w:tc>
      </w:tr>
      <w:tr w:rsidRPr="009F3C3E" w:rsidR="00060A12" w:rsidTr="00AD2BC8" w14:paraId="4F6163BB" w14:textId="77777777">
        <w:trPr>
          <w:trHeight w:val="300"/>
        </w:trPr>
        <w:tc>
          <w:tcPr>
            <w:tcW w:w="6804" w:type="dxa"/>
            <w:tcBorders>
              <w:left w:val="nil"/>
              <w:right w:val="nil"/>
            </w:tcBorders>
            <w:noWrap/>
            <w:hideMark/>
          </w:tcPr>
          <w:p w:rsidRPr="009F3C3E" w:rsidR="00060A12" w:rsidP="00AD2BC8" w:rsidRDefault="00060A12" w14:paraId="7698D373" w14:textId="77777777">
            <w:pPr>
              <w:ind w:firstLine="200" w:firstLineChars="100"/>
              <w:rPr>
                <w:rFonts w:ascii="Arial" w:hAnsi="Arial" w:eastAsia="Times New Roman" w:cs="Arial"/>
                <w:sz w:val="20"/>
                <w:szCs w:val="20"/>
              </w:rPr>
            </w:pPr>
            <w:r w:rsidRPr="009F3C3E">
              <w:rPr>
                <w:rFonts w:ascii="Arial" w:hAnsi="Arial"/>
                <w:sz w:val="20"/>
              </w:rPr>
              <w:t>b. Származtatott ügyletekkel kapcsolatos külföldi kötelezettségek a közvetlen kockázat elve alapján</w:t>
            </w:r>
          </w:p>
        </w:tc>
        <w:tc>
          <w:tcPr>
            <w:tcW w:w="2745" w:type="dxa"/>
            <w:tcBorders>
              <w:left w:val="nil"/>
              <w:right w:val="nil"/>
            </w:tcBorders>
            <w:noWrap/>
            <w:hideMark/>
          </w:tcPr>
          <w:p w:rsidRPr="009F3C3E" w:rsidR="00060A12" w:rsidP="00AD2BC8" w:rsidRDefault="00060A12" w14:paraId="5FF4DA23"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F9FE7A2" w14:textId="77777777">
        <w:trPr>
          <w:gridAfter w:val="1"/>
          <w:wAfter w:w="2745" w:type="dxa"/>
          <w:trHeight w:val="300"/>
        </w:trPr>
        <w:tc>
          <w:tcPr>
            <w:tcW w:w="6804" w:type="dxa"/>
            <w:tcBorders>
              <w:left w:val="nil"/>
              <w:bottom w:val="single" w:color="auto" w:sz="4" w:space="0"/>
              <w:right w:val="nil"/>
            </w:tcBorders>
            <w:hideMark/>
          </w:tcPr>
          <w:p w:rsidRPr="009F3C3E" w:rsidR="00060A12" w:rsidP="00AD2BC8" w:rsidRDefault="00060A12" w14:paraId="663BCFCD" w14:textId="77777777">
            <w:pPr>
              <w:ind w:firstLine="200" w:firstLineChars="100"/>
              <w:rPr>
                <w:rFonts w:ascii="Arial" w:hAnsi="Arial" w:eastAsia="Times New Roman" w:cs="Arial"/>
                <w:sz w:val="20"/>
                <w:szCs w:val="20"/>
              </w:rPr>
            </w:pPr>
            <w:r w:rsidRPr="009F3C3E">
              <w:rPr>
                <w:rFonts w:ascii="Arial" w:hAnsi="Arial"/>
                <w:sz w:val="20"/>
              </w:rPr>
              <w:t>c. A több joghatóságot érintő kötelezettségek mutatója (a 14.a. és a 14.b. tételek összege)</w:t>
            </w:r>
          </w:p>
        </w:tc>
      </w:tr>
      <w:tr w:rsidRPr="009F3C3E" w:rsidR="00060A12" w:rsidTr="00AD2BC8" w14:paraId="0DEA1308" w14:textId="77777777">
        <w:trPr>
          <w:trHeight w:val="300"/>
        </w:trPr>
        <w:tc>
          <w:tcPr>
            <w:tcW w:w="6804" w:type="dxa"/>
            <w:tcBorders>
              <w:left w:val="nil"/>
              <w:bottom w:val="nil"/>
              <w:right w:val="nil"/>
            </w:tcBorders>
            <w:noWrap/>
          </w:tcPr>
          <w:p w:rsidRPr="009F3C3E" w:rsidR="00060A12" w:rsidP="00AD2BC8" w:rsidRDefault="00060A12" w14:paraId="5485E481"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2F9BFA9D" w14:textId="77777777">
            <w:pPr>
              <w:jc w:val="center"/>
              <w:rPr>
                <w:rFonts w:ascii="Arial" w:hAnsi="Arial" w:eastAsia="Times New Roman" w:cs="Arial"/>
                <w:b/>
                <w:bCs/>
                <w:sz w:val="20"/>
                <w:szCs w:val="20"/>
                <w:lang w:eastAsia="en-GB"/>
              </w:rPr>
            </w:pPr>
          </w:p>
        </w:tc>
      </w:tr>
      <w:tr w:rsidRPr="009F3C3E" w:rsidR="00060A12" w:rsidTr="00AD2BC8" w14:paraId="086E13CE" w14:textId="77777777">
        <w:trPr>
          <w:trHeight w:val="300"/>
        </w:trPr>
        <w:tc>
          <w:tcPr>
            <w:tcW w:w="6804" w:type="dxa"/>
            <w:tcBorders>
              <w:top w:val="nil"/>
              <w:left w:val="nil"/>
              <w:bottom w:val="nil"/>
              <w:right w:val="nil"/>
            </w:tcBorders>
            <w:noWrap/>
          </w:tcPr>
          <w:p w:rsidRPr="009F3C3E" w:rsidR="00060A12" w:rsidP="00AD2BC8" w:rsidRDefault="00060A12" w14:paraId="67E8E402" w14:textId="77777777">
            <w:pPr>
              <w:keepNext/>
              <w:keepLines/>
              <w:spacing w:before="47"/>
              <w:outlineLvl w:val="5"/>
              <w:rPr>
                <w:rFonts w:ascii="Arial" w:hAnsi="Arial" w:eastAsia="Times New Roman" w:cs="Arial"/>
                <w:b/>
                <w:bCs/>
                <w:i/>
                <w:iCs/>
                <w:caps/>
                <w:color w:val="172B39" w:themeColor="accent1" w:themeShade="80"/>
                <w:sz w:val="20"/>
                <w:szCs w:val="20"/>
              </w:rPr>
            </w:pPr>
            <w:r w:rsidRPr="009F3C3E">
              <w:rPr>
                <w:rFonts w:asciiTheme="majorHAnsi" w:hAnsiTheme="majorHAnsi"/>
                <w:b/>
                <w:i/>
                <w:caps/>
              </w:rPr>
              <w:t>KIEGÉSZÍTŐ ADATOK</w:t>
            </w:r>
          </w:p>
        </w:tc>
        <w:tc>
          <w:tcPr>
            <w:tcW w:w="2745" w:type="dxa"/>
            <w:tcBorders>
              <w:top w:val="nil"/>
              <w:left w:val="nil"/>
              <w:bottom w:val="nil"/>
              <w:right w:val="nil"/>
            </w:tcBorders>
          </w:tcPr>
          <w:p w:rsidRPr="009F3C3E" w:rsidR="00060A12" w:rsidP="00AD2BC8" w:rsidRDefault="00060A12" w14:paraId="6C801337" w14:textId="77777777">
            <w:pPr>
              <w:jc w:val="center"/>
              <w:rPr>
                <w:rFonts w:ascii="Arial" w:hAnsi="Arial" w:eastAsia="Times New Roman" w:cs="Arial"/>
                <w:b/>
                <w:bCs/>
                <w:sz w:val="20"/>
                <w:szCs w:val="20"/>
                <w:lang w:eastAsia="en-GB"/>
              </w:rPr>
            </w:pPr>
          </w:p>
        </w:tc>
      </w:tr>
      <w:tr w:rsidRPr="009F3C3E" w:rsidR="00060A12" w:rsidTr="00AD2BC8" w14:paraId="583B685E" w14:textId="77777777">
        <w:trPr>
          <w:trHeight w:val="300"/>
        </w:trPr>
        <w:tc>
          <w:tcPr>
            <w:tcW w:w="6804" w:type="dxa"/>
            <w:tcBorders>
              <w:top w:val="nil"/>
              <w:left w:val="nil"/>
              <w:bottom w:val="single" w:color="auto" w:sz="4" w:space="0"/>
              <w:right w:val="nil"/>
            </w:tcBorders>
            <w:noWrap/>
          </w:tcPr>
          <w:p w:rsidRPr="009F3C3E" w:rsidR="00060A12" w:rsidP="00AD2BC8" w:rsidRDefault="00060A12" w14:paraId="01FA6BD4"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tcPr>
          <w:p w:rsidRPr="009F3C3E" w:rsidR="00060A12" w:rsidP="00AD2BC8" w:rsidRDefault="00060A12" w14:paraId="7F075B02" w14:textId="77777777">
            <w:pPr>
              <w:jc w:val="center"/>
              <w:rPr>
                <w:rFonts w:ascii="Arial" w:hAnsi="Arial" w:eastAsia="Times New Roman" w:cs="Arial"/>
                <w:b/>
                <w:bCs/>
                <w:sz w:val="20"/>
                <w:szCs w:val="20"/>
                <w:lang w:eastAsia="en-GB"/>
              </w:rPr>
            </w:pPr>
          </w:p>
        </w:tc>
      </w:tr>
      <w:tr w:rsidRPr="009F3C3E" w:rsidR="00060A12" w:rsidTr="00AD2BC8" w14:paraId="3E3EF57E" w14:textId="77777777">
        <w:trPr>
          <w:trHeight w:val="300"/>
        </w:trPr>
        <w:tc>
          <w:tcPr>
            <w:tcW w:w="6804" w:type="dxa"/>
            <w:tcBorders>
              <w:left w:val="nil"/>
              <w:bottom w:val="single" w:color="auto" w:sz="4" w:space="0"/>
              <w:right w:val="nil"/>
            </w:tcBorders>
            <w:noWrap/>
            <w:hideMark/>
          </w:tcPr>
          <w:p w:rsidRPr="009F3C3E" w:rsidR="00060A12" w:rsidP="00AD2BC8" w:rsidRDefault="00060A12" w14:paraId="7A1FCCAA" w14:textId="77777777">
            <w:pPr>
              <w:rPr>
                <w:rFonts w:ascii="Arial" w:hAnsi="Arial" w:eastAsia="Times New Roman" w:cs="Arial"/>
                <w:b/>
                <w:bCs/>
                <w:sz w:val="20"/>
                <w:szCs w:val="20"/>
              </w:rPr>
            </w:pPr>
            <w:r w:rsidRPr="009F3C3E">
              <w:rPr>
                <w:rFonts w:ascii="Arial" w:hAnsi="Arial"/>
                <w:b/>
                <w:sz w:val="20"/>
              </w:rPr>
              <w:t>15. szakasz – Kiegészítő mutatók</w:t>
            </w:r>
          </w:p>
        </w:tc>
        <w:tc>
          <w:tcPr>
            <w:tcW w:w="2745" w:type="dxa"/>
            <w:tcBorders>
              <w:left w:val="nil"/>
              <w:bottom w:val="single" w:color="auto" w:sz="4" w:space="0"/>
              <w:right w:val="nil"/>
            </w:tcBorders>
            <w:hideMark/>
          </w:tcPr>
          <w:p w:rsidRPr="009F3C3E" w:rsidR="00060A12" w:rsidP="00AD2BC8" w:rsidRDefault="00060A12" w14:paraId="30FB92E4"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17A5D8D0" w14:textId="77777777">
        <w:trPr>
          <w:trHeight w:val="300"/>
        </w:trPr>
        <w:tc>
          <w:tcPr>
            <w:tcW w:w="6804" w:type="dxa"/>
            <w:tcBorders>
              <w:left w:val="nil"/>
              <w:right w:val="nil"/>
            </w:tcBorders>
            <w:noWrap/>
            <w:hideMark/>
          </w:tcPr>
          <w:p w:rsidRPr="009F3C3E" w:rsidR="00060A12" w:rsidP="00AD2BC8" w:rsidRDefault="00060A12" w14:paraId="105CB340" w14:textId="77777777">
            <w:pPr>
              <w:ind w:firstLine="200" w:firstLineChars="100"/>
              <w:rPr>
                <w:rFonts w:ascii="Arial" w:hAnsi="Arial" w:eastAsia="Times New Roman" w:cs="Arial"/>
                <w:sz w:val="20"/>
                <w:szCs w:val="20"/>
              </w:rPr>
            </w:pPr>
            <w:r w:rsidRPr="009F3C3E">
              <w:rPr>
                <w:rFonts w:ascii="Arial" w:hAnsi="Arial"/>
                <w:sz w:val="20"/>
              </w:rPr>
              <w:t>a. Összes kötelezettség</w:t>
            </w:r>
          </w:p>
        </w:tc>
        <w:tc>
          <w:tcPr>
            <w:tcW w:w="2745" w:type="dxa"/>
            <w:tcBorders>
              <w:left w:val="nil"/>
              <w:right w:val="nil"/>
            </w:tcBorders>
            <w:noWrap/>
            <w:hideMark/>
          </w:tcPr>
          <w:p w:rsidRPr="009F3C3E" w:rsidR="00060A12" w:rsidP="00AD2BC8" w:rsidRDefault="00060A12" w14:paraId="4F5554DF"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5381330C" w14:textId="77777777">
        <w:trPr>
          <w:trHeight w:val="300"/>
        </w:trPr>
        <w:tc>
          <w:tcPr>
            <w:tcW w:w="6804" w:type="dxa"/>
            <w:tcBorders>
              <w:left w:val="nil"/>
              <w:right w:val="nil"/>
            </w:tcBorders>
            <w:noWrap/>
            <w:hideMark/>
          </w:tcPr>
          <w:p w:rsidRPr="009F3C3E" w:rsidR="00060A12" w:rsidP="00AD2BC8" w:rsidRDefault="00060A12" w14:paraId="507B6952" w14:textId="77777777">
            <w:pPr>
              <w:ind w:firstLine="200" w:firstLineChars="100"/>
              <w:rPr>
                <w:rFonts w:ascii="Arial" w:hAnsi="Arial" w:eastAsia="Times New Roman" w:cs="Arial"/>
                <w:sz w:val="20"/>
                <w:szCs w:val="20"/>
              </w:rPr>
            </w:pPr>
            <w:r w:rsidRPr="009F3C3E">
              <w:rPr>
                <w:rFonts w:ascii="Arial" w:hAnsi="Arial"/>
                <w:sz w:val="20"/>
              </w:rPr>
              <w:t>b. Kiskereskedelmi finanszírozás</w:t>
            </w:r>
          </w:p>
        </w:tc>
        <w:tc>
          <w:tcPr>
            <w:tcW w:w="2745" w:type="dxa"/>
            <w:tcBorders>
              <w:left w:val="nil"/>
              <w:right w:val="nil"/>
            </w:tcBorders>
            <w:noWrap/>
            <w:hideMark/>
          </w:tcPr>
          <w:p w:rsidRPr="009F3C3E" w:rsidR="00060A12" w:rsidP="00AD2BC8" w:rsidRDefault="00060A12" w14:paraId="29844CC0"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C98A9E6" w14:textId="77777777">
        <w:trPr>
          <w:gridAfter w:val="1"/>
          <w:wAfter w:w="2745" w:type="dxa"/>
          <w:trHeight w:val="540"/>
        </w:trPr>
        <w:tc>
          <w:tcPr>
            <w:tcW w:w="6804" w:type="dxa"/>
            <w:tcBorders>
              <w:left w:val="nil"/>
              <w:right w:val="nil"/>
            </w:tcBorders>
            <w:noWrap/>
            <w:hideMark/>
          </w:tcPr>
          <w:p w:rsidRPr="009F3C3E" w:rsidR="00060A12" w:rsidP="00AD2BC8" w:rsidRDefault="00060A12" w14:paraId="1E903046" w14:textId="77777777">
            <w:pPr>
              <w:ind w:left="171"/>
              <w:rPr>
                <w:rFonts w:ascii="Arial" w:hAnsi="Arial" w:eastAsia="Times New Roman" w:cs="Arial"/>
                <w:sz w:val="20"/>
                <w:szCs w:val="20"/>
              </w:rPr>
            </w:pPr>
            <w:r w:rsidRPr="009F3C3E">
              <w:rPr>
                <w:rFonts w:ascii="Arial" w:hAnsi="Arial"/>
                <w:sz w:val="20"/>
              </w:rPr>
              <w:t>c. Nagykereskedelmi finanszírozás jelentette függőség aránya (a 15.a. és a 15.b. tételek közötti különbség, osztva a 15.a. tétellel)</w:t>
            </w:r>
          </w:p>
        </w:tc>
      </w:tr>
      <w:tr w:rsidRPr="009F3C3E" w:rsidR="00060A12" w:rsidTr="00AD2BC8" w14:paraId="2DDB3877" w14:textId="77777777">
        <w:trPr>
          <w:trHeight w:val="300"/>
        </w:trPr>
        <w:tc>
          <w:tcPr>
            <w:tcW w:w="6804" w:type="dxa"/>
            <w:tcBorders>
              <w:left w:val="nil"/>
              <w:right w:val="nil"/>
            </w:tcBorders>
            <w:noWrap/>
            <w:hideMark/>
          </w:tcPr>
          <w:p w:rsidRPr="009F3C3E" w:rsidR="00060A12" w:rsidP="00AD2BC8" w:rsidRDefault="00060A12" w14:paraId="27BAA670" w14:textId="77777777">
            <w:pPr>
              <w:ind w:firstLine="200" w:firstLineChars="100"/>
              <w:rPr>
                <w:rFonts w:ascii="Arial" w:hAnsi="Arial" w:eastAsia="Times New Roman" w:cs="Arial"/>
                <w:sz w:val="20"/>
                <w:szCs w:val="20"/>
              </w:rPr>
            </w:pPr>
            <w:r w:rsidRPr="009F3C3E">
              <w:rPr>
                <w:rFonts w:ascii="Arial" w:hAnsi="Arial"/>
                <w:sz w:val="20"/>
              </w:rPr>
              <w:t>d. Bruttó bevétel összesen</w:t>
            </w:r>
          </w:p>
        </w:tc>
        <w:tc>
          <w:tcPr>
            <w:tcW w:w="2745" w:type="dxa"/>
            <w:tcBorders>
              <w:left w:val="nil"/>
              <w:right w:val="nil"/>
            </w:tcBorders>
            <w:noWrap/>
            <w:hideMark/>
          </w:tcPr>
          <w:p w:rsidRPr="009F3C3E" w:rsidR="00060A12" w:rsidP="00AD2BC8" w:rsidRDefault="00060A12" w14:paraId="3E8FCDE9"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3B95170" w14:textId="77777777">
        <w:trPr>
          <w:trHeight w:val="300"/>
        </w:trPr>
        <w:tc>
          <w:tcPr>
            <w:tcW w:w="6804" w:type="dxa"/>
            <w:tcBorders>
              <w:left w:val="nil"/>
              <w:right w:val="nil"/>
            </w:tcBorders>
            <w:noWrap/>
            <w:hideMark/>
          </w:tcPr>
          <w:p w:rsidRPr="009F3C3E" w:rsidR="00060A12" w:rsidP="00AD2BC8" w:rsidRDefault="00060A12" w14:paraId="4E11F862" w14:textId="77777777">
            <w:pPr>
              <w:ind w:firstLine="200" w:firstLineChars="100"/>
              <w:rPr>
                <w:rFonts w:ascii="Arial" w:hAnsi="Arial" w:eastAsia="Times New Roman" w:cs="Arial"/>
                <w:sz w:val="20"/>
                <w:szCs w:val="20"/>
              </w:rPr>
            </w:pPr>
            <w:r w:rsidRPr="009F3C3E">
              <w:rPr>
                <w:rFonts w:ascii="Arial" w:hAnsi="Arial"/>
                <w:sz w:val="20"/>
              </w:rPr>
              <w:t>e. Nettó bevétel összesen</w:t>
            </w:r>
          </w:p>
        </w:tc>
        <w:tc>
          <w:tcPr>
            <w:tcW w:w="2745" w:type="dxa"/>
            <w:tcBorders>
              <w:left w:val="nil"/>
              <w:right w:val="nil"/>
            </w:tcBorders>
            <w:noWrap/>
            <w:hideMark/>
          </w:tcPr>
          <w:p w:rsidRPr="009F3C3E" w:rsidR="00060A12" w:rsidP="00AD2BC8" w:rsidRDefault="00060A12" w14:paraId="2272A890"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532E7F01" w14:textId="77777777">
        <w:trPr>
          <w:trHeight w:val="300"/>
        </w:trPr>
        <w:tc>
          <w:tcPr>
            <w:tcW w:w="6804" w:type="dxa"/>
            <w:tcBorders>
              <w:left w:val="nil"/>
              <w:right w:val="nil"/>
            </w:tcBorders>
            <w:noWrap/>
            <w:hideMark/>
          </w:tcPr>
          <w:p w:rsidRPr="009F3C3E" w:rsidR="00060A12" w:rsidP="00AD2BC8" w:rsidRDefault="00060A12" w14:paraId="17760736" w14:textId="77777777">
            <w:pPr>
              <w:ind w:firstLine="200" w:firstLineChars="100"/>
              <w:rPr>
                <w:rFonts w:ascii="Arial" w:hAnsi="Arial" w:eastAsia="Times New Roman" w:cs="Arial"/>
                <w:sz w:val="20"/>
                <w:szCs w:val="20"/>
              </w:rPr>
            </w:pPr>
            <w:r w:rsidRPr="009F3C3E">
              <w:rPr>
                <w:rFonts w:ascii="Arial" w:hAnsi="Arial"/>
                <w:sz w:val="20"/>
              </w:rPr>
              <w:t>f. Külföldi nettó bevétel</w:t>
            </w:r>
          </w:p>
        </w:tc>
        <w:tc>
          <w:tcPr>
            <w:tcW w:w="2745" w:type="dxa"/>
            <w:tcBorders>
              <w:left w:val="nil"/>
              <w:right w:val="nil"/>
            </w:tcBorders>
            <w:noWrap/>
            <w:hideMark/>
          </w:tcPr>
          <w:p w:rsidRPr="009F3C3E" w:rsidR="00060A12" w:rsidP="00AD2BC8" w:rsidRDefault="00060A12" w14:paraId="25FF6E12"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397A765F" w14:textId="77777777">
        <w:trPr>
          <w:trHeight w:val="300"/>
        </w:trPr>
        <w:tc>
          <w:tcPr>
            <w:tcW w:w="6804" w:type="dxa"/>
            <w:tcBorders>
              <w:left w:val="nil"/>
              <w:right w:val="nil"/>
            </w:tcBorders>
            <w:noWrap/>
          </w:tcPr>
          <w:p w:rsidRPr="009F3C3E" w:rsidR="00060A12" w:rsidP="00AD2BC8" w:rsidRDefault="00060A12" w14:paraId="39CB3ABB" w14:textId="77777777">
            <w:pPr>
              <w:ind w:left="171"/>
              <w:rPr>
                <w:rFonts w:ascii="Arial" w:hAnsi="Arial" w:eastAsia="Times New Roman" w:cs="Arial"/>
                <w:sz w:val="20"/>
                <w:szCs w:val="20"/>
              </w:rPr>
            </w:pPr>
            <w:r w:rsidRPr="009F3C3E">
              <w:rPr>
                <w:rFonts w:ascii="Arial" w:hAnsi="Arial"/>
                <w:sz w:val="20"/>
              </w:rPr>
              <w:t>g. Rendelkezésre bocsátott készpénz bruttó értéke és az értékpapír-finanszírozási ügyletekben nyújtott értékpapírkölcsön bruttó valós értéke</w:t>
            </w:r>
          </w:p>
        </w:tc>
        <w:tc>
          <w:tcPr>
            <w:tcW w:w="2745" w:type="dxa"/>
            <w:tcBorders>
              <w:left w:val="nil"/>
              <w:right w:val="nil"/>
            </w:tcBorders>
            <w:noWrap/>
          </w:tcPr>
          <w:p w:rsidRPr="009F3C3E" w:rsidR="00060A12" w:rsidP="00AD2BC8" w:rsidRDefault="00060A12" w14:paraId="4498EAF4" w14:textId="77777777">
            <w:pPr>
              <w:jc w:val="right"/>
              <w:rPr>
                <w:rFonts w:ascii="Arial" w:hAnsi="Arial" w:eastAsia="Times New Roman" w:cs="Arial"/>
                <w:sz w:val="20"/>
                <w:szCs w:val="20"/>
                <w:lang w:eastAsia="en-GB"/>
              </w:rPr>
            </w:pPr>
          </w:p>
        </w:tc>
      </w:tr>
      <w:tr w:rsidRPr="009F3C3E" w:rsidR="00060A12" w:rsidTr="00AD2BC8" w14:paraId="7B0BCCC4" w14:textId="77777777">
        <w:trPr>
          <w:trHeight w:val="300"/>
        </w:trPr>
        <w:tc>
          <w:tcPr>
            <w:tcW w:w="6804" w:type="dxa"/>
            <w:tcBorders>
              <w:left w:val="nil"/>
              <w:right w:val="nil"/>
            </w:tcBorders>
            <w:noWrap/>
          </w:tcPr>
          <w:p w:rsidRPr="009F3C3E" w:rsidR="00060A12" w:rsidP="00AD2BC8" w:rsidRDefault="00060A12" w14:paraId="2A1BEB49" w14:textId="77777777">
            <w:pPr>
              <w:ind w:left="171"/>
              <w:rPr>
                <w:rFonts w:ascii="Arial" w:hAnsi="Arial" w:eastAsia="Times New Roman" w:cs="Arial"/>
                <w:sz w:val="20"/>
                <w:szCs w:val="20"/>
              </w:rPr>
            </w:pPr>
            <w:r w:rsidRPr="009F3C3E">
              <w:rPr>
                <w:rFonts w:ascii="Arial" w:hAnsi="Arial"/>
                <w:sz w:val="20"/>
              </w:rPr>
              <w:t>h. Kölcsönvett készpénz bruttó értéke és az értékpapír-finanszírozási ügyletekben kapott értékpapírkölcsön bruttó valós értéke</w:t>
            </w:r>
          </w:p>
        </w:tc>
        <w:tc>
          <w:tcPr>
            <w:tcW w:w="2745" w:type="dxa"/>
            <w:tcBorders>
              <w:left w:val="nil"/>
              <w:right w:val="nil"/>
            </w:tcBorders>
            <w:noWrap/>
          </w:tcPr>
          <w:p w:rsidRPr="009F3C3E" w:rsidR="00060A12" w:rsidP="00AD2BC8" w:rsidRDefault="00060A12" w14:paraId="0C1E2205" w14:textId="77777777">
            <w:pPr>
              <w:jc w:val="right"/>
              <w:rPr>
                <w:rFonts w:ascii="Arial" w:hAnsi="Arial" w:eastAsia="Times New Roman" w:cs="Arial"/>
                <w:sz w:val="20"/>
                <w:szCs w:val="20"/>
                <w:lang w:eastAsia="en-GB"/>
              </w:rPr>
            </w:pPr>
          </w:p>
        </w:tc>
      </w:tr>
      <w:tr w:rsidRPr="009F3C3E" w:rsidR="00060A12" w:rsidTr="00AD2BC8" w14:paraId="17888485" w14:textId="77777777">
        <w:trPr>
          <w:trHeight w:val="300"/>
        </w:trPr>
        <w:tc>
          <w:tcPr>
            <w:tcW w:w="6804" w:type="dxa"/>
            <w:tcBorders>
              <w:left w:val="nil"/>
              <w:right w:val="nil"/>
            </w:tcBorders>
            <w:noWrap/>
          </w:tcPr>
          <w:p w:rsidRPr="009F3C3E" w:rsidR="00060A12" w:rsidP="00AD2BC8" w:rsidRDefault="00060A12" w14:paraId="0EBB68D4" w14:textId="77777777">
            <w:pPr>
              <w:ind w:left="171"/>
              <w:rPr>
                <w:rFonts w:ascii="Arial" w:hAnsi="Arial" w:eastAsia="Times New Roman" w:cs="Arial"/>
                <w:sz w:val="20"/>
                <w:szCs w:val="20"/>
              </w:rPr>
            </w:pPr>
            <w:r w:rsidRPr="009F3C3E">
              <w:rPr>
                <w:rFonts w:ascii="Arial" w:hAnsi="Arial"/>
                <w:sz w:val="20"/>
              </w:rPr>
              <w:t>i. Tőzsdén kívüli származtatott ügyletek bruttó pozitív valós értéke</w:t>
            </w:r>
          </w:p>
        </w:tc>
        <w:tc>
          <w:tcPr>
            <w:tcW w:w="2745" w:type="dxa"/>
            <w:tcBorders>
              <w:left w:val="nil"/>
              <w:right w:val="nil"/>
            </w:tcBorders>
            <w:noWrap/>
          </w:tcPr>
          <w:p w:rsidRPr="009F3C3E" w:rsidR="00060A12" w:rsidP="00AD2BC8" w:rsidRDefault="00060A12" w14:paraId="46B1369A" w14:textId="77777777">
            <w:pPr>
              <w:jc w:val="right"/>
              <w:rPr>
                <w:rFonts w:ascii="Arial" w:hAnsi="Arial" w:eastAsia="Times New Roman" w:cs="Arial"/>
                <w:sz w:val="20"/>
                <w:szCs w:val="20"/>
                <w:lang w:eastAsia="en-GB"/>
              </w:rPr>
            </w:pPr>
          </w:p>
        </w:tc>
      </w:tr>
      <w:tr w:rsidRPr="009F3C3E" w:rsidR="00060A12" w:rsidTr="00AD2BC8" w14:paraId="5BCD9ADB" w14:textId="77777777">
        <w:trPr>
          <w:trHeight w:val="300"/>
        </w:trPr>
        <w:tc>
          <w:tcPr>
            <w:tcW w:w="6804" w:type="dxa"/>
            <w:tcBorders>
              <w:left w:val="nil"/>
              <w:bottom w:val="single" w:color="auto" w:sz="4" w:space="0"/>
              <w:right w:val="nil"/>
            </w:tcBorders>
            <w:noWrap/>
          </w:tcPr>
          <w:p w:rsidRPr="009F3C3E" w:rsidR="00060A12" w:rsidP="00AD2BC8" w:rsidRDefault="00060A12" w14:paraId="6B509C3C" w14:textId="77777777">
            <w:pPr>
              <w:ind w:left="171"/>
              <w:rPr>
                <w:rFonts w:ascii="Arial" w:hAnsi="Arial" w:eastAsia="Times New Roman" w:cs="Arial"/>
                <w:sz w:val="20"/>
                <w:szCs w:val="20"/>
              </w:rPr>
            </w:pPr>
            <w:r w:rsidRPr="009F3C3E">
              <w:rPr>
                <w:rFonts w:ascii="Arial" w:hAnsi="Arial"/>
                <w:sz w:val="20"/>
              </w:rPr>
              <w:t>j. Tőzsdén kívüli származtatott ügyletek bruttó negatív valós értéke</w:t>
            </w:r>
          </w:p>
        </w:tc>
        <w:tc>
          <w:tcPr>
            <w:tcW w:w="2745" w:type="dxa"/>
            <w:tcBorders>
              <w:left w:val="nil"/>
              <w:bottom w:val="single" w:color="auto" w:sz="4" w:space="0"/>
              <w:right w:val="nil"/>
            </w:tcBorders>
            <w:noWrap/>
          </w:tcPr>
          <w:p w:rsidRPr="009F3C3E" w:rsidR="00060A12" w:rsidP="00AD2BC8" w:rsidRDefault="00060A12" w14:paraId="0E86934D" w14:textId="77777777">
            <w:pPr>
              <w:jc w:val="right"/>
              <w:rPr>
                <w:rFonts w:ascii="Arial" w:hAnsi="Arial" w:eastAsia="Times New Roman" w:cs="Arial"/>
                <w:sz w:val="20"/>
                <w:szCs w:val="20"/>
                <w:lang w:eastAsia="en-GB"/>
              </w:rPr>
            </w:pPr>
          </w:p>
        </w:tc>
      </w:tr>
      <w:tr w:rsidRPr="009F3C3E" w:rsidR="00060A12" w:rsidTr="00AD2BC8" w14:paraId="124C2FF8" w14:textId="77777777">
        <w:trPr>
          <w:trHeight w:val="300"/>
        </w:trPr>
        <w:tc>
          <w:tcPr>
            <w:tcW w:w="6804" w:type="dxa"/>
            <w:tcBorders>
              <w:left w:val="nil"/>
              <w:bottom w:val="single" w:color="auto" w:sz="4" w:space="0"/>
              <w:right w:val="nil"/>
            </w:tcBorders>
            <w:noWrap/>
            <w:hideMark/>
          </w:tcPr>
          <w:p w:rsidRPr="009F3C3E" w:rsidR="00060A12" w:rsidP="00AD2BC8" w:rsidRDefault="00060A12" w14:paraId="79BAB200" w14:textId="77777777">
            <w:pPr>
              <w:rPr>
                <w:rFonts w:ascii="Arial" w:hAnsi="Arial" w:eastAsia="Times New Roman" w:cs="Arial"/>
                <w:sz w:val="20"/>
                <w:szCs w:val="20"/>
              </w:rPr>
            </w:pPr>
            <w:r w:rsidRPr="009F3C3E">
              <w:rPr>
                <w:rFonts w:ascii="Arial" w:hAnsi="Arial"/>
                <w:sz w:val="20"/>
              </w:rPr>
              <w:t> </w:t>
            </w:r>
          </w:p>
        </w:tc>
        <w:tc>
          <w:tcPr>
            <w:tcW w:w="2745" w:type="dxa"/>
            <w:tcBorders>
              <w:left w:val="nil"/>
              <w:bottom w:val="single" w:color="auto" w:sz="4" w:space="0"/>
              <w:right w:val="nil"/>
            </w:tcBorders>
            <w:hideMark/>
          </w:tcPr>
          <w:p w:rsidRPr="009F3C3E" w:rsidR="00060A12" w:rsidP="00AD2BC8" w:rsidRDefault="00060A12" w14:paraId="0A4BA02A" w14:textId="77777777">
            <w:pPr>
              <w:jc w:val="center"/>
              <w:rPr>
                <w:rFonts w:ascii="Arial" w:hAnsi="Arial" w:eastAsia="Times New Roman" w:cs="Arial"/>
                <w:b/>
                <w:bCs/>
                <w:sz w:val="20"/>
                <w:szCs w:val="20"/>
              </w:rPr>
            </w:pPr>
            <w:r w:rsidRPr="009F3C3E">
              <w:rPr>
                <w:rFonts w:ascii="Arial" w:hAnsi="Arial"/>
                <w:b/>
                <w:sz w:val="20"/>
              </w:rPr>
              <w:t>Összeg önálló egységekben</w:t>
            </w:r>
          </w:p>
        </w:tc>
      </w:tr>
      <w:tr w:rsidRPr="009F3C3E" w:rsidR="00060A12" w:rsidTr="00AD2BC8" w14:paraId="4530C3E9" w14:textId="77777777">
        <w:trPr>
          <w:trHeight w:val="300"/>
        </w:trPr>
        <w:tc>
          <w:tcPr>
            <w:tcW w:w="6804" w:type="dxa"/>
            <w:tcBorders>
              <w:left w:val="nil"/>
              <w:bottom w:val="single" w:color="auto" w:sz="4" w:space="0"/>
              <w:right w:val="nil"/>
            </w:tcBorders>
            <w:noWrap/>
            <w:hideMark/>
          </w:tcPr>
          <w:p w:rsidRPr="009F3C3E" w:rsidR="00060A12" w:rsidP="00AD2BC8" w:rsidRDefault="00060A12" w14:paraId="0FD9063A" w14:textId="77777777">
            <w:pPr>
              <w:ind w:firstLine="200" w:firstLineChars="100"/>
              <w:rPr>
                <w:rFonts w:ascii="Arial" w:hAnsi="Arial" w:eastAsia="Times New Roman" w:cs="Arial"/>
                <w:sz w:val="20"/>
                <w:szCs w:val="20"/>
              </w:rPr>
            </w:pPr>
            <w:r w:rsidRPr="009F3C3E">
              <w:rPr>
                <w:rFonts w:ascii="Arial" w:hAnsi="Arial"/>
                <w:sz w:val="20"/>
              </w:rPr>
              <w:t xml:space="preserve">k. Joghatóságok száma </w:t>
            </w:r>
          </w:p>
        </w:tc>
        <w:tc>
          <w:tcPr>
            <w:tcW w:w="2745" w:type="dxa"/>
            <w:tcBorders>
              <w:left w:val="nil"/>
              <w:bottom w:val="single" w:color="auto" w:sz="4" w:space="0"/>
              <w:right w:val="nil"/>
            </w:tcBorders>
            <w:noWrap/>
            <w:hideMark/>
          </w:tcPr>
          <w:p w:rsidRPr="009F3C3E" w:rsidR="00060A12" w:rsidP="00AD2BC8" w:rsidRDefault="00060A12" w14:paraId="13D09D57"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A8B6C22" w14:textId="77777777">
        <w:trPr>
          <w:trHeight w:val="300"/>
        </w:trPr>
        <w:tc>
          <w:tcPr>
            <w:tcW w:w="6804" w:type="dxa"/>
            <w:tcBorders>
              <w:left w:val="nil"/>
              <w:bottom w:val="nil"/>
              <w:right w:val="nil"/>
            </w:tcBorders>
            <w:noWrap/>
          </w:tcPr>
          <w:p w:rsidRPr="009F3C3E" w:rsidR="00060A12" w:rsidP="00AD2BC8" w:rsidRDefault="00060A12" w14:paraId="7AD8890C"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600E9588" w14:textId="77777777">
            <w:pPr>
              <w:jc w:val="center"/>
              <w:rPr>
                <w:rFonts w:ascii="Arial" w:hAnsi="Arial" w:eastAsia="Times New Roman" w:cs="Arial"/>
                <w:b/>
                <w:bCs/>
                <w:sz w:val="20"/>
                <w:szCs w:val="20"/>
                <w:lang w:eastAsia="en-GB"/>
              </w:rPr>
            </w:pPr>
          </w:p>
        </w:tc>
      </w:tr>
      <w:tr w:rsidRPr="009F3C3E" w:rsidR="00060A12" w:rsidTr="00AD2BC8" w14:paraId="4216ABD1" w14:textId="77777777">
        <w:trPr>
          <w:trHeight w:val="300"/>
        </w:trPr>
        <w:tc>
          <w:tcPr>
            <w:tcW w:w="6804" w:type="dxa"/>
            <w:tcBorders>
              <w:top w:val="nil"/>
              <w:left w:val="nil"/>
              <w:bottom w:val="single" w:color="auto" w:sz="4" w:space="0"/>
              <w:right w:val="nil"/>
            </w:tcBorders>
            <w:noWrap/>
            <w:hideMark/>
          </w:tcPr>
          <w:p w:rsidRPr="009F3C3E" w:rsidR="00060A12" w:rsidP="00AD2BC8" w:rsidRDefault="00060A12" w14:paraId="41C01324" w14:textId="77777777">
            <w:pPr>
              <w:rPr>
                <w:rFonts w:ascii="Arial" w:hAnsi="Arial" w:eastAsia="Times New Roman" w:cs="Arial"/>
                <w:b/>
                <w:bCs/>
                <w:sz w:val="20"/>
                <w:szCs w:val="20"/>
              </w:rPr>
            </w:pPr>
            <w:r w:rsidRPr="009F3C3E">
              <w:rPr>
                <w:rFonts w:ascii="Arial" w:hAnsi="Arial"/>
                <w:b/>
                <w:sz w:val="20"/>
              </w:rPr>
              <w:t>16. szakasz – Kiegészítő tételek</w:t>
            </w:r>
          </w:p>
        </w:tc>
        <w:tc>
          <w:tcPr>
            <w:tcW w:w="2745" w:type="dxa"/>
            <w:tcBorders>
              <w:top w:val="nil"/>
              <w:left w:val="nil"/>
              <w:bottom w:val="single" w:color="auto" w:sz="4" w:space="0"/>
              <w:right w:val="nil"/>
            </w:tcBorders>
            <w:hideMark/>
          </w:tcPr>
          <w:p w:rsidRPr="009F3C3E" w:rsidR="00060A12" w:rsidP="00AD2BC8" w:rsidRDefault="00060A12" w14:paraId="00AB2E2A"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1E04276F" w14:textId="77777777">
        <w:trPr>
          <w:trHeight w:val="300"/>
        </w:trPr>
        <w:tc>
          <w:tcPr>
            <w:tcW w:w="6804" w:type="dxa"/>
            <w:tcBorders>
              <w:left w:val="nil"/>
              <w:right w:val="nil"/>
            </w:tcBorders>
            <w:noWrap/>
            <w:hideMark/>
          </w:tcPr>
          <w:p w:rsidRPr="009F3C3E" w:rsidR="00060A12" w:rsidP="00AD2BC8" w:rsidRDefault="00060A12" w14:paraId="7ACA515B" w14:textId="77777777">
            <w:pPr>
              <w:ind w:firstLine="200" w:firstLineChars="100"/>
              <w:rPr>
                <w:rFonts w:ascii="Arial" w:hAnsi="Arial" w:eastAsia="Times New Roman" w:cs="Arial"/>
                <w:sz w:val="20"/>
                <w:szCs w:val="20"/>
              </w:rPr>
            </w:pPr>
            <w:r w:rsidRPr="009F3C3E">
              <w:rPr>
                <w:rFonts w:ascii="Arial" w:hAnsi="Arial"/>
                <w:sz w:val="20"/>
              </w:rPr>
              <w:t>a. Lejáratig tartott értékpapírok</w:t>
            </w:r>
          </w:p>
        </w:tc>
        <w:tc>
          <w:tcPr>
            <w:tcW w:w="2745" w:type="dxa"/>
            <w:tcBorders>
              <w:left w:val="nil"/>
              <w:right w:val="nil"/>
            </w:tcBorders>
            <w:noWrap/>
            <w:hideMark/>
          </w:tcPr>
          <w:p w:rsidRPr="009F3C3E" w:rsidR="00060A12" w:rsidP="00AD2BC8" w:rsidRDefault="00060A12" w14:paraId="3EA012F5"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0B5723E3" w14:textId="77777777">
        <w:trPr>
          <w:trHeight w:val="300"/>
        </w:trPr>
        <w:tc>
          <w:tcPr>
            <w:tcW w:w="6804" w:type="dxa"/>
            <w:tcBorders>
              <w:left w:val="nil"/>
              <w:right w:val="nil"/>
            </w:tcBorders>
            <w:noWrap/>
            <w:hideMark/>
          </w:tcPr>
          <w:p w:rsidRPr="009F3C3E" w:rsidR="00060A12" w:rsidP="00AD2BC8" w:rsidRDefault="00060A12" w14:paraId="20698C6B" w14:textId="77777777">
            <w:pPr>
              <w:ind w:firstLine="200" w:firstLineChars="100"/>
              <w:rPr>
                <w:rFonts w:ascii="Arial" w:hAnsi="Arial" w:eastAsia="Times New Roman" w:cs="Arial"/>
                <w:sz w:val="20"/>
                <w:szCs w:val="20"/>
              </w:rPr>
            </w:pPr>
            <w:r w:rsidRPr="009F3C3E">
              <w:rPr>
                <w:rFonts w:ascii="Arial" w:hAnsi="Arial"/>
                <w:sz w:val="20"/>
              </w:rPr>
              <w:t>b. Tárgyévi pénzforgalom</w:t>
            </w:r>
          </w:p>
        </w:tc>
        <w:tc>
          <w:tcPr>
            <w:tcW w:w="2745" w:type="dxa"/>
            <w:tcBorders>
              <w:left w:val="nil"/>
              <w:right w:val="nil"/>
            </w:tcBorders>
            <w:noWrap/>
            <w:hideMark/>
          </w:tcPr>
          <w:p w:rsidRPr="009F3C3E" w:rsidR="00060A12" w:rsidP="00AD2BC8" w:rsidRDefault="00060A12" w14:paraId="0C3C961A" w14:textId="77777777">
            <w:pPr>
              <w:ind w:firstLine="200" w:firstLineChars="100"/>
              <w:rPr>
                <w:rFonts w:ascii="Arial" w:hAnsi="Arial" w:eastAsia="Times New Roman" w:cs="Arial"/>
                <w:sz w:val="20"/>
                <w:szCs w:val="20"/>
              </w:rPr>
            </w:pPr>
            <w:r w:rsidRPr="009F3C3E">
              <w:rPr>
                <w:rFonts w:ascii="Arial" w:hAnsi="Arial"/>
                <w:sz w:val="20"/>
              </w:rPr>
              <w:t> </w:t>
            </w:r>
          </w:p>
        </w:tc>
      </w:tr>
      <w:tr w:rsidRPr="009F3C3E" w:rsidR="00060A12" w:rsidTr="00AD2BC8" w14:paraId="47DF414A" w14:textId="77777777">
        <w:trPr>
          <w:trHeight w:val="300"/>
        </w:trPr>
        <w:tc>
          <w:tcPr>
            <w:tcW w:w="6804" w:type="dxa"/>
            <w:tcBorders>
              <w:left w:val="nil"/>
              <w:right w:val="nil"/>
            </w:tcBorders>
            <w:noWrap/>
            <w:hideMark/>
          </w:tcPr>
          <w:p w:rsidRPr="009F3C3E" w:rsidR="00060A12" w:rsidP="00AD2BC8" w:rsidRDefault="00060A12" w14:paraId="29087709" w14:textId="77777777">
            <w:pPr>
              <w:ind w:firstLine="400" w:firstLineChars="200"/>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Brazil reál (BRL)</w:t>
            </w:r>
          </w:p>
        </w:tc>
        <w:tc>
          <w:tcPr>
            <w:tcW w:w="2745" w:type="dxa"/>
            <w:tcBorders>
              <w:left w:val="nil"/>
              <w:right w:val="nil"/>
            </w:tcBorders>
            <w:noWrap/>
            <w:hideMark/>
          </w:tcPr>
          <w:p w:rsidRPr="009F3C3E" w:rsidR="00060A12" w:rsidP="00AD2BC8" w:rsidRDefault="00060A12" w14:paraId="44CB5741"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F95E004" w14:textId="77777777">
        <w:trPr>
          <w:trHeight w:val="300"/>
        </w:trPr>
        <w:tc>
          <w:tcPr>
            <w:tcW w:w="6804" w:type="dxa"/>
            <w:tcBorders>
              <w:left w:val="nil"/>
              <w:right w:val="nil"/>
            </w:tcBorders>
            <w:noWrap/>
            <w:hideMark/>
          </w:tcPr>
          <w:p w:rsidRPr="009F3C3E" w:rsidR="00060A12" w:rsidP="00AD2BC8" w:rsidRDefault="00060A12" w14:paraId="5AD88434" w14:textId="77777777">
            <w:pPr>
              <w:ind w:firstLine="400" w:firstLineChars="200"/>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Mexikói peso (MXN)</w:t>
            </w:r>
          </w:p>
        </w:tc>
        <w:tc>
          <w:tcPr>
            <w:tcW w:w="2745" w:type="dxa"/>
            <w:tcBorders>
              <w:left w:val="nil"/>
              <w:right w:val="nil"/>
            </w:tcBorders>
            <w:noWrap/>
            <w:hideMark/>
          </w:tcPr>
          <w:p w:rsidRPr="009F3C3E" w:rsidR="00060A12" w:rsidP="00AD2BC8" w:rsidRDefault="00060A12" w14:paraId="3F54B44E"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61EDD428" w14:textId="77777777">
        <w:trPr>
          <w:trHeight w:val="300"/>
        </w:trPr>
        <w:tc>
          <w:tcPr>
            <w:tcW w:w="6804" w:type="dxa"/>
            <w:tcBorders>
              <w:left w:val="nil"/>
              <w:right w:val="nil"/>
            </w:tcBorders>
            <w:noWrap/>
            <w:hideMark/>
          </w:tcPr>
          <w:p w:rsidRPr="009F3C3E" w:rsidR="00060A12" w:rsidP="00AD2BC8" w:rsidRDefault="00060A12" w14:paraId="23BFBE77" w14:textId="77777777">
            <w:pPr>
              <w:ind w:firstLine="400" w:firstLineChars="200"/>
              <w:rPr>
                <w:rFonts w:ascii="Arial" w:hAnsi="Arial" w:eastAsia="Times New Roman" w:cs="Arial"/>
                <w:sz w:val="20"/>
                <w:szCs w:val="20"/>
              </w:rPr>
            </w:pPr>
            <w:r w:rsidRPr="009F3C3E">
              <w:rPr>
                <w:rFonts w:ascii="Arial" w:hAnsi="Arial"/>
                <w:sz w:val="20"/>
                <w:lang w:eastAsia="en-GB"/>
              </w:rPr>
              <w:t xml:space="preserve">(3) </w:t>
            </w:r>
            <w:r w:rsidRPr="009F3C3E">
              <w:rPr>
                <w:rFonts w:ascii="Arial" w:hAnsi="Arial"/>
                <w:sz w:val="20"/>
              </w:rPr>
              <w:t>Norvég korona (NOK)</w:t>
            </w:r>
          </w:p>
        </w:tc>
        <w:tc>
          <w:tcPr>
            <w:tcW w:w="2745" w:type="dxa"/>
            <w:tcBorders>
              <w:left w:val="nil"/>
              <w:right w:val="nil"/>
            </w:tcBorders>
            <w:noWrap/>
            <w:hideMark/>
          </w:tcPr>
          <w:p w:rsidRPr="009F3C3E" w:rsidR="00060A12" w:rsidP="00AD2BC8" w:rsidRDefault="00060A12" w14:paraId="0DFA99E0"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5E0AFD85" w14:textId="77777777">
        <w:trPr>
          <w:trHeight w:val="300"/>
        </w:trPr>
        <w:tc>
          <w:tcPr>
            <w:tcW w:w="6804" w:type="dxa"/>
            <w:tcBorders>
              <w:left w:val="nil"/>
              <w:right w:val="nil"/>
            </w:tcBorders>
            <w:noWrap/>
            <w:hideMark/>
          </w:tcPr>
          <w:p w:rsidRPr="009F3C3E" w:rsidR="00060A12" w:rsidP="00AD2BC8" w:rsidRDefault="00060A12" w14:paraId="7BF0DBB1" w14:textId="77777777">
            <w:pPr>
              <w:ind w:firstLine="400" w:firstLineChars="200"/>
              <w:rPr>
                <w:rFonts w:ascii="Arial" w:hAnsi="Arial" w:eastAsia="Times New Roman" w:cs="Arial"/>
                <w:sz w:val="20"/>
                <w:szCs w:val="20"/>
              </w:rPr>
            </w:pPr>
            <w:r w:rsidRPr="009F3C3E">
              <w:rPr>
                <w:rFonts w:ascii="Arial" w:hAnsi="Arial"/>
                <w:sz w:val="20"/>
                <w:lang w:eastAsia="en-GB"/>
              </w:rPr>
              <w:t xml:space="preserve">(4) </w:t>
            </w:r>
            <w:r w:rsidRPr="009F3C3E">
              <w:rPr>
                <w:rFonts w:ascii="Arial" w:hAnsi="Arial"/>
                <w:sz w:val="20"/>
              </w:rPr>
              <w:t>Orosz rubel (RUB)</w:t>
            </w:r>
          </w:p>
        </w:tc>
        <w:tc>
          <w:tcPr>
            <w:tcW w:w="2745" w:type="dxa"/>
            <w:tcBorders>
              <w:left w:val="nil"/>
              <w:right w:val="nil"/>
            </w:tcBorders>
            <w:noWrap/>
            <w:hideMark/>
          </w:tcPr>
          <w:p w:rsidRPr="009F3C3E" w:rsidR="00060A12" w:rsidP="00AD2BC8" w:rsidRDefault="00060A12" w14:paraId="62291B59"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5C73B2FF" w14:textId="77777777">
        <w:trPr>
          <w:trHeight w:val="300"/>
        </w:trPr>
        <w:tc>
          <w:tcPr>
            <w:tcW w:w="6804" w:type="dxa"/>
            <w:tcBorders>
              <w:left w:val="nil"/>
              <w:right w:val="nil"/>
            </w:tcBorders>
            <w:noWrap/>
            <w:hideMark/>
          </w:tcPr>
          <w:p w:rsidRPr="009F3C3E" w:rsidR="00060A12" w:rsidP="00AD2BC8" w:rsidRDefault="00060A12" w14:paraId="66ACCF80" w14:textId="77777777">
            <w:pPr>
              <w:ind w:firstLine="400" w:firstLineChars="200"/>
              <w:rPr>
                <w:rFonts w:ascii="Arial" w:hAnsi="Arial" w:eastAsia="Times New Roman" w:cs="Arial"/>
                <w:sz w:val="20"/>
                <w:szCs w:val="20"/>
              </w:rPr>
            </w:pPr>
            <w:r w:rsidRPr="009F3C3E">
              <w:rPr>
                <w:rFonts w:ascii="Arial" w:hAnsi="Arial"/>
                <w:sz w:val="20"/>
                <w:lang w:eastAsia="en-GB"/>
              </w:rPr>
              <w:t xml:space="preserve">(5) </w:t>
            </w:r>
            <w:r w:rsidRPr="009F3C3E">
              <w:rPr>
                <w:rFonts w:ascii="Arial" w:hAnsi="Arial"/>
                <w:sz w:val="20"/>
              </w:rPr>
              <w:t>Szingapúri dollár (SGD)</w:t>
            </w:r>
          </w:p>
        </w:tc>
        <w:tc>
          <w:tcPr>
            <w:tcW w:w="2745" w:type="dxa"/>
            <w:tcBorders>
              <w:left w:val="nil"/>
              <w:right w:val="nil"/>
            </w:tcBorders>
            <w:noWrap/>
            <w:hideMark/>
          </w:tcPr>
          <w:p w:rsidRPr="009F3C3E" w:rsidR="00060A12" w:rsidP="00AD2BC8" w:rsidRDefault="00060A12" w14:paraId="0EA148D4"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584D3025" w14:textId="77777777">
        <w:trPr>
          <w:trHeight w:val="300"/>
        </w:trPr>
        <w:tc>
          <w:tcPr>
            <w:tcW w:w="6804" w:type="dxa"/>
            <w:tcBorders>
              <w:left w:val="nil"/>
              <w:bottom w:val="single" w:color="auto" w:sz="4" w:space="0"/>
              <w:right w:val="nil"/>
            </w:tcBorders>
            <w:noWrap/>
            <w:hideMark/>
          </w:tcPr>
          <w:p w:rsidRPr="009F3C3E" w:rsidR="00060A12" w:rsidP="00AD2BC8" w:rsidRDefault="00060A12" w14:paraId="5DA6D380" w14:textId="77777777">
            <w:pPr>
              <w:ind w:firstLine="400" w:firstLineChars="200"/>
              <w:rPr>
                <w:rFonts w:ascii="Arial" w:hAnsi="Arial" w:eastAsia="Times New Roman" w:cs="Arial"/>
                <w:sz w:val="20"/>
                <w:szCs w:val="20"/>
              </w:rPr>
            </w:pPr>
            <w:r w:rsidRPr="009F3C3E">
              <w:rPr>
                <w:rFonts w:ascii="Arial" w:hAnsi="Arial"/>
                <w:sz w:val="20"/>
                <w:lang w:eastAsia="en-GB"/>
              </w:rPr>
              <w:t xml:space="preserve">(6) </w:t>
            </w:r>
            <w:r w:rsidRPr="009F3C3E">
              <w:rPr>
                <w:rFonts w:ascii="Arial" w:hAnsi="Arial"/>
                <w:sz w:val="20"/>
              </w:rPr>
              <w:t>Dél-koreai von (KRW)</w:t>
            </w:r>
          </w:p>
        </w:tc>
        <w:tc>
          <w:tcPr>
            <w:tcW w:w="2745" w:type="dxa"/>
            <w:tcBorders>
              <w:left w:val="nil"/>
              <w:bottom w:val="single" w:color="auto" w:sz="4" w:space="0"/>
              <w:right w:val="nil"/>
            </w:tcBorders>
            <w:noWrap/>
            <w:hideMark/>
          </w:tcPr>
          <w:p w:rsidRPr="009F3C3E" w:rsidR="00060A12" w:rsidP="00AD2BC8" w:rsidRDefault="00060A12" w14:paraId="640CC0CC"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FFF7AB4" w14:textId="77777777">
        <w:trPr>
          <w:trHeight w:val="403"/>
        </w:trPr>
        <w:tc>
          <w:tcPr>
            <w:tcW w:w="6804" w:type="dxa"/>
            <w:tcBorders>
              <w:left w:val="nil"/>
              <w:bottom w:val="nil"/>
              <w:right w:val="nil"/>
            </w:tcBorders>
            <w:noWrap/>
            <w:hideMark/>
          </w:tcPr>
          <w:p w:rsidRPr="009F3C3E" w:rsidR="00060A12" w:rsidP="00AD2BC8" w:rsidRDefault="00060A12" w14:paraId="243CD3B5" w14:textId="77777777">
            <w:pPr>
              <w:rPr>
                <w:rFonts w:ascii="Arial" w:hAnsi="Arial" w:eastAsia="Times New Roman" w:cs="Arial"/>
                <w:sz w:val="20"/>
                <w:szCs w:val="20"/>
              </w:rPr>
            </w:pPr>
            <w:r w:rsidRPr="009F3C3E">
              <w:rPr>
                <w:rFonts w:ascii="Arial" w:hAnsi="Arial"/>
                <w:sz w:val="20"/>
              </w:rPr>
              <w:t> </w:t>
            </w:r>
          </w:p>
        </w:tc>
        <w:tc>
          <w:tcPr>
            <w:tcW w:w="2745" w:type="dxa"/>
            <w:tcBorders>
              <w:left w:val="nil"/>
              <w:bottom w:val="nil"/>
              <w:right w:val="nil"/>
            </w:tcBorders>
            <w:noWrap/>
            <w:hideMark/>
          </w:tcPr>
          <w:p w:rsidRPr="009F3C3E" w:rsidR="00060A12" w:rsidP="00AD2BC8" w:rsidRDefault="00060A12" w14:paraId="4C929F8B" w14:textId="77777777">
            <w:pPr>
              <w:rPr>
                <w:rFonts w:ascii="Arial" w:hAnsi="Arial" w:eastAsia="Times New Roman" w:cs="Arial"/>
                <w:sz w:val="20"/>
                <w:szCs w:val="20"/>
              </w:rPr>
            </w:pPr>
            <w:r w:rsidRPr="009F3C3E">
              <w:rPr>
                <w:rFonts w:ascii="Arial" w:hAnsi="Arial"/>
                <w:sz w:val="20"/>
              </w:rPr>
              <w:t> </w:t>
            </w:r>
          </w:p>
        </w:tc>
      </w:tr>
      <w:tr w:rsidRPr="009F3C3E" w:rsidR="00060A12" w:rsidTr="00AD2BC8" w14:paraId="64DACBC6" w14:textId="77777777">
        <w:trPr>
          <w:trHeight w:val="403"/>
        </w:trPr>
        <w:tc>
          <w:tcPr>
            <w:tcW w:w="6804" w:type="dxa"/>
            <w:tcBorders>
              <w:top w:val="nil"/>
              <w:left w:val="nil"/>
              <w:bottom w:val="nil"/>
              <w:right w:val="nil"/>
            </w:tcBorders>
            <w:noWrap/>
            <w:hideMark/>
          </w:tcPr>
          <w:p w:rsidRPr="009F3C3E" w:rsidR="00060A12" w:rsidP="00AD2BC8" w:rsidRDefault="00060A12" w14:paraId="771311BF" w14:textId="77777777">
            <w:pPr>
              <w:rPr>
                <w:rFonts w:asciiTheme="majorHAnsi" w:hAnsiTheme="majorHAnsi" w:eastAsiaTheme="majorEastAsia" w:cstheme="majorBidi"/>
                <w:b/>
                <w:bCs/>
                <w:i/>
                <w:iCs/>
                <w:caps/>
                <w:spacing w:val="-2"/>
              </w:rPr>
            </w:pPr>
            <w:r w:rsidRPr="009F3C3E">
              <w:rPr>
                <w:rFonts w:asciiTheme="majorHAnsi" w:hAnsiTheme="majorHAnsi"/>
                <w:b/>
                <w:i/>
                <w:caps/>
              </w:rPr>
              <w:t> Tájékoztató tételek</w:t>
            </w:r>
          </w:p>
        </w:tc>
        <w:tc>
          <w:tcPr>
            <w:tcW w:w="2745" w:type="dxa"/>
            <w:tcBorders>
              <w:top w:val="nil"/>
              <w:left w:val="nil"/>
              <w:bottom w:val="nil"/>
              <w:right w:val="nil"/>
            </w:tcBorders>
            <w:noWrap/>
            <w:hideMark/>
          </w:tcPr>
          <w:p w:rsidRPr="009F3C3E" w:rsidR="00060A12" w:rsidP="00AD2BC8" w:rsidRDefault="00060A12" w14:paraId="319CBBBB" w14:textId="77777777">
            <w:pPr>
              <w:rPr>
                <w:rFonts w:ascii="Arial" w:hAnsi="Arial" w:eastAsia="Times New Roman" w:cs="Arial"/>
                <w:b/>
                <w:bCs/>
                <w:sz w:val="24"/>
                <w:szCs w:val="24"/>
              </w:rPr>
            </w:pPr>
            <w:r w:rsidRPr="009F3C3E">
              <w:rPr>
                <w:rFonts w:ascii="Arial" w:hAnsi="Arial"/>
                <w:b/>
                <w:sz w:val="24"/>
              </w:rPr>
              <w:t> </w:t>
            </w:r>
          </w:p>
        </w:tc>
      </w:tr>
      <w:tr w:rsidRPr="002B6495" w:rsidR="00060A12" w:rsidTr="00AD2BC8" w14:paraId="71436D5B" w14:textId="77777777">
        <w:trPr>
          <w:trHeight w:val="221"/>
        </w:trPr>
        <w:tc>
          <w:tcPr>
            <w:tcW w:w="6804" w:type="dxa"/>
            <w:tcBorders>
              <w:top w:val="nil"/>
              <w:left w:val="nil"/>
              <w:bottom w:val="single" w:color="auto" w:sz="4" w:space="0"/>
              <w:right w:val="nil"/>
            </w:tcBorders>
            <w:noWrap/>
            <w:hideMark/>
          </w:tcPr>
          <w:p w:rsidRPr="002B6495" w:rsidR="00060A12" w:rsidP="00AD2BC8" w:rsidRDefault="00060A12" w14:paraId="38C858C6" w14:textId="77777777">
            <w:pPr>
              <w:rPr>
                <w:rFonts w:ascii="Arial" w:hAnsi="Arial"/>
                <w:sz w:val="20"/>
              </w:rPr>
            </w:pPr>
            <w:r w:rsidRPr="002B6495">
              <w:rPr>
                <w:rFonts w:ascii="Arial" w:hAnsi="Arial"/>
                <w:sz w:val="20"/>
              </w:rPr>
              <w:t> </w:t>
            </w:r>
          </w:p>
        </w:tc>
        <w:tc>
          <w:tcPr>
            <w:tcW w:w="2745" w:type="dxa"/>
            <w:tcBorders>
              <w:top w:val="nil"/>
              <w:left w:val="nil"/>
              <w:bottom w:val="single" w:color="auto" w:sz="4" w:space="0"/>
              <w:right w:val="nil"/>
            </w:tcBorders>
            <w:noWrap/>
            <w:hideMark/>
          </w:tcPr>
          <w:p w:rsidRPr="002B6495" w:rsidR="00060A12" w:rsidP="00AD2BC8" w:rsidRDefault="00060A12" w14:paraId="790288B5" w14:textId="77777777">
            <w:pPr>
              <w:rPr>
                <w:rFonts w:ascii="Arial" w:hAnsi="Arial"/>
                <w:sz w:val="20"/>
              </w:rPr>
            </w:pPr>
            <w:r w:rsidRPr="002B6495">
              <w:rPr>
                <w:rFonts w:ascii="Arial" w:hAnsi="Arial"/>
                <w:sz w:val="20"/>
              </w:rPr>
              <w:t> </w:t>
            </w:r>
          </w:p>
        </w:tc>
      </w:tr>
      <w:tr w:rsidRPr="009F3C3E" w:rsidR="00060A12" w:rsidTr="00AD2BC8" w14:paraId="46D4F346" w14:textId="77777777">
        <w:trPr>
          <w:trHeight w:val="300"/>
        </w:trPr>
        <w:tc>
          <w:tcPr>
            <w:tcW w:w="6804" w:type="dxa"/>
            <w:tcBorders>
              <w:left w:val="nil"/>
              <w:right w:val="nil"/>
            </w:tcBorders>
            <w:noWrap/>
            <w:hideMark/>
          </w:tcPr>
          <w:p w:rsidRPr="009F3C3E" w:rsidR="00060A12" w:rsidP="00AD2BC8" w:rsidRDefault="00060A12" w14:paraId="42C72196" w14:textId="77777777">
            <w:pPr>
              <w:rPr>
                <w:rFonts w:ascii="Arial" w:hAnsi="Arial" w:eastAsia="Times New Roman" w:cs="Arial"/>
                <w:b/>
                <w:bCs/>
                <w:sz w:val="20"/>
                <w:szCs w:val="20"/>
              </w:rPr>
            </w:pPr>
            <w:r w:rsidRPr="009F3C3E">
              <w:rPr>
                <w:rFonts w:ascii="Arial" w:hAnsi="Arial"/>
                <w:b/>
                <w:sz w:val="20"/>
              </w:rPr>
              <w:t>17. szakasz – A méretre vonatkozó tételek</w:t>
            </w:r>
          </w:p>
        </w:tc>
        <w:tc>
          <w:tcPr>
            <w:tcW w:w="2745" w:type="dxa"/>
            <w:tcBorders>
              <w:left w:val="nil"/>
              <w:right w:val="nil"/>
            </w:tcBorders>
            <w:hideMark/>
          </w:tcPr>
          <w:p w:rsidRPr="009F3C3E" w:rsidR="00060A12" w:rsidP="00AD2BC8" w:rsidRDefault="00060A12" w14:paraId="6C605620"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0BC206FB" w14:textId="77777777">
        <w:trPr>
          <w:gridAfter w:val="1"/>
          <w:wAfter w:w="2745" w:type="dxa"/>
          <w:trHeight w:val="300"/>
        </w:trPr>
        <w:tc>
          <w:tcPr>
            <w:tcW w:w="6804" w:type="dxa"/>
            <w:tcBorders>
              <w:left w:val="nil"/>
              <w:right w:val="nil"/>
            </w:tcBorders>
            <w:noWrap/>
            <w:hideMark/>
          </w:tcPr>
          <w:p w:rsidRPr="009F3C3E" w:rsidR="00060A12" w:rsidP="00AD2BC8" w:rsidRDefault="00060A12" w14:paraId="7285A2C3" w14:textId="77777777">
            <w:pPr>
              <w:ind w:left="171" w:firstLine="28" w:firstLineChars="14"/>
              <w:rPr>
                <w:rFonts w:ascii="Arial" w:hAnsi="Arial" w:eastAsia="Times New Roman" w:cs="Arial"/>
                <w:sz w:val="20"/>
                <w:szCs w:val="20"/>
              </w:rPr>
            </w:pPr>
            <w:r w:rsidRPr="009F3C3E">
              <w:rPr>
                <w:rFonts w:ascii="Arial" w:hAnsi="Arial"/>
                <w:sz w:val="20"/>
              </w:rPr>
              <w:t>a. A konszolidáció prudenciális szabályozási körébe már bevont biztosítási leányvállalatokra vonatkozó kitettség</w:t>
            </w:r>
          </w:p>
        </w:tc>
      </w:tr>
      <w:tr w:rsidRPr="009F3C3E" w:rsidR="00060A12" w:rsidTr="00AD2BC8" w14:paraId="2F7795F4" w14:textId="77777777">
        <w:trPr>
          <w:trHeight w:val="300"/>
        </w:trPr>
        <w:tc>
          <w:tcPr>
            <w:tcW w:w="6804" w:type="dxa"/>
            <w:tcBorders>
              <w:left w:val="nil"/>
              <w:right w:val="nil"/>
            </w:tcBorders>
            <w:noWrap/>
            <w:hideMark/>
          </w:tcPr>
          <w:p w:rsidRPr="009F3C3E" w:rsidR="00060A12" w:rsidP="00AD2BC8" w:rsidRDefault="00060A12" w14:paraId="2D9293A4" w14:textId="77777777">
            <w:pPr>
              <w:ind w:firstLine="200" w:firstLineChars="100"/>
              <w:rPr>
                <w:rFonts w:ascii="Arial" w:hAnsi="Arial" w:eastAsia="Times New Roman" w:cs="Arial"/>
                <w:sz w:val="20"/>
                <w:szCs w:val="20"/>
              </w:rPr>
            </w:pPr>
            <w:r w:rsidRPr="009F3C3E">
              <w:rPr>
                <w:rFonts w:ascii="Arial" w:hAnsi="Arial"/>
                <w:sz w:val="20"/>
              </w:rPr>
              <w:t xml:space="preserve">b. A teljes kitettségek negyedéves átlagértéke </w:t>
            </w:r>
          </w:p>
        </w:tc>
        <w:tc>
          <w:tcPr>
            <w:tcW w:w="2745" w:type="dxa"/>
            <w:tcBorders>
              <w:left w:val="nil"/>
              <w:right w:val="nil"/>
            </w:tcBorders>
            <w:noWrap/>
            <w:hideMark/>
          </w:tcPr>
          <w:p w:rsidRPr="009F3C3E" w:rsidR="00060A12" w:rsidP="00AD2BC8" w:rsidRDefault="00060A12" w14:paraId="6B36C6D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0FCEB28" w14:textId="77777777">
        <w:trPr>
          <w:trHeight w:val="300"/>
        </w:trPr>
        <w:tc>
          <w:tcPr>
            <w:tcW w:w="6804" w:type="dxa"/>
            <w:tcBorders>
              <w:left w:val="nil"/>
              <w:bottom w:val="single" w:color="auto" w:sz="4" w:space="0"/>
              <w:right w:val="nil"/>
            </w:tcBorders>
            <w:noWrap/>
            <w:hideMark/>
          </w:tcPr>
          <w:p w:rsidRPr="009F3C3E" w:rsidR="00060A12" w:rsidP="00AD2BC8" w:rsidRDefault="00060A12" w14:paraId="19C075C1" w14:textId="77777777">
            <w:pPr>
              <w:ind w:firstLine="200" w:firstLineChars="100"/>
              <w:rPr>
                <w:rFonts w:ascii="Arial" w:hAnsi="Arial" w:eastAsia="Times New Roman" w:cs="Arial"/>
                <w:sz w:val="20"/>
                <w:szCs w:val="20"/>
              </w:rPr>
            </w:pPr>
            <w:r w:rsidRPr="009F3C3E">
              <w:rPr>
                <w:rFonts w:ascii="Arial" w:hAnsi="Arial"/>
                <w:sz w:val="20"/>
              </w:rPr>
              <w:lastRenderedPageBreak/>
              <w:t xml:space="preserve">c. A teljes kitettségek havi átlagértéke </w:t>
            </w:r>
          </w:p>
        </w:tc>
        <w:tc>
          <w:tcPr>
            <w:tcW w:w="2745" w:type="dxa"/>
            <w:tcBorders>
              <w:left w:val="nil"/>
              <w:bottom w:val="single" w:color="auto" w:sz="4" w:space="0"/>
              <w:right w:val="nil"/>
            </w:tcBorders>
            <w:noWrap/>
            <w:hideMark/>
          </w:tcPr>
          <w:p w:rsidRPr="009F3C3E" w:rsidR="00060A12" w:rsidP="00AD2BC8" w:rsidRDefault="00060A12" w14:paraId="077224DD"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FCD9F03" w14:textId="77777777">
        <w:trPr>
          <w:trHeight w:val="300"/>
        </w:trPr>
        <w:tc>
          <w:tcPr>
            <w:tcW w:w="6804" w:type="dxa"/>
            <w:tcBorders>
              <w:left w:val="nil"/>
              <w:bottom w:val="nil"/>
              <w:right w:val="nil"/>
            </w:tcBorders>
            <w:noWrap/>
          </w:tcPr>
          <w:p w:rsidRPr="009F3C3E" w:rsidR="00060A12" w:rsidP="00AD2BC8" w:rsidRDefault="00060A12" w14:paraId="41D63233"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5150B21B" w14:textId="77777777">
            <w:pPr>
              <w:jc w:val="center"/>
              <w:rPr>
                <w:rFonts w:ascii="Arial" w:hAnsi="Arial" w:eastAsia="Times New Roman" w:cs="Arial"/>
                <w:b/>
                <w:bCs/>
                <w:sz w:val="20"/>
                <w:szCs w:val="20"/>
                <w:lang w:eastAsia="en-GB"/>
              </w:rPr>
            </w:pPr>
          </w:p>
        </w:tc>
      </w:tr>
      <w:tr w:rsidRPr="009F3C3E" w:rsidR="00060A12" w:rsidTr="00AD2BC8" w14:paraId="5F58F368" w14:textId="77777777">
        <w:trPr>
          <w:trHeight w:val="300"/>
        </w:trPr>
        <w:tc>
          <w:tcPr>
            <w:tcW w:w="6804" w:type="dxa"/>
            <w:tcBorders>
              <w:top w:val="nil"/>
              <w:left w:val="nil"/>
              <w:right w:val="nil"/>
            </w:tcBorders>
            <w:noWrap/>
            <w:hideMark/>
          </w:tcPr>
          <w:p w:rsidRPr="009F3C3E" w:rsidR="00060A12" w:rsidP="00AD2BC8" w:rsidRDefault="00060A12" w14:paraId="2E59EA77" w14:textId="77777777">
            <w:pPr>
              <w:rPr>
                <w:rFonts w:ascii="Arial" w:hAnsi="Arial" w:eastAsia="Times New Roman" w:cs="Arial"/>
                <w:b/>
                <w:bCs/>
                <w:sz w:val="20"/>
                <w:szCs w:val="20"/>
              </w:rPr>
            </w:pPr>
            <w:r w:rsidRPr="009F3C3E">
              <w:rPr>
                <w:rFonts w:ascii="Arial" w:hAnsi="Arial"/>
                <w:b/>
                <w:sz w:val="20"/>
              </w:rPr>
              <w:t>17. szakasz – Az összekapcsoltságra vonatkozó tételek</w:t>
            </w:r>
          </w:p>
        </w:tc>
        <w:tc>
          <w:tcPr>
            <w:tcW w:w="2745" w:type="dxa"/>
            <w:tcBorders>
              <w:top w:val="nil"/>
              <w:left w:val="nil"/>
              <w:right w:val="nil"/>
            </w:tcBorders>
            <w:hideMark/>
          </w:tcPr>
          <w:p w:rsidRPr="009F3C3E" w:rsidR="00060A12" w:rsidP="00AD2BC8" w:rsidRDefault="00060A12" w14:paraId="4A84AFCC"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4478CF32" w14:textId="77777777">
        <w:trPr>
          <w:trHeight w:val="300"/>
        </w:trPr>
        <w:tc>
          <w:tcPr>
            <w:tcW w:w="6804" w:type="dxa"/>
            <w:tcBorders>
              <w:left w:val="nil"/>
              <w:right w:val="nil"/>
            </w:tcBorders>
            <w:noWrap/>
            <w:hideMark/>
          </w:tcPr>
          <w:p w:rsidRPr="009F3C3E" w:rsidR="00060A12" w:rsidP="00AD2BC8" w:rsidRDefault="00060A12" w14:paraId="727ED5DD" w14:textId="77777777">
            <w:pPr>
              <w:ind w:firstLine="200" w:firstLineChars="100"/>
              <w:rPr>
                <w:rFonts w:ascii="Arial" w:hAnsi="Arial" w:eastAsia="Times New Roman" w:cs="Arial"/>
                <w:sz w:val="20"/>
                <w:szCs w:val="20"/>
              </w:rPr>
            </w:pPr>
            <w:r w:rsidRPr="009F3C3E">
              <w:rPr>
                <w:rFonts w:ascii="Arial" w:hAnsi="Arial"/>
                <w:sz w:val="20"/>
              </w:rPr>
              <w:t>a. A pénzügyi rendszeren belüli eszközök mutatója (régi mutató)</w:t>
            </w:r>
          </w:p>
        </w:tc>
        <w:tc>
          <w:tcPr>
            <w:tcW w:w="2745" w:type="dxa"/>
            <w:tcBorders>
              <w:left w:val="nil"/>
              <w:right w:val="nil"/>
            </w:tcBorders>
            <w:noWrap/>
            <w:hideMark/>
          </w:tcPr>
          <w:p w:rsidRPr="009F3C3E" w:rsidR="00060A12" w:rsidP="00AD2BC8" w:rsidRDefault="00060A12" w14:paraId="06DF6D82"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5BB91664" w14:textId="77777777">
        <w:trPr>
          <w:trHeight w:val="300"/>
        </w:trPr>
        <w:tc>
          <w:tcPr>
            <w:tcW w:w="6804" w:type="dxa"/>
            <w:tcBorders>
              <w:left w:val="nil"/>
              <w:right w:val="nil"/>
            </w:tcBorders>
            <w:noWrap/>
            <w:hideMark/>
          </w:tcPr>
          <w:p w:rsidRPr="009F3C3E" w:rsidR="00060A12" w:rsidP="00AD2BC8" w:rsidRDefault="00060A12" w14:paraId="69B18921" w14:textId="77777777">
            <w:pPr>
              <w:ind w:firstLine="200" w:firstLineChars="100"/>
              <w:rPr>
                <w:rFonts w:ascii="Arial" w:hAnsi="Arial" w:eastAsia="Times New Roman" w:cs="Arial"/>
                <w:sz w:val="20"/>
                <w:szCs w:val="20"/>
              </w:rPr>
            </w:pPr>
            <w:r w:rsidRPr="009F3C3E">
              <w:rPr>
                <w:rFonts w:ascii="Arial" w:hAnsi="Arial"/>
                <w:sz w:val="20"/>
              </w:rPr>
              <w:t xml:space="preserve">b. A pénzügyi rendszeren belüli eszközök negyedéves átlagértéke </w:t>
            </w:r>
          </w:p>
        </w:tc>
        <w:tc>
          <w:tcPr>
            <w:tcW w:w="2745" w:type="dxa"/>
            <w:tcBorders>
              <w:left w:val="nil"/>
              <w:right w:val="nil"/>
            </w:tcBorders>
            <w:noWrap/>
            <w:hideMark/>
          </w:tcPr>
          <w:p w:rsidRPr="009F3C3E" w:rsidR="00060A12" w:rsidP="00AD2BC8" w:rsidRDefault="00060A12" w14:paraId="5AE69A44"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27FD845" w14:textId="77777777">
        <w:trPr>
          <w:trHeight w:val="300"/>
        </w:trPr>
        <w:tc>
          <w:tcPr>
            <w:tcW w:w="6804" w:type="dxa"/>
            <w:tcBorders>
              <w:left w:val="nil"/>
              <w:right w:val="nil"/>
            </w:tcBorders>
            <w:noWrap/>
            <w:hideMark/>
          </w:tcPr>
          <w:p w:rsidRPr="009F3C3E" w:rsidR="00060A12" w:rsidP="00AD2BC8" w:rsidRDefault="00060A12" w14:paraId="669CE58C" w14:textId="77777777">
            <w:pPr>
              <w:ind w:firstLine="200" w:firstLineChars="100"/>
              <w:rPr>
                <w:rFonts w:ascii="Arial" w:hAnsi="Arial" w:eastAsia="Times New Roman" w:cs="Arial"/>
                <w:sz w:val="20"/>
                <w:szCs w:val="20"/>
              </w:rPr>
            </w:pPr>
            <w:r w:rsidRPr="009F3C3E">
              <w:rPr>
                <w:rFonts w:ascii="Arial" w:hAnsi="Arial"/>
                <w:sz w:val="20"/>
              </w:rPr>
              <w:t xml:space="preserve">c. A pénzügyi rendszeren belüli eszközök havi átlagértéke </w:t>
            </w:r>
          </w:p>
        </w:tc>
        <w:tc>
          <w:tcPr>
            <w:tcW w:w="2745" w:type="dxa"/>
            <w:tcBorders>
              <w:left w:val="nil"/>
              <w:right w:val="nil"/>
            </w:tcBorders>
            <w:noWrap/>
            <w:hideMark/>
          </w:tcPr>
          <w:p w:rsidRPr="009F3C3E" w:rsidR="00060A12" w:rsidP="00AD2BC8" w:rsidRDefault="00060A12" w14:paraId="2C1F294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542971C" w14:textId="77777777">
        <w:trPr>
          <w:trHeight w:val="300"/>
        </w:trPr>
        <w:tc>
          <w:tcPr>
            <w:tcW w:w="6804" w:type="dxa"/>
            <w:tcBorders>
              <w:left w:val="nil"/>
              <w:right w:val="nil"/>
            </w:tcBorders>
            <w:noWrap/>
            <w:hideMark/>
          </w:tcPr>
          <w:p w:rsidRPr="009F3C3E" w:rsidR="00060A12" w:rsidP="00AD2BC8" w:rsidRDefault="00060A12" w14:paraId="3D98A77B" w14:textId="77777777">
            <w:pPr>
              <w:ind w:firstLine="200" w:firstLineChars="100"/>
              <w:rPr>
                <w:rFonts w:ascii="Arial" w:hAnsi="Arial" w:eastAsia="Times New Roman" w:cs="Arial"/>
                <w:sz w:val="20"/>
                <w:szCs w:val="20"/>
              </w:rPr>
            </w:pPr>
            <w:r w:rsidRPr="009F3C3E">
              <w:rPr>
                <w:rFonts w:ascii="Arial" w:hAnsi="Arial"/>
                <w:sz w:val="20"/>
              </w:rPr>
              <w:t>d. A pénzügyi rendszeren belüli kötelezettségek mutatója (régi mutató)</w:t>
            </w:r>
          </w:p>
        </w:tc>
        <w:tc>
          <w:tcPr>
            <w:tcW w:w="2745" w:type="dxa"/>
            <w:tcBorders>
              <w:left w:val="nil"/>
              <w:right w:val="nil"/>
            </w:tcBorders>
            <w:noWrap/>
            <w:hideMark/>
          </w:tcPr>
          <w:p w:rsidRPr="009F3C3E" w:rsidR="00060A12" w:rsidP="00AD2BC8" w:rsidRDefault="00060A12" w14:paraId="245E006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55D3BC90" w14:textId="77777777">
        <w:trPr>
          <w:trHeight w:val="300"/>
        </w:trPr>
        <w:tc>
          <w:tcPr>
            <w:tcW w:w="6804" w:type="dxa"/>
            <w:tcBorders>
              <w:left w:val="nil"/>
              <w:right w:val="nil"/>
            </w:tcBorders>
            <w:noWrap/>
            <w:hideMark/>
          </w:tcPr>
          <w:p w:rsidRPr="009F3C3E" w:rsidR="00060A12" w:rsidP="00AD2BC8" w:rsidRDefault="00060A12" w14:paraId="26ABD448" w14:textId="77777777">
            <w:pPr>
              <w:ind w:firstLine="200" w:firstLineChars="100"/>
              <w:rPr>
                <w:rFonts w:ascii="Arial" w:hAnsi="Arial" w:eastAsia="Times New Roman" w:cs="Arial"/>
                <w:sz w:val="20"/>
                <w:szCs w:val="20"/>
              </w:rPr>
            </w:pPr>
            <w:r w:rsidRPr="009F3C3E">
              <w:rPr>
                <w:rFonts w:ascii="Arial" w:hAnsi="Arial"/>
                <w:sz w:val="20"/>
              </w:rPr>
              <w:t xml:space="preserve">e. A pénzügyi rendszeren belüli kötelezettségek negyedéves átlagértéke </w:t>
            </w:r>
          </w:p>
        </w:tc>
        <w:tc>
          <w:tcPr>
            <w:tcW w:w="2745" w:type="dxa"/>
            <w:tcBorders>
              <w:left w:val="nil"/>
              <w:right w:val="nil"/>
            </w:tcBorders>
            <w:noWrap/>
            <w:hideMark/>
          </w:tcPr>
          <w:p w:rsidRPr="009F3C3E" w:rsidR="00060A12" w:rsidP="00AD2BC8" w:rsidRDefault="00060A12" w14:paraId="28FB9018"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7B53B02B" w14:textId="77777777">
        <w:trPr>
          <w:trHeight w:val="300"/>
        </w:trPr>
        <w:tc>
          <w:tcPr>
            <w:tcW w:w="6804" w:type="dxa"/>
            <w:tcBorders>
              <w:left w:val="nil"/>
              <w:right w:val="nil"/>
            </w:tcBorders>
            <w:noWrap/>
            <w:hideMark/>
          </w:tcPr>
          <w:p w:rsidRPr="009F3C3E" w:rsidR="00060A12" w:rsidP="00AD2BC8" w:rsidRDefault="00060A12" w14:paraId="36F5C3F8" w14:textId="77777777">
            <w:pPr>
              <w:ind w:firstLine="200" w:firstLineChars="100"/>
              <w:rPr>
                <w:rFonts w:ascii="Arial" w:hAnsi="Arial" w:eastAsia="Times New Roman" w:cs="Arial"/>
                <w:sz w:val="20"/>
                <w:szCs w:val="20"/>
              </w:rPr>
            </w:pPr>
            <w:r w:rsidRPr="009F3C3E">
              <w:rPr>
                <w:rFonts w:ascii="Arial" w:hAnsi="Arial"/>
                <w:sz w:val="20"/>
              </w:rPr>
              <w:t xml:space="preserve">f. A pénzügyi rendszeren belüli kötelezettségek havi átlagértéke </w:t>
            </w:r>
          </w:p>
        </w:tc>
        <w:tc>
          <w:tcPr>
            <w:tcW w:w="2745" w:type="dxa"/>
            <w:tcBorders>
              <w:left w:val="nil"/>
              <w:right w:val="nil"/>
            </w:tcBorders>
            <w:noWrap/>
            <w:hideMark/>
          </w:tcPr>
          <w:p w:rsidRPr="009F3C3E" w:rsidR="00060A12" w:rsidP="00AD2BC8" w:rsidRDefault="00060A12" w14:paraId="0D6BCAE7"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D670BBA" w14:textId="77777777">
        <w:trPr>
          <w:trHeight w:val="300"/>
        </w:trPr>
        <w:tc>
          <w:tcPr>
            <w:tcW w:w="6804" w:type="dxa"/>
            <w:tcBorders>
              <w:left w:val="nil"/>
              <w:right w:val="nil"/>
            </w:tcBorders>
            <w:noWrap/>
            <w:hideMark/>
          </w:tcPr>
          <w:p w:rsidRPr="009F3C3E" w:rsidR="00060A12" w:rsidP="00AD2BC8" w:rsidRDefault="00060A12" w14:paraId="549A60EC" w14:textId="77777777">
            <w:pPr>
              <w:ind w:firstLine="200" w:firstLineChars="100"/>
              <w:rPr>
                <w:rFonts w:ascii="Arial" w:hAnsi="Arial" w:eastAsia="Times New Roman" w:cs="Arial"/>
                <w:sz w:val="20"/>
                <w:szCs w:val="20"/>
              </w:rPr>
            </w:pPr>
            <w:r w:rsidRPr="009F3C3E">
              <w:rPr>
                <w:rFonts w:ascii="Arial" w:hAnsi="Arial"/>
                <w:sz w:val="20"/>
              </w:rPr>
              <w:t>g. A forgalomban lévő értékpapírok mutatója (régi mutató)</w:t>
            </w:r>
          </w:p>
        </w:tc>
        <w:tc>
          <w:tcPr>
            <w:tcW w:w="2745" w:type="dxa"/>
            <w:tcBorders>
              <w:left w:val="nil"/>
              <w:right w:val="nil"/>
            </w:tcBorders>
            <w:noWrap/>
            <w:hideMark/>
          </w:tcPr>
          <w:p w:rsidRPr="009F3C3E" w:rsidR="00060A12" w:rsidP="00AD2BC8" w:rsidRDefault="00060A12" w14:paraId="41852EF4"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425F2DD6" w14:textId="77777777">
        <w:trPr>
          <w:trHeight w:val="300"/>
        </w:trPr>
        <w:tc>
          <w:tcPr>
            <w:tcW w:w="6804" w:type="dxa"/>
            <w:tcBorders>
              <w:left w:val="nil"/>
              <w:right w:val="nil"/>
            </w:tcBorders>
            <w:noWrap/>
            <w:hideMark/>
          </w:tcPr>
          <w:p w:rsidRPr="009F3C3E" w:rsidR="00060A12" w:rsidP="00AD2BC8" w:rsidRDefault="00060A12" w14:paraId="6539A42D" w14:textId="77777777">
            <w:pPr>
              <w:ind w:firstLine="200" w:firstLineChars="100"/>
              <w:rPr>
                <w:rFonts w:ascii="Arial" w:hAnsi="Arial" w:eastAsia="Times New Roman" w:cs="Arial"/>
                <w:sz w:val="20"/>
                <w:szCs w:val="20"/>
              </w:rPr>
            </w:pPr>
            <w:r w:rsidRPr="009F3C3E">
              <w:rPr>
                <w:rFonts w:ascii="Arial" w:hAnsi="Arial"/>
                <w:sz w:val="20"/>
              </w:rPr>
              <w:t xml:space="preserve">h. A forgalomban lévő értékpapírok negyedéves átlagértéke </w:t>
            </w:r>
          </w:p>
        </w:tc>
        <w:tc>
          <w:tcPr>
            <w:tcW w:w="2745" w:type="dxa"/>
            <w:tcBorders>
              <w:left w:val="nil"/>
              <w:right w:val="nil"/>
            </w:tcBorders>
            <w:noWrap/>
            <w:hideMark/>
          </w:tcPr>
          <w:p w:rsidRPr="009F3C3E" w:rsidR="00060A12" w:rsidP="00AD2BC8" w:rsidRDefault="00060A12" w14:paraId="6F5C48BB"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0A02A35E" w14:textId="77777777">
        <w:trPr>
          <w:trHeight w:val="300"/>
        </w:trPr>
        <w:tc>
          <w:tcPr>
            <w:tcW w:w="6804" w:type="dxa"/>
            <w:tcBorders>
              <w:left w:val="nil"/>
              <w:bottom w:val="single" w:color="auto" w:sz="4" w:space="0"/>
              <w:right w:val="nil"/>
            </w:tcBorders>
            <w:noWrap/>
            <w:hideMark/>
          </w:tcPr>
          <w:p w:rsidRPr="009F3C3E" w:rsidR="00060A12" w:rsidP="00AD2BC8" w:rsidRDefault="00060A12" w14:paraId="586E46FA" w14:textId="77777777">
            <w:pPr>
              <w:ind w:firstLine="200" w:firstLineChars="100"/>
              <w:rPr>
                <w:rFonts w:ascii="Arial" w:hAnsi="Arial" w:eastAsia="Times New Roman" w:cs="Arial"/>
                <w:sz w:val="20"/>
                <w:szCs w:val="20"/>
              </w:rPr>
            </w:pPr>
            <w:r w:rsidRPr="009F3C3E">
              <w:rPr>
                <w:rFonts w:ascii="Arial" w:hAnsi="Arial"/>
                <w:sz w:val="20"/>
              </w:rPr>
              <w:t xml:space="preserve">h. A forgalomban lévő értékpapírok havi átlagértéke </w:t>
            </w:r>
          </w:p>
        </w:tc>
        <w:tc>
          <w:tcPr>
            <w:tcW w:w="2745" w:type="dxa"/>
            <w:tcBorders>
              <w:left w:val="nil"/>
              <w:bottom w:val="single" w:color="auto" w:sz="4" w:space="0"/>
              <w:right w:val="nil"/>
            </w:tcBorders>
            <w:noWrap/>
            <w:hideMark/>
          </w:tcPr>
          <w:p w:rsidRPr="009F3C3E" w:rsidR="00060A12" w:rsidP="00AD2BC8" w:rsidRDefault="00060A12" w14:paraId="19A5D5AA"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34DD3BF4" w14:textId="77777777">
        <w:trPr>
          <w:trHeight w:val="300"/>
        </w:trPr>
        <w:tc>
          <w:tcPr>
            <w:tcW w:w="6804" w:type="dxa"/>
            <w:tcBorders>
              <w:left w:val="nil"/>
              <w:bottom w:val="nil"/>
              <w:right w:val="nil"/>
            </w:tcBorders>
            <w:noWrap/>
          </w:tcPr>
          <w:p w:rsidRPr="009F3C3E" w:rsidR="00060A12" w:rsidP="00AD2BC8" w:rsidRDefault="00060A12" w14:paraId="2242010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592D2B26" w14:textId="77777777">
            <w:pPr>
              <w:jc w:val="center"/>
              <w:rPr>
                <w:rFonts w:ascii="Arial" w:hAnsi="Arial" w:eastAsia="Times New Roman" w:cs="Arial"/>
                <w:b/>
                <w:bCs/>
                <w:sz w:val="20"/>
                <w:szCs w:val="20"/>
                <w:lang w:eastAsia="en-GB"/>
              </w:rPr>
            </w:pPr>
          </w:p>
        </w:tc>
      </w:tr>
      <w:tr w:rsidRPr="009F3C3E" w:rsidR="00060A12" w:rsidTr="00AD2BC8" w14:paraId="03AB57AA" w14:textId="77777777">
        <w:trPr>
          <w:trHeight w:val="300"/>
        </w:trPr>
        <w:tc>
          <w:tcPr>
            <w:tcW w:w="6804" w:type="dxa"/>
            <w:tcBorders>
              <w:top w:val="nil"/>
              <w:left w:val="nil"/>
              <w:bottom w:val="single" w:color="auto" w:sz="4" w:space="0"/>
              <w:right w:val="nil"/>
            </w:tcBorders>
            <w:noWrap/>
            <w:hideMark/>
          </w:tcPr>
          <w:p w:rsidRPr="009F3C3E" w:rsidR="00060A12" w:rsidP="00AD2BC8" w:rsidRDefault="00060A12" w14:paraId="2651CFBE" w14:textId="77777777">
            <w:pPr>
              <w:rPr>
                <w:rFonts w:ascii="Arial" w:hAnsi="Arial" w:eastAsia="Times New Roman" w:cs="Arial"/>
                <w:b/>
                <w:bCs/>
                <w:sz w:val="20"/>
                <w:szCs w:val="20"/>
              </w:rPr>
            </w:pPr>
            <w:r w:rsidRPr="009F3C3E">
              <w:rPr>
                <w:rFonts w:ascii="Arial" w:hAnsi="Arial"/>
                <w:b/>
                <w:sz w:val="20"/>
              </w:rPr>
              <w:t>19. szakasz – A helyettesíthetőségre/A pénzügyi infrastruktúrára vonatkozó tételek Tételek</w:t>
            </w:r>
          </w:p>
        </w:tc>
        <w:tc>
          <w:tcPr>
            <w:tcW w:w="2745" w:type="dxa"/>
            <w:tcBorders>
              <w:top w:val="nil"/>
              <w:left w:val="nil"/>
              <w:right w:val="nil"/>
            </w:tcBorders>
            <w:hideMark/>
          </w:tcPr>
          <w:p w:rsidRPr="009F3C3E" w:rsidR="00060A12" w:rsidP="00AD2BC8" w:rsidRDefault="00060A12" w14:paraId="2B9B662B"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3B84A60A" w14:textId="77777777">
        <w:trPr>
          <w:trHeight w:val="300"/>
        </w:trPr>
        <w:tc>
          <w:tcPr>
            <w:tcW w:w="6804" w:type="dxa"/>
            <w:tcBorders>
              <w:left w:val="nil"/>
              <w:right w:val="nil"/>
            </w:tcBorders>
            <w:noWrap/>
          </w:tcPr>
          <w:p w:rsidRPr="009F3C3E" w:rsidR="00060A12" w:rsidP="00AD2BC8" w:rsidRDefault="00060A12" w14:paraId="5F4ED8A4" w14:textId="77777777">
            <w:pPr>
              <w:ind w:left="171" w:firstLine="28" w:firstLineChars="14"/>
              <w:rPr>
                <w:rFonts w:ascii="Arial" w:hAnsi="Arial" w:eastAsia="Times New Roman" w:cs="Arial"/>
                <w:sz w:val="20"/>
                <w:szCs w:val="20"/>
              </w:rPr>
            </w:pPr>
            <w:r w:rsidRPr="009F3C3E">
              <w:rPr>
                <w:rFonts w:ascii="Arial" w:hAnsi="Arial"/>
                <w:sz w:val="20"/>
              </w:rPr>
              <w:t>a. Állami kibocsátású értékpapírok kereskedési volumene, a csoporton belüli ügyletek kivételével</w:t>
            </w:r>
          </w:p>
        </w:tc>
        <w:tc>
          <w:tcPr>
            <w:tcW w:w="2745" w:type="dxa"/>
            <w:tcBorders>
              <w:left w:val="nil"/>
              <w:right w:val="nil"/>
            </w:tcBorders>
            <w:noWrap/>
          </w:tcPr>
          <w:p w:rsidRPr="009F3C3E" w:rsidR="00060A12" w:rsidP="00AD2BC8" w:rsidRDefault="00060A12" w14:paraId="6ED9FB25" w14:textId="77777777">
            <w:pPr>
              <w:jc w:val="right"/>
              <w:rPr>
                <w:rFonts w:ascii="Arial" w:hAnsi="Arial" w:eastAsia="Times New Roman" w:cs="Arial"/>
                <w:sz w:val="20"/>
                <w:szCs w:val="20"/>
                <w:lang w:eastAsia="en-GB"/>
              </w:rPr>
            </w:pPr>
          </w:p>
        </w:tc>
      </w:tr>
      <w:tr w:rsidRPr="009F3C3E" w:rsidR="00060A12" w:rsidTr="00AD2BC8" w14:paraId="389AA136" w14:textId="77777777">
        <w:trPr>
          <w:trHeight w:val="300"/>
        </w:trPr>
        <w:tc>
          <w:tcPr>
            <w:tcW w:w="6804" w:type="dxa"/>
            <w:tcBorders>
              <w:left w:val="nil"/>
              <w:right w:val="nil"/>
            </w:tcBorders>
            <w:noWrap/>
          </w:tcPr>
          <w:p w:rsidRPr="009F3C3E" w:rsidR="00060A12" w:rsidP="00AD2BC8" w:rsidRDefault="00060A12" w14:paraId="6AE2A12D" w14:textId="77777777">
            <w:pPr>
              <w:ind w:left="171"/>
              <w:rPr>
                <w:rFonts w:ascii="Arial" w:hAnsi="Arial" w:eastAsia="Times New Roman" w:cs="Arial"/>
                <w:sz w:val="20"/>
                <w:szCs w:val="20"/>
              </w:rPr>
            </w:pPr>
            <w:r w:rsidRPr="009F3C3E">
              <w:rPr>
                <w:rFonts w:ascii="Arial" w:hAnsi="Arial"/>
                <w:sz w:val="20"/>
              </w:rPr>
              <w:t>b. Központi szerződő feleknél ügyfelek megbízásából elhelyezett alapletét</w:t>
            </w:r>
          </w:p>
        </w:tc>
        <w:tc>
          <w:tcPr>
            <w:tcW w:w="2745" w:type="dxa"/>
            <w:tcBorders>
              <w:left w:val="nil"/>
              <w:right w:val="nil"/>
            </w:tcBorders>
            <w:noWrap/>
          </w:tcPr>
          <w:p w:rsidRPr="009F3C3E" w:rsidR="00060A12" w:rsidP="00AD2BC8" w:rsidRDefault="00060A12" w14:paraId="134E297F" w14:textId="77777777">
            <w:pPr>
              <w:jc w:val="right"/>
              <w:rPr>
                <w:rFonts w:ascii="Arial" w:hAnsi="Arial" w:eastAsia="Times New Roman" w:cs="Arial"/>
                <w:sz w:val="20"/>
                <w:szCs w:val="20"/>
                <w:lang w:eastAsia="en-GB"/>
              </w:rPr>
            </w:pPr>
          </w:p>
        </w:tc>
      </w:tr>
      <w:tr w:rsidRPr="009F3C3E" w:rsidR="00060A12" w:rsidTr="00AD2BC8" w14:paraId="1676884B" w14:textId="77777777">
        <w:trPr>
          <w:trHeight w:val="300"/>
        </w:trPr>
        <w:tc>
          <w:tcPr>
            <w:tcW w:w="6804" w:type="dxa"/>
            <w:tcBorders>
              <w:left w:val="nil"/>
              <w:right w:val="nil"/>
            </w:tcBorders>
            <w:noWrap/>
          </w:tcPr>
          <w:p w:rsidRPr="009F3C3E" w:rsidR="00060A12" w:rsidP="00AD2BC8" w:rsidRDefault="00060A12" w14:paraId="1F2777AD" w14:textId="77777777">
            <w:pPr>
              <w:ind w:firstLine="200" w:firstLineChars="100"/>
              <w:rPr>
                <w:rFonts w:ascii="Arial" w:hAnsi="Arial" w:eastAsia="Times New Roman" w:cs="Arial"/>
                <w:sz w:val="20"/>
                <w:szCs w:val="20"/>
              </w:rPr>
            </w:pPr>
            <w:r w:rsidRPr="009F3C3E">
              <w:rPr>
                <w:rFonts w:ascii="Arial" w:hAnsi="Arial"/>
                <w:sz w:val="20"/>
              </w:rPr>
              <w:t>c. Központi szerződő feleknél az adatszolgáltató csoport saját számlájára elhelyezett alapletét</w:t>
            </w:r>
          </w:p>
        </w:tc>
        <w:tc>
          <w:tcPr>
            <w:tcW w:w="2745" w:type="dxa"/>
            <w:tcBorders>
              <w:left w:val="nil"/>
              <w:right w:val="nil"/>
            </w:tcBorders>
            <w:noWrap/>
          </w:tcPr>
          <w:p w:rsidRPr="009F3C3E" w:rsidR="00060A12" w:rsidP="00AD2BC8" w:rsidRDefault="00060A12" w14:paraId="4826E045" w14:textId="77777777">
            <w:pPr>
              <w:jc w:val="right"/>
              <w:rPr>
                <w:rFonts w:ascii="Arial" w:hAnsi="Arial" w:eastAsia="Times New Roman" w:cs="Arial"/>
                <w:sz w:val="20"/>
                <w:szCs w:val="20"/>
                <w:lang w:eastAsia="en-GB"/>
              </w:rPr>
            </w:pPr>
          </w:p>
        </w:tc>
      </w:tr>
      <w:tr w:rsidRPr="009F3C3E" w:rsidR="00060A12" w:rsidTr="00AD2BC8" w14:paraId="3BA348D0" w14:textId="77777777">
        <w:trPr>
          <w:trHeight w:val="300"/>
        </w:trPr>
        <w:tc>
          <w:tcPr>
            <w:tcW w:w="6804" w:type="dxa"/>
            <w:tcBorders>
              <w:left w:val="nil"/>
              <w:right w:val="nil"/>
            </w:tcBorders>
            <w:noWrap/>
            <w:hideMark/>
          </w:tcPr>
          <w:p w:rsidRPr="009F3C3E" w:rsidR="00060A12" w:rsidP="00AD2BC8" w:rsidRDefault="00060A12" w14:paraId="5C5754D3" w14:textId="77777777">
            <w:pPr>
              <w:ind w:firstLine="200" w:firstLineChars="100"/>
              <w:rPr>
                <w:rFonts w:ascii="Arial" w:hAnsi="Arial" w:eastAsia="Times New Roman" w:cs="Arial"/>
                <w:sz w:val="20"/>
                <w:szCs w:val="20"/>
              </w:rPr>
            </w:pPr>
            <w:r w:rsidRPr="009F3C3E">
              <w:rPr>
                <w:rFonts w:ascii="Arial" w:hAnsi="Arial"/>
                <w:sz w:val="20"/>
              </w:rPr>
              <w:t>d. Központi szerződő felek garanciaalapjaihoz való hozzájárulások</w:t>
            </w:r>
          </w:p>
        </w:tc>
        <w:tc>
          <w:tcPr>
            <w:tcW w:w="2745" w:type="dxa"/>
            <w:tcBorders>
              <w:left w:val="nil"/>
              <w:right w:val="nil"/>
            </w:tcBorders>
            <w:noWrap/>
            <w:hideMark/>
          </w:tcPr>
          <w:p w:rsidRPr="009F3C3E" w:rsidR="00060A12" w:rsidP="00AD2BC8" w:rsidRDefault="00060A12" w14:paraId="1D5E099B"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1595D25" w14:textId="77777777">
        <w:trPr>
          <w:trHeight w:val="300"/>
        </w:trPr>
        <w:tc>
          <w:tcPr>
            <w:tcW w:w="6804" w:type="dxa"/>
            <w:tcBorders>
              <w:left w:val="nil"/>
              <w:right w:val="nil"/>
            </w:tcBorders>
            <w:noWrap/>
            <w:hideMark/>
          </w:tcPr>
          <w:p w:rsidRPr="009F3C3E" w:rsidR="00060A12" w:rsidP="00AD2BC8" w:rsidRDefault="00060A12" w14:paraId="022D34AC" w14:textId="77777777">
            <w:pPr>
              <w:ind w:firstLine="200" w:firstLineChars="100"/>
              <w:rPr>
                <w:rFonts w:ascii="Arial" w:hAnsi="Arial" w:eastAsia="Times New Roman" w:cs="Arial"/>
                <w:sz w:val="20"/>
                <w:szCs w:val="20"/>
              </w:rPr>
            </w:pPr>
            <w:r w:rsidRPr="009F3C3E">
              <w:rPr>
                <w:rFonts w:ascii="Arial" w:hAnsi="Arial"/>
                <w:sz w:val="20"/>
              </w:rPr>
              <w:t>e. Központi szerződő feleknek nyújtott egyéb szolgáltatások</w:t>
            </w:r>
          </w:p>
        </w:tc>
        <w:tc>
          <w:tcPr>
            <w:tcW w:w="2745" w:type="dxa"/>
            <w:tcBorders>
              <w:left w:val="nil"/>
              <w:right w:val="nil"/>
            </w:tcBorders>
            <w:noWrap/>
            <w:hideMark/>
          </w:tcPr>
          <w:p w:rsidRPr="009F3C3E" w:rsidR="00060A12" w:rsidP="00AD2BC8" w:rsidRDefault="00060A12" w14:paraId="1B4A6D8C"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233EE3E1" w14:textId="77777777">
        <w:trPr>
          <w:gridAfter w:val="1"/>
          <w:wAfter w:w="2745" w:type="dxa"/>
          <w:trHeight w:val="300"/>
        </w:trPr>
        <w:tc>
          <w:tcPr>
            <w:tcW w:w="6804" w:type="dxa"/>
            <w:tcBorders>
              <w:left w:val="nil"/>
              <w:right w:val="nil"/>
            </w:tcBorders>
            <w:noWrap/>
            <w:hideMark/>
          </w:tcPr>
          <w:p w:rsidRPr="009F3C3E" w:rsidR="00060A12" w:rsidP="00AD2BC8" w:rsidRDefault="00060A12" w14:paraId="2C571149" w14:textId="77777777">
            <w:pPr>
              <w:ind w:left="171"/>
              <w:rPr>
                <w:rFonts w:ascii="Arial" w:hAnsi="Arial" w:eastAsia="Times New Roman" w:cs="Arial"/>
                <w:sz w:val="20"/>
                <w:szCs w:val="20"/>
              </w:rPr>
            </w:pPr>
            <w:r w:rsidRPr="009F3C3E">
              <w:rPr>
                <w:rFonts w:ascii="Arial" w:hAnsi="Arial"/>
                <w:sz w:val="20"/>
              </w:rPr>
              <w:t>f. Központilag elszámolt ügyletekkel kapcsolatos elszámolási szolgáltatások</w:t>
            </w:r>
          </w:p>
        </w:tc>
      </w:tr>
      <w:tr w:rsidRPr="009F3C3E" w:rsidR="00060A12" w:rsidTr="00AD2BC8" w14:paraId="0EFA7BAE" w14:textId="77777777">
        <w:trPr>
          <w:trHeight w:val="300"/>
        </w:trPr>
        <w:tc>
          <w:tcPr>
            <w:tcW w:w="6804" w:type="dxa"/>
            <w:tcBorders>
              <w:left w:val="nil"/>
              <w:right w:val="nil"/>
            </w:tcBorders>
            <w:noWrap/>
            <w:hideMark/>
          </w:tcPr>
          <w:p w:rsidRPr="009F3C3E" w:rsidR="00060A12" w:rsidP="00AD2BC8" w:rsidRDefault="00060A12" w14:paraId="3EB8F7B8" w14:textId="77777777">
            <w:pPr>
              <w:ind w:firstLine="200" w:firstLineChars="100"/>
              <w:rPr>
                <w:rFonts w:ascii="Arial" w:hAnsi="Arial" w:eastAsia="Times New Roman" w:cs="Arial"/>
                <w:sz w:val="20"/>
                <w:szCs w:val="20"/>
              </w:rPr>
            </w:pPr>
            <w:r w:rsidRPr="009F3C3E">
              <w:rPr>
                <w:rFonts w:ascii="Arial" w:hAnsi="Arial"/>
                <w:sz w:val="20"/>
              </w:rPr>
              <w:t xml:space="preserve">g. Letéti őrzés alatt álló eszközök negyedéves átlagértéke </w:t>
            </w:r>
          </w:p>
        </w:tc>
        <w:tc>
          <w:tcPr>
            <w:tcW w:w="2745" w:type="dxa"/>
            <w:tcBorders>
              <w:left w:val="nil"/>
              <w:right w:val="nil"/>
            </w:tcBorders>
            <w:noWrap/>
            <w:hideMark/>
          </w:tcPr>
          <w:p w:rsidRPr="009F3C3E" w:rsidR="00060A12" w:rsidP="00AD2BC8" w:rsidRDefault="00060A12" w14:paraId="59042489"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7ACC813" w14:textId="77777777">
        <w:trPr>
          <w:trHeight w:val="300"/>
        </w:trPr>
        <w:tc>
          <w:tcPr>
            <w:tcW w:w="6804" w:type="dxa"/>
            <w:tcBorders>
              <w:left w:val="nil"/>
              <w:bottom w:val="single" w:color="auto" w:sz="4" w:space="0"/>
              <w:right w:val="nil"/>
            </w:tcBorders>
            <w:noWrap/>
            <w:hideMark/>
          </w:tcPr>
          <w:p w:rsidRPr="009F3C3E" w:rsidR="00060A12" w:rsidP="00AD2BC8" w:rsidRDefault="00060A12" w14:paraId="3A6788DE" w14:textId="77777777">
            <w:pPr>
              <w:ind w:firstLine="200" w:firstLineChars="100"/>
              <w:rPr>
                <w:rFonts w:ascii="Arial" w:hAnsi="Arial" w:eastAsia="Times New Roman" w:cs="Arial"/>
                <w:sz w:val="20"/>
                <w:szCs w:val="20"/>
              </w:rPr>
            </w:pPr>
            <w:r w:rsidRPr="009F3C3E">
              <w:rPr>
                <w:rFonts w:ascii="Arial" w:hAnsi="Arial"/>
                <w:sz w:val="20"/>
              </w:rPr>
              <w:t xml:space="preserve">h. Letéti őrzés alatt álló eszközök havi átlagértéke </w:t>
            </w:r>
          </w:p>
        </w:tc>
        <w:tc>
          <w:tcPr>
            <w:tcW w:w="2745" w:type="dxa"/>
            <w:tcBorders>
              <w:left w:val="nil"/>
              <w:bottom w:val="single" w:color="auto" w:sz="4" w:space="0"/>
              <w:right w:val="nil"/>
            </w:tcBorders>
            <w:noWrap/>
            <w:hideMark/>
          </w:tcPr>
          <w:p w:rsidRPr="009F3C3E" w:rsidR="00060A12" w:rsidP="00AD2BC8" w:rsidRDefault="00060A12" w14:paraId="30FA9181"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7D7410FD" w14:textId="77777777">
        <w:trPr>
          <w:trHeight w:val="300"/>
        </w:trPr>
        <w:tc>
          <w:tcPr>
            <w:tcW w:w="6804" w:type="dxa"/>
            <w:tcBorders>
              <w:left w:val="nil"/>
              <w:bottom w:val="nil"/>
              <w:right w:val="nil"/>
            </w:tcBorders>
            <w:noWrap/>
          </w:tcPr>
          <w:p w:rsidRPr="009F3C3E" w:rsidR="00060A12" w:rsidP="00AD2BC8" w:rsidRDefault="00060A12" w14:paraId="5A843BF2"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9F3C3E" w:rsidR="00060A12" w:rsidP="00AD2BC8" w:rsidRDefault="00060A12" w14:paraId="1DFC91DA" w14:textId="77777777">
            <w:pPr>
              <w:jc w:val="center"/>
              <w:rPr>
                <w:rFonts w:ascii="Arial" w:hAnsi="Arial" w:eastAsia="Times New Roman" w:cs="Arial"/>
                <w:b/>
                <w:bCs/>
                <w:sz w:val="20"/>
                <w:szCs w:val="20"/>
                <w:lang w:eastAsia="en-GB"/>
              </w:rPr>
            </w:pPr>
          </w:p>
        </w:tc>
      </w:tr>
      <w:tr w:rsidRPr="009F3C3E" w:rsidR="00060A12" w:rsidTr="00AD2BC8" w14:paraId="0B80F43B" w14:textId="77777777">
        <w:trPr>
          <w:trHeight w:val="300"/>
        </w:trPr>
        <w:tc>
          <w:tcPr>
            <w:tcW w:w="6804" w:type="dxa"/>
            <w:tcBorders>
              <w:top w:val="nil"/>
              <w:left w:val="nil"/>
              <w:right w:val="nil"/>
            </w:tcBorders>
            <w:noWrap/>
            <w:hideMark/>
          </w:tcPr>
          <w:p w:rsidRPr="009F3C3E" w:rsidR="00060A12" w:rsidP="00AD2BC8" w:rsidRDefault="00060A12" w14:paraId="68BCADF9" w14:textId="77777777">
            <w:pPr>
              <w:rPr>
                <w:rFonts w:ascii="Arial" w:hAnsi="Arial" w:eastAsia="Times New Roman" w:cs="Arial"/>
                <w:b/>
                <w:bCs/>
                <w:sz w:val="20"/>
                <w:szCs w:val="20"/>
              </w:rPr>
            </w:pPr>
            <w:r w:rsidRPr="009F3C3E">
              <w:rPr>
                <w:rFonts w:ascii="Arial" w:hAnsi="Arial"/>
                <w:b/>
                <w:sz w:val="20"/>
              </w:rPr>
              <w:t>20. szakasz – Az összetettségre vonatkozó tételek</w:t>
            </w:r>
          </w:p>
        </w:tc>
        <w:tc>
          <w:tcPr>
            <w:tcW w:w="2745" w:type="dxa"/>
            <w:tcBorders>
              <w:top w:val="nil"/>
              <w:left w:val="nil"/>
              <w:right w:val="nil"/>
            </w:tcBorders>
            <w:hideMark/>
          </w:tcPr>
          <w:p w:rsidRPr="009F3C3E" w:rsidR="00060A12" w:rsidP="00AD2BC8" w:rsidRDefault="00060A12" w14:paraId="296B113C"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7F620E86" w14:textId="77777777">
        <w:trPr>
          <w:trHeight w:val="300"/>
        </w:trPr>
        <w:tc>
          <w:tcPr>
            <w:tcW w:w="6804" w:type="dxa"/>
            <w:tcBorders>
              <w:left w:val="nil"/>
              <w:right w:val="nil"/>
            </w:tcBorders>
            <w:noWrap/>
            <w:hideMark/>
          </w:tcPr>
          <w:p w:rsidRPr="009F3C3E" w:rsidR="00060A12" w:rsidP="00AD2BC8" w:rsidRDefault="00060A12" w14:paraId="6D262F35" w14:textId="77777777">
            <w:pPr>
              <w:ind w:firstLine="200" w:firstLineChars="100"/>
              <w:rPr>
                <w:rFonts w:ascii="Arial" w:hAnsi="Arial" w:eastAsia="Times New Roman" w:cs="Arial"/>
                <w:sz w:val="20"/>
                <w:szCs w:val="20"/>
              </w:rPr>
            </w:pPr>
            <w:r w:rsidRPr="009F3C3E">
              <w:rPr>
                <w:rFonts w:ascii="Arial" w:hAnsi="Arial"/>
                <w:sz w:val="20"/>
              </w:rPr>
              <w:t>a. A tőzsdén kívüli származtatott ügyletek mutatója (régi mutató)</w:t>
            </w:r>
          </w:p>
        </w:tc>
        <w:tc>
          <w:tcPr>
            <w:tcW w:w="2745" w:type="dxa"/>
            <w:tcBorders>
              <w:left w:val="nil"/>
              <w:right w:val="nil"/>
            </w:tcBorders>
            <w:noWrap/>
            <w:hideMark/>
          </w:tcPr>
          <w:p w:rsidRPr="009F3C3E" w:rsidR="00060A12" w:rsidP="00AD2BC8" w:rsidRDefault="00060A12" w14:paraId="6CEDF1CC" w14:textId="77777777">
            <w:pPr>
              <w:jc w:val="right"/>
              <w:rPr>
                <w:rFonts w:ascii="Arial" w:hAnsi="Arial" w:eastAsia="Times New Roman" w:cs="Arial"/>
                <w:sz w:val="20"/>
                <w:szCs w:val="20"/>
              </w:rPr>
            </w:pPr>
            <w:r w:rsidRPr="009F3C3E">
              <w:rPr>
                <w:rFonts w:ascii="Arial" w:hAnsi="Arial"/>
                <w:sz w:val="20"/>
              </w:rPr>
              <w:t> </w:t>
            </w:r>
          </w:p>
        </w:tc>
      </w:tr>
      <w:tr w:rsidRPr="009F3C3E" w:rsidR="00060A12" w:rsidTr="00AD2BC8" w14:paraId="16017495" w14:textId="77777777">
        <w:trPr>
          <w:trHeight w:val="300"/>
        </w:trPr>
        <w:tc>
          <w:tcPr>
            <w:tcW w:w="6804" w:type="dxa"/>
            <w:tcBorders>
              <w:left w:val="nil"/>
              <w:right w:val="nil"/>
            </w:tcBorders>
            <w:noWrap/>
          </w:tcPr>
          <w:p w:rsidRPr="009F3C3E" w:rsidR="00060A12" w:rsidP="00AD2BC8" w:rsidRDefault="00060A12" w14:paraId="6FD42EC7" w14:textId="77777777">
            <w:pPr>
              <w:ind w:left="171" w:firstLine="28" w:firstLineChars="14"/>
              <w:rPr>
                <w:rFonts w:ascii="Arial" w:hAnsi="Arial" w:eastAsia="Times New Roman" w:cs="Arial"/>
                <w:sz w:val="20"/>
                <w:szCs w:val="20"/>
              </w:rPr>
            </w:pPr>
            <w:r w:rsidRPr="009F3C3E">
              <w:rPr>
                <w:rFonts w:ascii="Arial" w:hAnsi="Arial"/>
                <w:sz w:val="20"/>
              </w:rPr>
              <w:t>b. A tőzsdén kívüli származtatott ügyletek névleges összege, beleértve a biztosítási leányvállalatokat is:</w:t>
            </w:r>
          </w:p>
        </w:tc>
        <w:tc>
          <w:tcPr>
            <w:tcW w:w="2745" w:type="dxa"/>
            <w:tcBorders>
              <w:left w:val="nil"/>
              <w:right w:val="nil"/>
            </w:tcBorders>
            <w:noWrap/>
          </w:tcPr>
          <w:p w:rsidRPr="009F3C3E" w:rsidR="00060A12" w:rsidP="00AD2BC8" w:rsidRDefault="00060A12" w14:paraId="3A136B20" w14:textId="77777777">
            <w:pPr>
              <w:jc w:val="right"/>
              <w:rPr>
                <w:rFonts w:ascii="Arial" w:hAnsi="Arial" w:eastAsia="Times New Roman" w:cs="Arial"/>
                <w:sz w:val="20"/>
                <w:szCs w:val="20"/>
                <w:lang w:eastAsia="en-GB"/>
              </w:rPr>
            </w:pPr>
          </w:p>
        </w:tc>
      </w:tr>
      <w:tr w:rsidRPr="009F3C3E" w:rsidR="00060A12" w:rsidTr="00AD2BC8" w14:paraId="7A945EEF" w14:textId="77777777">
        <w:trPr>
          <w:trHeight w:val="300"/>
        </w:trPr>
        <w:tc>
          <w:tcPr>
            <w:tcW w:w="6804" w:type="dxa"/>
            <w:tcBorders>
              <w:left w:val="nil"/>
              <w:right w:val="nil"/>
            </w:tcBorders>
            <w:noWrap/>
          </w:tcPr>
          <w:p w:rsidRPr="009F3C3E" w:rsidR="00060A12" w:rsidP="00AD2BC8" w:rsidRDefault="00060A12" w14:paraId="50E23652" w14:textId="77777777">
            <w:pPr>
              <w:ind w:left="313"/>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Központi szerződő fél által elszámolt, ahol a csoport (beleértve a biztosítási leányvállalatokat is) pénzügyi közvetítőként jár el (központi szerződő fél oldal)</w:t>
            </w:r>
          </w:p>
        </w:tc>
        <w:tc>
          <w:tcPr>
            <w:tcW w:w="2745" w:type="dxa"/>
            <w:tcBorders>
              <w:left w:val="nil"/>
              <w:right w:val="nil"/>
            </w:tcBorders>
            <w:noWrap/>
          </w:tcPr>
          <w:p w:rsidRPr="009F3C3E" w:rsidR="00060A12" w:rsidP="00AD2BC8" w:rsidRDefault="00060A12" w14:paraId="114AB87D" w14:textId="77777777">
            <w:pPr>
              <w:jc w:val="right"/>
              <w:rPr>
                <w:rFonts w:ascii="Arial" w:hAnsi="Arial" w:eastAsia="Times New Roman" w:cs="Arial"/>
                <w:sz w:val="20"/>
                <w:szCs w:val="20"/>
                <w:lang w:eastAsia="en-GB"/>
              </w:rPr>
            </w:pPr>
          </w:p>
        </w:tc>
      </w:tr>
      <w:tr w:rsidRPr="009F3C3E" w:rsidR="00060A12" w:rsidTr="00AD2BC8" w14:paraId="464066FE" w14:textId="77777777">
        <w:trPr>
          <w:trHeight w:val="300"/>
        </w:trPr>
        <w:tc>
          <w:tcPr>
            <w:tcW w:w="6804" w:type="dxa"/>
            <w:tcBorders>
              <w:left w:val="nil"/>
              <w:right w:val="nil"/>
            </w:tcBorders>
            <w:noWrap/>
          </w:tcPr>
          <w:p w:rsidRPr="009F3C3E" w:rsidR="00060A12" w:rsidP="00AD2BC8" w:rsidRDefault="00060A12" w14:paraId="290AFAA0" w14:textId="77777777">
            <w:pPr>
              <w:ind w:left="313" w:firstLine="58" w:firstLineChars="29"/>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 xml:space="preserve">Központi szerződő fél által elszámolt, ahol a csoport (beleértve a biztosítási leányvállalatokat is) pénzügyi közvetítőként jár el (ügyféloldal) </w:t>
            </w:r>
          </w:p>
        </w:tc>
        <w:tc>
          <w:tcPr>
            <w:tcW w:w="2745" w:type="dxa"/>
            <w:tcBorders>
              <w:left w:val="nil"/>
              <w:right w:val="nil"/>
            </w:tcBorders>
            <w:noWrap/>
          </w:tcPr>
          <w:p w:rsidRPr="009F3C3E" w:rsidR="00060A12" w:rsidP="00AD2BC8" w:rsidRDefault="00060A12" w14:paraId="253D9316" w14:textId="77777777">
            <w:pPr>
              <w:jc w:val="right"/>
              <w:rPr>
                <w:rFonts w:ascii="Arial" w:hAnsi="Arial" w:eastAsia="Times New Roman" w:cs="Arial"/>
                <w:sz w:val="20"/>
                <w:szCs w:val="20"/>
                <w:lang w:eastAsia="en-GB"/>
              </w:rPr>
            </w:pPr>
          </w:p>
        </w:tc>
      </w:tr>
      <w:tr w:rsidRPr="009F3C3E" w:rsidR="00060A12" w:rsidTr="00AD2BC8" w14:paraId="317B2D5D" w14:textId="77777777">
        <w:trPr>
          <w:trHeight w:val="300"/>
        </w:trPr>
        <w:tc>
          <w:tcPr>
            <w:tcW w:w="6804" w:type="dxa"/>
            <w:tcBorders>
              <w:left w:val="nil"/>
              <w:right w:val="nil"/>
            </w:tcBorders>
            <w:noWrap/>
          </w:tcPr>
          <w:p w:rsidRPr="009F3C3E" w:rsidR="00060A12" w:rsidP="00AD2BC8" w:rsidRDefault="00060A12" w14:paraId="2FBBFA5D" w14:textId="77777777">
            <w:pPr>
              <w:ind w:left="313"/>
              <w:rPr>
                <w:rFonts w:ascii="Arial" w:hAnsi="Arial" w:eastAsia="Times New Roman" w:cs="Arial"/>
                <w:sz w:val="20"/>
                <w:szCs w:val="20"/>
              </w:rPr>
            </w:pPr>
            <w:r w:rsidRPr="009F3C3E">
              <w:rPr>
                <w:rFonts w:ascii="Arial" w:hAnsi="Arial"/>
                <w:sz w:val="20"/>
                <w:lang w:eastAsia="en-GB"/>
              </w:rPr>
              <w:t xml:space="preserve">(3) </w:t>
            </w:r>
            <w:r w:rsidRPr="009F3C3E">
              <w:rPr>
                <w:rFonts w:ascii="Arial" w:hAnsi="Arial"/>
                <w:sz w:val="20"/>
              </w:rPr>
              <w:t xml:space="preserve">Központi szerződő fél által elszámolt, ahol a csoport, a biztosítási leányvállalatokat is beleértve, ügynökként jár el </w:t>
            </w:r>
          </w:p>
        </w:tc>
        <w:tc>
          <w:tcPr>
            <w:tcW w:w="2745" w:type="dxa"/>
            <w:tcBorders>
              <w:left w:val="nil"/>
              <w:right w:val="nil"/>
            </w:tcBorders>
            <w:noWrap/>
          </w:tcPr>
          <w:p w:rsidRPr="009F3C3E" w:rsidR="00060A12" w:rsidP="00AD2BC8" w:rsidRDefault="00060A12" w14:paraId="59807E53" w14:textId="77777777">
            <w:pPr>
              <w:jc w:val="right"/>
              <w:rPr>
                <w:rFonts w:ascii="Arial" w:hAnsi="Arial" w:eastAsia="Times New Roman" w:cs="Arial"/>
                <w:sz w:val="20"/>
                <w:szCs w:val="20"/>
                <w:lang w:eastAsia="en-GB"/>
              </w:rPr>
            </w:pPr>
          </w:p>
        </w:tc>
      </w:tr>
      <w:tr w:rsidRPr="009F3C3E" w:rsidR="00060A12" w:rsidTr="00AD2BC8" w14:paraId="1547CB0C" w14:textId="77777777">
        <w:trPr>
          <w:trHeight w:val="300"/>
        </w:trPr>
        <w:tc>
          <w:tcPr>
            <w:tcW w:w="6804" w:type="dxa"/>
            <w:tcBorders>
              <w:left w:val="nil"/>
              <w:right w:val="nil"/>
            </w:tcBorders>
            <w:noWrap/>
          </w:tcPr>
          <w:p w:rsidRPr="009F3C3E" w:rsidR="00060A12" w:rsidP="00AD2BC8" w:rsidRDefault="00060A12" w14:paraId="5D882240" w14:textId="77777777">
            <w:pPr>
              <w:ind w:left="313" w:hanging="1"/>
              <w:rPr>
                <w:rFonts w:ascii="Arial" w:hAnsi="Arial" w:eastAsia="Times New Roman" w:cs="Arial"/>
                <w:sz w:val="20"/>
                <w:szCs w:val="20"/>
              </w:rPr>
            </w:pPr>
            <w:r w:rsidRPr="009F3C3E">
              <w:rPr>
                <w:rFonts w:ascii="Arial" w:hAnsi="Arial"/>
                <w:sz w:val="20"/>
                <w:lang w:eastAsia="en-GB"/>
              </w:rPr>
              <w:t xml:space="preserve">(4) </w:t>
            </w:r>
            <w:r w:rsidRPr="009F3C3E">
              <w:rPr>
                <w:rFonts w:ascii="Arial" w:hAnsi="Arial"/>
                <w:sz w:val="20"/>
              </w:rPr>
              <w:t>Központi szerződő fél által elszámolt, ahol a csoport, a biztosítási leányvállalatokat is beleértve, saját számlára kereskedik</w:t>
            </w:r>
          </w:p>
        </w:tc>
        <w:tc>
          <w:tcPr>
            <w:tcW w:w="2745" w:type="dxa"/>
            <w:tcBorders>
              <w:left w:val="nil"/>
              <w:right w:val="nil"/>
            </w:tcBorders>
            <w:noWrap/>
          </w:tcPr>
          <w:p w:rsidRPr="009F3C3E" w:rsidR="00060A12" w:rsidP="00AD2BC8" w:rsidRDefault="00060A12" w14:paraId="4A96C671" w14:textId="77777777">
            <w:pPr>
              <w:jc w:val="right"/>
              <w:rPr>
                <w:rFonts w:ascii="Arial" w:hAnsi="Arial" w:eastAsia="Times New Roman" w:cs="Arial"/>
                <w:sz w:val="20"/>
                <w:szCs w:val="20"/>
                <w:lang w:eastAsia="en-GB"/>
              </w:rPr>
            </w:pPr>
          </w:p>
        </w:tc>
      </w:tr>
      <w:tr w:rsidRPr="009F3C3E" w:rsidR="00060A12" w:rsidTr="00AD2BC8" w14:paraId="2C9234C0" w14:textId="77777777">
        <w:trPr>
          <w:trHeight w:val="300"/>
        </w:trPr>
        <w:tc>
          <w:tcPr>
            <w:tcW w:w="6804" w:type="dxa"/>
            <w:tcBorders>
              <w:left w:val="nil"/>
              <w:right w:val="nil"/>
            </w:tcBorders>
            <w:noWrap/>
          </w:tcPr>
          <w:p w:rsidRPr="009F3C3E" w:rsidR="00060A12" w:rsidP="00AD2BC8" w:rsidRDefault="00060A12" w14:paraId="7E4557B5" w14:textId="77777777">
            <w:pPr>
              <w:ind w:left="171" w:firstLine="28" w:firstLineChars="14"/>
              <w:rPr>
                <w:rFonts w:ascii="Arial" w:hAnsi="Arial" w:eastAsia="Times New Roman" w:cs="Arial"/>
                <w:sz w:val="20"/>
                <w:szCs w:val="20"/>
              </w:rPr>
            </w:pPr>
            <w:r w:rsidRPr="009F3C3E">
              <w:rPr>
                <w:rFonts w:ascii="Arial" w:hAnsi="Arial"/>
                <w:sz w:val="20"/>
              </w:rPr>
              <w:t>c. Központi szerződő fél által elszámolt tőzsdén kívüli származtatott ügyletek (Libor átmenet kizárása)</w:t>
            </w:r>
          </w:p>
        </w:tc>
        <w:tc>
          <w:tcPr>
            <w:tcW w:w="2745" w:type="dxa"/>
            <w:tcBorders>
              <w:left w:val="nil"/>
              <w:right w:val="nil"/>
            </w:tcBorders>
            <w:noWrap/>
          </w:tcPr>
          <w:p w:rsidRPr="009F3C3E" w:rsidR="00060A12" w:rsidP="00AD2BC8" w:rsidRDefault="00060A12" w14:paraId="4542BE7A" w14:textId="77777777">
            <w:pPr>
              <w:jc w:val="right"/>
              <w:rPr>
                <w:rFonts w:ascii="Arial" w:hAnsi="Arial" w:eastAsia="Times New Roman" w:cs="Arial"/>
                <w:sz w:val="20"/>
                <w:szCs w:val="20"/>
                <w:lang w:eastAsia="en-GB"/>
              </w:rPr>
            </w:pPr>
          </w:p>
        </w:tc>
      </w:tr>
      <w:tr w:rsidRPr="009F3C3E" w:rsidR="00060A12" w:rsidTr="00AD2BC8" w14:paraId="1447AE8B" w14:textId="77777777">
        <w:trPr>
          <w:trHeight w:val="300"/>
        </w:trPr>
        <w:tc>
          <w:tcPr>
            <w:tcW w:w="6804" w:type="dxa"/>
            <w:tcBorders>
              <w:left w:val="nil"/>
              <w:right w:val="nil"/>
            </w:tcBorders>
            <w:noWrap/>
          </w:tcPr>
          <w:p w:rsidRPr="009F3C3E" w:rsidR="00060A12" w:rsidP="00AD2BC8" w:rsidRDefault="00060A12" w14:paraId="7FFE68D6" w14:textId="77777777">
            <w:pPr>
              <w:ind w:left="171" w:firstLine="28" w:firstLineChars="14"/>
              <w:rPr>
                <w:rFonts w:ascii="Arial" w:hAnsi="Arial" w:eastAsia="Times New Roman" w:cs="Arial"/>
                <w:sz w:val="20"/>
                <w:szCs w:val="20"/>
              </w:rPr>
            </w:pPr>
            <w:r w:rsidRPr="009F3C3E">
              <w:rPr>
                <w:rFonts w:ascii="Arial" w:hAnsi="Arial"/>
                <w:sz w:val="20"/>
              </w:rPr>
              <w:t xml:space="preserve">d. A tőzsdén kívüli származtatott ügyletek névleges összegének negyedéves átlagértéke </w:t>
            </w:r>
          </w:p>
        </w:tc>
        <w:tc>
          <w:tcPr>
            <w:tcW w:w="2745" w:type="dxa"/>
            <w:tcBorders>
              <w:left w:val="nil"/>
              <w:right w:val="nil"/>
            </w:tcBorders>
            <w:noWrap/>
          </w:tcPr>
          <w:p w:rsidRPr="009F3C3E" w:rsidR="00060A12" w:rsidP="00AD2BC8" w:rsidRDefault="00060A12" w14:paraId="5E08D7B2" w14:textId="77777777">
            <w:pPr>
              <w:jc w:val="right"/>
              <w:rPr>
                <w:rFonts w:ascii="Arial" w:hAnsi="Arial" w:eastAsia="Times New Roman" w:cs="Arial"/>
                <w:sz w:val="20"/>
                <w:szCs w:val="20"/>
                <w:lang w:eastAsia="en-GB"/>
              </w:rPr>
            </w:pPr>
          </w:p>
        </w:tc>
      </w:tr>
      <w:tr w:rsidRPr="009F3C3E" w:rsidR="00060A12" w:rsidTr="00AD2BC8" w14:paraId="18F1AE67" w14:textId="77777777">
        <w:trPr>
          <w:trHeight w:val="300"/>
        </w:trPr>
        <w:tc>
          <w:tcPr>
            <w:tcW w:w="6804" w:type="dxa"/>
            <w:tcBorders>
              <w:left w:val="nil"/>
              <w:right w:val="nil"/>
            </w:tcBorders>
            <w:noWrap/>
          </w:tcPr>
          <w:p w:rsidRPr="009F3C3E" w:rsidR="00060A12" w:rsidP="00AD2BC8" w:rsidRDefault="00060A12" w14:paraId="1CFFCD09" w14:textId="77777777">
            <w:pPr>
              <w:ind w:left="171" w:firstLine="28" w:firstLineChars="14"/>
              <w:rPr>
                <w:rFonts w:ascii="Arial" w:hAnsi="Arial" w:eastAsia="Times New Roman" w:cs="Arial"/>
                <w:sz w:val="20"/>
                <w:szCs w:val="20"/>
              </w:rPr>
            </w:pPr>
            <w:r w:rsidRPr="009F3C3E">
              <w:rPr>
                <w:rFonts w:ascii="Arial" w:hAnsi="Arial"/>
                <w:sz w:val="20"/>
              </w:rPr>
              <w:t xml:space="preserve">e. A tőzsdén kívüli származtatott ügyletek névleges összegének havi átlagértéke </w:t>
            </w:r>
          </w:p>
        </w:tc>
        <w:tc>
          <w:tcPr>
            <w:tcW w:w="2745" w:type="dxa"/>
            <w:tcBorders>
              <w:left w:val="nil"/>
              <w:right w:val="nil"/>
            </w:tcBorders>
            <w:noWrap/>
          </w:tcPr>
          <w:p w:rsidRPr="009F3C3E" w:rsidR="00060A12" w:rsidP="00AD2BC8" w:rsidRDefault="00060A12" w14:paraId="1C699123" w14:textId="77777777">
            <w:pPr>
              <w:jc w:val="right"/>
              <w:rPr>
                <w:rFonts w:ascii="Arial" w:hAnsi="Arial" w:eastAsia="Times New Roman" w:cs="Arial"/>
                <w:sz w:val="20"/>
                <w:szCs w:val="20"/>
                <w:lang w:eastAsia="en-GB"/>
              </w:rPr>
            </w:pPr>
          </w:p>
        </w:tc>
      </w:tr>
      <w:tr w:rsidRPr="009F3C3E" w:rsidR="00060A12" w:rsidTr="00AD2BC8" w14:paraId="362A38B8" w14:textId="77777777">
        <w:trPr>
          <w:trHeight w:val="300"/>
        </w:trPr>
        <w:tc>
          <w:tcPr>
            <w:tcW w:w="6804" w:type="dxa"/>
            <w:tcBorders>
              <w:left w:val="nil"/>
              <w:right w:val="nil"/>
            </w:tcBorders>
            <w:noWrap/>
          </w:tcPr>
          <w:p w:rsidRPr="009F3C3E" w:rsidR="00060A12" w:rsidP="00AD2BC8" w:rsidRDefault="00060A12" w14:paraId="0ABC7239" w14:textId="77777777">
            <w:pPr>
              <w:ind w:left="171" w:firstLine="28" w:firstLineChars="14"/>
              <w:rPr>
                <w:rFonts w:ascii="Arial" w:hAnsi="Arial" w:eastAsia="Times New Roman" w:cs="Arial"/>
                <w:sz w:val="20"/>
                <w:szCs w:val="20"/>
              </w:rPr>
            </w:pPr>
            <w:r w:rsidRPr="009F3C3E">
              <w:rPr>
                <w:rFonts w:ascii="Arial" w:hAnsi="Arial"/>
                <w:sz w:val="20"/>
              </w:rPr>
              <w:t xml:space="preserve">f. A kereskedési célú és értékesíthető értékpapírok negyedéves átlagértéke </w:t>
            </w:r>
          </w:p>
        </w:tc>
        <w:tc>
          <w:tcPr>
            <w:tcW w:w="2745" w:type="dxa"/>
            <w:tcBorders>
              <w:left w:val="nil"/>
              <w:right w:val="nil"/>
            </w:tcBorders>
            <w:noWrap/>
          </w:tcPr>
          <w:p w:rsidRPr="009F3C3E" w:rsidR="00060A12" w:rsidP="00AD2BC8" w:rsidRDefault="00060A12" w14:paraId="7A76AF26" w14:textId="77777777">
            <w:pPr>
              <w:jc w:val="right"/>
              <w:rPr>
                <w:rFonts w:ascii="Arial" w:hAnsi="Arial" w:eastAsia="Times New Roman" w:cs="Arial"/>
                <w:sz w:val="20"/>
                <w:szCs w:val="20"/>
                <w:lang w:eastAsia="en-GB"/>
              </w:rPr>
            </w:pPr>
          </w:p>
        </w:tc>
      </w:tr>
      <w:tr w:rsidRPr="009F3C3E" w:rsidR="00060A12" w:rsidTr="00AD2BC8" w14:paraId="34F32D47" w14:textId="77777777">
        <w:trPr>
          <w:trHeight w:val="300"/>
        </w:trPr>
        <w:tc>
          <w:tcPr>
            <w:tcW w:w="6804" w:type="dxa"/>
            <w:tcBorders>
              <w:left w:val="nil"/>
              <w:right w:val="nil"/>
            </w:tcBorders>
            <w:noWrap/>
          </w:tcPr>
          <w:p w:rsidRPr="009F3C3E" w:rsidR="00060A12" w:rsidP="00AD2BC8" w:rsidRDefault="00060A12" w14:paraId="0CCEC4B0" w14:textId="77777777">
            <w:pPr>
              <w:ind w:firstLine="200" w:firstLineChars="100"/>
              <w:rPr>
                <w:rFonts w:ascii="Arial" w:hAnsi="Arial" w:eastAsia="Times New Roman" w:cs="Arial"/>
                <w:sz w:val="20"/>
                <w:szCs w:val="20"/>
              </w:rPr>
            </w:pPr>
            <w:r w:rsidRPr="009F3C3E">
              <w:rPr>
                <w:rFonts w:ascii="Arial" w:hAnsi="Arial"/>
                <w:sz w:val="20"/>
              </w:rPr>
              <w:lastRenderedPageBreak/>
              <w:t xml:space="preserve">g. A kereskedési célú és értékesíthető értékpapírok havi átlagértéke </w:t>
            </w:r>
          </w:p>
        </w:tc>
        <w:tc>
          <w:tcPr>
            <w:tcW w:w="2745" w:type="dxa"/>
            <w:tcBorders>
              <w:left w:val="nil"/>
              <w:right w:val="nil"/>
            </w:tcBorders>
            <w:noWrap/>
          </w:tcPr>
          <w:p w:rsidRPr="009F3C3E" w:rsidR="00060A12" w:rsidP="00AD2BC8" w:rsidRDefault="00060A12" w14:paraId="735C3F3E" w14:textId="77777777">
            <w:pPr>
              <w:jc w:val="right"/>
              <w:rPr>
                <w:rFonts w:ascii="Arial" w:hAnsi="Arial" w:eastAsia="Times New Roman" w:cs="Arial"/>
                <w:sz w:val="20"/>
                <w:szCs w:val="20"/>
                <w:lang w:eastAsia="en-GB"/>
              </w:rPr>
            </w:pPr>
          </w:p>
        </w:tc>
      </w:tr>
      <w:tr w:rsidRPr="009F3C3E" w:rsidR="00060A12" w:rsidTr="00AD2BC8" w14:paraId="1D70F8E9" w14:textId="77777777">
        <w:trPr>
          <w:trHeight w:val="300"/>
        </w:trPr>
        <w:tc>
          <w:tcPr>
            <w:tcW w:w="6804" w:type="dxa"/>
            <w:tcBorders>
              <w:left w:val="nil"/>
              <w:right w:val="nil"/>
            </w:tcBorders>
            <w:noWrap/>
          </w:tcPr>
          <w:p w:rsidRPr="009F3C3E" w:rsidR="00060A12" w:rsidP="00AD2BC8" w:rsidRDefault="00060A12" w14:paraId="701CCB17" w14:textId="77777777">
            <w:pPr>
              <w:ind w:firstLine="200" w:firstLineChars="100"/>
              <w:rPr>
                <w:rFonts w:ascii="Arial" w:hAnsi="Arial" w:eastAsia="Times New Roman" w:cs="Arial"/>
                <w:sz w:val="20"/>
                <w:szCs w:val="20"/>
              </w:rPr>
            </w:pPr>
            <w:r w:rsidRPr="009F3C3E">
              <w:rPr>
                <w:rFonts w:ascii="Arial" w:hAnsi="Arial"/>
                <w:sz w:val="20"/>
              </w:rPr>
              <w:t>h. A 3. szintű eszközök mutatója (régi mutató)</w:t>
            </w:r>
          </w:p>
        </w:tc>
        <w:tc>
          <w:tcPr>
            <w:tcW w:w="2745" w:type="dxa"/>
            <w:tcBorders>
              <w:left w:val="nil"/>
              <w:right w:val="nil"/>
            </w:tcBorders>
            <w:noWrap/>
          </w:tcPr>
          <w:p w:rsidRPr="009F3C3E" w:rsidR="00060A12" w:rsidP="00AD2BC8" w:rsidRDefault="00060A12" w14:paraId="1BA82A71" w14:textId="77777777">
            <w:pPr>
              <w:jc w:val="right"/>
              <w:rPr>
                <w:rFonts w:ascii="Arial" w:hAnsi="Arial" w:eastAsia="Times New Roman" w:cs="Arial"/>
                <w:sz w:val="20"/>
                <w:szCs w:val="20"/>
                <w:lang w:eastAsia="en-GB"/>
              </w:rPr>
            </w:pPr>
          </w:p>
        </w:tc>
      </w:tr>
      <w:tr w:rsidRPr="009F3C3E" w:rsidR="00060A12" w:rsidTr="00AD2BC8" w14:paraId="4C456164" w14:textId="77777777">
        <w:trPr>
          <w:trHeight w:val="300"/>
        </w:trPr>
        <w:tc>
          <w:tcPr>
            <w:tcW w:w="6804" w:type="dxa"/>
            <w:tcBorders>
              <w:left w:val="nil"/>
              <w:right w:val="nil"/>
            </w:tcBorders>
            <w:noWrap/>
          </w:tcPr>
          <w:p w:rsidRPr="009F3C3E" w:rsidR="00060A12" w:rsidP="00AD2BC8" w:rsidRDefault="00060A12" w14:paraId="1209BD8B" w14:textId="77777777">
            <w:pPr>
              <w:ind w:firstLine="200" w:firstLineChars="100"/>
              <w:rPr>
                <w:rFonts w:ascii="Arial" w:hAnsi="Arial" w:eastAsia="Times New Roman" w:cs="Arial"/>
                <w:sz w:val="20"/>
                <w:szCs w:val="20"/>
              </w:rPr>
            </w:pPr>
            <w:r w:rsidRPr="009F3C3E">
              <w:rPr>
                <w:rFonts w:ascii="Arial" w:hAnsi="Arial"/>
                <w:sz w:val="20"/>
              </w:rPr>
              <w:t xml:space="preserve">i. A 3. szintű eszközök negyedéves átlagértéke </w:t>
            </w:r>
          </w:p>
        </w:tc>
        <w:tc>
          <w:tcPr>
            <w:tcW w:w="2745" w:type="dxa"/>
            <w:tcBorders>
              <w:left w:val="nil"/>
              <w:right w:val="nil"/>
            </w:tcBorders>
            <w:noWrap/>
          </w:tcPr>
          <w:p w:rsidRPr="009F3C3E" w:rsidR="00060A12" w:rsidP="00AD2BC8" w:rsidRDefault="00060A12" w14:paraId="1AB92822" w14:textId="77777777">
            <w:pPr>
              <w:jc w:val="right"/>
              <w:rPr>
                <w:rFonts w:ascii="Arial" w:hAnsi="Arial" w:eastAsia="Times New Roman" w:cs="Arial"/>
                <w:sz w:val="20"/>
                <w:szCs w:val="20"/>
                <w:lang w:eastAsia="en-GB"/>
              </w:rPr>
            </w:pPr>
          </w:p>
        </w:tc>
      </w:tr>
      <w:tr w:rsidRPr="009F3C3E" w:rsidR="00060A12" w:rsidTr="00AD2BC8" w14:paraId="59B63371" w14:textId="77777777">
        <w:trPr>
          <w:trHeight w:val="300"/>
        </w:trPr>
        <w:tc>
          <w:tcPr>
            <w:tcW w:w="6804" w:type="dxa"/>
            <w:tcBorders>
              <w:left w:val="nil"/>
              <w:right w:val="nil"/>
            </w:tcBorders>
            <w:noWrap/>
          </w:tcPr>
          <w:p w:rsidRPr="009F3C3E" w:rsidR="00060A12" w:rsidP="00AD2BC8" w:rsidRDefault="00060A12" w14:paraId="1CB60648" w14:textId="77777777">
            <w:pPr>
              <w:ind w:firstLine="200" w:firstLineChars="100"/>
              <w:rPr>
                <w:rFonts w:ascii="Arial" w:hAnsi="Arial" w:eastAsia="Times New Roman" w:cs="Arial"/>
                <w:sz w:val="20"/>
                <w:szCs w:val="20"/>
              </w:rPr>
            </w:pPr>
            <w:r w:rsidRPr="009F3C3E">
              <w:rPr>
                <w:rFonts w:ascii="Arial" w:hAnsi="Arial"/>
                <w:sz w:val="20"/>
              </w:rPr>
              <w:t xml:space="preserve">j. A 3. szintű eszközök havi átlagértéke  </w:t>
            </w:r>
          </w:p>
        </w:tc>
        <w:tc>
          <w:tcPr>
            <w:tcW w:w="2745" w:type="dxa"/>
            <w:tcBorders>
              <w:left w:val="nil"/>
              <w:right w:val="nil"/>
            </w:tcBorders>
            <w:noWrap/>
          </w:tcPr>
          <w:p w:rsidRPr="009F3C3E" w:rsidR="00060A12" w:rsidP="00AD2BC8" w:rsidRDefault="00060A12" w14:paraId="0E1BC08A" w14:textId="77777777">
            <w:pPr>
              <w:jc w:val="right"/>
              <w:rPr>
                <w:rFonts w:ascii="Arial" w:hAnsi="Arial" w:eastAsia="Times New Roman" w:cs="Arial"/>
                <w:sz w:val="20"/>
                <w:szCs w:val="20"/>
                <w:lang w:eastAsia="en-GB"/>
              </w:rPr>
            </w:pPr>
          </w:p>
        </w:tc>
      </w:tr>
      <w:tr w:rsidRPr="009F3C3E" w:rsidR="00060A12" w:rsidTr="00AD2BC8" w14:paraId="758453E7" w14:textId="77777777">
        <w:trPr>
          <w:trHeight w:val="300"/>
        </w:trPr>
        <w:tc>
          <w:tcPr>
            <w:tcW w:w="6804" w:type="dxa"/>
            <w:tcBorders>
              <w:left w:val="nil"/>
              <w:right w:val="nil"/>
            </w:tcBorders>
            <w:noWrap/>
          </w:tcPr>
          <w:p w:rsidRPr="009F3C3E" w:rsidR="00060A12" w:rsidP="00AD2BC8" w:rsidRDefault="00060A12" w14:paraId="3DE05091" w14:textId="77777777">
            <w:pPr>
              <w:ind w:firstLine="200" w:firstLineChars="100"/>
              <w:rPr>
                <w:rFonts w:ascii="Arial" w:hAnsi="Arial" w:eastAsia="Times New Roman" w:cs="Arial"/>
                <w:sz w:val="20"/>
                <w:szCs w:val="20"/>
              </w:rPr>
            </w:pPr>
            <w:r w:rsidRPr="009F3C3E">
              <w:rPr>
                <w:rFonts w:ascii="Arial" w:hAnsi="Arial"/>
                <w:sz w:val="20"/>
              </w:rPr>
              <w:t>k. 2. szintű eszközök, beleértve a biztosítási leányvállalatokat is</w:t>
            </w:r>
          </w:p>
        </w:tc>
        <w:tc>
          <w:tcPr>
            <w:tcW w:w="2745" w:type="dxa"/>
            <w:tcBorders>
              <w:left w:val="nil"/>
              <w:right w:val="nil"/>
            </w:tcBorders>
            <w:noWrap/>
          </w:tcPr>
          <w:p w:rsidRPr="009F3C3E" w:rsidR="00060A12" w:rsidP="00AD2BC8" w:rsidRDefault="00060A12" w14:paraId="617F8E56" w14:textId="77777777">
            <w:pPr>
              <w:jc w:val="right"/>
              <w:rPr>
                <w:rFonts w:ascii="Arial" w:hAnsi="Arial" w:eastAsia="Times New Roman" w:cs="Arial"/>
                <w:sz w:val="20"/>
                <w:szCs w:val="20"/>
                <w:lang w:eastAsia="en-GB"/>
              </w:rPr>
            </w:pPr>
          </w:p>
        </w:tc>
      </w:tr>
      <w:tr w:rsidRPr="009F3C3E" w:rsidR="00060A12" w:rsidTr="00AD2BC8" w14:paraId="1D449530" w14:textId="77777777">
        <w:trPr>
          <w:trHeight w:val="300"/>
        </w:trPr>
        <w:tc>
          <w:tcPr>
            <w:tcW w:w="6804" w:type="dxa"/>
            <w:tcBorders>
              <w:left w:val="nil"/>
              <w:right w:val="nil"/>
            </w:tcBorders>
            <w:noWrap/>
          </w:tcPr>
          <w:p w:rsidRPr="009F3C3E" w:rsidR="00060A12" w:rsidP="00AD2BC8" w:rsidRDefault="00060A12" w14:paraId="7093BCE0" w14:textId="77777777">
            <w:pPr>
              <w:ind w:left="454" w:hanging="141"/>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Központi szerződő fél által elszámolt 2. szintű eszközök, beleértve a biztosítási leányvállalatokat is</w:t>
            </w:r>
          </w:p>
        </w:tc>
        <w:tc>
          <w:tcPr>
            <w:tcW w:w="2745" w:type="dxa"/>
            <w:tcBorders>
              <w:left w:val="nil"/>
              <w:right w:val="nil"/>
            </w:tcBorders>
            <w:noWrap/>
          </w:tcPr>
          <w:p w:rsidRPr="009F3C3E" w:rsidR="00060A12" w:rsidP="00AD2BC8" w:rsidRDefault="00060A12" w14:paraId="6EC1D63B" w14:textId="77777777">
            <w:pPr>
              <w:jc w:val="right"/>
              <w:rPr>
                <w:rFonts w:ascii="Arial" w:hAnsi="Arial" w:eastAsia="Times New Roman" w:cs="Arial"/>
                <w:sz w:val="20"/>
                <w:szCs w:val="20"/>
                <w:lang w:eastAsia="en-GB"/>
              </w:rPr>
            </w:pPr>
          </w:p>
        </w:tc>
      </w:tr>
      <w:tr w:rsidRPr="009F3C3E" w:rsidR="00060A12" w:rsidTr="00AD2BC8" w14:paraId="51410875" w14:textId="77777777">
        <w:trPr>
          <w:trHeight w:val="300"/>
        </w:trPr>
        <w:tc>
          <w:tcPr>
            <w:tcW w:w="6804" w:type="dxa"/>
            <w:tcBorders>
              <w:left w:val="nil"/>
              <w:right w:val="nil"/>
            </w:tcBorders>
            <w:noWrap/>
          </w:tcPr>
          <w:p w:rsidRPr="009F3C3E" w:rsidR="00060A12" w:rsidP="00AD2BC8" w:rsidRDefault="00060A12" w14:paraId="6B1C20BC" w14:textId="77777777">
            <w:pPr>
              <w:ind w:left="454" w:hanging="141"/>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Bilaterális teljesítésű 2. szintű eszközök, beleértve a biztosítási leányvállalatokat is</w:t>
            </w:r>
          </w:p>
        </w:tc>
        <w:tc>
          <w:tcPr>
            <w:tcW w:w="2745" w:type="dxa"/>
            <w:tcBorders>
              <w:left w:val="nil"/>
              <w:right w:val="nil"/>
            </w:tcBorders>
            <w:noWrap/>
          </w:tcPr>
          <w:p w:rsidRPr="009F3C3E" w:rsidR="00060A12" w:rsidP="00AD2BC8" w:rsidRDefault="00060A12" w14:paraId="3120C562" w14:textId="77777777">
            <w:pPr>
              <w:jc w:val="right"/>
              <w:rPr>
                <w:rFonts w:ascii="Arial" w:hAnsi="Arial" w:eastAsia="Times New Roman" w:cs="Arial"/>
                <w:sz w:val="20"/>
                <w:szCs w:val="20"/>
                <w:lang w:eastAsia="en-GB"/>
              </w:rPr>
            </w:pPr>
          </w:p>
        </w:tc>
      </w:tr>
      <w:tr w:rsidRPr="009F3C3E" w:rsidR="00060A12" w:rsidTr="00AD2BC8" w14:paraId="48B2D725" w14:textId="77777777">
        <w:trPr>
          <w:trHeight w:val="300"/>
        </w:trPr>
        <w:tc>
          <w:tcPr>
            <w:tcW w:w="6804" w:type="dxa"/>
            <w:tcBorders>
              <w:left w:val="nil"/>
              <w:right w:val="nil"/>
            </w:tcBorders>
            <w:noWrap/>
          </w:tcPr>
          <w:p w:rsidRPr="009F3C3E" w:rsidR="00060A12" w:rsidP="00AD2BC8" w:rsidRDefault="00060A12" w14:paraId="46EE51C3" w14:textId="77777777">
            <w:pPr>
              <w:ind w:firstLine="313"/>
              <w:rPr>
                <w:rFonts w:ascii="Arial" w:hAnsi="Arial" w:eastAsia="Times New Roman" w:cs="Arial"/>
                <w:sz w:val="20"/>
                <w:szCs w:val="20"/>
              </w:rPr>
            </w:pPr>
            <w:r w:rsidRPr="009F3C3E">
              <w:rPr>
                <w:rFonts w:ascii="Arial" w:hAnsi="Arial"/>
                <w:sz w:val="20"/>
                <w:lang w:eastAsia="en-GB"/>
              </w:rPr>
              <w:t xml:space="preserve">(3) </w:t>
            </w:r>
            <w:r w:rsidRPr="009F3C3E">
              <w:rPr>
                <w:rFonts w:ascii="Arial" w:hAnsi="Arial"/>
                <w:sz w:val="20"/>
              </w:rPr>
              <w:t>Egyéb 2. szintű eszközök, beleértve a biztosítási leányvállalatokat is</w:t>
            </w:r>
          </w:p>
        </w:tc>
        <w:tc>
          <w:tcPr>
            <w:tcW w:w="2745" w:type="dxa"/>
            <w:tcBorders>
              <w:left w:val="nil"/>
              <w:right w:val="nil"/>
            </w:tcBorders>
            <w:noWrap/>
          </w:tcPr>
          <w:p w:rsidRPr="009F3C3E" w:rsidR="00060A12" w:rsidP="00AD2BC8" w:rsidRDefault="00060A12" w14:paraId="3FC376D6" w14:textId="77777777">
            <w:pPr>
              <w:jc w:val="right"/>
              <w:rPr>
                <w:rFonts w:ascii="Arial" w:hAnsi="Arial" w:eastAsia="Times New Roman" w:cs="Arial"/>
                <w:sz w:val="20"/>
                <w:szCs w:val="20"/>
                <w:lang w:eastAsia="en-GB"/>
              </w:rPr>
            </w:pPr>
          </w:p>
        </w:tc>
      </w:tr>
      <w:tr w:rsidRPr="009F3C3E" w:rsidR="00060A12" w:rsidTr="00AD2BC8" w14:paraId="65EB4836" w14:textId="77777777">
        <w:trPr>
          <w:trHeight w:val="300"/>
        </w:trPr>
        <w:tc>
          <w:tcPr>
            <w:tcW w:w="6804" w:type="dxa"/>
            <w:tcBorders>
              <w:left w:val="nil"/>
              <w:bottom w:val="single" w:color="auto" w:sz="4" w:space="0"/>
              <w:right w:val="nil"/>
            </w:tcBorders>
            <w:noWrap/>
          </w:tcPr>
          <w:p w:rsidRPr="009F3C3E" w:rsidR="00060A12" w:rsidP="00AD2BC8" w:rsidRDefault="00060A12" w14:paraId="0FF47365" w14:textId="77777777">
            <w:pPr>
              <w:ind w:firstLine="200" w:firstLineChars="100"/>
              <w:rPr>
                <w:rFonts w:ascii="Arial" w:hAnsi="Arial" w:eastAsia="Times New Roman" w:cs="Arial"/>
                <w:sz w:val="20"/>
                <w:szCs w:val="20"/>
              </w:rPr>
            </w:pPr>
            <w:r w:rsidRPr="009F3C3E">
              <w:rPr>
                <w:rFonts w:ascii="Arial" w:hAnsi="Arial"/>
                <w:sz w:val="20"/>
              </w:rPr>
              <w:t>l. A 2. szintű eszközök átlagos értéke, beleértve a biztosítási leányvállalatokat is</w:t>
            </w:r>
          </w:p>
        </w:tc>
        <w:tc>
          <w:tcPr>
            <w:tcW w:w="2745" w:type="dxa"/>
            <w:tcBorders>
              <w:left w:val="nil"/>
              <w:bottom w:val="single" w:color="auto" w:sz="4" w:space="0"/>
              <w:right w:val="nil"/>
            </w:tcBorders>
            <w:noWrap/>
          </w:tcPr>
          <w:p w:rsidRPr="009F3C3E" w:rsidR="00060A12" w:rsidP="00AD2BC8" w:rsidRDefault="00060A12" w14:paraId="2FFBB213" w14:textId="77777777">
            <w:pPr>
              <w:jc w:val="right"/>
              <w:rPr>
                <w:rFonts w:ascii="Arial" w:hAnsi="Arial" w:eastAsia="Times New Roman" w:cs="Arial"/>
                <w:sz w:val="20"/>
                <w:szCs w:val="20"/>
                <w:lang w:eastAsia="en-GB"/>
              </w:rPr>
            </w:pPr>
          </w:p>
        </w:tc>
      </w:tr>
      <w:tr w:rsidRPr="009F3C3E" w:rsidR="00060A12" w:rsidTr="00AD2BC8" w14:paraId="0526A3C2" w14:textId="77777777">
        <w:trPr>
          <w:trHeight w:val="300"/>
        </w:trPr>
        <w:tc>
          <w:tcPr>
            <w:tcW w:w="6804" w:type="dxa"/>
            <w:tcBorders>
              <w:left w:val="nil"/>
              <w:bottom w:val="nil"/>
              <w:right w:val="nil"/>
            </w:tcBorders>
            <w:noWrap/>
          </w:tcPr>
          <w:p w:rsidRPr="009F3C3E" w:rsidR="00060A12" w:rsidP="00AD2BC8" w:rsidRDefault="00060A12" w14:paraId="0E3E1A22"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9F3C3E" w:rsidR="00060A12" w:rsidP="00AD2BC8" w:rsidRDefault="00060A12" w14:paraId="7F7D4E02" w14:textId="77777777">
            <w:pPr>
              <w:jc w:val="center"/>
              <w:rPr>
                <w:rFonts w:ascii="Arial" w:hAnsi="Arial" w:eastAsia="Times New Roman" w:cs="Arial"/>
                <w:b/>
                <w:bCs/>
                <w:sz w:val="20"/>
                <w:szCs w:val="20"/>
                <w:lang w:eastAsia="en-GB"/>
              </w:rPr>
            </w:pPr>
          </w:p>
        </w:tc>
      </w:tr>
      <w:tr w:rsidRPr="009F3C3E" w:rsidR="00060A12" w:rsidTr="00AD2BC8" w14:paraId="1236A043" w14:textId="77777777">
        <w:trPr>
          <w:trHeight w:val="300"/>
        </w:trPr>
        <w:tc>
          <w:tcPr>
            <w:tcW w:w="6804" w:type="dxa"/>
            <w:tcBorders>
              <w:top w:val="nil"/>
              <w:left w:val="nil"/>
              <w:right w:val="nil"/>
            </w:tcBorders>
            <w:noWrap/>
          </w:tcPr>
          <w:p w:rsidRPr="009F3C3E" w:rsidR="00060A12" w:rsidP="00AD2BC8" w:rsidRDefault="00060A12" w14:paraId="3664F4DC" w14:textId="77777777">
            <w:pPr>
              <w:rPr>
                <w:rFonts w:ascii="Arial" w:hAnsi="Arial" w:eastAsia="Times New Roman" w:cs="Arial"/>
                <w:sz w:val="20"/>
                <w:szCs w:val="20"/>
              </w:rPr>
            </w:pPr>
            <w:r w:rsidRPr="009F3C3E">
              <w:rPr>
                <w:rFonts w:ascii="Arial" w:hAnsi="Arial"/>
                <w:b/>
                <w:sz w:val="20"/>
              </w:rPr>
              <w:t>21. szakasz – A több joghatóságot érintő tevékenységekre vonatkozó tételek</w:t>
            </w:r>
          </w:p>
        </w:tc>
        <w:tc>
          <w:tcPr>
            <w:tcW w:w="2745" w:type="dxa"/>
            <w:tcBorders>
              <w:top w:val="nil"/>
              <w:left w:val="nil"/>
              <w:right w:val="nil"/>
            </w:tcBorders>
            <w:noWrap/>
          </w:tcPr>
          <w:p w:rsidRPr="009F3C3E" w:rsidR="00060A12" w:rsidP="00AD2BC8" w:rsidRDefault="00060A12" w14:paraId="5A127C47" w14:textId="77777777">
            <w:pPr>
              <w:jc w:val="center"/>
              <w:rPr>
                <w:rFonts w:ascii="Arial" w:hAnsi="Arial" w:eastAsia="Times New Roman" w:cs="Arial"/>
                <w:b/>
                <w:bCs/>
                <w:sz w:val="20"/>
                <w:szCs w:val="20"/>
              </w:rPr>
            </w:pPr>
            <w:r w:rsidRPr="009F3C3E">
              <w:rPr>
                <w:rFonts w:ascii="Arial" w:hAnsi="Arial"/>
                <w:b/>
                <w:sz w:val="20"/>
              </w:rPr>
              <w:t>Összeg</w:t>
            </w:r>
          </w:p>
        </w:tc>
      </w:tr>
      <w:tr w:rsidRPr="009F3C3E" w:rsidR="00060A12" w:rsidTr="00AD2BC8" w14:paraId="39511900" w14:textId="77777777">
        <w:trPr>
          <w:trHeight w:val="300"/>
        </w:trPr>
        <w:tc>
          <w:tcPr>
            <w:tcW w:w="6804" w:type="dxa"/>
            <w:tcBorders>
              <w:left w:val="nil"/>
              <w:right w:val="nil"/>
            </w:tcBorders>
            <w:noWrap/>
          </w:tcPr>
          <w:p w:rsidRPr="009F3C3E" w:rsidR="00060A12" w:rsidP="00AD2BC8" w:rsidRDefault="00060A12" w14:paraId="54AEF677" w14:textId="77777777">
            <w:pPr>
              <w:rPr>
                <w:rFonts w:ascii="Arial" w:hAnsi="Arial" w:eastAsia="Times New Roman" w:cs="Arial"/>
                <w:sz w:val="20"/>
                <w:szCs w:val="20"/>
              </w:rPr>
            </w:pPr>
            <w:r w:rsidRPr="009F3C3E">
              <w:rPr>
                <w:rFonts w:ascii="Arial" w:hAnsi="Arial"/>
                <w:sz w:val="20"/>
              </w:rPr>
              <w:t>a. A több joghatóságot érintő kötelezettségek mutatója (régi mutató)</w:t>
            </w:r>
          </w:p>
        </w:tc>
        <w:tc>
          <w:tcPr>
            <w:tcW w:w="2745" w:type="dxa"/>
            <w:tcBorders>
              <w:left w:val="nil"/>
              <w:right w:val="nil"/>
            </w:tcBorders>
            <w:noWrap/>
          </w:tcPr>
          <w:p w:rsidRPr="009F3C3E" w:rsidR="00060A12" w:rsidP="00AD2BC8" w:rsidRDefault="00060A12" w14:paraId="5732220C" w14:textId="77777777">
            <w:pPr>
              <w:jc w:val="right"/>
              <w:rPr>
                <w:rFonts w:ascii="Arial" w:hAnsi="Arial" w:eastAsia="Times New Roman" w:cs="Arial"/>
                <w:sz w:val="20"/>
                <w:szCs w:val="20"/>
                <w:lang w:eastAsia="en-GB"/>
              </w:rPr>
            </w:pPr>
          </w:p>
        </w:tc>
      </w:tr>
      <w:tr w:rsidRPr="009F3C3E" w:rsidR="00060A12" w:rsidTr="00AD2BC8" w14:paraId="0E9EC7B7" w14:textId="77777777">
        <w:trPr>
          <w:trHeight w:val="300"/>
        </w:trPr>
        <w:tc>
          <w:tcPr>
            <w:tcW w:w="6804" w:type="dxa"/>
            <w:tcBorders>
              <w:left w:val="nil"/>
              <w:right w:val="nil"/>
            </w:tcBorders>
            <w:noWrap/>
          </w:tcPr>
          <w:p w:rsidRPr="009F3C3E" w:rsidR="00060A12" w:rsidP="00AD2BC8" w:rsidRDefault="00060A12" w14:paraId="7738EB64" w14:textId="77777777">
            <w:pPr>
              <w:ind w:left="313"/>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Külföldi kötelezettségek (a helyi pénznemben fennálló származtatott ügyletek és helyi kötelezettségek kivételével)</w:t>
            </w:r>
          </w:p>
        </w:tc>
        <w:tc>
          <w:tcPr>
            <w:tcW w:w="2745" w:type="dxa"/>
            <w:tcBorders>
              <w:left w:val="nil"/>
              <w:right w:val="nil"/>
            </w:tcBorders>
            <w:noWrap/>
          </w:tcPr>
          <w:p w:rsidRPr="009F3C3E" w:rsidR="00060A12" w:rsidP="00AD2BC8" w:rsidRDefault="00060A12" w14:paraId="5DAB45BA" w14:textId="77777777">
            <w:pPr>
              <w:jc w:val="right"/>
              <w:rPr>
                <w:rFonts w:ascii="Arial" w:hAnsi="Arial" w:eastAsia="Times New Roman" w:cs="Arial"/>
                <w:sz w:val="20"/>
                <w:szCs w:val="20"/>
                <w:lang w:eastAsia="en-GB"/>
              </w:rPr>
            </w:pPr>
          </w:p>
        </w:tc>
      </w:tr>
      <w:tr w:rsidRPr="009F3C3E" w:rsidR="00060A12" w:rsidTr="00AD2BC8" w14:paraId="7738F06C" w14:textId="77777777">
        <w:trPr>
          <w:trHeight w:val="300"/>
        </w:trPr>
        <w:tc>
          <w:tcPr>
            <w:tcW w:w="6804" w:type="dxa"/>
            <w:tcBorders>
              <w:left w:val="nil"/>
              <w:right w:val="nil"/>
            </w:tcBorders>
            <w:noWrap/>
          </w:tcPr>
          <w:p w:rsidRPr="009F3C3E" w:rsidR="00060A12" w:rsidP="00AD2BC8" w:rsidRDefault="00060A12" w14:paraId="7C607478" w14:textId="77777777">
            <w:pPr>
              <w:ind w:left="-2" w:leftChars="-1" w:firstLine="312" w:firstLineChars="156"/>
              <w:rPr>
                <w:rFonts w:ascii="Arial" w:hAnsi="Arial" w:eastAsia="Times New Roman" w:cs="Arial"/>
                <w:sz w:val="20"/>
                <w:szCs w:val="20"/>
              </w:rPr>
            </w:pPr>
            <w:r w:rsidRPr="009F3C3E">
              <w:rPr>
                <w:rFonts w:ascii="Arial" w:hAnsi="Arial"/>
                <w:sz w:val="20"/>
                <w:lang w:eastAsia="en-GB"/>
              </w:rPr>
              <w:t xml:space="preserve">(2) </w:t>
            </w:r>
            <w:r w:rsidRPr="009F3C3E">
              <w:rPr>
                <w:rFonts w:ascii="Arial" w:hAnsi="Arial"/>
                <w:sz w:val="20"/>
              </w:rPr>
              <w:t>A 21. a. (1) tételben szereplő kapcsolt irodával szemben fennálló, külföldi kötelezettség</w:t>
            </w:r>
          </w:p>
        </w:tc>
        <w:tc>
          <w:tcPr>
            <w:tcW w:w="2745" w:type="dxa"/>
            <w:tcBorders>
              <w:left w:val="nil"/>
              <w:right w:val="nil"/>
            </w:tcBorders>
            <w:noWrap/>
          </w:tcPr>
          <w:p w:rsidRPr="009F3C3E" w:rsidR="00060A12" w:rsidP="00AD2BC8" w:rsidRDefault="00060A12" w14:paraId="1B611A41" w14:textId="77777777">
            <w:pPr>
              <w:jc w:val="right"/>
              <w:rPr>
                <w:rFonts w:ascii="Arial" w:hAnsi="Arial" w:eastAsia="Times New Roman" w:cs="Arial"/>
                <w:sz w:val="20"/>
                <w:szCs w:val="20"/>
                <w:lang w:eastAsia="en-GB"/>
              </w:rPr>
            </w:pPr>
          </w:p>
        </w:tc>
      </w:tr>
      <w:tr w:rsidRPr="009F3C3E" w:rsidR="00060A12" w:rsidTr="00AD2BC8" w14:paraId="26B86725" w14:textId="77777777">
        <w:trPr>
          <w:trHeight w:val="300"/>
        </w:trPr>
        <w:tc>
          <w:tcPr>
            <w:tcW w:w="6804" w:type="dxa"/>
            <w:tcBorders>
              <w:left w:val="nil"/>
              <w:right w:val="nil"/>
            </w:tcBorders>
            <w:noWrap/>
          </w:tcPr>
          <w:p w:rsidRPr="009F3C3E" w:rsidR="00060A12" w:rsidP="00AD2BC8" w:rsidRDefault="00060A12" w14:paraId="5E6C6401" w14:textId="77777777">
            <w:pPr>
              <w:ind w:left="-2" w:leftChars="-1" w:firstLine="312" w:firstLineChars="156"/>
              <w:rPr>
                <w:rFonts w:ascii="Arial" w:hAnsi="Arial" w:eastAsia="Times New Roman" w:cs="Arial"/>
                <w:sz w:val="20"/>
                <w:szCs w:val="20"/>
              </w:rPr>
            </w:pPr>
            <w:r w:rsidRPr="009F3C3E">
              <w:rPr>
                <w:rFonts w:ascii="Arial" w:hAnsi="Arial"/>
                <w:sz w:val="20"/>
                <w:lang w:eastAsia="en-GB"/>
              </w:rPr>
              <w:t xml:space="preserve">(3) </w:t>
            </w:r>
            <w:r w:rsidRPr="009F3C3E">
              <w:rPr>
                <w:rFonts w:ascii="Arial" w:hAnsi="Arial"/>
                <w:sz w:val="20"/>
              </w:rPr>
              <w:t>Helyi pénznemben fennálló helyi kötelezettségek (a származtatott ügyletek kivételével)</w:t>
            </w:r>
          </w:p>
        </w:tc>
        <w:tc>
          <w:tcPr>
            <w:tcW w:w="2745" w:type="dxa"/>
            <w:tcBorders>
              <w:left w:val="nil"/>
              <w:right w:val="nil"/>
            </w:tcBorders>
            <w:noWrap/>
          </w:tcPr>
          <w:p w:rsidRPr="009F3C3E" w:rsidR="00060A12" w:rsidP="00AD2BC8" w:rsidRDefault="00060A12" w14:paraId="7F457578" w14:textId="77777777">
            <w:pPr>
              <w:jc w:val="right"/>
              <w:rPr>
                <w:rFonts w:ascii="Arial" w:hAnsi="Arial" w:eastAsia="Times New Roman" w:cs="Arial"/>
                <w:sz w:val="20"/>
                <w:szCs w:val="20"/>
                <w:lang w:eastAsia="en-GB"/>
              </w:rPr>
            </w:pPr>
          </w:p>
        </w:tc>
      </w:tr>
      <w:tr w:rsidRPr="009F3C3E" w:rsidR="00060A12" w:rsidTr="00AD2BC8" w14:paraId="48D154C4" w14:textId="77777777">
        <w:trPr>
          <w:trHeight w:val="300"/>
        </w:trPr>
        <w:tc>
          <w:tcPr>
            <w:tcW w:w="6804" w:type="dxa"/>
            <w:tcBorders>
              <w:left w:val="nil"/>
              <w:right w:val="nil"/>
            </w:tcBorders>
            <w:noWrap/>
          </w:tcPr>
          <w:p w:rsidRPr="009F3C3E" w:rsidR="00060A12" w:rsidP="00AD2BC8" w:rsidRDefault="00060A12" w14:paraId="0B59B54F" w14:textId="77777777">
            <w:pPr>
              <w:ind w:firstLine="200" w:firstLineChars="100"/>
              <w:rPr>
                <w:rFonts w:ascii="Arial" w:hAnsi="Arial" w:eastAsia="Times New Roman" w:cs="Arial"/>
                <w:sz w:val="20"/>
                <w:szCs w:val="20"/>
              </w:rPr>
            </w:pPr>
            <w:r w:rsidRPr="009F3C3E">
              <w:rPr>
                <w:rFonts w:ascii="Arial" w:hAnsi="Arial"/>
                <w:sz w:val="20"/>
              </w:rPr>
              <w:t>b. Helyi pénznemben fennálló helyi kötelezettség (a származtatott ügyleteket is beleértve)</w:t>
            </w:r>
          </w:p>
        </w:tc>
        <w:tc>
          <w:tcPr>
            <w:tcW w:w="2745" w:type="dxa"/>
            <w:tcBorders>
              <w:left w:val="nil"/>
              <w:right w:val="nil"/>
            </w:tcBorders>
            <w:noWrap/>
          </w:tcPr>
          <w:p w:rsidRPr="009F3C3E" w:rsidR="00060A12" w:rsidP="00AD2BC8" w:rsidRDefault="00060A12" w14:paraId="0B8D5A64" w14:textId="77777777">
            <w:pPr>
              <w:jc w:val="right"/>
              <w:rPr>
                <w:rFonts w:ascii="Arial" w:hAnsi="Arial" w:eastAsia="Times New Roman" w:cs="Arial"/>
                <w:sz w:val="20"/>
                <w:szCs w:val="20"/>
                <w:lang w:eastAsia="en-GB"/>
              </w:rPr>
            </w:pPr>
          </w:p>
        </w:tc>
      </w:tr>
      <w:tr w:rsidRPr="009F3C3E" w:rsidR="00060A12" w:rsidTr="00AD2BC8" w14:paraId="5D989157" w14:textId="77777777">
        <w:trPr>
          <w:trHeight w:val="300"/>
        </w:trPr>
        <w:tc>
          <w:tcPr>
            <w:tcW w:w="6804" w:type="dxa"/>
            <w:tcBorders>
              <w:left w:val="nil"/>
              <w:right w:val="nil"/>
            </w:tcBorders>
            <w:noWrap/>
          </w:tcPr>
          <w:p w:rsidRPr="009F3C3E" w:rsidR="00060A12" w:rsidP="00AD2BC8" w:rsidRDefault="00060A12" w14:paraId="21ADC403" w14:textId="77777777">
            <w:pPr>
              <w:ind w:left="171" w:firstLine="28" w:firstLineChars="14"/>
              <w:rPr>
                <w:rFonts w:ascii="Arial" w:hAnsi="Arial" w:eastAsia="Times New Roman" w:cs="Arial"/>
                <w:sz w:val="20"/>
                <w:szCs w:val="20"/>
              </w:rPr>
            </w:pPr>
            <w:r w:rsidRPr="009F3C3E">
              <w:rPr>
                <w:rFonts w:ascii="Arial" w:hAnsi="Arial"/>
                <w:sz w:val="20"/>
              </w:rPr>
              <w:t>c. Helyi pénznemben fennálló, több joghatóságot érintő helyi követelések (a származtatott ügyletek kivételével)</w:t>
            </w:r>
          </w:p>
        </w:tc>
        <w:tc>
          <w:tcPr>
            <w:tcW w:w="2745" w:type="dxa"/>
            <w:tcBorders>
              <w:left w:val="nil"/>
              <w:right w:val="nil"/>
            </w:tcBorders>
            <w:noWrap/>
          </w:tcPr>
          <w:p w:rsidRPr="009F3C3E" w:rsidR="00060A12" w:rsidP="00AD2BC8" w:rsidRDefault="00060A12" w14:paraId="224574A5" w14:textId="77777777">
            <w:pPr>
              <w:jc w:val="right"/>
              <w:rPr>
                <w:rFonts w:ascii="Arial" w:hAnsi="Arial" w:eastAsia="Times New Roman" w:cs="Arial"/>
                <w:sz w:val="20"/>
                <w:szCs w:val="20"/>
                <w:lang w:eastAsia="en-GB"/>
              </w:rPr>
            </w:pPr>
          </w:p>
        </w:tc>
      </w:tr>
      <w:tr w:rsidRPr="009F3C3E" w:rsidR="00060A12" w:rsidTr="00AD2BC8" w14:paraId="37A85A7D" w14:textId="77777777">
        <w:trPr>
          <w:trHeight w:val="300"/>
        </w:trPr>
        <w:tc>
          <w:tcPr>
            <w:tcW w:w="6804" w:type="dxa"/>
            <w:tcBorders>
              <w:left w:val="nil"/>
              <w:right w:val="nil"/>
            </w:tcBorders>
            <w:noWrap/>
          </w:tcPr>
          <w:p w:rsidRPr="009F3C3E" w:rsidR="00060A12" w:rsidP="00AD2BC8" w:rsidRDefault="00060A12" w14:paraId="410CA7AC" w14:textId="77777777">
            <w:pPr>
              <w:ind w:left="171" w:firstLine="28" w:firstLineChars="14"/>
              <w:rPr>
                <w:rFonts w:ascii="Arial" w:hAnsi="Arial" w:eastAsia="Times New Roman" w:cs="Arial"/>
                <w:sz w:val="20"/>
                <w:szCs w:val="20"/>
              </w:rPr>
            </w:pPr>
            <w:r w:rsidRPr="009F3C3E">
              <w:rPr>
                <w:rFonts w:ascii="Arial" w:hAnsi="Arial"/>
                <w:sz w:val="20"/>
              </w:rPr>
              <w:t>d. Helyi pénznemben fennálló, több joghatóságot érintő helyi követelések (a származtatott ügyleteket is beleértve)</w:t>
            </w:r>
          </w:p>
        </w:tc>
        <w:tc>
          <w:tcPr>
            <w:tcW w:w="2745" w:type="dxa"/>
            <w:tcBorders>
              <w:left w:val="nil"/>
              <w:right w:val="nil"/>
            </w:tcBorders>
            <w:noWrap/>
          </w:tcPr>
          <w:p w:rsidRPr="009F3C3E" w:rsidR="00060A12" w:rsidP="00AD2BC8" w:rsidRDefault="00060A12" w14:paraId="1D894EFF" w14:textId="77777777">
            <w:pPr>
              <w:jc w:val="right"/>
              <w:rPr>
                <w:rFonts w:ascii="Arial" w:hAnsi="Arial" w:eastAsia="Times New Roman" w:cs="Arial"/>
                <w:sz w:val="20"/>
                <w:szCs w:val="20"/>
                <w:lang w:eastAsia="en-GB"/>
              </w:rPr>
            </w:pPr>
          </w:p>
        </w:tc>
      </w:tr>
      <w:tr w:rsidRPr="009F3C3E" w:rsidR="00060A12" w:rsidTr="00AD2BC8" w14:paraId="1B626B8B" w14:textId="77777777">
        <w:trPr>
          <w:trHeight w:val="300"/>
        </w:trPr>
        <w:tc>
          <w:tcPr>
            <w:tcW w:w="6804" w:type="dxa"/>
            <w:tcBorders>
              <w:left w:val="nil"/>
              <w:right w:val="nil"/>
            </w:tcBorders>
            <w:noWrap/>
          </w:tcPr>
          <w:p w:rsidRPr="009F3C3E" w:rsidR="00060A12" w:rsidP="00AD2BC8" w:rsidRDefault="00060A12" w14:paraId="50A43CAF" w14:textId="77777777">
            <w:pPr>
              <w:ind w:left="171" w:firstLine="28" w:firstLineChars="14"/>
              <w:rPr>
                <w:rFonts w:ascii="Arial" w:hAnsi="Arial" w:eastAsia="Times New Roman" w:cs="Arial"/>
                <w:sz w:val="20"/>
                <w:szCs w:val="20"/>
              </w:rPr>
            </w:pPr>
            <w:r w:rsidRPr="009F3C3E">
              <w:rPr>
                <w:rFonts w:ascii="Arial" w:hAnsi="Arial"/>
                <w:sz w:val="20"/>
              </w:rPr>
              <w:t>e. Összes külföldi követelés a végső kockázatviselés elve alapján (az Egységes Szanálási Mechanizmust egyetlen joghatóságnak tekintve)</w:t>
            </w:r>
          </w:p>
        </w:tc>
        <w:tc>
          <w:tcPr>
            <w:tcW w:w="2745" w:type="dxa"/>
            <w:tcBorders>
              <w:left w:val="nil"/>
              <w:right w:val="nil"/>
            </w:tcBorders>
            <w:noWrap/>
          </w:tcPr>
          <w:p w:rsidRPr="009F3C3E" w:rsidR="00060A12" w:rsidP="00AD2BC8" w:rsidRDefault="00060A12" w14:paraId="47B8E628" w14:textId="77777777">
            <w:pPr>
              <w:jc w:val="right"/>
              <w:rPr>
                <w:rFonts w:ascii="Arial" w:hAnsi="Arial" w:eastAsia="Times New Roman" w:cs="Arial"/>
                <w:sz w:val="20"/>
                <w:szCs w:val="20"/>
                <w:lang w:eastAsia="en-GB"/>
              </w:rPr>
            </w:pPr>
          </w:p>
        </w:tc>
      </w:tr>
      <w:tr w:rsidRPr="009F3C3E" w:rsidR="00060A12" w:rsidTr="00AD2BC8" w14:paraId="76F21172" w14:textId="77777777">
        <w:trPr>
          <w:trHeight w:val="300"/>
        </w:trPr>
        <w:tc>
          <w:tcPr>
            <w:tcW w:w="6804" w:type="dxa"/>
            <w:tcBorders>
              <w:left w:val="nil"/>
              <w:right w:val="nil"/>
            </w:tcBorders>
            <w:noWrap/>
          </w:tcPr>
          <w:p w:rsidRPr="009F3C3E" w:rsidR="00060A12" w:rsidP="00AD2BC8" w:rsidRDefault="00060A12" w14:paraId="29C47343" w14:textId="77777777">
            <w:pPr>
              <w:ind w:left="171" w:firstLine="28" w:firstLineChars="14"/>
              <w:rPr>
                <w:rFonts w:ascii="Arial" w:hAnsi="Arial" w:eastAsia="Times New Roman" w:cs="Arial"/>
                <w:sz w:val="20"/>
                <w:szCs w:val="20"/>
              </w:rPr>
            </w:pPr>
            <w:r w:rsidRPr="009F3C3E">
              <w:rPr>
                <w:rFonts w:ascii="Arial" w:hAnsi="Arial"/>
                <w:sz w:val="20"/>
              </w:rPr>
              <w:t>f. Származtatott ügyletekkel kapcsolatos külföldi követelések a végső kockázatviselés elve alapján (az Egységes Szanálási Mechanizmust egyetlen joghatóságnak tekintve)</w:t>
            </w:r>
          </w:p>
        </w:tc>
        <w:tc>
          <w:tcPr>
            <w:tcW w:w="2745" w:type="dxa"/>
            <w:tcBorders>
              <w:left w:val="nil"/>
              <w:right w:val="nil"/>
            </w:tcBorders>
            <w:noWrap/>
          </w:tcPr>
          <w:p w:rsidRPr="009F3C3E" w:rsidR="00060A12" w:rsidP="00AD2BC8" w:rsidRDefault="00060A12" w14:paraId="70869AEB" w14:textId="77777777">
            <w:pPr>
              <w:jc w:val="right"/>
              <w:rPr>
                <w:rFonts w:ascii="Arial" w:hAnsi="Arial" w:eastAsia="Times New Roman" w:cs="Arial"/>
                <w:sz w:val="20"/>
                <w:szCs w:val="20"/>
                <w:lang w:eastAsia="en-GB"/>
              </w:rPr>
            </w:pPr>
          </w:p>
        </w:tc>
      </w:tr>
      <w:tr w:rsidRPr="009F3C3E" w:rsidR="00060A12" w:rsidTr="00AD2BC8" w14:paraId="49D84BF1" w14:textId="77777777">
        <w:trPr>
          <w:trHeight w:val="300"/>
        </w:trPr>
        <w:tc>
          <w:tcPr>
            <w:tcW w:w="6804" w:type="dxa"/>
            <w:tcBorders>
              <w:left w:val="nil"/>
              <w:right w:val="nil"/>
            </w:tcBorders>
            <w:noWrap/>
          </w:tcPr>
          <w:p w:rsidRPr="009F3C3E" w:rsidR="00060A12" w:rsidP="00AD2BC8" w:rsidRDefault="00060A12" w14:paraId="3F9427CB" w14:textId="77777777">
            <w:pPr>
              <w:ind w:left="171" w:firstLine="28" w:firstLineChars="14"/>
              <w:rPr>
                <w:rFonts w:ascii="Arial" w:hAnsi="Arial" w:eastAsia="Times New Roman" w:cs="Arial"/>
                <w:sz w:val="20"/>
                <w:szCs w:val="20"/>
              </w:rPr>
            </w:pPr>
            <w:r w:rsidRPr="009F3C3E">
              <w:rPr>
                <w:rFonts w:ascii="Arial" w:hAnsi="Arial"/>
                <w:sz w:val="20"/>
              </w:rPr>
              <w:t>g. Külföldi kötelezettségek a közvetlen kockázat elve alapján, beleértve a származtatott ügyleteket is (az Egységes Szanálási Mechanizmust egyetlen joghatóságnak tekintve)</w:t>
            </w:r>
          </w:p>
        </w:tc>
        <w:tc>
          <w:tcPr>
            <w:tcW w:w="2745" w:type="dxa"/>
            <w:tcBorders>
              <w:left w:val="nil"/>
              <w:right w:val="nil"/>
            </w:tcBorders>
            <w:noWrap/>
          </w:tcPr>
          <w:p w:rsidRPr="009F3C3E" w:rsidR="00060A12" w:rsidP="00AD2BC8" w:rsidRDefault="00060A12" w14:paraId="31C76772" w14:textId="77777777">
            <w:pPr>
              <w:jc w:val="right"/>
              <w:rPr>
                <w:rFonts w:ascii="Arial" w:hAnsi="Arial" w:eastAsia="Times New Roman" w:cs="Arial"/>
                <w:sz w:val="20"/>
                <w:szCs w:val="20"/>
                <w:lang w:eastAsia="en-GB"/>
              </w:rPr>
            </w:pPr>
          </w:p>
        </w:tc>
      </w:tr>
      <w:tr w:rsidRPr="009F3C3E" w:rsidR="00060A12" w:rsidTr="00AD2BC8" w14:paraId="478CF024" w14:textId="77777777">
        <w:trPr>
          <w:trHeight w:val="300"/>
        </w:trPr>
        <w:tc>
          <w:tcPr>
            <w:tcW w:w="6804" w:type="dxa"/>
            <w:tcBorders>
              <w:left w:val="nil"/>
              <w:right w:val="nil"/>
            </w:tcBorders>
            <w:noWrap/>
          </w:tcPr>
          <w:p w:rsidRPr="009F3C3E" w:rsidR="00060A12" w:rsidP="00AD2BC8" w:rsidRDefault="00060A12" w14:paraId="09E639FD" w14:textId="77777777">
            <w:pPr>
              <w:ind w:left="171" w:firstLine="28" w:firstLineChars="14"/>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Származtatott ügyletekkel kapcsolatos külföldi kötelezettségek a közvetlen kockázat elve alapján (az Egységes Szanálási Mechanizmust egyetlen joghatóságnak tekintve)</w:t>
            </w:r>
          </w:p>
        </w:tc>
        <w:tc>
          <w:tcPr>
            <w:tcW w:w="2745" w:type="dxa"/>
            <w:tcBorders>
              <w:left w:val="nil"/>
              <w:right w:val="nil"/>
            </w:tcBorders>
            <w:noWrap/>
          </w:tcPr>
          <w:p w:rsidRPr="009F3C3E" w:rsidR="00060A12" w:rsidP="00AD2BC8" w:rsidRDefault="00060A12" w14:paraId="604B65CA" w14:textId="77777777">
            <w:pPr>
              <w:jc w:val="right"/>
              <w:rPr>
                <w:rFonts w:ascii="Arial" w:hAnsi="Arial" w:eastAsia="Times New Roman" w:cs="Arial"/>
                <w:sz w:val="20"/>
                <w:szCs w:val="20"/>
                <w:lang w:eastAsia="en-GB"/>
              </w:rPr>
            </w:pPr>
          </w:p>
        </w:tc>
      </w:tr>
      <w:tr w:rsidRPr="009F3C3E" w:rsidR="00060A12" w:rsidTr="00AD2BC8" w14:paraId="06924B19" w14:textId="77777777">
        <w:trPr>
          <w:trHeight w:val="300"/>
        </w:trPr>
        <w:tc>
          <w:tcPr>
            <w:tcW w:w="6804" w:type="dxa"/>
            <w:tcBorders>
              <w:left w:val="nil"/>
              <w:right w:val="nil"/>
            </w:tcBorders>
            <w:noWrap/>
          </w:tcPr>
          <w:p w:rsidRPr="009F3C3E" w:rsidR="00060A12" w:rsidP="00AD2BC8" w:rsidRDefault="00060A12" w14:paraId="04E5754A" w14:textId="77777777">
            <w:pPr>
              <w:ind w:firstLine="200" w:firstLineChars="100"/>
              <w:rPr>
                <w:rFonts w:ascii="Arial" w:hAnsi="Arial" w:eastAsia="Times New Roman" w:cs="Arial"/>
                <w:sz w:val="20"/>
                <w:szCs w:val="20"/>
              </w:rPr>
            </w:pPr>
            <w:r w:rsidRPr="009F3C3E">
              <w:rPr>
                <w:rFonts w:ascii="Arial" w:hAnsi="Arial"/>
                <w:sz w:val="20"/>
              </w:rPr>
              <w:t>h. Helyi pénznemben fennálló, több joghatóságot érintő helyi követelések, a származtatott ügyletek kivételével (az Egységes Szanálási Mechanizmust egyetlen joghatóságnak tekintve)</w:t>
            </w:r>
          </w:p>
        </w:tc>
        <w:tc>
          <w:tcPr>
            <w:tcW w:w="2745" w:type="dxa"/>
            <w:tcBorders>
              <w:left w:val="nil"/>
              <w:right w:val="nil"/>
            </w:tcBorders>
            <w:noWrap/>
          </w:tcPr>
          <w:p w:rsidRPr="009F3C3E" w:rsidR="00060A12" w:rsidP="00AD2BC8" w:rsidRDefault="00060A12" w14:paraId="71D1540C" w14:textId="77777777">
            <w:pPr>
              <w:jc w:val="right"/>
              <w:rPr>
                <w:rFonts w:ascii="Arial" w:hAnsi="Arial" w:eastAsia="Times New Roman" w:cs="Arial"/>
                <w:sz w:val="20"/>
                <w:szCs w:val="20"/>
                <w:lang w:eastAsia="en-GB"/>
              </w:rPr>
            </w:pPr>
          </w:p>
        </w:tc>
      </w:tr>
      <w:tr w:rsidRPr="009F3C3E" w:rsidR="00060A12" w:rsidTr="00AD2BC8" w14:paraId="58734364" w14:textId="77777777">
        <w:trPr>
          <w:trHeight w:val="300"/>
        </w:trPr>
        <w:tc>
          <w:tcPr>
            <w:tcW w:w="6804" w:type="dxa"/>
            <w:tcBorders>
              <w:left w:val="nil"/>
              <w:right w:val="nil"/>
            </w:tcBorders>
            <w:noWrap/>
          </w:tcPr>
          <w:p w:rsidRPr="009F3C3E" w:rsidR="00060A12" w:rsidP="00AD2BC8" w:rsidRDefault="00060A12" w14:paraId="35579F93" w14:textId="77777777">
            <w:pPr>
              <w:ind w:left="171" w:firstLine="28" w:firstLineChars="14"/>
              <w:rPr>
                <w:rFonts w:ascii="Arial" w:hAnsi="Arial" w:eastAsia="Times New Roman" w:cs="Arial"/>
                <w:sz w:val="20"/>
                <w:szCs w:val="20"/>
              </w:rPr>
            </w:pPr>
            <w:r w:rsidRPr="009F3C3E">
              <w:rPr>
                <w:rFonts w:ascii="Arial" w:hAnsi="Arial"/>
                <w:sz w:val="20"/>
              </w:rPr>
              <w:t>i. Helyi pénznemben fennálló, több joghatóságot érintő helyi követelések, a származtatott ügyleteket is beleértve (az Egységes Szanálási Mechanizmust egyetlen joghatóságnak tekintve)</w:t>
            </w:r>
          </w:p>
        </w:tc>
        <w:tc>
          <w:tcPr>
            <w:tcW w:w="2745" w:type="dxa"/>
            <w:tcBorders>
              <w:left w:val="nil"/>
              <w:right w:val="nil"/>
            </w:tcBorders>
            <w:noWrap/>
          </w:tcPr>
          <w:p w:rsidRPr="009F3C3E" w:rsidR="00060A12" w:rsidP="00AD2BC8" w:rsidRDefault="00060A12" w14:paraId="7D91ABA8" w14:textId="77777777">
            <w:pPr>
              <w:jc w:val="right"/>
              <w:rPr>
                <w:rFonts w:ascii="Arial" w:hAnsi="Arial" w:eastAsia="Times New Roman" w:cs="Arial"/>
                <w:sz w:val="20"/>
                <w:szCs w:val="20"/>
                <w:lang w:eastAsia="en-GB"/>
              </w:rPr>
            </w:pPr>
          </w:p>
        </w:tc>
      </w:tr>
      <w:tr w:rsidRPr="009F3C3E" w:rsidR="00060A12" w:rsidTr="00AD2BC8" w14:paraId="328A0ABD" w14:textId="77777777">
        <w:trPr>
          <w:trHeight w:val="300"/>
        </w:trPr>
        <w:tc>
          <w:tcPr>
            <w:tcW w:w="6804" w:type="dxa"/>
            <w:tcBorders>
              <w:left w:val="nil"/>
              <w:right w:val="nil"/>
            </w:tcBorders>
            <w:noWrap/>
          </w:tcPr>
          <w:p w:rsidRPr="009F3C3E" w:rsidR="00060A12" w:rsidP="00AD2BC8" w:rsidRDefault="00060A12" w14:paraId="58ED3ACE" w14:textId="77777777">
            <w:pPr>
              <w:ind w:left="171" w:firstLine="28" w:firstLineChars="14"/>
              <w:rPr>
                <w:rFonts w:ascii="Arial" w:hAnsi="Arial" w:eastAsia="Times New Roman" w:cs="Arial"/>
                <w:sz w:val="20"/>
                <w:szCs w:val="20"/>
              </w:rPr>
            </w:pPr>
            <w:r w:rsidRPr="009F3C3E">
              <w:rPr>
                <w:rFonts w:ascii="Arial" w:hAnsi="Arial"/>
                <w:sz w:val="20"/>
              </w:rPr>
              <w:t>j. Külföldi kötelezettségek, a származtatott ügyletek és a helyi pénznemben fennálló helyi kötelezettségek kivételével (az Egységes Szanálási Mechanizmust egyetlen joghatóságnak tekintve)</w:t>
            </w:r>
          </w:p>
        </w:tc>
        <w:tc>
          <w:tcPr>
            <w:tcW w:w="2745" w:type="dxa"/>
            <w:tcBorders>
              <w:left w:val="nil"/>
              <w:right w:val="nil"/>
            </w:tcBorders>
            <w:noWrap/>
          </w:tcPr>
          <w:p w:rsidRPr="009F3C3E" w:rsidR="00060A12" w:rsidP="00AD2BC8" w:rsidRDefault="00060A12" w14:paraId="1FF5C4C2" w14:textId="77777777">
            <w:pPr>
              <w:jc w:val="right"/>
              <w:rPr>
                <w:rFonts w:ascii="Arial" w:hAnsi="Arial" w:eastAsia="Times New Roman" w:cs="Arial"/>
                <w:sz w:val="20"/>
                <w:szCs w:val="20"/>
                <w:lang w:eastAsia="en-GB"/>
              </w:rPr>
            </w:pPr>
          </w:p>
        </w:tc>
      </w:tr>
      <w:tr w:rsidRPr="009F3C3E" w:rsidR="00060A12" w:rsidTr="00AD2BC8" w14:paraId="7507EADC" w14:textId="77777777">
        <w:trPr>
          <w:trHeight w:val="300"/>
        </w:trPr>
        <w:tc>
          <w:tcPr>
            <w:tcW w:w="6804" w:type="dxa"/>
            <w:tcBorders>
              <w:left w:val="nil"/>
              <w:right w:val="nil"/>
            </w:tcBorders>
            <w:noWrap/>
          </w:tcPr>
          <w:p w:rsidRPr="009F3C3E" w:rsidR="00060A12" w:rsidP="00AD2BC8" w:rsidRDefault="00060A12" w14:paraId="74CABA57" w14:textId="77777777">
            <w:pPr>
              <w:ind w:left="171" w:firstLine="28" w:firstLineChars="14"/>
              <w:rPr>
                <w:rFonts w:ascii="Arial" w:hAnsi="Arial" w:eastAsia="Times New Roman" w:cs="Arial"/>
                <w:sz w:val="20"/>
                <w:szCs w:val="20"/>
              </w:rPr>
            </w:pPr>
            <w:r w:rsidRPr="009F3C3E">
              <w:rPr>
                <w:rFonts w:ascii="Arial" w:hAnsi="Arial"/>
                <w:sz w:val="20"/>
                <w:lang w:eastAsia="en-GB"/>
              </w:rPr>
              <w:t xml:space="preserve">(1) </w:t>
            </w:r>
            <w:r w:rsidRPr="009F3C3E">
              <w:rPr>
                <w:rFonts w:ascii="Arial" w:hAnsi="Arial"/>
                <w:sz w:val="20"/>
              </w:rPr>
              <w:t>A 20.j. tételben szereplő kapcsolt irodával szemben fennálló bármely külföldi kötelezettség (az Egységes Szanálási Mechanizmust egyetlen joghatóságnak tekintve)</w:t>
            </w:r>
          </w:p>
        </w:tc>
        <w:tc>
          <w:tcPr>
            <w:tcW w:w="2745" w:type="dxa"/>
            <w:tcBorders>
              <w:left w:val="nil"/>
              <w:right w:val="nil"/>
            </w:tcBorders>
            <w:noWrap/>
          </w:tcPr>
          <w:p w:rsidRPr="009F3C3E" w:rsidR="00060A12" w:rsidP="00AD2BC8" w:rsidRDefault="00060A12" w14:paraId="205B98F6" w14:textId="77777777">
            <w:pPr>
              <w:jc w:val="right"/>
              <w:rPr>
                <w:rFonts w:ascii="Arial" w:hAnsi="Arial" w:eastAsia="Times New Roman" w:cs="Arial"/>
                <w:sz w:val="20"/>
                <w:szCs w:val="20"/>
                <w:lang w:eastAsia="en-GB"/>
              </w:rPr>
            </w:pPr>
          </w:p>
        </w:tc>
      </w:tr>
      <w:tr w:rsidRPr="009F3C3E" w:rsidR="00060A12" w:rsidTr="00AD2BC8" w14:paraId="379B23E0" w14:textId="77777777">
        <w:trPr>
          <w:trHeight w:val="300"/>
        </w:trPr>
        <w:tc>
          <w:tcPr>
            <w:tcW w:w="6804" w:type="dxa"/>
            <w:tcBorders>
              <w:left w:val="nil"/>
              <w:right w:val="nil"/>
            </w:tcBorders>
            <w:noWrap/>
          </w:tcPr>
          <w:p w:rsidRPr="009F3C3E" w:rsidR="00060A12" w:rsidP="00AD2BC8" w:rsidRDefault="00060A12" w14:paraId="4BC9DD6D" w14:textId="77777777">
            <w:pPr>
              <w:ind w:left="171" w:firstLine="28" w:firstLineChars="14"/>
              <w:rPr>
                <w:rFonts w:ascii="Arial" w:hAnsi="Arial" w:eastAsia="Times New Roman" w:cs="Arial"/>
                <w:sz w:val="20"/>
                <w:szCs w:val="20"/>
              </w:rPr>
            </w:pPr>
            <w:r w:rsidRPr="009F3C3E">
              <w:rPr>
                <w:rFonts w:ascii="Arial" w:hAnsi="Arial"/>
                <w:sz w:val="20"/>
              </w:rPr>
              <w:t>k. Helyi pénznemben fennálló helyi kötelezettségek, a származtatott ügyletek kivételével (az Egységes Szanálási Mechanizmust egyetlen joghatóságnak tekintve)</w:t>
            </w:r>
          </w:p>
        </w:tc>
        <w:tc>
          <w:tcPr>
            <w:tcW w:w="2745" w:type="dxa"/>
            <w:tcBorders>
              <w:left w:val="nil"/>
              <w:right w:val="nil"/>
            </w:tcBorders>
            <w:noWrap/>
          </w:tcPr>
          <w:p w:rsidRPr="009F3C3E" w:rsidR="00060A12" w:rsidP="00AD2BC8" w:rsidRDefault="00060A12" w14:paraId="1A4080D5" w14:textId="77777777">
            <w:pPr>
              <w:jc w:val="right"/>
              <w:rPr>
                <w:rFonts w:ascii="Arial" w:hAnsi="Arial" w:eastAsia="Times New Roman" w:cs="Arial"/>
                <w:sz w:val="20"/>
                <w:szCs w:val="20"/>
                <w:lang w:eastAsia="en-GB"/>
              </w:rPr>
            </w:pPr>
          </w:p>
        </w:tc>
      </w:tr>
      <w:tr w:rsidRPr="009F3C3E" w:rsidR="00060A12" w:rsidTr="00AD2BC8" w14:paraId="2BC9EB77" w14:textId="77777777">
        <w:trPr>
          <w:trHeight w:val="300"/>
        </w:trPr>
        <w:tc>
          <w:tcPr>
            <w:tcW w:w="6804" w:type="dxa"/>
            <w:tcBorders>
              <w:left w:val="nil"/>
              <w:right w:val="nil"/>
            </w:tcBorders>
            <w:noWrap/>
          </w:tcPr>
          <w:p w:rsidRPr="009F3C3E" w:rsidR="00060A12" w:rsidP="00AD2BC8" w:rsidRDefault="00060A12" w14:paraId="55BC2091" w14:textId="77777777">
            <w:pPr>
              <w:ind w:left="171" w:firstLine="28" w:firstLineChars="14"/>
              <w:rPr>
                <w:rFonts w:ascii="Arial" w:hAnsi="Arial" w:eastAsia="Times New Roman" w:cs="Arial"/>
                <w:sz w:val="20"/>
                <w:szCs w:val="20"/>
              </w:rPr>
            </w:pPr>
            <w:r w:rsidRPr="009F3C3E">
              <w:rPr>
                <w:rFonts w:ascii="Arial" w:hAnsi="Arial"/>
                <w:sz w:val="20"/>
              </w:rPr>
              <w:lastRenderedPageBreak/>
              <w:t>l. Helyi pénznemben fennálló helyi kötelezettségek, a származtatott ügyleteket is beleértve (az Egységes Szanálási Mechanizmust egyetlen joghatóságnak tekintve)</w:t>
            </w:r>
          </w:p>
        </w:tc>
        <w:tc>
          <w:tcPr>
            <w:tcW w:w="2745" w:type="dxa"/>
            <w:tcBorders>
              <w:left w:val="nil"/>
              <w:right w:val="nil"/>
            </w:tcBorders>
            <w:noWrap/>
          </w:tcPr>
          <w:p w:rsidRPr="009F3C3E" w:rsidR="00060A12" w:rsidP="00AD2BC8" w:rsidRDefault="00060A12" w14:paraId="2D3A2C80" w14:textId="77777777">
            <w:pPr>
              <w:jc w:val="right"/>
              <w:rPr>
                <w:rFonts w:ascii="Arial" w:hAnsi="Arial" w:eastAsia="Times New Roman" w:cs="Arial"/>
                <w:sz w:val="20"/>
                <w:szCs w:val="20"/>
                <w:lang w:eastAsia="en-GB"/>
              </w:rPr>
            </w:pPr>
          </w:p>
        </w:tc>
      </w:tr>
      <w:tr w:rsidRPr="009F3C3E" w:rsidR="00060A12" w:rsidTr="00AD2BC8" w14:paraId="6540460E" w14:textId="77777777">
        <w:trPr>
          <w:trHeight w:val="300"/>
        </w:trPr>
        <w:tc>
          <w:tcPr>
            <w:tcW w:w="6804" w:type="dxa"/>
            <w:tcBorders>
              <w:left w:val="nil"/>
              <w:right w:val="nil"/>
            </w:tcBorders>
            <w:noWrap/>
          </w:tcPr>
          <w:p w:rsidRPr="009F3C3E" w:rsidR="00060A12" w:rsidP="00AD2BC8" w:rsidRDefault="00060A12" w14:paraId="7C5AFA36" w14:textId="77777777">
            <w:pPr>
              <w:ind w:left="171" w:firstLine="28" w:firstLineChars="14"/>
              <w:rPr>
                <w:rFonts w:ascii="Arial" w:hAnsi="Arial" w:eastAsia="Times New Roman" w:cs="Arial"/>
                <w:sz w:val="20"/>
                <w:szCs w:val="20"/>
              </w:rPr>
            </w:pPr>
            <w:r w:rsidRPr="009F3C3E">
              <w:rPr>
                <w:rFonts w:ascii="Arial" w:hAnsi="Arial"/>
                <w:sz w:val="20"/>
              </w:rPr>
              <w:t>m. Helyi pénznemben fennálló összes nettó helyi pozíció, a nettó pozitív származtatott ügyleteket is beleértve</w:t>
            </w:r>
          </w:p>
        </w:tc>
        <w:tc>
          <w:tcPr>
            <w:tcW w:w="2745" w:type="dxa"/>
            <w:tcBorders>
              <w:left w:val="nil"/>
              <w:right w:val="nil"/>
            </w:tcBorders>
            <w:noWrap/>
          </w:tcPr>
          <w:p w:rsidRPr="009F3C3E" w:rsidR="00060A12" w:rsidP="00AD2BC8" w:rsidRDefault="00060A12" w14:paraId="493DDC7B" w14:textId="77777777">
            <w:pPr>
              <w:jc w:val="right"/>
              <w:rPr>
                <w:rFonts w:ascii="Arial" w:hAnsi="Arial" w:eastAsia="Times New Roman" w:cs="Arial"/>
                <w:sz w:val="20"/>
                <w:szCs w:val="20"/>
                <w:lang w:eastAsia="en-GB"/>
              </w:rPr>
            </w:pPr>
          </w:p>
        </w:tc>
      </w:tr>
      <w:tr w:rsidRPr="009F3C3E" w:rsidR="00060A12" w:rsidTr="00AD2BC8" w14:paraId="0FAA41BE" w14:textId="77777777">
        <w:trPr>
          <w:trHeight w:val="300"/>
        </w:trPr>
        <w:tc>
          <w:tcPr>
            <w:tcW w:w="6804" w:type="dxa"/>
            <w:tcBorders>
              <w:left w:val="nil"/>
              <w:right w:val="nil"/>
            </w:tcBorders>
            <w:noWrap/>
          </w:tcPr>
          <w:p w:rsidRPr="009F3C3E" w:rsidR="00060A12" w:rsidP="00AD2BC8" w:rsidRDefault="00060A12" w14:paraId="6DCC6C16" w14:textId="77777777">
            <w:pPr>
              <w:ind w:left="171" w:firstLine="28" w:firstLineChars="14"/>
              <w:rPr>
                <w:rFonts w:ascii="Arial" w:hAnsi="Arial" w:eastAsia="Times New Roman" w:cs="Arial"/>
                <w:sz w:val="20"/>
                <w:szCs w:val="20"/>
              </w:rPr>
            </w:pPr>
            <w:r w:rsidRPr="009F3C3E">
              <w:rPr>
                <w:rFonts w:ascii="Arial" w:hAnsi="Arial"/>
                <w:sz w:val="20"/>
              </w:rPr>
              <w:t>n. Helyi pénznemben fennálló összes nettó helyi pozíció, a nettó negatív származtatott ügyleteket is beleértve</w:t>
            </w:r>
          </w:p>
        </w:tc>
        <w:tc>
          <w:tcPr>
            <w:tcW w:w="2745" w:type="dxa"/>
            <w:tcBorders>
              <w:left w:val="nil"/>
              <w:right w:val="nil"/>
            </w:tcBorders>
            <w:noWrap/>
          </w:tcPr>
          <w:p w:rsidRPr="009F3C3E" w:rsidR="00060A12" w:rsidP="00AD2BC8" w:rsidRDefault="00060A12" w14:paraId="565B8280" w14:textId="77777777">
            <w:pPr>
              <w:jc w:val="right"/>
              <w:rPr>
                <w:rFonts w:ascii="Arial" w:hAnsi="Arial" w:eastAsia="Times New Roman" w:cs="Arial"/>
                <w:sz w:val="20"/>
                <w:szCs w:val="20"/>
                <w:lang w:eastAsia="en-GB"/>
              </w:rPr>
            </w:pPr>
          </w:p>
        </w:tc>
      </w:tr>
      <w:tr w:rsidRPr="009F3C3E" w:rsidR="00060A12" w:rsidTr="00AD2BC8" w14:paraId="4FA6FDAD" w14:textId="77777777">
        <w:trPr>
          <w:trHeight w:val="300"/>
        </w:trPr>
        <w:tc>
          <w:tcPr>
            <w:tcW w:w="6804" w:type="dxa"/>
            <w:tcBorders>
              <w:left w:val="nil"/>
              <w:right w:val="nil"/>
            </w:tcBorders>
            <w:noWrap/>
          </w:tcPr>
          <w:p w:rsidRPr="009F3C3E" w:rsidR="00060A12" w:rsidP="00AD2BC8" w:rsidRDefault="00060A12" w14:paraId="11A8D651" w14:textId="77777777">
            <w:pPr>
              <w:ind w:left="171" w:firstLine="28" w:firstLineChars="14"/>
              <w:rPr>
                <w:rFonts w:ascii="Arial" w:hAnsi="Arial" w:eastAsia="Times New Roman" w:cs="Arial"/>
                <w:sz w:val="20"/>
                <w:szCs w:val="20"/>
              </w:rPr>
            </w:pPr>
            <w:r w:rsidRPr="009F3C3E">
              <w:rPr>
                <w:rFonts w:ascii="Arial" w:hAnsi="Arial"/>
                <w:sz w:val="20"/>
              </w:rPr>
              <w:t>o. Az Egységes Szanálási Mechanizmusban nem résztvevő országokban helyi pénznemben fennálló összes nettó helyi pozíció, a nettó pozitív származtatott ügyleteket is beleértve (az Egységes Szanálási Mechanizmust egyetlen joghatóságnak tekintve)</w:t>
            </w:r>
          </w:p>
        </w:tc>
        <w:tc>
          <w:tcPr>
            <w:tcW w:w="2745" w:type="dxa"/>
            <w:tcBorders>
              <w:left w:val="nil"/>
              <w:right w:val="nil"/>
            </w:tcBorders>
            <w:noWrap/>
          </w:tcPr>
          <w:p w:rsidRPr="009F3C3E" w:rsidR="00060A12" w:rsidP="00AD2BC8" w:rsidRDefault="00060A12" w14:paraId="15328F0F" w14:textId="77777777">
            <w:pPr>
              <w:jc w:val="right"/>
              <w:rPr>
                <w:rFonts w:ascii="Arial" w:hAnsi="Arial" w:eastAsia="Times New Roman" w:cs="Arial"/>
                <w:sz w:val="20"/>
                <w:szCs w:val="20"/>
                <w:lang w:eastAsia="en-GB"/>
              </w:rPr>
            </w:pPr>
          </w:p>
        </w:tc>
      </w:tr>
      <w:tr w:rsidRPr="009F3C3E" w:rsidR="00060A12" w:rsidTr="00AD2BC8" w14:paraId="7BE73181" w14:textId="77777777">
        <w:trPr>
          <w:trHeight w:val="300"/>
        </w:trPr>
        <w:tc>
          <w:tcPr>
            <w:tcW w:w="6804" w:type="dxa"/>
            <w:tcBorders>
              <w:left w:val="nil"/>
              <w:right w:val="nil"/>
            </w:tcBorders>
            <w:noWrap/>
          </w:tcPr>
          <w:p w:rsidRPr="009F3C3E" w:rsidR="00060A12" w:rsidP="00AD2BC8" w:rsidRDefault="00060A12" w14:paraId="545EBDC6" w14:textId="77777777">
            <w:pPr>
              <w:ind w:left="171" w:firstLine="28" w:firstLineChars="14"/>
              <w:rPr>
                <w:rFonts w:ascii="Arial" w:hAnsi="Arial" w:eastAsia="Times New Roman" w:cs="Arial"/>
                <w:sz w:val="20"/>
                <w:szCs w:val="20"/>
              </w:rPr>
            </w:pPr>
            <w:r w:rsidRPr="009F3C3E">
              <w:rPr>
                <w:rFonts w:ascii="Arial" w:hAnsi="Arial"/>
                <w:sz w:val="20"/>
              </w:rPr>
              <w:t>p. Az Egységes Szanálási Mechanizmusban nem résztvevő országokban helyi pénznemben fennálló összes nettó helyi pozíció, a nettó negatív származtatott ügyleteket is beleértve (az Egységes Szanálási Mechanizmust egyetlen joghatóságnak tekintve)</w:t>
            </w:r>
          </w:p>
        </w:tc>
        <w:tc>
          <w:tcPr>
            <w:tcW w:w="2745" w:type="dxa"/>
            <w:tcBorders>
              <w:left w:val="nil"/>
              <w:right w:val="nil"/>
            </w:tcBorders>
            <w:noWrap/>
          </w:tcPr>
          <w:p w:rsidRPr="009F3C3E" w:rsidR="00060A12" w:rsidP="00AD2BC8" w:rsidRDefault="00060A12" w14:paraId="51A32C4C" w14:textId="77777777">
            <w:pPr>
              <w:jc w:val="right"/>
              <w:rPr>
                <w:rFonts w:ascii="Arial" w:hAnsi="Arial" w:eastAsia="Times New Roman" w:cs="Arial"/>
                <w:sz w:val="20"/>
                <w:szCs w:val="20"/>
                <w:lang w:eastAsia="en-GB"/>
              </w:rPr>
            </w:pPr>
          </w:p>
        </w:tc>
      </w:tr>
      <w:tr w:rsidRPr="009F3C3E" w:rsidR="00060A12" w:rsidTr="00AD2BC8" w14:paraId="46C2FD6E" w14:textId="77777777">
        <w:trPr>
          <w:trHeight w:val="300"/>
        </w:trPr>
        <w:tc>
          <w:tcPr>
            <w:tcW w:w="6804" w:type="dxa"/>
            <w:tcBorders>
              <w:left w:val="nil"/>
              <w:right w:val="nil"/>
            </w:tcBorders>
            <w:noWrap/>
          </w:tcPr>
          <w:p w:rsidRPr="009F3C3E" w:rsidR="00060A12" w:rsidP="00AD2BC8" w:rsidRDefault="00060A12" w14:paraId="6F631028" w14:textId="77777777">
            <w:pPr>
              <w:ind w:left="171" w:firstLine="28" w:firstLineChars="14"/>
              <w:rPr>
                <w:rFonts w:ascii="Arial" w:hAnsi="Arial" w:eastAsia="Times New Roman" w:cs="Arial"/>
                <w:sz w:val="20"/>
                <w:szCs w:val="20"/>
              </w:rPr>
            </w:pPr>
            <w:r w:rsidRPr="009F3C3E">
              <w:rPr>
                <w:rFonts w:ascii="Arial" w:hAnsi="Arial"/>
                <w:sz w:val="20"/>
              </w:rPr>
              <w:t>q. Az Egységes Szanálási Mechanizmusban résztvevő országokban helyi pénznemben fennálló összes nettó helyi pozíció, a származtatott ügyleteket is beleértve (az Egységes Szanálási Mechanizmust egyetlen joghatóságnak tekintve)</w:t>
            </w:r>
          </w:p>
        </w:tc>
        <w:tc>
          <w:tcPr>
            <w:tcW w:w="2745" w:type="dxa"/>
            <w:tcBorders>
              <w:left w:val="nil"/>
              <w:right w:val="nil"/>
            </w:tcBorders>
            <w:noWrap/>
          </w:tcPr>
          <w:p w:rsidRPr="009F3C3E" w:rsidR="00060A12" w:rsidP="00AD2BC8" w:rsidRDefault="00060A12" w14:paraId="466FB6C2" w14:textId="77777777">
            <w:pPr>
              <w:jc w:val="right"/>
              <w:rPr>
                <w:rFonts w:ascii="Arial" w:hAnsi="Arial" w:eastAsia="Times New Roman" w:cs="Arial"/>
                <w:sz w:val="20"/>
                <w:szCs w:val="20"/>
                <w:lang w:eastAsia="en-GB"/>
              </w:rPr>
            </w:pPr>
          </w:p>
        </w:tc>
      </w:tr>
      <w:tr w:rsidRPr="009F3C3E" w:rsidR="00060A12" w:rsidTr="00AD2BC8" w14:paraId="2D88D44F" w14:textId="77777777">
        <w:trPr>
          <w:trHeight w:val="300"/>
        </w:trPr>
        <w:tc>
          <w:tcPr>
            <w:tcW w:w="6804" w:type="dxa"/>
            <w:tcBorders>
              <w:left w:val="nil"/>
              <w:right w:val="nil"/>
            </w:tcBorders>
            <w:noWrap/>
          </w:tcPr>
          <w:p w:rsidRPr="009F3C3E" w:rsidR="00060A12" w:rsidP="00AD2BC8" w:rsidRDefault="00060A12" w14:paraId="41812D58" w14:textId="77777777">
            <w:pPr>
              <w:ind w:firstLine="200" w:firstLineChars="100"/>
              <w:rPr>
                <w:rFonts w:ascii="Arial" w:hAnsi="Arial" w:eastAsia="Times New Roman" w:cs="Arial"/>
                <w:sz w:val="20"/>
                <w:szCs w:val="20"/>
              </w:rPr>
            </w:pPr>
            <w:r w:rsidRPr="009F3C3E">
              <w:rPr>
                <w:rFonts w:ascii="Arial" w:hAnsi="Arial"/>
                <w:sz w:val="20"/>
              </w:rPr>
              <w:t xml:space="preserve">r. Külföldi leányvállalatok által elszámolt, irodán belüli követelések </w:t>
            </w:r>
          </w:p>
        </w:tc>
        <w:tc>
          <w:tcPr>
            <w:tcW w:w="2745" w:type="dxa"/>
            <w:tcBorders>
              <w:left w:val="nil"/>
              <w:right w:val="nil"/>
            </w:tcBorders>
            <w:noWrap/>
          </w:tcPr>
          <w:p w:rsidRPr="009F3C3E" w:rsidR="00060A12" w:rsidP="00AD2BC8" w:rsidRDefault="00060A12" w14:paraId="13B54E48" w14:textId="77777777">
            <w:pPr>
              <w:jc w:val="right"/>
              <w:rPr>
                <w:rFonts w:ascii="Arial" w:hAnsi="Arial" w:eastAsia="Times New Roman" w:cs="Arial"/>
                <w:sz w:val="20"/>
                <w:szCs w:val="20"/>
                <w:lang w:eastAsia="en-GB"/>
              </w:rPr>
            </w:pPr>
          </w:p>
        </w:tc>
      </w:tr>
      <w:tr w:rsidRPr="009F3C3E" w:rsidR="00060A12" w:rsidTr="00AD2BC8" w14:paraId="4364BFBD" w14:textId="77777777">
        <w:trPr>
          <w:trHeight w:val="300"/>
        </w:trPr>
        <w:tc>
          <w:tcPr>
            <w:tcW w:w="6804" w:type="dxa"/>
            <w:tcBorders>
              <w:left w:val="nil"/>
              <w:right w:val="nil"/>
            </w:tcBorders>
            <w:noWrap/>
          </w:tcPr>
          <w:p w:rsidRPr="009F3C3E" w:rsidR="00060A12" w:rsidP="00AD2BC8" w:rsidRDefault="00060A12" w14:paraId="75459E5B" w14:textId="77777777">
            <w:pPr>
              <w:ind w:firstLine="200" w:firstLineChars="100"/>
              <w:rPr>
                <w:rFonts w:ascii="Arial" w:hAnsi="Arial" w:eastAsia="Times New Roman" w:cs="Arial"/>
                <w:sz w:val="20"/>
                <w:szCs w:val="20"/>
              </w:rPr>
            </w:pPr>
            <w:r w:rsidRPr="009F3C3E">
              <w:rPr>
                <w:rFonts w:ascii="Arial" w:hAnsi="Arial"/>
                <w:sz w:val="20"/>
              </w:rPr>
              <w:t xml:space="preserve">s. Külföldi fióktelepek által elszámolt, irodán belüli követelések </w:t>
            </w:r>
          </w:p>
        </w:tc>
        <w:tc>
          <w:tcPr>
            <w:tcW w:w="2745" w:type="dxa"/>
            <w:tcBorders>
              <w:left w:val="nil"/>
              <w:right w:val="nil"/>
            </w:tcBorders>
            <w:noWrap/>
          </w:tcPr>
          <w:p w:rsidRPr="009F3C3E" w:rsidR="00060A12" w:rsidP="00AD2BC8" w:rsidRDefault="00060A12" w14:paraId="0AD90A17" w14:textId="77777777">
            <w:pPr>
              <w:jc w:val="right"/>
              <w:rPr>
                <w:rFonts w:ascii="Arial" w:hAnsi="Arial" w:eastAsia="Times New Roman" w:cs="Arial"/>
                <w:sz w:val="20"/>
                <w:szCs w:val="20"/>
                <w:lang w:eastAsia="en-GB"/>
              </w:rPr>
            </w:pPr>
          </w:p>
        </w:tc>
      </w:tr>
      <w:tr w:rsidRPr="009F3C3E" w:rsidR="00060A12" w:rsidTr="00AD2BC8" w14:paraId="2FA0B4DD" w14:textId="77777777">
        <w:trPr>
          <w:trHeight w:val="300"/>
        </w:trPr>
        <w:tc>
          <w:tcPr>
            <w:tcW w:w="6804" w:type="dxa"/>
            <w:tcBorders>
              <w:left w:val="nil"/>
              <w:right w:val="nil"/>
            </w:tcBorders>
            <w:noWrap/>
          </w:tcPr>
          <w:p w:rsidRPr="009F3C3E" w:rsidR="00060A12" w:rsidP="00AD2BC8" w:rsidRDefault="00060A12" w14:paraId="0B1C9606" w14:textId="77777777">
            <w:pPr>
              <w:ind w:firstLine="200" w:firstLineChars="100"/>
              <w:rPr>
                <w:rFonts w:ascii="Arial" w:hAnsi="Arial" w:eastAsia="Times New Roman" w:cs="Arial"/>
                <w:sz w:val="20"/>
                <w:szCs w:val="20"/>
              </w:rPr>
            </w:pPr>
            <w:r w:rsidRPr="009F3C3E">
              <w:rPr>
                <w:rFonts w:ascii="Arial" w:hAnsi="Arial"/>
                <w:sz w:val="20"/>
              </w:rPr>
              <w:t>t. Külföldi leányvállalatok által elszámolt, irodán belüli kötelezettségek</w:t>
            </w:r>
          </w:p>
        </w:tc>
        <w:tc>
          <w:tcPr>
            <w:tcW w:w="2745" w:type="dxa"/>
            <w:tcBorders>
              <w:left w:val="nil"/>
              <w:right w:val="nil"/>
            </w:tcBorders>
            <w:noWrap/>
          </w:tcPr>
          <w:p w:rsidRPr="009F3C3E" w:rsidR="00060A12" w:rsidP="00AD2BC8" w:rsidRDefault="00060A12" w14:paraId="62B407EB" w14:textId="77777777">
            <w:pPr>
              <w:jc w:val="right"/>
              <w:rPr>
                <w:rFonts w:ascii="Arial" w:hAnsi="Arial" w:eastAsia="Times New Roman" w:cs="Arial"/>
                <w:sz w:val="20"/>
                <w:szCs w:val="20"/>
                <w:lang w:eastAsia="en-GB"/>
              </w:rPr>
            </w:pPr>
          </w:p>
        </w:tc>
      </w:tr>
      <w:tr w:rsidRPr="009F3C3E" w:rsidR="00060A12" w:rsidTr="00AD2BC8" w14:paraId="43EF8B5D" w14:textId="77777777">
        <w:trPr>
          <w:trHeight w:val="300"/>
        </w:trPr>
        <w:tc>
          <w:tcPr>
            <w:tcW w:w="6804" w:type="dxa"/>
            <w:tcBorders>
              <w:left w:val="nil"/>
              <w:right w:val="nil"/>
            </w:tcBorders>
            <w:noWrap/>
          </w:tcPr>
          <w:p w:rsidRPr="009F3C3E" w:rsidR="00060A12" w:rsidP="00AD2BC8" w:rsidRDefault="00060A12" w14:paraId="43474ABE" w14:textId="77777777">
            <w:pPr>
              <w:ind w:firstLine="200" w:firstLineChars="100"/>
              <w:rPr>
                <w:rFonts w:ascii="Arial" w:hAnsi="Arial" w:eastAsia="Times New Roman" w:cs="Arial"/>
                <w:sz w:val="20"/>
                <w:szCs w:val="20"/>
              </w:rPr>
            </w:pPr>
            <w:r w:rsidRPr="009F3C3E">
              <w:rPr>
                <w:rFonts w:ascii="Arial" w:hAnsi="Arial"/>
                <w:sz w:val="20"/>
              </w:rPr>
              <w:t xml:space="preserve">u. Külföldi fióktelepek által elszámolt, irodán belüli kötelezettségek </w:t>
            </w:r>
          </w:p>
        </w:tc>
        <w:tc>
          <w:tcPr>
            <w:tcW w:w="2745" w:type="dxa"/>
            <w:tcBorders>
              <w:left w:val="nil"/>
              <w:right w:val="nil"/>
            </w:tcBorders>
            <w:noWrap/>
          </w:tcPr>
          <w:p w:rsidRPr="009F3C3E" w:rsidR="00060A12" w:rsidP="00AD2BC8" w:rsidRDefault="00060A12" w14:paraId="210B274D" w14:textId="77777777">
            <w:pPr>
              <w:jc w:val="right"/>
              <w:rPr>
                <w:rFonts w:ascii="Arial" w:hAnsi="Arial" w:eastAsia="Times New Roman" w:cs="Arial"/>
                <w:sz w:val="20"/>
                <w:szCs w:val="20"/>
                <w:lang w:eastAsia="en-GB"/>
              </w:rPr>
            </w:pPr>
          </w:p>
        </w:tc>
      </w:tr>
      <w:tr w:rsidRPr="009F3C3E" w:rsidR="00060A12" w:rsidTr="00AD2BC8" w14:paraId="2F271C56" w14:textId="77777777">
        <w:trPr>
          <w:trHeight w:val="300"/>
        </w:trPr>
        <w:tc>
          <w:tcPr>
            <w:tcW w:w="6804" w:type="dxa"/>
            <w:tcBorders>
              <w:left w:val="nil"/>
              <w:right w:val="nil"/>
            </w:tcBorders>
            <w:noWrap/>
          </w:tcPr>
          <w:p w:rsidRPr="009F3C3E" w:rsidR="00060A12" w:rsidP="00AD2BC8" w:rsidRDefault="00060A12" w14:paraId="57C2592F" w14:textId="77777777">
            <w:pPr>
              <w:ind w:firstLine="200" w:firstLineChars="100"/>
              <w:rPr>
                <w:rFonts w:ascii="Arial" w:hAnsi="Arial" w:eastAsia="Times New Roman" w:cs="Arial"/>
                <w:sz w:val="20"/>
                <w:szCs w:val="20"/>
              </w:rPr>
            </w:pPr>
            <w:r w:rsidRPr="009F3C3E">
              <w:rPr>
                <w:rFonts w:ascii="Arial" w:hAnsi="Arial"/>
                <w:sz w:val="20"/>
              </w:rPr>
              <w:t xml:space="preserve">v. A több joghatóságot érintő követelések negyedéves átlagértéke </w:t>
            </w:r>
          </w:p>
        </w:tc>
        <w:tc>
          <w:tcPr>
            <w:tcW w:w="2745" w:type="dxa"/>
            <w:tcBorders>
              <w:left w:val="nil"/>
              <w:right w:val="nil"/>
            </w:tcBorders>
            <w:noWrap/>
          </w:tcPr>
          <w:p w:rsidRPr="009F3C3E" w:rsidR="00060A12" w:rsidP="00AD2BC8" w:rsidRDefault="00060A12" w14:paraId="55E43737" w14:textId="77777777">
            <w:pPr>
              <w:jc w:val="right"/>
              <w:rPr>
                <w:rFonts w:ascii="Arial" w:hAnsi="Arial" w:eastAsia="Times New Roman" w:cs="Arial"/>
                <w:sz w:val="20"/>
                <w:szCs w:val="20"/>
                <w:lang w:eastAsia="en-GB"/>
              </w:rPr>
            </w:pPr>
          </w:p>
        </w:tc>
      </w:tr>
      <w:tr w:rsidRPr="009F3C3E" w:rsidR="00060A12" w:rsidTr="00AD2BC8" w14:paraId="46967374" w14:textId="77777777">
        <w:trPr>
          <w:trHeight w:val="300"/>
        </w:trPr>
        <w:tc>
          <w:tcPr>
            <w:tcW w:w="6804" w:type="dxa"/>
            <w:tcBorders>
              <w:left w:val="nil"/>
              <w:right w:val="nil"/>
            </w:tcBorders>
            <w:noWrap/>
          </w:tcPr>
          <w:p w:rsidRPr="009F3C3E" w:rsidR="00060A12" w:rsidP="00AD2BC8" w:rsidRDefault="00060A12" w14:paraId="0A76E38A" w14:textId="77777777">
            <w:pPr>
              <w:ind w:firstLine="200" w:firstLineChars="100"/>
              <w:rPr>
                <w:rFonts w:ascii="Arial" w:hAnsi="Arial" w:eastAsia="Times New Roman" w:cs="Arial"/>
                <w:sz w:val="20"/>
                <w:szCs w:val="20"/>
              </w:rPr>
            </w:pPr>
            <w:r w:rsidRPr="009F3C3E">
              <w:rPr>
                <w:rFonts w:ascii="Arial" w:hAnsi="Arial"/>
                <w:sz w:val="20"/>
              </w:rPr>
              <w:t xml:space="preserve">w. A több joghatóságot érintő követelések havi átlagértéke </w:t>
            </w:r>
          </w:p>
        </w:tc>
        <w:tc>
          <w:tcPr>
            <w:tcW w:w="2745" w:type="dxa"/>
            <w:tcBorders>
              <w:left w:val="nil"/>
              <w:right w:val="nil"/>
            </w:tcBorders>
            <w:noWrap/>
          </w:tcPr>
          <w:p w:rsidRPr="009F3C3E" w:rsidR="00060A12" w:rsidP="00AD2BC8" w:rsidRDefault="00060A12" w14:paraId="0E03E5E0" w14:textId="77777777">
            <w:pPr>
              <w:jc w:val="right"/>
              <w:rPr>
                <w:rFonts w:ascii="Arial" w:hAnsi="Arial" w:eastAsia="Times New Roman" w:cs="Arial"/>
                <w:sz w:val="20"/>
                <w:szCs w:val="20"/>
                <w:lang w:eastAsia="en-GB"/>
              </w:rPr>
            </w:pPr>
          </w:p>
        </w:tc>
      </w:tr>
      <w:tr w:rsidRPr="009F3C3E" w:rsidR="00060A12" w:rsidTr="00AD2BC8" w14:paraId="3453D25F" w14:textId="77777777">
        <w:trPr>
          <w:trHeight w:val="300"/>
        </w:trPr>
        <w:tc>
          <w:tcPr>
            <w:tcW w:w="6804" w:type="dxa"/>
            <w:tcBorders>
              <w:left w:val="nil"/>
              <w:right w:val="nil"/>
            </w:tcBorders>
            <w:noWrap/>
          </w:tcPr>
          <w:p w:rsidRPr="009F3C3E" w:rsidR="00060A12" w:rsidP="00AD2BC8" w:rsidRDefault="00060A12" w14:paraId="14D80202" w14:textId="77777777">
            <w:pPr>
              <w:ind w:firstLine="200" w:firstLineChars="100"/>
              <w:rPr>
                <w:rFonts w:ascii="Arial" w:hAnsi="Arial" w:eastAsia="Times New Roman" w:cs="Arial"/>
                <w:sz w:val="20"/>
                <w:szCs w:val="20"/>
              </w:rPr>
            </w:pPr>
            <w:r w:rsidRPr="009F3C3E">
              <w:rPr>
                <w:rFonts w:ascii="Arial" w:hAnsi="Arial"/>
                <w:sz w:val="20"/>
              </w:rPr>
              <w:t xml:space="preserve">x. A több joghatóságot érintő kötelezettségek negyedéves átlagértéke </w:t>
            </w:r>
          </w:p>
        </w:tc>
        <w:tc>
          <w:tcPr>
            <w:tcW w:w="2745" w:type="dxa"/>
            <w:tcBorders>
              <w:left w:val="nil"/>
              <w:right w:val="nil"/>
            </w:tcBorders>
            <w:noWrap/>
          </w:tcPr>
          <w:p w:rsidRPr="009F3C3E" w:rsidR="00060A12" w:rsidP="00AD2BC8" w:rsidRDefault="00060A12" w14:paraId="3DD1CA8A" w14:textId="77777777">
            <w:pPr>
              <w:jc w:val="right"/>
              <w:rPr>
                <w:rFonts w:ascii="Arial" w:hAnsi="Arial" w:eastAsia="Times New Roman" w:cs="Arial"/>
                <w:sz w:val="20"/>
                <w:szCs w:val="20"/>
                <w:lang w:eastAsia="en-GB"/>
              </w:rPr>
            </w:pPr>
          </w:p>
        </w:tc>
      </w:tr>
      <w:tr w:rsidRPr="009F3C3E" w:rsidR="00060A12" w:rsidTr="00AD2BC8" w14:paraId="5FEFA597" w14:textId="77777777">
        <w:trPr>
          <w:trHeight w:val="300"/>
        </w:trPr>
        <w:tc>
          <w:tcPr>
            <w:tcW w:w="6804" w:type="dxa"/>
            <w:tcBorders>
              <w:left w:val="nil"/>
              <w:bottom w:val="single" w:color="auto" w:sz="4" w:space="0"/>
              <w:right w:val="nil"/>
            </w:tcBorders>
            <w:noWrap/>
          </w:tcPr>
          <w:p w:rsidRPr="009F3C3E" w:rsidR="00060A12" w:rsidP="00AD2BC8" w:rsidRDefault="00060A12" w14:paraId="0EBA4FDF" w14:textId="77777777">
            <w:pPr>
              <w:ind w:firstLine="200" w:firstLineChars="100"/>
              <w:rPr>
                <w:rFonts w:ascii="Arial" w:hAnsi="Arial" w:eastAsia="Times New Roman" w:cs="Arial"/>
                <w:sz w:val="20"/>
                <w:szCs w:val="20"/>
              </w:rPr>
            </w:pPr>
            <w:r w:rsidRPr="009F3C3E">
              <w:rPr>
                <w:rFonts w:ascii="Arial" w:hAnsi="Arial"/>
                <w:sz w:val="20"/>
              </w:rPr>
              <w:t xml:space="preserve">y. A több joghatóságot érintő kötelezettségek havi átlagértéke </w:t>
            </w:r>
          </w:p>
        </w:tc>
        <w:tc>
          <w:tcPr>
            <w:tcW w:w="2745" w:type="dxa"/>
            <w:tcBorders>
              <w:left w:val="nil"/>
              <w:bottom w:val="single" w:color="auto" w:sz="4" w:space="0"/>
              <w:right w:val="nil"/>
            </w:tcBorders>
            <w:noWrap/>
          </w:tcPr>
          <w:p w:rsidRPr="009F3C3E" w:rsidR="00060A12" w:rsidP="00AD2BC8" w:rsidRDefault="00060A12" w14:paraId="1C96CAD2" w14:textId="77777777">
            <w:pPr>
              <w:jc w:val="right"/>
              <w:rPr>
                <w:rFonts w:ascii="Arial" w:hAnsi="Arial" w:eastAsia="Times New Roman" w:cs="Arial"/>
                <w:sz w:val="20"/>
                <w:szCs w:val="20"/>
                <w:lang w:eastAsia="en-GB"/>
              </w:rPr>
            </w:pPr>
          </w:p>
        </w:tc>
      </w:tr>
      <w:tr w:rsidRPr="009F3C3E" w:rsidR="00060A12" w:rsidTr="00AD2BC8" w14:paraId="7DF3C0E8" w14:textId="77777777">
        <w:trPr>
          <w:trHeight w:val="300"/>
        </w:trPr>
        <w:tc>
          <w:tcPr>
            <w:tcW w:w="6804" w:type="dxa"/>
            <w:tcBorders>
              <w:left w:val="nil"/>
              <w:bottom w:val="nil"/>
              <w:right w:val="nil"/>
            </w:tcBorders>
            <w:noWrap/>
          </w:tcPr>
          <w:p w:rsidRPr="009F3C3E" w:rsidR="00060A12" w:rsidP="00AD2BC8" w:rsidRDefault="00060A12" w14:paraId="07B080C1"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9F3C3E" w:rsidR="00060A12" w:rsidP="00AD2BC8" w:rsidRDefault="00060A12" w14:paraId="194818FF" w14:textId="77777777">
            <w:pPr>
              <w:jc w:val="right"/>
              <w:rPr>
                <w:rFonts w:ascii="Arial" w:hAnsi="Arial" w:eastAsia="Times New Roman" w:cs="Arial"/>
                <w:sz w:val="20"/>
                <w:szCs w:val="20"/>
                <w:lang w:eastAsia="en-GB"/>
              </w:rPr>
            </w:pPr>
          </w:p>
        </w:tc>
      </w:tr>
      <w:tr w:rsidRPr="009F3C3E" w:rsidR="00060A12" w:rsidTr="00AD2BC8" w14:paraId="6804B15F" w14:textId="77777777">
        <w:trPr>
          <w:trHeight w:val="300"/>
        </w:trPr>
        <w:tc>
          <w:tcPr>
            <w:tcW w:w="6804" w:type="dxa"/>
            <w:tcBorders>
              <w:top w:val="nil"/>
              <w:left w:val="nil"/>
              <w:right w:val="nil"/>
            </w:tcBorders>
            <w:noWrap/>
          </w:tcPr>
          <w:p w:rsidRPr="009F3C3E" w:rsidR="00060A12" w:rsidP="00AD2BC8" w:rsidRDefault="00060A12" w14:paraId="0B3C6F0F" w14:textId="77777777">
            <w:pPr>
              <w:rPr>
                <w:rFonts w:ascii="Arial" w:hAnsi="Arial" w:eastAsia="Times New Roman" w:cs="Arial"/>
                <w:sz w:val="20"/>
                <w:szCs w:val="20"/>
              </w:rPr>
            </w:pPr>
            <w:r w:rsidRPr="009F3C3E">
              <w:rPr>
                <w:rFonts w:ascii="Arial" w:hAnsi="Arial"/>
                <w:b/>
                <w:sz w:val="20"/>
              </w:rPr>
              <w:t>22. szakasz – Kiegészítő mutatók</w:t>
            </w:r>
          </w:p>
        </w:tc>
        <w:tc>
          <w:tcPr>
            <w:tcW w:w="2745" w:type="dxa"/>
            <w:tcBorders>
              <w:top w:val="nil"/>
              <w:left w:val="nil"/>
              <w:right w:val="nil"/>
            </w:tcBorders>
            <w:noWrap/>
          </w:tcPr>
          <w:p w:rsidRPr="009F3C3E" w:rsidR="00060A12" w:rsidP="00AD2BC8" w:rsidRDefault="00060A12" w14:paraId="287D3FC8" w14:textId="77777777">
            <w:pPr>
              <w:jc w:val="right"/>
              <w:rPr>
                <w:rFonts w:ascii="Arial" w:hAnsi="Arial" w:eastAsia="Times New Roman" w:cs="Arial"/>
                <w:sz w:val="20"/>
                <w:szCs w:val="20"/>
                <w:lang w:eastAsia="en-GB"/>
              </w:rPr>
            </w:pPr>
          </w:p>
        </w:tc>
      </w:tr>
      <w:tr w:rsidRPr="009F3C3E" w:rsidR="00060A12" w:rsidTr="00AD2BC8" w14:paraId="6257C3ED" w14:textId="77777777">
        <w:trPr>
          <w:trHeight w:val="300"/>
        </w:trPr>
        <w:tc>
          <w:tcPr>
            <w:tcW w:w="6804" w:type="dxa"/>
            <w:tcBorders>
              <w:left w:val="nil"/>
              <w:right w:val="nil"/>
            </w:tcBorders>
            <w:noWrap/>
          </w:tcPr>
          <w:p w:rsidRPr="009F3C3E" w:rsidR="00060A12" w:rsidP="00AD2BC8" w:rsidRDefault="00060A12" w14:paraId="171581ED" w14:textId="77777777">
            <w:pPr>
              <w:ind w:firstLine="200" w:firstLineChars="100"/>
              <w:rPr>
                <w:rFonts w:ascii="Arial" w:hAnsi="Arial" w:eastAsia="Times New Roman" w:cs="Arial"/>
                <w:sz w:val="20"/>
                <w:szCs w:val="20"/>
              </w:rPr>
            </w:pPr>
            <w:r w:rsidRPr="009F3C3E">
              <w:rPr>
                <w:rFonts w:ascii="Arial" w:hAnsi="Arial"/>
                <w:sz w:val="20"/>
              </w:rPr>
              <w:t>a. Külföldi nettó bevétel (az Egységes Szanálási Mechanizmust egyetlen joghatóságnak tekintve)</w:t>
            </w:r>
          </w:p>
        </w:tc>
        <w:tc>
          <w:tcPr>
            <w:tcW w:w="2745" w:type="dxa"/>
            <w:tcBorders>
              <w:left w:val="nil"/>
              <w:right w:val="nil"/>
            </w:tcBorders>
            <w:noWrap/>
          </w:tcPr>
          <w:p w:rsidRPr="009F3C3E" w:rsidR="00060A12" w:rsidP="00AD2BC8" w:rsidRDefault="00060A12" w14:paraId="2F26109B" w14:textId="77777777">
            <w:pPr>
              <w:jc w:val="right"/>
              <w:rPr>
                <w:rFonts w:ascii="Arial" w:hAnsi="Arial" w:eastAsia="Times New Roman" w:cs="Arial"/>
                <w:sz w:val="20"/>
                <w:szCs w:val="20"/>
                <w:lang w:eastAsia="en-GB"/>
              </w:rPr>
            </w:pPr>
          </w:p>
        </w:tc>
      </w:tr>
      <w:tr w:rsidRPr="009F3C3E" w:rsidR="00060A12" w:rsidTr="00AD2BC8" w14:paraId="3545A927" w14:textId="77777777">
        <w:trPr>
          <w:trHeight w:val="300"/>
        </w:trPr>
        <w:tc>
          <w:tcPr>
            <w:tcW w:w="6804" w:type="dxa"/>
            <w:tcBorders>
              <w:left w:val="nil"/>
              <w:bottom w:val="single" w:color="auto" w:sz="4" w:space="0"/>
              <w:right w:val="nil"/>
            </w:tcBorders>
            <w:noWrap/>
          </w:tcPr>
          <w:p w:rsidRPr="009F3C3E" w:rsidR="00060A12" w:rsidP="00AD2BC8" w:rsidRDefault="00060A12" w14:paraId="5C044F16" w14:textId="77777777">
            <w:pPr>
              <w:ind w:firstLine="200" w:firstLineChars="100"/>
              <w:rPr>
                <w:rFonts w:ascii="Arial" w:hAnsi="Arial" w:eastAsia="Times New Roman" w:cs="Arial"/>
                <w:sz w:val="20"/>
                <w:szCs w:val="20"/>
              </w:rPr>
            </w:pPr>
            <w:r w:rsidRPr="009F3C3E">
              <w:rPr>
                <w:rFonts w:ascii="Arial" w:hAnsi="Arial"/>
                <w:sz w:val="20"/>
              </w:rPr>
              <w:t>b. A joghatóságok száma (az Egységes Szanálási Mechanizmust egyetlen joghatóságnak tekintve)</w:t>
            </w:r>
          </w:p>
        </w:tc>
        <w:tc>
          <w:tcPr>
            <w:tcW w:w="2745" w:type="dxa"/>
            <w:tcBorders>
              <w:left w:val="nil"/>
              <w:right w:val="nil"/>
            </w:tcBorders>
            <w:noWrap/>
          </w:tcPr>
          <w:p w:rsidRPr="009F3C3E" w:rsidR="00060A12" w:rsidP="00AD2BC8" w:rsidRDefault="00060A12" w14:paraId="2C5ADFBA" w14:textId="77777777">
            <w:pPr>
              <w:jc w:val="right"/>
              <w:rPr>
                <w:rFonts w:ascii="Arial" w:hAnsi="Arial" w:eastAsia="Times New Roman" w:cs="Arial"/>
                <w:sz w:val="20"/>
                <w:szCs w:val="20"/>
                <w:lang w:eastAsia="en-GB"/>
              </w:rPr>
            </w:pPr>
          </w:p>
        </w:tc>
      </w:tr>
      <w:tr w:rsidRPr="009F3C3E" w:rsidR="00060A12" w:rsidTr="00AD2BC8" w14:paraId="42AA6D8A" w14:textId="77777777">
        <w:trPr>
          <w:trHeight w:val="300"/>
        </w:trPr>
        <w:tc>
          <w:tcPr>
            <w:tcW w:w="6804" w:type="dxa"/>
            <w:tcBorders>
              <w:left w:val="nil"/>
              <w:bottom w:val="nil"/>
              <w:right w:val="nil"/>
            </w:tcBorders>
            <w:noWrap/>
          </w:tcPr>
          <w:p w:rsidRPr="009F3C3E" w:rsidR="00060A12" w:rsidP="00AD2BC8" w:rsidRDefault="00060A12" w14:paraId="4C771B0D"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9F3C3E" w:rsidR="00060A12" w:rsidP="00AD2BC8" w:rsidRDefault="00060A12" w14:paraId="1055B26B" w14:textId="77777777">
            <w:pPr>
              <w:jc w:val="right"/>
              <w:rPr>
                <w:rFonts w:ascii="Arial" w:hAnsi="Arial" w:eastAsia="Times New Roman" w:cs="Arial"/>
                <w:sz w:val="20"/>
                <w:szCs w:val="20"/>
                <w:lang w:eastAsia="en-GB"/>
              </w:rPr>
            </w:pPr>
          </w:p>
        </w:tc>
      </w:tr>
      <w:tr w:rsidRPr="009F3C3E" w:rsidR="00060A12" w:rsidTr="00AD2BC8" w14:paraId="076FD6CF" w14:textId="77777777">
        <w:trPr>
          <w:trHeight w:val="300"/>
        </w:trPr>
        <w:tc>
          <w:tcPr>
            <w:tcW w:w="6804" w:type="dxa"/>
            <w:tcBorders>
              <w:top w:val="nil"/>
              <w:left w:val="nil"/>
              <w:bottom w:val="nil"/>
              <w:right w:val="nil"/>
            </w:tcBorders>
            <w:noWrap/>
          </w:tcPr>
          <w:p w:rsidRPr="009F3C3E" w:rsidR="00060A12" w:rsidP="00AD2BC8" w:rsidRDefault="00060A12" w14:paraId="1F392997" w14:textId="77777777">
            <w:pPr>
              <w:ind w:firstLine="221" w:firstLineChars="100"/>
              <w:rPr>
                <w:rFonts w:ascii="Arial" w:hAnsi="Arial" w:eastAsia="Times New Roman" w:cs="Arial"/>
                <w:sz w:val="20"/>
                <w:szCs w:val="20"/>
              </w:rPr>
            </w:pPr>
            <w:r w:rsidRPr="009F3C3E">
              <w:rPr>
                <w:rFonts w:asciiTheme="majorHAnsi" w:hAnsiTheme="majorHAnsi"/>
                <w:b/>
                <w:i/>
                <w:caps/>
              </w:rPr>
              <w:t>Az ellenőrzések összefoglalása</w:t>
            </w:r>
          </w:p>
        </w:tc>
        <w:tc>
          <w:tcPr>
            <w:tcW w:w="2745" w:type="dxa"/>
            <w:tcBorders>
              <w:top w:val="nil"/>
              <w:left w:val="nil"/>
              <w:bottom w:val="nil"/>
              <w:right w:val="nil"/>
            </w:tcBorders>
            <w:noWrap/>
          </w:tcPr>
          <w:p w:rsidRPr="009F3C3E" w:rsidR="00060A12" w:rsidP="00AD2BC8" w:rsidRDefault="00060A12" w14:paraId="6EFD5341" w14:textId="77777777">
            <w:pPr>
              <w:jc w:val="right"/>
              <w:rPr>
                <w:rFonts w:ascii="Arial" w:hAnsi="Arial" w:eastAsia="Times New Roman" w:cs="Arial"/>
                <w:sz w:val="20"/>
                <w:szCs w:val="20"/>
                <w:lang w:eastAsia="en-GB"/>
              </w:rPr>
            </w:pPr>
          </w:p>
        </w:tc>
      </w:tr>
      <w:tr w:rsidRPr="009F3C3E" w:rsidR="00060A12" w:rsidTr="00AD2BC8" w14:paraId="61A465C3" w14:textId="77777777">
        <w:trPr>
          <w:trHeight w:val="300"/>
        </w:trPr>
        <w:tc>
          <w:tcPr>
            <w:tcW w:w="6804" w:type="dxa"/>
            <w:tcBorders>
              <w:top w:val="nil"/>
              <w:left w:val="nil"/>
              <w:bottom w:val="single" w:color="auto" w:sz="4" w:space="0"/>
              <w:right w:val="nil"/>
            </w:tcBorders>
            <w:noWrap/>
          </w:tcPr>
          <w:p w:rsidRPr="009F3C3E" w:rsidR="00060A12" w:rsidP="00AD2BC8" w:rsidRDefault="00060A12" w14:paraId="68906FC8" w14:textId="77777777">
            <w:pPr>
              <w:ind w:firstLine="200" w:firstLineChars="100"/>
              <w:rPr>
                <w:rFonts w:ascii="Arial" w:hAnsi="Arial" w:eastAsia="Times New Roman" w:cs="Arial"/>
                <w:sz w:val="20"/>
                <w:szCs w:val="20"/>
                <w:lang w:eastAsia="en-GB"/>
              </w:rPr>
            </w:pPr>
          </w:p>
        </w:tc>
        <w:tc>
          <w:tcPr>
            <w:tcW w:w="2745" w:type="dxa"/>
            <w:tcBorders>
              <w:top w:val="nil"/>
              <w:left w:val="nil"/>
              <w:right w:val="nil"/>
            </w:tcBorders>
            <w:noWrap/>
          </w:tcPr>
          <w:p w:rsidRPr="009F3C3E" w:rsidR="00060A12" w:rsidP="00AD2BC8" w:rsidRDefault="00060A12" w14:paraId="081D286C" w14:textId="77777777">
            <w:pPr>
              <w:jc w:val="right"/>
              <w:rPr>
                <w:rFonts w:ascii="Arial" w:hAnsi="Arial" w:eastAsia="Times New Roman" w:cs="Arial"/>
                <w:sz w:val="20"/>
                <w:szCs w:val="20"/>
                <w:lang w:eastAsia="en-GB"/>
              </w:rPr>
            </w:pPr>
          </w:p>
        </w:tc>
      </w:tr>
      <w:tr w:rsidRPr="009F3C3E" w:rsidR="00060A12" w:rsidTr="00AD2BC8" w14:paraId="5416D3D9" w14:textId="77777777">
        <w:trPr>
          <w:trHeight w:val="300"/>
        </w:trPr>
        <w:tc>
          <w:tcPr>
            <w:tcW w:w="6804" w:type="dxa"/>
            <w:tcBorders>
              <w:left w:val="nil"/>
              <w:bottom w:val="single" w:color="auto" w:sz="4" w:space="0"/>
              <w:right w:val="nil"/>
            </w:tcBorders>
            <w:noWrap/>
          </w:tcPr>
          <w:p w:rsidRPr="009F3C3E" w:rsidR="00060A12" w:rsidP="00AD2BC8" w:rsidRDefault="00060A12" w14:paraId="7AE0E252" w14:textId="77777777">
            <w:pPr>
              <w:rPr>
                <w:rFonts w:ascii="Arial" w:hAnsi="Arial" w:eastAsia="Times New Roman" w:cs="Arial"/>
                <w:sz w:val="20"/>
                <w:szCs w:val="20"/>
              </w:rPr>
            </w:pPr>
            <w:r w:rsidRPr="009F3C3E">
              <w:rPr>
                <w:b/>
              </w:rPr>
              <w:t>23. szakasz – A mutatók értékei (Felülvizsgált módszertan)</w:t>
            </w:r>
          </w:p>
        </w:tc>
        <w:tc>
          <w:tcPr>
            <w:tcW w:w="2745" w:type="dxa"/>
            <w:tcBorders>
              <w:left w:val="nil"/>
              <w:right w:val="nil"/>
            </w:tcBorders>
            <w:noWrap/>
          </w:tcPr>
          <w:p w:rsidRPr="009F3C3E" w:rsidR="00060A12" w:rsidP="00AD2BC8" w:rsidRDefault="00060A12" w14:paraId="205766FE" w14:textId="77777777">
            <w:pPr>
              <w:jc w:val="center"/>
              <w:rPr>
                <w:rFonts w:ascii="Arial" w:hAnsi="Arial" w:eastAsia="Times New Roman" w:cs="Arial"/>
                <w:sz w:val="20"/>
                <w:szCs w:val="20"/>
              </w:rPr>
            </w:pPr>
            <w:r w:rsidRPr="009F3C3E">
              <w:rPr>
                <w:b/>
              </w:rPr>
              <w:t>Mutató értéke az adatszolgáltatáshoz használt pénznemben kifejezve</w:t>
            </w:r>
          </w:p>
        </w:tc>
      </w:tr>
      <w:tr w:rsidRPr="009F3C3E" w:rsidR="00060A12" w:rsidTr="00AD2BC8" w14:paraId="0C161A08" w14:textId="77777777">
        <w:trPr>
          <w:trHeight w:val="300"/>
        </w:trPr>
        <w:tc>
          <w:tcPr>
            <w:tcW w:w="6804" w:type="dxa"/>
            <w:tcBorders>
              <w:left w:val="nil"/>
              <w:bottom w:val="single" w:color="auto" w:sz="4" w:space="0"/>
              <w:right w:val="nil"/>
            </w:tcBorders>
            <w:noWrap/>
          </w:tcPr>
          <w:p w:rsidRPr="009F3C3E" w:rsidR="00060A12" w:rsidP="00AD2BC8" w:rsidRDefault="00060A12" w14:paraId="0ACA00CE" w14:textId="77777777">
            <w:pPr>
              <w:ind w:left="171" w:firstLine="48" w:firstLineChars="22"/>
              <w:rPr>
                <w:rFonts w:ascii="Arial" w:hAnsi="Arial" w:eastAsia="Times New Roman" w:cs="Arial"/>
                <w:sz w:val="20"/>
                <w:szCs w:val="20"/>
              </w:rPr>
            </w:pPr>
            <w:r w:rsidRPr="009F3C3E">
              <w:t>a. 2. szakasz – A teljes kitettség mutatója, beleértve a biztosítási leányvállalatokat is</w:t>
            </w:r>
          </w:p>
        </w:tc>
        <w:tc>
          <w:tcPr>
            <w:tcW w:w="2745" w:type="dxa"/>
            <w:tcBorders>
              <w:left w:val="nil"/>
              <w:right w:val="nil"/>
            </w:tcBorders>
            <w:noWrap/>
          </w:tcPr>
          <w:p w:rsidRPr="009F3C3E" w:rsidR="00060A12" w:rsidP="00AD2BC8" w:rsidRDefault="00060A12" w14:paraId="028D9191" w14:textId="77777777">
            <w:pPr>
              <w:jc w:val="right"/>
              <w:rPr>
                <w:rFonts w:ascii="Arial" w:hAnsi="Arial" w:eastAsia="Times New Roman" w:cs="Arial"/>
                <w:sz w:val="20"/>
                <w:szCs w:val="20"/>
                <w:lang w:eastAsia="en-GB"/>
              </w:rPr>
            </w:pPr>
          </w:p>
        </w:tc>
      </w:tr>
      <w:tr w:rsidRPr="009F3C3E" w:rsidR="00060A12" w:rsidTr="00AD2BC8" w14:paraId="5EF0A49B" w14:textId="77777777">
        <w:trPr>
          <w:trHeight w:val="300"/>
        </w:trPr>
        <w:tc>
          <w:tcPr>
            <w:tcW w:w="6804" w:type="dxa"/>
            <w:tcBorders>
              <w:left w:val="nil"/>
              <w:bottom w:val="single" w:color="auto" w:sz="4" w:space="0"/>
              <w:right w:val="nil"/>
            </w:tcBorders>
            <w:noWrap/>
          </w:tcPr>
          <w:p w:rsidRPr="009F3C3E" w:rsidR="00060A12" w:rsidP="00AD2BC8" w:rsidRDefault="00060A12" w14:paraId="46F15AC8" w14:textId="77777777">
            <w:pPr>
              <w:ind w:left="171" w:firstLine="48" w:firstLineChars="22"/>
              <w:rPr>
                <w:rFonts w:ascii="Arial" w:hAnsi="Arial" w:eastAsia="Times New Roman" w:cs="Arial"/>
                <w:sz w:val="20"/>
                <w:szCs w:val="20"/>
              </w:rPr>
            </w:pPr>
            <w:r w:rsidRPr="009F3C3E">
              <w:t>b. 3. szakasz – A pénzügyi rendszeren belüli eszközök mutatója, beleértve a biztosítási leányvállalatokat is</w:t>
            </w:r>
          </w:p>
        </w:tc>
        <w:tc>
          <w:tcPr>
            <w:tcW w:w="2745" w:type="dxa"/>
            <w:tcBorders>
              <w:left w:val="nil"/>
              <w:right w:val="nil"/>
            </w:tcBorders>
            <w:noWrap/>
          </w:tcPr>
          <w:p w:rsidRPr="009F3C3E" w:rsidR="00060A12" w:rsidP="00AD2BC8" w:rsidRDefault="00060A12" w14:paraId="34348C21" w14:textId="77777777">
            <w:pPr>
              <w:jc w:val="right"/>
              <w:rPr>
                <w:rFonts w:ascii="Arial" w:hAnsi="Arial" w:eastAsia="Times New Roman" w:cs="Arial"/>
                <w:sz w:val="20"/>
                <w:szCs w:val="20"/>
                <w:lang w:eastAsia="en-GB"/>
              </w:rPr>
            </w:pPr>
          </w:p>
        </w:tc>
      </w:tr>
      <w:tr w:rsidRPr="009F3C3E" w:rsidR="00060A12" w:rsidTr="00AD2BC8" w14:paraId="69E8AA05" w14:textId="77777777">
        <w:trPr>
          <w:trHeight w:val="300"/>
        </w:trPr>
        <w:tc>
          <w:tcPr>
            <w:tcW w:w="6804" w:type="dxa"/>
            <w:tcBorders>
              <w:left w:val="nil"/>
              <w:bottom w:val="single" w:color="auto" w:sz="4" w:space="0"/>
              <w:right w:val="nil"/>
            </w:tcBorders>
            <w:noWrap/>
          </w:tcPr>
          <w:p w:rsidRPr="009F3C3E" w:rsidR="00060A12" w:rsidP="00AD2BC8" w:rsidRDefault="00060A12" w14:paraId="50E7A73F" w14:textId="77777777">
            <w:pPr>
              <w:ind w:left="171" w:firstLine="48" w:firstLineChars="22"/>
              <w:rPr>
                <w:rFonts w:ascii="Arial" w:hAnsi="Arial" w:eastAsia="Times New Roman" w:cs="Arial"/>
                <w:sz w:val="20"/>
                <w:szCs w:val="20"/>
              </w:rPr>
            </w:pPr>
            <w:r w:rsidRPr="009F3C3E">
              <w:t>c. 4. szakasz – A pénzügyi rendszeren belüli kötelezettségek mutatója, beleértve a biztosítási leányvállalatokat is</w:t>
            </w:r>
          </w:p>
        </w:tc>
        <w:tc>
          <w:tcPr>
            <w:tcW w:w="2745" w:type="dxa"/>
            <w:tcBorders>
              <w:left w:val="nil"/>
              <w:right w:val="nil"/>
            </w:tcBorders>
            <w:noWrap/>
          </w:tcPr>
          <w:p w:rsidRPr="009F3C3E" w:rsidR="00060A12" w:rsidP="00AD2BC8" w:rsidRDefault="00060A12" w14:paraId="62080D07" w14:textId="77777777">
            <w:pPr>
              <w:jc w:val="right"/>
              <w:rPr>
                <w:rFonts w:ascii="Arial" w:hAnsi="Arial" w:eastAsia="Times New Roman" w:cs="Arial"/>
                <w:sz w:val="20"/>
                <w:szCs w:val="20"/>
                <w:lang w:eastAsia="en-GB"/>
              </w:rPr>
            </w:pPr>
          </w:p>
        </w:tc>
      </w:tr>
      <w:tr w:rsidRPr="009F3C3E" w:rsidR="00060A12" w:rsidTr="00AD2BC8" w14:paraId="6E57654E" w14:textId="77777777">
        <w:trPr>
          <w:trHeight w:val="300"/>
        </w:trPr>
        <w:tc>
          <w:tcPr>
            <w:tcW w:w="6804" w:type="dxa"/>
            <w:tcBorders>
              <w:left w:val="nil"/>
              <w:bottom w:val="single" w:color="auto" w:sz="4" w:space="0"/>
              <w:right w:val="nil"/>
            </w:tcBorders>
            <w:noWrap/>
          </w:tcPr>
          <w:p w:rsidRPr="009F3C3E" w:rsidR="00060A12" w:rsidP="00AD2BC8" w:rsidRDefault="00060A12" w14:paraId="1DCF71E9" w14:textId="77777777">
            <w:pPr>
              <w:ind w:left="171" w:firstLine="48" w:firstLineChars="22"/>
              <w:rPr>
                <w:rFonts w:ascii="Arial" w:hAnsi="Arial" w:eastAsia="Times New Roman" w:cs="Arial"/>
                <w:sz w:val="20"/>
                <w:szCs w:val="20"/>
              </w:rPr>
            </w:pPr>
            <w:r w:rsidRPr="009F3C3E">
              <w:t>d. 5. szakasz – A forgalomban lévő értékpapírok mutatója, beleértve a biztosítási leányvállalatokat is</w:t>
            </w:r>
          </w:p>
        </w:tc>
        <w:tc>
          <w:tcPr>
            <w:tcW w:w="2745" w:type="dxa"/>
            <w:tcBorders>
              <w:left w:val="nil"/>
              <w:right w:val="nil"/>
            </w:tcBorders>
            <w:noWrap/>
          </w:tcPr>
          <w:p w:rsidRPr="009F3C3E" w:rsidR="00060A12" w:rsidP="00AD2BC8" w:rsidRDefault="00060A12" w14:paraId="3A51C74B" w14:textId="77777777">
            <w:pPr>
              <w:jc w:val="right"/>
              <w:rPr>
                <w:rFonts w:ascii="Arial" w:hAnsi="Arial" w:eastAsia="Times New Roman" w:cs="Arial"/>
                <w:sz w:val="20"/>
                <w:szCs w:val="20"/>
                <w:lang w:eastAsia="en-GB"/>
              </w:rPr>
            </w:pPr>
          </w:p>
        </w:tc>
      </w:tr>
      <w:tr w:rsidRPr="009F3C3E" w:rsidR="00060A12" w:rsidTr="00AD2BC8" w14:paraId="3079AE9F" w14:textId="77777777">
        <w:trPr>
          <w:trHeight w:val="300"/>
        </w:trPr>
        <w:tc>
          <w:tcPr>
            <w:tcW w:w="6804" w:type="dxa"/>
            <w:tcBorders>
              <w:left w:val="nil"/>
              <w:bottom w:val="single" w:color="auto" w:sz="4" w:space="0"/>
              <w:right w:val="nil"/>
            </w:tcBorders>
            <w:noWrap/>
          </w:tcPr>
          <w:p w:rsidRPr="009F3C3E" w:rsidR="00060A12" w:rsidP="00AD2BC8" w:rsidRDefault="00060A12" w14:paraId="29D6521B" w14:textId="77777777">
            <w:pPr>
              <w:ind w:firstLine="220" w:firstLineChars="100"/>
              <w:rPr>
                <w:rFonts w:ascii="Arial" w:hAnsi="Arial" w:eastAsia="Times New Roman" w:cs="Arial"/>
                <w:sz w:val="20"/>
                <w:szCs w:val="20"/>
              </w:rPr>
            </w:pPr>
            <w:r w:rsidRPr="009F3C3E">
              <w:t>e. 6. szakasz – A pénzforgalmi tevékenység mutatója</w:t>
            </w:r>
          </w:p>
        </w:tc>
        <w:tc>
          <w:tcPr>
            <w:tcW w:w="2745" w:type="dxa"/>
            <w:tcBorders>
              <w:left w:val="nil"/>
              <w:right w:val="nil"/>
            </w:tcBorders>
            <w:noWrap/>
          </w:tcPr>
          <w:p w:rsidRPr="009F3C3E" w:rsidR="00060A12" w:rsidP="00AD2BC8" w:rsidRDefault="00060A12" w14:paraId="1E189786" w14:textId="77777777">
            <w:pPr>
              <w:jc w:val="right"/>
              <w:rPr>
                <w:rFonts w:ascii="Arial" w:hAnsi="Arial" w:eastAsia="Times New Roman" w:cs="Arial"/>
                <w:sz w:val="20"/>
                <w:szCs w:val="20"/>
                <w:lang w:eastAsia="en-GB"/>
              </w:rPr>
            </w:pPr>
          </w:p>
        </w:tc>
      </w:tr>
      <w:tr w:rsidRPr="009F3C3E" w:rsidR="00060A12" w:rsidTr="00AD2BC8" w14:paraId="22989A68" w14:textId="77777777">
        <w:trPr>
          <w:trHeight w:val="300"/>
        </w:trPr>
        <w:tc>
          <w:tcPr>
            <w:tcW w:w="6804" w:type="dxa"/>
            <w:tcBorders>
              <w:left w:val="nil"/>
              <w:bottom w:val="single" w:color="auto" w:sz="4" w:space="0"/>
              <w:right w:val="nil"/>
            </w:tcBorders>
            <w:noWrap/>
          </w:tcPr>
          <w:p w:rsidRPr="009F3C3E" w:rsidR="00060A12" w:rsidP="00AD2BC8" w:rsidRDefault="00060A12" w14:paraId="472CD36B" w14:textId="77777777">
            <w:pPr>
              <w:ind w:firstLine="220" w:firstLineChars="100"/>
              <w:rPr>
                <w:rFonts w:ascii="Arial" w:hAnsi="Arial" w:eastAsia="Times New Roman" w:cs="Arial"/>
                <w:sz w:val="20"/>
                <w:szCs w:val="20"/>
              </w:rPr>
            </w:pPr>
            <w:r w:rsidRPr="009F3C3E">
              <w:t>f. 7. szakasz – A letétbe helyezett eszközök mutatója</w:t>
            </w:r>
          </w:p>
        </w:tc>
        <w:tc>
          <w:tcPr>
            <w:tcW w:w="2745" w:type="dxa"/>
            <w:tcBorders>
              <w:left w:val="nil"/>
              <w:right w:val="nil"/>
            </w:tcBorders>
            <w:noWrap/>
          </w:tcPr>
          <w:p w:rsidRPr="009F3C3E" w:rsidR="00060A12" w:rsidP="00AD2BC8" w:rsidRDefault="00060A12" w14:paraId="1DB7788E" w14:textId="77777777">
            <w:pPr>
              <w:jc w:val="right"/>
              <w:rPr>
                <w:rFonts w:ascii="Arial" w:hAnsi="Arial" w:eastAsia="Times New Roman" w:cs="Arial"/>
                <w:sz w:val="20"/>
                <w:szCs w:val="20"/>
                <w:lang w:eastAsia="en-GB"/>
              </w:rPr>
            </w:pPr>
          </w:p>
        </w:tc>
      </w:tr>
      <w:tr w:rsidRPr="009F3C3E" w:rsidR="00060A12" w:rsidTr="00AD2BC8" w14:paraId="6F734EC8" w14:textId="77777777">
        <w:trPr>
          <w:trHeight w:val="300"/>
        </w:trPr>
        <w:tc>
          <w:tcPr>
            <w:tcW w:w="6804" w:type="dxa"/>
            <w:tcBorders>
              <w:left w:val="nil"/>
              <w:bottom w:val="single" w:color="auto" w:sz="4" w:space="0"/>
              <w:right w:val="nil"/>
            </w:tcBorders>
            <w:noWrap/>
          </w:tcPr>
          <w:p w:rsidRPr="009F3C3E" w:rsidR="00060A12" w:rsidP="00AD2BC8" w:rsidRDefault="00060A12" w14:paraId="536851CF" w14:textId="77777777">
            <w:pPr>
              <w:ind w:firstLine="220" w:firstLineChars="100"/>
              <w:rPr>
                <w:rFonts w:ascii="Arial" w:hAnsi="Arial" w:eastAsia="Times New Roman" w:cs="Arial"/>
                <w:sz w:val="20"/>
                <w:szCs w:val="20"/>
              </w:rPr>
            </w:pPr>
            <w:r w:rsidRPr="009F3C3E">
              <w:lastRenderedPageBreak/>
              <w:t>g. 8. szakasz – A jegyzési garanciával biztosított ügyletek mutatója</w:t>
            </w:r>
          </w:p>
        </w:tc>
        <w:tc>
          <w:tcPr>
            <w:tcW w:w="2745" w:type="dxa"/>
            <w:tcBorders>
              <w:left w:val="nil"/>
              <w:right w:val="nil"/>
            </w:tcBorders>
            <w:noWrap/>
          </w:tcPr>
          <w:p w:rsidRPr="009F3C3E" w:rsidR="00060A12" w:rsidP="00AD2BC8" w:rsidRDefault="00060A12" w14:paraId="64175DB8" w14:textId="77777777">
            <w:pPr>
              <w:jc w:val="right"/>
              <w:rPr>
                <w:rFonts w:ascii="Arial" w:hAnsi="Arial" w:eastAsia="Times New Roman" w:cs="Arial"/>
                <w:sz w:val="20"/>
                <w:szCs w:val="20"/>
                <w:lang w:eastAsia="en-GB"/>
              </w:rPr>
            </w:pPr>
          </w:p>
        </w:tc>
      </w:tr>
      <w:tr w:rsidRPr="009F3C3E" w:rsidR="00060A12" w:rsidTr="00AD2BC8" w14:paraId="497AD3D1" w14:textId="77777777">
        <w:trPr>
          <w:trHeight w:val="300"/>
        </w:trPr>
        <w:tc>
          <w:tcPr>
            <w:tcW w:w="6804" w:type="dxa"/>
            <w:tcBorders>
              <w:left w:val="nil"/>
              <w:bottom w:val="single" w:color="auto" w:sz="4" w:space="0"/>
              <w:right w:val="nil"/>
            </w:tcBorders>
            <w:noWrap/>
          </w:tcPr>
          <w:p w:rsidRPr="009F3C3E" w:rsidR="00060A12" w:rsidP="00AD2BC8" w:rsidRDefault="00060A12" w14:paraId="35A240EC" w14:textId="77777777">
            <w:pPr>
              <w:ind w:firstLine="220" w:firstLineChars="100"/>
              <w:rPr>
                <w:rFonts w:ascii="Arial" w:hAnsi="Arial" w:eastAsia="Times New Roman" w:cs="Arial"/>
                <w:sz w:val="20"/>
                <w:szCs w:val="20"/>
              </w:rPr>
            </w:pPr>
            <w:r w:rsidRPr="009F3C3E">
              <w:t>h. 9.c szakasz – A fix kamatozású eszközök kereskedési volumenének almutatója</w:t>
            </w:r>
          </w:p>
        </w:tc>
        <w:tc>
          <w:tcPr>
            <w:tcW w:w="2745" w:type="dxa"/>
            <w:tcBorders>
              <w:left w:val="nil"/>
              <w:right w:val="nil"/>
            </w:tcBorders>
            <w:noWrap/>
          </w:tcPr>
          <w:p w:rsidRPr="009F3C3E" w:rsidR="00060A12" w:rsidP="00AD2BC8" w:rsidRDefault="00060A12" w14:paraId="2CA177BA" w14:textId="77777777">
            <w:pPr>
              <w:jc w:val="right"/>
              <w:rPr>
                <w:rFonts w:ascii="Arial" w:hAnsi="Arial" w:eastAsia="Times New Roman" w:cs="Arial"/>
                <w:sz w:val="20"/>
                <w:szCs w:val="20"/>
                <w:lang w:eastAsia="en-GB"/>
              </w:rPr>
            </w:pPr>
          </w:p>
        </w:tc>
      </w:tr>
      <w:tr w:rsidRPr="009F3C3E" w:rsidR="00060A12" w:rsidTr="00AD2BC8" w14:paraId="1864C173" w14:textId="77777777">
        <w:trPr>
          <w:trHeight w:val="300"/>
        </w:trPr>
        <w:tc>
          <w:tcPr>
            <w:tcW w:w="6804" w:type="dxa"/>
            <w:tcBorders>
              <w:left w:val="nil"/>
              <w:bottom w:val="single" w:color="auto" w:sz="4" w:space="0"/>
              <w:right w:val="nil"/>
            </w:tcBorders>
            <w:noWrap/>
          </w:tcPr>
          <w:p w:rsidRPr="009F3C3E" w:rsidR="00060A12" w:rsidP="00AD2BC8" w:rsidRDefault="00060A12" w14:paraId="081CCA14" w14:textId="77777777">
            <w:pPr>
              <w:ind w:left="171" w:firstLine="77" w:firstLineChars="35"/>
              <w:rPr>
                <w:rFonts w:ascii="Arial" w:hAnsi="Arial" w:eastAsia="Times New Roman" w:cs="Arial"/>
                <w:sz w:val="20"/>
                <w:szCs w:val="20"/>
              </w:rPr>
            </w:pPr>
            <w:r w:rsidRPr="009F3C3E">
              <w:t>i. 9.f szakasz – A részvények és egyéb értékpapírok kereskedési volumenének almutatója</w:t>
            </w:r>
          </w:p>
        </w:tc>
        <w:tc>
          <w:tcPr>
            <w:tcW w:w="2745" w:type="dxa"/>
            <w:tcBorders>
              <w:left w:val="nil"/>
              <w:right w:val="nil"/>
            </w:tcBorders>
            <w:noWrap/>
          </w:tcPr>
          <w:p w:rsidRPr="009F3C3E" w:rsidR="00060A12" w:rsidP="00AD2BC8" w:rsidRDefault="00060A12" w14:paraId="538109E0" w14:textId="77777777">
            <w:pPr>
              <w:jc w:val="right"/>
              <w:rPr>
                <w:rFonts w:ascii="Arial" w:hAnsi="Arial" w:eastAsia="Times New Roman" w:cs="Arial"/>
                <w:sz w:val="20"/>
                <w:szCs w:val="20"/>
                <w:lang w:eastAsia="en-GB"/>
              </w:rPr>
            </w:pPr>
          </w:p>
        </w:tc>
      </w:tr>
      <w:tr w:rsidRPr="009F3C3E" w:rsidR="00060A12" w:rsidTr="00AD2BC8" w14:paraId="41B4B363" w14:textId="77777777">
        <w:trPr>
          <w:trHeight w:val="300"/>
        </w:trPr>
        <w:tc>
          <w:tcPr>
            <w:tcW w:w="6804" w:type="dxa"/>
            <w:tcBorders>
              <w:left w:val="nil"/>
              <w:bottom w:val="single" w:color="auto" w:sz="4" w:space="0"/>
              <w:right w:val="nil"/>
            </w:tcBorders>
            <w:noWrap/>
          </w:tcPr>
          <w:p w:rsidRPr="009F3C3E" w:rsidR="00060A12" w:rsidP="00AD2BC8" w:rsidRDefault="00060A12" w14:paraId="6C5E21E8" w14:textId="77777777">
            <w:pPr>
              <w:ind w:left="171" w:firstLine="77" w:firstLineChars="35"/>
              <w:rPr>
                <w:rFonts w:ascii="Arial" w:hAnsi="Arial" w:eastAsia="Times New Roman" w:cs="Arial"/>
                <w:sz w:val="20"/>
                <w:szCs w:val="20"/>
              </w:rPr>
            </w:pPr>
            <w:r w:rsidRPr="009F3C3E">
              <w:t>j. 10. szakasz – A tőzsdén kívüli származtatott ügyletek mutatója, beleértve a biztosítási leányvállalatokat is</w:t>
            </w:r>
          </w:p>
        </w:tc>
        <w:tc>
          <w:tcPr>
            <w:tcW w:w="2745" w:type="dxa"/>
            <w:tcBorders>
              <w:left w:val="nil"/>
              <w:right w:val="nil"/>
            </w:tcBorders>
            <w:noWrap/>
          </w:tcPr>
          <w:p w:rsidRPr="009F3C3E" w:rsidR="00060A12" w:rsidP="00AD2BC8" w:rsidRDefault="00060A12" w14:paraId="7247A5E8" w14:textId="77777777">
            <w:pPr>
              <w:jc w:val="right"/>
              <w:rPr>
                <w:rFonts w:ascii="Arial" w:hAnsi="Arial" w:eastAsia="Times New Roman" w:cs="Arial"/>
                <w:sz w:val="20"/>
                <w:szCs w:val="20"/>
                <w:lang w:eastAsia="en-GB"/>
              </w:rPr>
            </w:pPr>
          </w:p>
        </w:tc>
      </w:tr>
      <w:tr w:rsidRPr="009F3C3E" w:rsidR="00060A12" w:rsidTr="00AD2BC8" w14:paraId="439F4B3C" w14:textId="77777777">
        <w:trPr>
          <w:trHeight w:val="300"/>
        </w:trPr>
        <w:tc>
          <w:tcPr>
            <w:tcW w:w="6804" w:type="dxa"/>
            <w:tcBorders>
              <w:left w:val="nil"/>
              <w:bottom w:val="single" w:color="auto" w:sz="4" w:space="0"/>
              <w:right w:val="nil"/>
            </w:tcBorders>
            <w:noWrap/>
          </w:tcPr>
          <w:p w:rsidRPr="009F3C3E" w:rsidR="00060A12" w:rsidP="00AD2BC8" w:rsidRDefault="00060A12" w14:paraId="4C52AB6A" w14:textId="77777777">
            <w:pPr>
              <w:ind w:firstLine="220" w:firstLineChars="100"/>
              <w:rPr>
                <w:rFonts w:ascii="Arial" w:hAnsi="Arial" w:eastAsia="Times New Roman" w:cs="Arial"/>
                <w:sz w:val="20"/>
                <w:szCs w:val="20"/>
              </w:rPr>
            </w:pPr>
            <w:r w:rsidRPr="009F3C3E">
              <w:t>k. 11. szakasz – A kereskedési célú és értékesíthető értékpapírok mutatója</w:t>
            </w:r>
          </w:p>
        </w:tc>
        <w:tc>
          <w:tcPr>
            <w:tcW w:w="2745" w:type="dxa"/>
            <w:tcBorders>
              <w:left w:val="nil"/>
              <w:right w:val="nil"/>
            </w:tcBorders>
            <w:noWrap/>
          </w:tcPr>
          <w:p w:rsidRPr="009F3C3E" w:rsidR="00060A12" w:rsidP="00AD2BC8" w:rsidRDefault="00060A12" w14:paraId="1A86E22B" w14:textId="77777777">
            <w:pPr>
              <w:jc w:val="right"/>
              <w:rPr>
                <w:rFonts w:ascii="Arial" w:hAnsi="Arial" w:eastAsia="Times New Roman" w:cs="Arial"/>
                <w:sz w:val="20"/>
                <w:szCs w:val="20"/>
                <w:lang w:eastAsia="en-GB"/>
              </w:rPr>
            </w:pPr>
          </w:p>
        </w:tc>
      </w:tr>
      <w:tr w:rsidRPr="009F3C3E" w:rsidR="00060A12" w:rsidTr="00AD2BC8" w14:paraId="557ABFF0" w14:textId="77777777">
        <w:trPr>
          <w:trHeight w:val="300"/>
        </w:trPr>
        <w:tc>
          <w:tcPr>
            <w:tcW w:w="6804" w:type="dxa"/>
            <w:tcBorders>
              <w:left w:val="nil"/>
              <w:bottom w:val="single" w:color="auto" w:sz="4" w:space="0"/>
              <w:right w:val="nil"/>
            </w:tcBorders>
            <w:noWrap/>
          </w:tcPr>
          <w:p w:rsidRPr="009F3C3E" w:rsidR="00060A12" w:rsidP="00AD2BC8" w:rsidRDefault="00060A12" w14:paraId="51161ECD" w14:textId="77777777">
            <w:pPr>
              <w:ind w:firstLine="220" w:firstLineChars="100"/>
              <w:rPr>
                <w:rFonts w:ascii="Arial" w:hAnsi="Arial" w:eastAsia="Times New Roman" w:cs="Arial"/>
                <w:sz w:val="20"/>
                <w:szCs w:val="20"/>
              </w:rPr>
            </w:pPr>
            <w:r w:rsidRPr="009F3C3E">
              <w:t>l. 12. szakasz – A 3. szintű eszközök mutatója, beleértve a biztosítási leányvállalatokat is</w:t>
            </w:r>
          </w:p>
        </w:tc>
        <w:tc>
          <w:tcPr>
            <w:tcW w:w="2745" w:type="dxa"/>
            <w:tcBorders>
              <w:left w:val="nil"/>
              <w:right w:val="nil"/>
            </w:tcBorders>
            <w:noWrap/>
          </w:tcPr>
          <w:p w:rsidRPr="009F3C3E" w:rsidR="00060A12" w:rsidP="00AD2BC8" w:rsidRDefault="00060A12" w14:paraId="58A88ECA" w14:textId="77777777">
            <w:pPr>
              <w:jc w:val="right"/>
              <w:rPr>
                <w:rFonts w:ascii="Arial" w:hAnsi="Arial" w:eastAsia="Times New Roman" w:cs="Arial"/>
                <w:sz w:val="20"/>
                <w:szCs w:val="20"/>
                <w:lang w:eastAsia="en-GB"/>
              </w:rPr>
            </w:pPr>
          </w:p>
        </w:tc>
      </w:tr>
      <w:tr w:rsidRPr="009F3C3E" w:rsidR="00060A12" w:rsidTr="00AD2BC8" w14:paraId="40C31AB6" w14:textId="77777777">
        <w:trPr>
          <w:trHeight w:val="300"/>
        </w:trPr>
        <w:tc>
          <w:tcPr>
            <w:tcW w:w="6804" w:type="dxa"/>
            <w:tcBorders>
              <w:left w:val="nil"/>
              <w:bottom w:val="single" w:color="auto" w:sz="4" w:space="0"/>
              <w:right w:val="nil"/>
            </w:tcBorders>
            <w:noWrap/>
          </w:tcPr>
          <w:p w:rsidRPr="009F3C3E" w:rsidR="00060A12" w:rsidP="00AD2BC8" w:rsidRDefault="00060A12" w14:paraId="61222AE2" w14:textId="77777777">
            <w:pPr>
              <w:ind w:firstLine="220" w:firstLineChars="100"/>
              <w:rPr>
                <w:rFonts w:ascii="Arial" w:hAnsi="Arial" w:eastAsia="Times New Roman" w:cs="Arial"/>
                <w:sz w:val="20"/>
                <w:szCs w:val="20"/>
              </w:rPr>
            </w:pPr>
            <w:r w:rsidRPr="009F3C3E">
              <w:t>m. 13. szakasz – A több joghatóságot érintő követelések mutatója</w:t>
            </w:r>
          </w:p>
        </w:tc>
        <w:tc>
          <w:tcPr>
            <w:tcW w:w="2745" w:type="dxa"/>
            <w:tcBorders>
              <w:left w:val="nil"/>
              <w:right w:val="nil"/>
            </w:tcBorders>
            <w:noWrap/>
          </w:tcPr>
          <w:p w:rsidRPr="009F3C3E" w:rsidR="00060A12" w:rsidP="00AD2BC8" w:rsidRDefault="00060A12" w14:paraId="76D411FD" w14:textId="77777777">
            <w:pPr>
              <w:jc w:val="right"/>
              <w:rPr>
                <w:rFonts w:ascii="Arial" w:hAnsi="Arial" w:eastAsia="Times New Roman" w:cs="Arial"/>
                <w:sz w:val="20"/>
                <w:szCs w:val="20"/>
                <w:lang w:eastAsia="en-GB"/>
              </w:rPr>
            </w:pPr>
          </w:p>
        </w:tc>
      </w:tr>
      <w:tr w:rsidRPr="009F3C3E" w:rsidR="00060A12" w:rsidTr="00AD2BC8" w14:paraId="7987CAC9" w14:textId="77777777">
        <w:trPr>
          <w:trHeight w:val="300"/>
        </w:trPr>
        <w:tc>
          <w:tcPr>
            <w:tcW w:w="6804" w:type="dxa"/>
            <w:tcBorders>
              <w:left w:val="nil"/>
              <w:bottom w:val="single" w:color="auto" w:sz="4" w:space="0"/>
              <w:right w:val="nil"/>
            </w:tcBorders>
            <w:noWrap/>
          </w:tcPr>
          <w:p w:rsidRPr="009F3C3E" w:rsidR="00060A12" w:rsidP="00AD2BC8" w:rsidRDefault="00060A12" w14:paraId="17E47F14" w14:textId="77777777">
            <w:pPr>
              <w:ind w:firstLine="220" w:firstLineChars="100"/>
              <w:rPr>
                <w:rFonts w:ascii="Arial" w:hAnsi="Arial" w:eastAsia="Times New Roman" w:cs="Arial"/>
                <w:sz w:val="20"/>
                <w:szCs w:val="20"/>
              </w:rPr>
            </w:pPr>
            <w:r w:rsidRPr="009F3C3E">
              <w:t>n. 14. szakasz – A több joghatóságot érintő kötelezettségek mutatója</w:t>
            </w:r>
          </w:p>
        </w:tc>
        <w:tc>
          <w:tcPr>
            <w:tcW w:w="2745" w:type="dxa"/>
            <w:tcBorders>
              <w:left w:val="nil"/>
              <w:right w:val="nil"/>
            </w:tcBorders>
            <w:noWrap/>
          </w:tcPr>
          <w:p w:rsidRPr="009F3C3E" w:rsidR="00060A12" w:rsidP="00AD2BC8" w:rsidRDefault="00060A12" w14:paraId="33EBD644" w14:textId="77777777">
            <w:pPr>
              <w:jc w:val="right"/>
              <w:rPr>
                <w:rFonts w:ascii="Arial" w:hAnsi="Arial" w:eastAsia="Times New Roman" w:cs="Arial"/>
                <w:sz w:val="20"/>
                <w:szCs w:val="20"/>
                <w:lang w:eastAsia="en-GB"/>
              </w:rPr>
            </w:pPr>
          </w:p>
        </w:tc>
      </w:tr>
      <w:tr w:rsidRPr="009F3C3E" w:rsidR="00060A12" w:rsidTr="00AD2BC8" w14:paraId="7C032465" w14:textId="77777777">
        <w:trPr>
          <w:trHeight w:val="300"/>
        </w:trPr>
        <w:tc>
          <w:tcPr>
            <w:tcW w:w="6804" w:type="dxa"/>
            <w:tcBorders>
              <w:left w:val="nil"/>
              <w:bottom w:val="single" w:color="auto" w:sz="4" w:space="0"/>
              <w:right w:val="nil"/>
            </w:tcBorders>
            <w:noWrap/>
          </w:tcPr>
          <w:p w:rsidRPr="009F3C3E" w:rsidR="00060A12" w:rsidP="00AD2BC8" w:rsidRDefault="00060A12" w14:paraId="697B8A49" w14:textId="77777777">
            <w:pPr>
              <w:ind w:firstLine="220" w:firstLineChars="100"/>
              <w:rPr>
                <w:rFonts w:ascii="Arial" w:hAnsi="Arial" w:eastAsia="Times New Roman" w:cs="Arial"/>
                <w:sz w:val="20"/>
                <w:szCs w:val="20"/>
              </w:rPr>
            </w:pPr>
            <w:r w:rsidRPr="009F3C3E">
              <w:t>o. Egyéb szakaszok</w:t>
            </w:r>
          </w:p>
        </w:tc>
        <w:tc>
          <w:tcPr>
            <w:tcW w:w="2745" w:type="dxa"/>
            <w:tcBorders>
              <w:left w:val="nil"/>
              <w:right w:val="nil"/>
            </w:tcBorders>
            <w:noWrap/>
          </w:tcPr>
          <w:p w:rsidRPr="009F3C3E" w:rsidR="00060A12" w:rsidP="00AD2BC8" w:rsidRDefault="00060A12" w14:paraId="437509BB" w14:textId="77777777">
            <w:pPr>
              <w:jc w:val="right"/>
              <w:rPr>
                <w:rFonts w:ascii="Arial" w:hAnsi="Arial" w:eastAsia="Times New Roman" w:cs="Arial"/>
                <w:sz w:val="20"/>
                <w:szCs w:val="20"/>
                <w:lang w:eastAsia="en-GB"/>
              </w:rPr>
            </w:pPr>
          </w:p>
        </w:tc>
      </w:tr>
      <w:tr w:rsidRPr="009F3C3E" w:rsidR="00060A12" w:rsidTr="00AD2BC8" w14:paraId="3DAEF253" w14:textId="77777777">
        <w:trPr>
          <w:trHeight w:val="300"/>
        </w:trPr>
        <w:tc>
          <w:tcPr>
            <w:tcW w:w="6804" w:type="dxa"/>
            <w:tcBorders>
              <w:left w:val="nil"/>
              <w:bottom w:val="single" w:color="auto" w:sz="4" w:space="0"/>
              <w:right w:val="nil"/>
            </w:tcBorders>
            <w:noWrap/>
          </w:tcPr>
          <w:p w:rsidRPr="009F3C3E" w:rsidR="00060A12" w:rsidP="00AD2BC8" w:rsidRDefault="00060A12" w14:paraId="1F983240" w14:textId="77777777">
            <w:pPr>
              <w:ind w:firstLine="220" w:firstLineChars="100"/>
              <w:rPr>
                <w:rFonts w:ascii="Arial" w:hAnsi="Arial" w:eastAsia="Times New Roman" w:cs="Arial"/>
                <w:sz w:val="20"/>
                <w:szCs w:val="20"/>
              </w:rPr>
            </w:pPr>
            <w:r w:rsidRPr="009F3C3E">
              <w:t>(1) 1.a. tétel – A felügyeleti hatóság által szolgáltatott általános információk</w:t>
            </w:r>
          </w:p>
        </w:tc>
        <w:tc>
          <w:tcPr>
            <w:tcW w:w="2745" w:type="dxa"/>
            <w:tcBorders>
              <w:left w:val="nil"/>
              <w:right w:val="nil"/>
            </w:tcBorders>
            <w:noWrap/>
          </w:tcPr>
          <w:p w:rsidRPr="009F3C3E" w:rsidR="00060A12" w:rsidP="00AD2BC8" w:rsidRDefault="00060A12" w14:paraId="2CCC88F5" w14:textId="77777777">
            <w:pPr>
              <w:jc w:val="right"/>
              <w:rPr>
                <w:rFonts w:ascii="Arial" w:hAnsi="Arial" w:eastAsia="Times New Roman" w:cs="Arial"/>
                <w:sz w:val="20"/>
                <w:szCs w:val="20"/>
                <w:lang w:eastAsia="en-GB"/>
              </w:rPr>
            </w:pPr>
          </w:p>
        </w:tc>
      </w:tr>
      <w:tr w:rsidRPr="009F3C3E" w:rsidR="00060A12" w:rsidTr="00AD2BC8" w14:paraId="58199654" w14:textId="77777777">
        <w:trPr>
          <w:trHeight w:val="300"/>
        </w:trPr>
        <w:tc>
          <w:tcPr>
            <w:tcW w:w="6804" w:type="dxa"/>
            <w:tcBorders>
              <w:left w:val="nil"/>
              <w:bottom w:val="single" w:color="auto" w:sz="4" w:space="0"/>
              <w:right w:val="nil"/>
            </w:tcBorders>
            <w:noWrap/>
          </w:tcPr>
          <w:p w:rsidRPr="009F3C3E" w:rsidR="00060A12" w:rsidP="00AD2BC8" w:rsidRDefault="00060A12" w14:paraId="7B933363" w14:textId="77777777">
            <w:pPr>
              <w:ind w:firstLine="220" w:firstLineChars="100"/>
              <w:rPr>
                <w:rFonts w:ascii="Arial" w:hAnsi="Arial" w:eastAsia="Times New Roman" w:cs="Arial"/>
                <w:sz w:val="20"/>
                <w:szCs w:val="20"/>
              </w:rPr>
            </w:pPr>
            <w:r w:rsidRPr="009F3C3E">
              <w:t>(2) 1.b. tétel – Az adatszolgáltató intézmény által szolgáltatott általános információk</w:t>
            </w:r>
          </w:p>
        </w:tc>
        <w:tc>
          <w:tcPr>
            <w:tcW w:w="2745" w:type="dxa"/>
            <w:tcBorders>
              <w:left w:val="nil"/>
              <w:right w:val="nil"/>
            </w:tcBorders>
            <w:noWrap/>
          </w:tcPr>
          <w:p w:rsidRPr="009F3C3E" w:rsidR="00060A12" w:rsidP="00AD2BC8" w:rsidRDefault="00060A12" w14:paraId="592769FB" w14:textId="77777777">
            <w:pPr>
              <w:jc w:val="right"/>
              <w:rPr>
                <w:rFonts w:ascii="Arial" w:hAnsi="Arial" w:eastAsia="Times New Roman" w:cs="Arial"/>
                <w:sz w:val="20"/>
                <w:szCs w:val="20"/>
                <w:lang w:eastAsia="en-GB"/>
              </w:rPr>
            </w:pPr>
          </w:p>
        </w:tc>
      </w:tr>
      <w:tr w:rsidRPr="009F3C3E" w:rsidR="00060A12" w:rsidTr="00AD2BC8" w14:paraId="76DC284E" w14:textId="77777777">
        <w:trPr>
          <w:trHeight w:val="300"/>
        </w:trPr>
        <w:tc>
          <w:tcPr>
            <w:tcW w:w="6804" w:type="dxa"/>
            <w:tcBorders>
              <w:left w:val="nil"/>
              <w:bottom w:val="single" w:color="auto" w:sz="4" w:space="0"/>
              <w:right w:val="nil"/>
            </w:tcBorders>
            <w:noWrap/>
          </w:tcPr>
          <w:p w:rsidRPr="009F3C3E" w:rsidR="00060A12" w:rsidP="00AD2BC8" w:rsidRDefault="00060A12" w14:paraId="68A8EDAE" w14:textId="77777777">
            <w:pPr>
              <w:ind w:firstLine="220" w:firstLineChars="100"/>
              <w:rPr>
                <w:rFonts w:ascii="Arial" w:hAnsi="Arial" w:eastAsia="Times New Roman" w:cs="Arial"/>
                <w:sz w:val="20"/>
                <w:szCs w:val="20"/>
              </w:rPr>
            </w:pPr>
            <w:r w:rsidRPr="009F3C3E">
              <w:t>(3) 15. szakasz – Kiegészítő mutatók</w:t>
            </w:r>
          </w:p>
        </w:tc>
        <w:tc>
          <w:tcPr>
            <w:tcW w:w="2745" w:type="dxa"/>
            <w:tcBorders>
              <w:left w:val="nil"/>
              <w:right w:val="nil"/>
            </w:tcBorders>
            <w:noWrap/>
          </w:tcPr>
          <w:p w:rsidRPr="009F3C3E" w:rsidR="00060A12" w:rsidP="00AD2BC8" w:rsidRDefault="00060A12" w14:paraId="33B30BE5" w14:textId="77777777">
            <w:pPr>
              <w:jc w:val="right"/>
              <w:rPr>
                <w:rFonts w:ascii="Arial" w:hAnsi="Arial" w:eastAsia="Times New Roman" w:cs="Arial"/>
                <w:sz w:val="20"/>
                <w:szCs w:val="20"/>
                <w:lang w:eastAsia="en-GB"/>
              </w:rPr>
            </w:pPr>
          </w:p>
        </w:tc>
      </w:tr>
      <w:tr w:rsidRPr="009F3C3E" w:rsidR="00060A12" w:rsidTr="00AD2BC8" w14:paraId="620FF909" w14:textId="77777777">
        <w:trPr>
          <w:trHeight w:val="300"/>
        </w:trPr>
        <w:tc>
          <w:tcPr>
            <w:tcW w:w="6804" w:type="dxa"/>
            <w:tcBorders>
              <w:left w:val="nil"/>
              <w:bottom w:val="single" w:color="auto" w:sz="4" w:space="0"/>
              <w:right w:val="nil"/>
            </w:tcBorders>
            <w:noWrap/>
          </w:tcPr>
          <w:p w:rsidRPr="009F3C3E" w:rsidR="00060A12" w:rsidP="00AD2BC8" w:rsidRDefault="00060A12" w14:paraId="7703298D" w14:textId="77777777">
            <w:pPr>
              <w:ind w:firstLine="220" w:firstLineChars="100"/>
              <w:rPr>
                <w:rFonts w:ascii="Arial" w:hAnsi="Arial" w:eastAsia="Times New Roman" w:cs="Arial"/>
                <w:sz w:val="20"/>
                <w:szCs w:val="20"/>
              </w:rPr>
            </w:pPr>
            <w:r w:rsidRPr="009F3C3E">
              <w:t>(4) 16. szakasz – Kiegészítő tételek</w:t>
            </w:r>
          </w:p>
        </w:tc>
        <w:tc>
          <w:tcPr>
            <w:tcW w:w="2745" w:type="dxa"/>
            <w:tcBorders>
              <w:left w:val="nil"/>
              <w:right w:val="nil"/>
            </w:tcBorders>
            <w:noWrap/>
          </w:tcPr>
          <w:p w:rsidRPr="009F3C3E" w:rsidR="00060A12" w:rsidP="00AD2BC8" w:rsidRDefault="00060A12" w14:paraId="4F5DF1BF" w14:textId="77777777">
            <w:pPr>
              <w:jc w:val="right"/>
              <w:rPr>
                <w:rFonts w:ascii="Arial" w:hAnsi="Arial" w:eastAsia="Times New Roman" w:cs="Arial"/>
                <w:sz w:val="20"/>
                <w:szCs w:val="20"/>
                <w:lang w:eastAsia="en-GB"/>
              </w:rPr>
            </w:pPr>
          </w:p>
        </w:tc>
      </w:tr>
      <w:tr w:rsidRPr="009F3C3E" w:rsidR="00060A12" w:rsidTr="00AD2BC8" w14:paraId="5AB1870B" w14:textId="77777777">
        <w:trPr>
          <w:trHeight w:val="300"/>
        </w:trPr>
        <w:tc>
          <w:tcPr>
            <w:tcW w:w="6804" w:type="dxa"/>
            <w:tcBorders>
              <w:left w:val="nil"/>
              <w:bottom w:val="single" w:color="auto" w:sz="4" w:space="0"/>
              <w:right w:val="nil"/>
            </w:tcBorders>
            <w:noWrap/>
          </w:tcPr>
          <w:p w:rsidRPr="009F3C3E" w:rsidR="00060A12" w:rsidP="00AD2BC8" w:rsidRDefault="00060A12" w14:paraId="19D1C782" w14:textId="77777777">
            <w:pPr>
              <w:ind w:firstLine="220" w:firstLineChars="100"/>
              <w:rPr>
                <w:rFonts w:ascii="Arial" w:hAnsi="Arial" w:eastAsia="Times New Roman" w:cs="Arial"/>
                <w:sz w:val="20"/>
                <w:szCs w:val="20"/>
              </w:rPr>
            </w:pPr>
            <w:r w:rsidRPr="009F3C3E">
              <w:t>(5) 17. szakasz – A méretre vonatkozó tételek</w:t>
            </w:r>
          </w:p>
        </w:tc>
        <w:tc>
          <w:tcPr>
            <w:tcW w:w="2745" w:type="dxa"/>
            <w:tcBorders>
              <w:left w:val="nil"/>
              <w:right w:val="nil"/>
            </w:tcBorders>
            <w:noWrap/>
          </w:tcPr>
          <w:p w:rsidRPr="009F3C3E" w:rsidR="00060A12" w:rsidP="00AD2BC8" w:rsidRDefault="00060A12" w14:paraId="1FDF75A9" w14:textId="77777777">
            <w:pPr>
              <w:jc w:val="right"/>
              <w:rPr>
                <w:rFonts w:ascii="Arial" w:hAnsi="Arial" w:eastAsia="Times New Roman" w:cs="Arial"/>
                <w:sz w:val="20"/>
                <w:szCs w:val="20"/>
                <w:lang w:eastAsia="en-GB"/>
              </w:rPr>
            </w:pPr>
          </w:p>
        </w:tc>
      </w:tr>
      <w:tr w:rsidRPr="009F3C3E" w:rsidR="00060A12" w:rsidTr="00AD2BC8" w14:paraId="1A50A8BA" w14:textId="77777777">
        <w:trPr>
          <w:trHeight w:val="300"/>
        </w:trPr>
        <w:tc>
          <w:tcPr>
            <w:tcW w:w="6804" w:type="dxa"/>
            <w:tcBorders>
              <w:left w:val="nil"/>
              <w:bottom w:val="single" w:color="auto" w:sz="4" w:space="0"/>
              <w:right w:val="nil"/>
            </w:tcBorders>
            <w:noWrap/>
          </w:tcPr>
          <w:p w:rsidRPr="009F3C3E" w:rsidR="00060A12" w:rsidP="00AD2BC8" w:rsidRDefault="00060A12" w14:paraId="6796A91B" w14:textId="77777777">
            <w:pPr>
              <w:ind w:firstLine="220" w:firstLineChars="100"/>
              <w:rPr>
                <w:rFonts w:ascii="Arial" w:hAnsi="Arial" w:eastAsia="Times New Roman" w:cs="Arial"/>
                <w:sz w:val="20"/>
                <w:szCs w:val="20"/>
              </w:rPr>
            </w:pPr>
            <w:r w:rsidRPr="009F3C3E">
              <w:t>(6) 18. szakasz – Az összekapcsoltságra vonatkozó tételek</w:t>
            </w:r>
          </w:p>
        </w:tc>
        <w:tc>
          <w:tcPr>
            <w:tcW w:w="2745" w:type="dxa"/>
            <w:tcBorders>
              <w:left w:val="nil"/>
              <w:right w:val="nil"/>
            </w:tcBorders>
            <w:noWrap/>
          </w:tcPr>
          <w:p w:rsidRPr="009F3C3E" w:rsidR="00060A12" w:rsidP="00AD2BC8" w:rsidRDefault="00060A12" w14:paraId="19E2512B" w14:textId="77777777">
            <w:pPr>
              <w:jc w:val="right"/>
              <w:rPr>
                <w:rFonts w:ascii="Arial" w:hAnsi="Arial" w:eastAsia="Times New Roman" w:cs="Arial"/>
                <w:sz w:val="20"/>
                <w:szCs w:val="20"/>
                <w:lang w:eastAsia="en-GB"/>
              </w:rPr>
            </w:pPr>
          </w:p>
        </w:tc>
      </w:tr>
      <w:tr w:rsidRPr="009F3C3E" w:rsidR="00060A12" w:rsidTr="00AD2BC8" w14:paraId="46853B53" w14:textId="77777777">
        <w:trPr>
          <w:trHeight w:val="300"/>
        </w:trPr>
        <w:tc>
          <w:tcPr>
            <w:tcW w:w="6804" w:type="dxa"/>
            <w:tcBorders>
              <w:left w:val="nil"/>
              <w:bottom w:val="single" w:color="auto" w:sz="4" w:space="0"/>
              <w:right w:val="nil"/>
            </w:tcBorders>
            <w:noWrap/>
          </w:tcPr>
          <w:p w:rsidRPr="009F3C3E" w:rsidR="00060A12" w:rsidP="00AD2BC8" w:rsidRDefault="00060A12" w14:paraId="2365B3B3" w14:textId="77777777">
            <w:pPr>
              <w:ind w:firstLine="220" w:firstLineChars="100"/>
              <w:rPr>
                <w:rFonts w:ascii="Arial" w:hAnsi="Arial" w:eastAsia="Times New Roman" w:cs="Arial"/>
                <w:sz w:val="20"/>
                <w:szCs w:val="20"/>
              </w:rPr>
            </w:pPr>
            <w:r w:rsidRPr="009F3C3E">
              <w:t>(7) 19. szakasz – A helyettesíthetőségre/A pénzügyi infrastruktúrára vonatkozó tételek</w:t>
            </w:r>
          </w:p>
        </w:tc>
        <w:tc>
          <w:tcPr>
            <w:tcW w:w="2745" w:type="dxa"/>
            <w:tcBorders>
              <w:left w:val="nil"/>
              <w:right w:val="nil"/>
            </w:tcBorders>
            <w:noWrap/>
          </w:tcPr>
          <w:p w:rsidRPr="009F3C3E" w:rsidR="00060A12" w:rsidP="00AD2BC8" w:rsidRDefault="00060A12" w14:paraId="0FABA27C" w14:textId="77777777">
            <w:pPr>
              <w:jc w:val="right"/>
              <w:rPr>
                <w:rFonts w:ascii="Arial" w:hAnsi="Arial" w:eastAsia="Times New Roman" w:cs="Arial"/>
                <w:sz w:val="20"/>
                <w:szCs w:val="20"/>
                <w:lang w:eastAsia="en-GB"/>
              </w:rPr>
            </w:pPr>
          </w:p>
        </w:tc>
      </w:tr>
      <w:tr w:rsidRPr="009F3C3E" w:rsidR="00060A12" w:rsidTr="00AD2BC8" w14:paraId="39DD4B56" w14:textId="77777777">
        <w:trPr>
          <w:trHeight w:val="300"/>
        </w:trPr>
        <w:tc>
          <w:tcPr>
            <w:tcW w:w="6804" w:type="dxa"/>
            <w:tcBorders>
              <w:left w:val="nil"/>
              <w:bottom w:val="single" w:color="auto" w:sz="4" w:space="0"/>
              <w:right w:val="nil"/>
            </w:tcBorders>
            <w:noWrap/>
          </w:tcPr>
          <w:p w:rsidRPr="009F3C3E" w:rsidR="00060A12" w:rsidP="00AD2BC8" w:rsidRDefault="00060A12" w14:paraId="0041B58D" w14:textId="77777777">
            <w:pPr>
              <w:ind w:firstLine="220" w:firstLineChars="100"/>
              <w:rPr>
                <w:rFonts w:ascii="Arial" w:hAnsi="Arial" w:eastAsia="Times New Roman" w:cs="Arial"/>
                <w:sz w:val="20"/>
                <w:szCs w:val="20"/>
              </w:rPr>
            </w:pPr>
            <w:r w:rsidRPr="009F3C3E">
              <w:t>(8) 20. szakasz – Az összetettségre vonatkozó tételek</w:t>
            </w:r>
          </w:p>
        </w:tc>
        <w:tc>
          <w:tcPr>
            <w:tcW w:w="2745" w:type="dxa"/>
            <w:tcBorders>
              <w:left w:val="nil"/>
              <w:right w:val="nil"/>
            </w:tcBorders>
            <w:noWrap/>
          </w:tcPr>
          <w:p w:rsidRPr="009F3C3E" w:rsidR="00060A12" w:rsidP="00AD2BC8" w:rsidRDefault="00060A12" w14:paraId="73DE7FE4" w14:textId="77777777">
            <w:pPr>
              <w:jc w:val="right"/>
              <w:rPr>
                <w:rFonts w:ascii="Arial" w:hAnsi="Arial" w:eastAsia="Times New Roman" w:cs="Arial"/>
                <w:sz w:val="20"/>
                <w:szCs w:val="20"/>
                <w:lang w:eastAsia="en-GB"/>
              </w:rPr>
            </w:pPr>
          </w:p>
        </w:tc>
      </w:tr>
      <w:tr w:rsidRPr="009F3C3E" w:rsidR="00060A12" w:rsidTr="00AD2BC8" w14:paraId="39688F81" w14:textId="77777777">
        <w:trPr>
          <w:trHeight w:val="300"/>
        </w:trPr>
        <w:tc>
          <w:tcPr>
            <w:tcW w:w="6804" w:type="dxa"/>
            <w:tcBorders>
              <w:left w:val="nil"/>
              <w:bottom w:val="single" w:color="auto" w:sz="4" w:space="0"/>
              <w:right w:val="nil"/>
            </w:tcBorders>
            <w:noWrap/>
          </w:tcPr>
          <w:p w:rsidRPr="009F3C3E" w:rsidR="00060A12" w:rsidP="00AD2BC8" w:rsidRDefault="00060A12" w14:paraId="799FEDB1" w14:textId="77777777">
            <w:pPr>
              <w:ind w:firstLine="220" w:firstLineChars="100"/>
              <w:rPr>
                <w:rFonts w:ascii="Arial" w:hAnsi="Arial" w:eastAsia="Times New Roman" w:cs="Arial"/>
                <w:sz w:val="20"/>
                <w:szCs w:val="20"/>
              </w:rPr>
            </w:pPr>
            <w:r w:rsidRPr="009F3C3E">
              <w:t>(9) 21. szakasz – A több joghatóságot érintő tevékenységekre vonatkozó tételek</w:t>
            </w:r>
          </w:p>
        </w:tc>
        <w:tc>
          <w:tcPr>
            <w:tcW w:w="2745" w:type="dxa"/>
            <w:tcBorders>
              <w:left w:val="nil"/>
              <w:right w:val="nil"/>
            </w:tcBorders>
            <w:noWrap/>
          </w:tcPr>
          <w:p w:rsidRPr="009F3C3E" w:rsidR="00060A12" w:rsidP="00AD2BC8" w:rsidRDefault="00060A12" w14:paraId="076E9C23" w14:textId="77777777">
            <w:pPr>
              <w:jc w:val="right"/>
              <w:rPr>
                <w:rFonts w:ascii="Arial" w:hAnsi="Arial" w:eastAsia="Times New Roman" w:cs="Arial"/>
                <w:sz w:val="20"/>
                <w:szCs w:val="20"/>
                <w:lang w:eastAsia="en-GB"/>
              </w:rPr>
            </w:pPr>
          </w:p>
        </w:tc>
      </w:tr>
      <w:tr w:rsidRPr="009F3C3E" w:rsidR="00060A12" w:rsidTr="00AD2BC8" w14:paraId="58C432E4" w14:textId="77777777">
        <w:trPr>
          <w:trHeight w:val="300"/>
        </w:trPr>
        <w:tc>
          <w:tcPr>
            <w:tcW w:w="6804" w:type="dxa"/>
            <w:tcBorders>
              <w:left w:val="nil"/>
              <w:bottom w:val="single" w:color="auto" w:sz="4" w:space="0"/>
              <w:right w:val="nil"/>
            </w:tcBorders>
            <w:noWrap/>
          </w:tcPr>
          <w:p w:rsidRPr="009F3C3E" w:rsidR="00060A12" w:rsidP="00AD2BC8" w:rsidRDefault="00060A12" w14:paraId="7B5628D1" w14:textId="77777777">
            <w:pPr>
              <w:ind w:firstLine="220" w:firstLineChars="100"/>
              <w:rPr>
                <w:rFonts w:ascii="Arial" w:hAnsi="Arial" w:eastAsia="Times New Roman" w:cs="Arial"/>
                <w:sz w:val="20"/>
                <w:szCs w:val="20"/>
              </w:rPr>
            </w:pPr>
            <w:r w:rsidRPr="009F3C3E">
              <w:t>(10) 22. szakasz – Kiegészítő mutatók</w:t>
            </w:r>
          </w:p>
        </w:tc>
        <w:tc>
          <w:tcPr>
            <w:tcW w:w="2745" w:type="dxa"/>
            <w:tcBorders>
              <w:left w:val="nil"/>
              <w:right w:val="nil"/>
            </w:tcBorders>
            <w:noWrap/>
          </w:tcPr>
          <w:p w:rsidRPr="009F3C3E" w:rsidR="00060A12" w:rsidP="00AD2BC8" w:rsidRDefault="00060A12" w14:paraId="3368DBC7" w14:textId="77777777">
            <w:pPr>
              <w:jc w:val="right"/>
              <w:rPr>
                <w:rFonts w:ascii="Arial" w:hAnsi="Arial" w:eastAsia="Times New Roman" w:cs="Arial"/>
                <w:sz w:val="20"/>
                <w:szCs w:val="20"/>
                <w:lang w:eastAsia="en-GB"/>
              </w:rPr>
            </w:pPr>
          </w:p>
        </w:tc>
      </w:tr>
      <w:tr w:rsidRPr="009F3C3E" w:rsidR="00060A12" w:rsidTr="00AD2BC8" w14:paraId="4A707D09" w14:textId="77777777">
        <w:trPr>
          <w:trHeight w:val="300"/>
        </w:trPr>
        <w:tc>
          <w:tcPr>
            <w:tcW w:w="6804" w:type="dxa"/>
            <w:tcBorders>
              <w:left w:val="nil"/>
              <w:bottom w:val="single" w:color="auto" w:sz="4" w:space="0"/>
              <w:right w:val="nil"/>
            </w:tcBorders>
            <w:noWrap/>
          </w:tcPr>
          <w:p w:rsidRPr="009F3C3E" w:rsidR="00060A12" w:rsidP="00AD2BC8" w:rsidRDefault="00060A12" w14:paraId="79E1273F" w14:textId="77777777">
            <w:pPr>
              <w:rPr>
                <w:b/>
                <w:bCs/>
              </w:rPr>
            </w:pPr>
          </w:p>
        </w:tc>
        <w:tc>
          <w:tcPr>
            <w:tcW w:w="2745" w:type="dxa"/>
            <w:tcBorders>
              <w:left w:val="nil"/>
              <w:right w:val="nil"/>
            </w:tcBorders>
            <w:noWrap/>
          </w:tcPr>
          <w:p w:rsidRPr="009F3C3E" w:rsidR="00060A12" w:rsidP="00AD2BC8" w:rsidRDefault="00060A12" w14:paraId="4DAB9498" w14:textId="77777777">
            <w:pPr>
              <w:jc w:val="center"/>
              <w:rPr>
                <w:b/>
                <w:bCs/>
              </w:rPr>
            </w:pPr>
          </w:p>
        </w:tc>
      </w:tr>
      <w:tr w:rsidRPr="009F3C3E" w:rsidR="00060A12" w:rsidTr="00AD2BC8" w14:paraId="38142DC7" w14:textId="77777777">
        <w:trPr>
          <w:trHeight w:val="300"/>
        </w:trPr>
        <w:tc>
          <w:tcPr>
            <w:tcW w:w="6804" w:type="dxa"/>
            <w:tcBorders>
              <w:left w:val="nil"/>
              <w:bottom w:val="single" w:color="auto" w:sz="4" w:space="0"/>
              <w:right w:val="nil"/>
            </w:tcBorders>
            <w:noWrap/>
          </w:tcPr>
          <w:p w:rsidRPr="009F3C3E" w:rsidR="00060A12" w:rsidP="00AD2BC8" w:rsidRDefault="00060A12" w14:paraId="587998BC" w14:textId="77777777">
            <w:pPr>
              <w:rPr>
                <w:rFonts w:ascii="Arial" w:hAnsi="Arial" w:eastAsia="Times New Roman" w:cs="Arial"/>
                <w:sz w:val="20"/>
                <w:szCs w:val="20"/>
              </w:rPr>
            </w:pPr>
            <w:r w:rsidRPr="009F3C3E">
              <w:rPr>
                <w:b/>
              </w:rPr>
              <w:t>24. szakasz – A mutatók értéke (régi módszertan)</w:t>
            </w:r>
          </w:p>
        </w:tc>
        <w:tc>
          <w:tcPr>
            <w:tcW w:w="2745" w:type="dxa"/>
            <w:tcBorders>
              <w:left w:val="nil"/>
              <w:right w:val="nil"/>
            </w:tcBorders>
            <w:noWrap/>
          </w:tcPr>
          <w:p w:rsidRPr="009F3C3E" w:rsidR="00060A12" w:rsidP="00AD2BC8" w:rsidRDefault="00060A12" w14:paraId="4BE555AA" w14:textId="77777777">
            <w:pPr>
              <w:jc w:val="center"/>
              <w:rPr>
                <w:rFonts w:ascii="Arial" w:hAnsi="Arial" w:eastAsia="Times New Roman" w:cs="Arial"/>
                <w:sz w:val="20"/>
                <w:szCs w:val="20"/>
              </w:rPr>
            </w:pPr>
            <w:r w:rsidRPr="009F3C3E">
              <w:rPr>
                <w:b/>
              </w:rPr>
              <w:t>Mutató értéke az adatszolgáltatáshoz használt pénznemben kifejezve</w:t>
            </w:r>
          </w:p>
        </w:tc>
      </w:tr>
      <w:tr w:rsidRPr="009F3C3E" w:rsidR="00060A12" w:rsidTr="00AD2BC8" w14:paraId="11A4484A" w14:textId="77777777">
        <w:trPr>
          <w:trHeight w:val="300"/>
        </w:trPr>
        <w:tc>
          <w:tcPr>
            <w:tcW w:w="6804" w:type="dxa"/>
            <w:tcBorders>
              <w:left w:val="nil"/>
              <w:bottom w:val="single" w:color="auto" w:sz="4" w:space="0"/>
              <w:right w:val="nil"/>
            </w:tcBorders>
            <w:noWrap/>
          </w:tcPr>
          <w:p w:rsidRPr="009F3C3E" w:rsidR="00060A12" w:rsidP="00AD2BC8" w:rsidRDefault="00060A12" w14:paraId="792D0F05" w14:textId="77777777">
            <w:pPr>
              <w:ind w:firstLine="220" w:firstLineChars="100"/>
              <w:rPr>
                <w:rFonts w:ascii="Arial" w:hAnsi="Arial" w:eastAsia="Times New Roman" w:cs="Arial"/>
                <w:sz w:val="20"/>
                <w:szCs w:val="20"/>
              </w:rPr>
            </w:pPr>
            <w:r w:rsidRPr="009F3C3E">
              <w:t>a. 2. szakasz – A teljes kitettség mutatója</w:t>
            </w:r>
          </w:p>
        </w:tc>
        <w:tc>
          <w:tcPr>
            <w:tcW w:w="2745" w:type="dxa"/>
            <w:tcBorders>
              <w:left w:val="nil"/>
              <w:right w:val="nil"/>
            </w:tcBorders>
            <w:noWrap/>
          </w:tcPr>
          <w:p w:rsidRPr="009F3C3E" w:rsidR="00060A12" w:rsidP="00AD2BC8" w:rsidRDefault="00060A12" w14:paraId="50A629F4" w14:textId="77777777">
            <w:pPr>
              <w:jc w:val="right"/>
              <w:rPr>
                <w:rFonts w:ascii="Arial" w:hAnsi="Arial" w:eastAsia="Times New Roman" w:cs="Arial"/>
                <w:sz w:val="20"/>
                <w:szCs w:val="20"/>
                <w:lang w:eastAsia="en-GB"/>
              </w:rPr>
            </w:pPr>
          </w:p>
        </w:tc>
      </w:tr>
      <w:tr w:rsidRPr="009F3C3E" w:rsidR="00060A12" w:rsidTr="00AD2BC8" w14:paraId="163DCD8A" w14:textId="77777777">
        <w:trPr>
          <w:trHeight w:val="300"/>
        </w:trPr>
        <w:tc>
          <w:tcPr>
            <w:tcW w:w="6804" w:type="dxa"/>
            <w:tcBorders>
              <w:left w:val="nil"/>
              <w:bottom w:val="single" w:color="auto" w:sz="4" w:space="0"/>
              <w:right w:val="nil"/>
            </w:tcBorders>
            <w:noWrap/>
          </w:tcPr>
          <w:p w:rsidRPr="009F3C3E" w:rsidR="00060A12" w:rsidP="00AD2BC8" w:rsidRDefault="00060A12" w14:paraId="6675FFC5" w14:textId="77777777">
            <w:pPr>
              <w:ind w:firstLine="220" w:firstLineChars="100"/>
              <w:rPr>
                <w:rFonts w:ascii="Arial" w:hAnsi="Arial" w:eastAsia="Times New Roman" w:cs="Arial"/>
                <w:sz w:val="20"/>
                <w:szCs w:val="20"/>
              </w:rPr>
            </w:pPr>
            <w:r w:rsidRPr="009F3C3E">
              <w:t>b. 18. szakasz – A pénzügyi rendszeren belüli eszközök mutatója</w:t>
            </w:r>
          </w:p>
        </w:tc>
        <w:tc>
          <w:tcPr>
            <w:tcW w:w="2745" w:type="dxa"/>
            <w:tcBorders>
              <w:left w:val="nil"/>
              <w:right w:val="nil"/>
            </w:tcBorders>
            <w:noWrap/>
          </w:tcPr>
          <w:p w:rsidRPr="009F3C3E" w:rsidR="00060A12" w:rsidP="00AD2BC8" w:rsidRDefault="00060A12" w14:paraId="57E20DF1" w14:textId="77777777">
            <w:pPr>
              <w:jc w:val="right"/>
              <w:rPr>
                <w:rFonts w:ascii="Arial" w:hAnsi="Arial" w:eastAsia="Times New Roman" w:cs="Arial"/>
                <w:sz w:val="20"/>
                <w:szCs w:val="20"/>
                <w:lang w:eastAsia="en-GB"/>
              </w:rPr>
            </w:pPr>
          </w:p>
        </w:tc>
      </w:tr>
      <w:tr w:rsidRPr="009F3C3E" w:rsidR="00060A12" w:rsidTr="00AD2BC8" w14:paraId="0C91AC6F" w14:textId="77777777">
        <w:trPr>
          <w:trHeight w:val="300"/>
        </w:trPr>
        <w:tc>
          <w:tcPr>
            <w:tcW w:w="6804" w:type="dxa"/>
            <w:tcBorders>
              <w:left w:val="nil"/>
              <w:bottom w:val="single" w:color="auto" w:sz="4" w:space="0"/>
              <w:right w:val="nil"/>
            </w:tcBorders>
            <w:noWrap/>
          </w:tcPr>
          <w:p w:rsidRPr="009F3C3E" w:rsidR="00060A12" w:rsidP="00AD2BC8" w:rsidRDefault="00060A12" w14:paraId="5C02EBB1" w14:textId="77777777">
            <w:pPr>
              <w:ind w:firstLine="220" w:firstLineChars="100"/>
              <w:rPr>
                <w:rFonts w:ascii="Arial" w:hAnsi="Arial" w:eastAsia="Times New Roman" w:cs="Arial"/>
                <w:sz w:val="20"/>
                <w:szCs w:val="20"/>
              </w:rPr>
            </w:pPr>
            <w:r w:rsidRPr="009F3C3E">
              <w:t>c. 18. szakasz – A pénzügyi rendszeren belüli kötelezettségek mutatója</w:t>
            </w:r>
          </w:p>
        </w:tc>
        <w:tc>
          <w:tcPr>
            <w:tcW w:w="2745" w:type="dxa"/>
            <w:tcBorders>
              <w:left w:val="nil"/>
              <w:right w:val="nil"/>
            </w:tcBorders>
            <w:noWrap/>
          </w:tcPr>
          <w:p w:rsidRPr="009F3C3E" w:rsidR="00060A12" w:rsidP="00AD2BC8" w:rsidRDefault="00060A12" w14:paraId="7718C6DB" w14:textId="77777777">
            <w:pPr>
              <w:jc w:val="right"/>
              <w:rPr>
                <w:rFonts w:ascii="Arial" w:hAnsi="Arial" w:eastAsia="Times New Roman" w:cs="Arial"/>
                <w:sz w:val="20"/>
                <w:szCs w:val="20"/>
                <w:lang w:eastAsia="en-GB"/>
              </w:rPr>
            </w:pPr>
          </w:p>
        </w:tc>
      </w:tr>
      <w:tr w:rsidRPr="009F3C3E" w:rsidR="00060A12" w:rsidTr="00AD2BC8" w14:paraId="3FECE7FC" w14:textId="77777777">
        <w:trPr>
          <w:trHeight w:val="300"/>
        </w:trPr>
        <w:tc>
          <w:tcPr>
            <w:tcW w:w="6804" w:type="dxa"/>
            <w:tcBorders>
              <w:left w:val="nil"/>
              <w:bottom w:val="single" w:color="auto" w:sz="4" w:space="0"/>
              <w:right w:val="nil"/>
            </w:tcBorders>
            <w:noWrap/>
          </w:tcPr>
          <w:p w:rsidRPr="009F3C3E" w:rsidR="00060A12" w:rsidP="00AD2BC8" w:rsidRDefault="00060A12" w14:paraId="4B90CEF4" w14:textId="77777777">
            <w:pPr>
              <w:ind w:firstLine="220" w:firstLineChars="100"/>
              <w:rPr>
                <w:rFonts w:ascii="Arial" w:hAnsi="Arial" w:eastAsia="Times New Roman" w:cs="Arial"/>
                <w:sz w:val="20"/>
                <w:szCs w:val="20"/>
              </w:rPr>
            </w:pPr>
            <w:r w:rsidRPr="009F3C3E">
              <w:t>d. 18. szakasz – A forgalomban lévő értékpapírok mutatója</w:t>
            </w:r>
          </w:p>
        </w:tc>
        <w:tc>
          <w:tcPr>
            <w:tcW w:w="2745" w:type="dxa"/>
            <w:tcBorders>
              <w:left w:val="nil"/>
              <w:right w:val="nil"/>
            </w:tcBorders>
            <w:noWrap/>
          </w:tcPr>
          <w:p w:rsidRPr="009F3C3E" w:rsidR="00060A12" w:rsidP="00AD2BC8" w:rsidRDefault="00060A12" w14:paraId="0D603C10" w14:textId="77777777">
            <w:pPr>
              <w:jc w:val="right"/>
              <w:rPr>
                <w:rFonts w:ascii="Arial" w:hAnsi="Arial" w:eastAsia="Times New Roman" w:cs="Arial"/>
                <w:sz w:val="20"/>
                <w:szCs w:val="20"/>
                <w:lang w:eastAsia="en-GB"/>
              </w:rPr>
            </w:pPr>
          </w:p>
        </w:tc>
      </w:tr>
      <w:tr w:rsidRPr="009F3C3E" w:rsidR="00060A12" w:rsidTr="00AD2BC8" w14:paraId="13A8CD6C" w14:textId="77777777">
        <w:trPr>
          <w:trHeight w:val="300"/>
        </w:trPr>
        <w:tc>
          <w:tcPr>
            <w:tcW w:w="6804" w:type="dxa"/>
            <w:tcBorders>
              <w:left w:val="nil"/>
              <w:bottom w:val="single" w:color="auto" w:sz="4" w:space="0"/>
              <w:right w:val="nil"/>
            </w:tcBorders>
            <w:noWrap/>
          </w:tcPr>
          <w:p w:rsidRPr="009F3C3E" w:rsidR="00060A12" w:rsidP="00AD2BC8" w:rsidRDefault="00060A12" w14:paraId="7E8C94E5" w14:textId="77777777">
            <w:pPr>
              <w:ind w:firstLine="220" w:firstLineChars="100"/>
              <w:rPr>
                <w:rFonts w:ascii="Arial" w:hAnsi="Arial" w:eastAsia="Times New Roman" w:cs="Arial"/>
                <w:sz w:val="20"/>
                <w:szCs w:val="20"/>
              </w:rPr>
            </w:pPr>
            <w:r w:rsidRPr="009F3C3E">
              <w:t>e. 6. szakasz – A pénzforgalmi tevékenység mutatója</w:t>
            </w:r>
          </w:p>
        </w:tc>
        <w:tc>
          <w:tcPr>
            <w:tcW w:w="2745" w:type="dxa"/>
            <w:tcBorders>
              <w:left w:val="nil"/>
              <w:right w:val="nil"/>
            </w:tcBorders>
            <w:noWrap/>
          </w:tcPr>
          <w:p w:rsidRPr="009F3C3E" w:rsidR="00060A12" w:rsidP="00AD2BC8" w:rsidRDefault="00060A12" w14:paraId="72391A09" w14:textId="77777777">
            <w:pPr>
              <w:jc w:val="right"/>
              <w:rPr>
                <w:rFonts w:ascii="Arial" w:hAnsi="Arial" w:eastAsia="Times New Roman" w:cs="Arial"/>
                <w:sz w:val="20"/>
                <w:szCs w:val="20"/>
                <w:lang w:eastAsia="en-GB"/>
              </w:rPr>
            </w:pPr>
          </w:p>
        </w:tc>
      </w:tr>
      <w:tr w:rsidRPr="009F3C3E" w:rsidR="00060A12" w:rsidTr="00AD2BC8" w14:paraId="3C314C20" w14:textId="77777777">
        <w:trPr>
          <w:trHeight w:val="300"/>
        </w:trPr>
        <w:tc>
          <w:tcPr>
            <w:tcW w:w="6804" w:type="dxa"/>
            <w:tcBorders>
              <w:left w:val="nil"/>
              <w:bottom w:val="single" w:color="auto" w:sz="4" w:space="0"/>
              <w:right w:val="nil"/>
            </w:tcBorders>
            <w:noWrap/>
          </w:tcPr>
          <w:p w:rsidRPr="009F3C3E" w:rsidR="00060A12" w:rsidP="00AD2BC8" w:rsidRDefault="00060A12" w14:paraId="4DDD6F57" w14:textId="77777777">
            <w:pPr>
              <w:ind w:firstLine="220" w:firstLineChars="100"/>
              <w:rPr>
                <w:rFonts w:ascii="Arial" w:hAnsi="Arial" w:eastAsia="Times New Roman" w:cs="Arial"/>
                <w:sz w:val="20"/>
                <w:szCs w:val="20"/>
              </w:rPr>
            </w:pPr>
            <w:r w:rsidRPr="009F3C3E">
              <w:t>f. 7. szakasz – A letétbe helyezett eszközök mutatója</w:t>
            </w:r>
          </w:p>
        </w:tc>
        <w:tc>
          <w:tcPr>
            <w:tcW w:w="2745" w:type="dxa"/>
            <w:tcBorders>
              <w:left w:val="nil"/>
              <w:right w:val="nil"/>
            </w:tcBorders>
            <w:noWrap/>
          </w:tcPr>
          <w:p w:rsidRPr="009F3C3E" w:rsidR="00060A12" w:rsidP="00AD2BC8" w:rsidRDefault="00060A12" w14:paraId="430544E8" w14:textId="77777777">
            <w:pPr>
              <w:jc w:val="right"/>
              <w:rPr>
                <w:rFonts w:ascii="Arial" w:hAnsi="Arial" w:eastAsia="Times New Roman" w:cs="Arial"/>
                <w:sz w:val="20"/>
                <w:szCs w:val="20"/>
                <w:lang w:eastAsia="en-GB"/>
              </w:rPr>
            </w:pPr>
          </w:p>
        </w:tc>
      </w:tr>
      <w:tr w:rsidRPr="009F3C3E" w:rsidR="00060A12" w:rsidTr="00AD2BC8" w14:paraId="26FFFDFC" w14:textId="77777777">
        <w:trPr>
          <w:trHeight w:val="300"/>
        </w:trPr>
        <w:tc>
          <w:tcPr>
            <w:tcW w:w="6804" w:type="dxa"/>
            <w:tcBorders>
              <w:left w:val="nil"/>
              <w:bottom w:val="single" w:color="auto" w:sz="4" w:space="0"/>
              <w:right w:val="nil"/>
            </w:tcBorders>
            <w:noWrap/>
          </w:tcPr>
          <w:p w:rsidRPr="009F3C3E" w:rsidR="00060A12" w:rsidP="00AD2BC8" w:rsidRDefault="00060A12" w14:paraId="4A424B48" w14:textId="77777777">
            <w:pPr>
              <w:ind w:firstLine="220" w:firstLineChars="100"/>
              <w:rPr>
                <w:rFonts w:ascii="Arial" w:hAnsi="Arial" w:eastAsia="Times New Roman" w:cs="Arial"/>
                <w:sz w:val="20"/>
                <w:szCs w:val="20"/>
              </w:rPr>
            </w:pPr>
            <w:r w:rsidRPr="009F3C3E">
              <w:t>g. 8. szakasz – A jegyzési garanciával biztosított ügyletek mutatója</w:t>
            </w:r>
          </w:p>
        </w:tc>
        <w:tc>
          <w:tcPr>
            <w:tcW w:w="2745" w:type="dxa"/>
            <w:tcBorders>
              <w:left w:val="nil"/>
              <w:right w:val="nil"/>
            </w:tcBorders>
            <w:noWrap/>
          </w:tcPr>
          <w:p w:rsidRPr="009F3C3E" w:rsidR="00060A12" w:rsidP="00AD2BC8" w:rsidRDefault="00060A12" w14:paraId="6C4ED2F5" w14:textId="77777777">
            <w:pPr>
              <w:jc w:val="right"/>
              <w:rPr>
                <w:rFonts w:ascii="Arial" w:hAnsi="Arial" w:eastAsia="Times New Roman" w:cs="Arial"/>
                <w:sz w:val="20"/>
                <w:szCs w:val="20"/>
                <w:lang w:eastAsia="en-GB"/>
              </w:rPr>
            </w:pPr>
          </w:p>
        </w:tc>
      </w:tr>
      <w:tr w:rsidRPr="009F3C3E" w:rsidR="00060A12" w:rsidTr="00AD2BC8" w14:paraId="06FC30EC" w14:textId="77777777">
        <w:trPr>
          <w:trHeight w:val="300"/>
        </w:trPr>
        <w:tc>
          <w:tcPr>
            <w:tcW w:w="6804" w:type="dxa"/>
            <w:tcBorders>
              <w:left w:val="nil"/>
              <w:bottom w:val="single" w:color="auto" w:sz="4" w:space="0"/>
              <w:right w:val="nil"/>
            </w:tcBorders>
            <w:noWrap/>
          </w:tcPr>
          <w:p w:rsidRPr="009F3C3E" w:rsidR="00060A12" w:rsidP="00AD2BC8" w:rsidRDefault="00060A12" w14:paraId="45BF857D" w14:textId="77777777">
            <w:pPr>
              <w:ind w:firstLine="220" w:firstLineChars="100"/>
              <w:rPr>
                <w:rFonts w:ascii="Arial" w:hAnsi="Arial" w:eastAsia="Times New Roman" w:cs="Arial"/>
                <w:sz w:val="20"/>
                <w:szCs w:val="20"/>
              </w:rPr>
            </w:pPr>
            <w:r w:rsidRPr="009F3C3E">
              <w:t>h. 20. szakasz – A tőzsdén kívüli származtatott ügyletek mutatója</w:t>
            </w:r>
          </w:p>
        </w:tc>
        <w:tc>
          <w:tcPr>
            <w:tcW w:w="2745" w:type="dxa"/>
            <w:tcBorders>
              <w:left w:val="nil"/>
              <w:right w:val="nil"/>
            </w:tcBorders>
            <w:noWrap/>
          </w:tcPr>
          <w:p w:rsidRPr="009F3C3E" w:rsidR="00060A12" w:rsidP="00AD2BC8" w:rsidRDefault="00060A12" w14:paraId="5F70D730" w14:textId="77777777">
            <w:pPr>
              <w:jc w:val="right"/>
              <w:rPr>
                <w:rFonts w:ascii="Arial" w:hAnsi="Arial" w:eastAsia="Times New Roman" w:cs="Arial"/>
                <w:sz w:val="20"/>
                <w:szCs w:val="20"/>
                <w:lang w:eastAsia="en-GB"/>
              </w:rPr>
            </w:pPr>
          </w:p>
        </w:tc>
      </w:tr>
      <w:tr w:rsidRPr="009F3C3E" w:rsidR="00060A12" w:rsidTr="00AD2BC8" w14:paraId="2BDAEFC8" w14:textId="77777777">
        <w:trPr>
          <w:trHeight w:val="300"/>
        </w:trPr>
        <w:tc>
          <w:tcPr>
            <w:tcW w:w="6804" w:type="dxa"/>
            <w:tcBorders>
              <w:left w:val="nil"/>
              <w:bottom w:val="single" w:color="auto" w:sz="4" w:space="0"/>
              <w:right w:val="nil"/>
            </w:tcBorders>
            <w:noWrap/>
          </w:tcPr>
          <w:p w:rsidRPr="009F3C3E" w:rsidR="00060A12" w:rsidP="00AD2BC8" w:rsidRDefault="00060A12" w14:paraId="13ED711B" w14:textId="77777777">
            <w:pPr>
              <w:ind w:firstLine="220" w:firstLineChars="100"/>
              <w:rPr>
                <w:rFonts w:ascii="Arial" w:hAnsi="Arial" w:eastAsia="Times New Roman" w:cs="Arial"/>
                <w:sz w:val="20"/>
                <w:szCs w:val="20"/>
              </w:rPr>
            </w:pPr>
            <w:r w:rsidRPr="009F3C3E">
              <w:t>i. 11. szakasz – A kereskedési célú és értékesíthető értékpapírok mutatója</w:t>
            </w:r>
          </w:p>
        </w:tc>
        <w:tc>
          <w:tcPr>
            <w:tcW w:w="2745" w:type="dxa"/>
            <w:tcBorders>
              <w:left w:val="nil"/>
              <w:right w:val="nil"/>
            </w:tcBorders>
            <w:noWrap/>
          </w:tcPr>
          <w:p w:rsidRPr="009F3C3E" w:rsidR="00060A12" w:rsidP="00AD2BC8" w:rsidRDefault="00060A12" w14:paraId="1718C219" w14:textId="77777777">
            <w:pPr>
              <w:jc w:val="right"/>
              <w:rPr>
                <w:rFonts w:ascii="Arial" w:hAnsi="Arial" w:eastAsia="Times New Roman" w:cs="Arial"/>
                <w:sz w:val="20"/>
                <w:szCs w:val="20"/>
                <w:lang w:eastAsia="en-GB"/>
              </w:rPr>
            </w:pPr>
          </w:p>
        </w:tc>
      </w:tr>
      <w:tr w:rsidRPr="009F3C3E" w:rsidR="00060A12" w:rsidTr="00AD2BC8" w14:paraId="75F20B1C" w14:textId="77777777">
        <w:trPr>
          <w:trHeight w:val="300"/>
        </w:trPr>
        <w:tc>
          <w:tcPr>
            <w:tcW w:w="6804" w:type="dxa"/>
            <w:tcBorders>
              <w:left w:val="nil"/>
              <w:bottom w:val="single" w:color="auto" w:sz="4" w:space="0"/>
              <w:right w:val="nil"/>
            </w:tcBorders>
            <w:noWrap/>
          </w:tcPr>
          <w:p w:rsidRPr="009F3C3E" w:rsidR="00060A12" w:rsidP="00AD2BC8" w:rsidRDefault="00060A12" w14:paraId="092D9610" w14:textId="77777777">
            <w:pPr>
              <w:ind w:firstLine="220" w:firstLineChars="100"/>
              <w:rPr>
                <w:rFonts w:ascii="Arial" w:hAnsi="Arial" w:eastAsia="Times New Roman" w:cs="Arial"/>
                <w:sz w:val="20"/>
                <w:szCs w:val="20"/>
              </w:rPr>
            </w:pPr>
            <w:r w:rsidRPr="009F3C3E">
              <w:t>j. 20. szakasz – A 3. szintű eszközök mutatója</w:t>
            </w:r>
          </w:p>
        </w:tc>
        <w:tc>
          <w:tcPr>
            <w:tcW w:w="2745" w:type="dxa"/>
            <w:tcBorders>
              <w:left w:val="nil"/>
              <w:right w:val="nil"/>
            </w:tcBorders>
            <w:noWrap/>
          </w:tcPr>
          <w:p w:rsidRPr="009F3C3E" w:rsidR="00060A12" w:rsidP="00AD2BC8" w:rsidRDefault="00060A12" w14:paraId="34E2A573" w14:textId="77777777">
            <w:pPr>
              <w:jc w:val="right"/>
              <w:rPr>
                <w:rFonts w:ascii="Arial" w:hAnsi="Arial" w:eastAsia="Times New Roman" w:cs="Arial"/>
                <w:sz w:val="20"/>
                <w:szCs w:val="20"/>
                <w:lang w:eastAsia="en-GB"/>
              </w:rPr>
            </w:pPr>
          </w:p>
        </w:tc>
      </w:tr>
      <w:tr w:rsidRPr="009F3C3E" w:rsidR="00060A12" w:rsidTr="00AD2BC8" w14:paraId="5B355898" w14:textId="77777777">
        <w:trPr>
          <w:trHeight w:val="300"/>
        </w:trPr>
        <w:tc>
          <w:tcPr>
            <w:tcW w:w="6804" w:type="dxa"/>
            <w:tcBorders>
              <w:left w:val="nil"/>
              <w:bottom w:val="single" w:color="auto" w:sz="4" w:space="0"/>
              <w:right w:val="nil"/>
            </w:tcBorders>
            <w:noWrap/>
          </w:tcPr>
          <w:p w:rsidRPr="009F3C3E" w:rsidR="00060A12" w:rsidP="00AD2BC8" w:rsidRDefault="00060A12" w14:paraId="61A1254F" w14:textId="77777777">
            <w:pPr>
              <w:ind w:firstLine="220" w:firstLineChars="100"/>
              <w:rPr>
                <w:rFonts w:ascii="Arial" w:hAnsi="Arial" w:eastAsia="Times New Roman" w:cs="Arial"/>
                <w:sz w:val="20"/>
                <w:szCs w:val="20"/>
              </w:rPr>
            </w:pPr>
            <w:r w:rsidRPr="009F3C3E">
              <w:t>k. 13. szakasz – A több joghatóságot érintő követelések mutatója</w:t>
            </w:r>
          </w:p>
        </w:tc>
        <w:tc>
          <w:tcPr>
            <w:tcW w:w="2745" w:type="dxa"/>
            <w:tcBorders>
              <w:left w:val="nil"/>
              <w:right w:val="nil"/>
            </w:tcBorders>
            <w:noWrap/>
          </w:tcPr>
          <w:p w:rsidRPr="009F3C3E" w:rsidR="00060A12" w:rsidP="00AD2BC8" w:rsidRDefault="00060A12" w14:paraId="7E213684" w14:textId="77777777">
            <w:pPr>
              <w:jc w:val="right"/>
              <w:rPr>
                <w:rFonts w:ascii="Arial" w:hAnsi="Arial" w:eastAsia="Times New Roman" w:cs="Arial"/>
                <w:sz w:val="20"/>
                <w:szCs w:val="20"/>
                <w:lang w:eastAsia="en-GB"/>
              </w:rPr>
            </w:pPr>
          </w:p>
        </w:tc>
      </w:tr>
      <w:tr w:rsidRPr="009F3C3E" w:rsidR="00060A12" w:rsidTr="00AD2BC8" w14:paraId="70979976" w14:textId="77777777">
        <w:trPr>
          <w:trHeight w:val="300"/>
        </w:trPr>
        <w:tc>
          <w:tcPr>
            <w:tcW w:w="6804" w:type="dxa"/>
            <w:tcBorders>
              <w:left w:val="nil"/>
              <w:bottom w:val="single" w:color="auto" w:sz="4" w:space="0"/>
              <w:right w:val="nil"/>
            </w:tcBorders>
            <w:noWrap/>
          </w:tcPr>
          <w:p w:rsidRPr="009F3C3E" w:rsidR="00060A12" w:rsidP="00AD2BC8" w:rsidRDefault="00060A12" w14:paraId="289495C3" w14:textId="77777777">
            <w:pPr>
              <w:ind w:firstLine="220" w:firstLineChars="100"/>
              <w:rPr>
                <w:rFonts w:ascii="Arial" w:hAnsi="Arial" w:eastAsia="Times New Roman" w:cs="Arial"/>
                <w:sz w:val="20"/>
                <w:szCs w:val="20"/>
              </w:rPr>
            </w:pPr>
            <w:r w:rsidRPr="009F3C3E">
              <w:t>l. 21. szakasz – A több joghatóságot érintő kötelezettségek mutatója</w:t>
            </w:r>
          </w:p>
        </w:tc>
        <w:tc>
          <w:tcPr>
            <w:tcW w:w="2745" w:type="dxa"/>
            <w:tcBorders>
              <w:left w:val="nil"/>
              <w:right w:val="nil"/>
            </w:tcBorders>
            <w:noWrap/>
          </w:tcPr>
          <w:p w:rsidRPr="009F3C3E" w:rsidR="00060A12" w:rsidP="00AD2BC8" w:rsidRDefault="00060A12" w14:paraId="67422BCF" w14:textId="77777777">
            <w:pPr>
              <w:jc w:val="right"/>
              <w:rPr>
                <w:rFonts w:ascii="Arial" w:hAnsi="Arial" w:eastAsia="Times New Roman" w:cs="Arial"/>
                <w:sz w:val="20"/>
                <w:szCs w:val="20"/>
                <w:lang w:eastAsia="en-GB"/>
              </w:rPr>
            </w:pPr>
          </w:p>
        </w:tc>
      </w:tr>
    </w:tbl>
    <w:p w:rsidRPr="00653192" w:rsidR="00B43E07" w:rsidP="00F9329F" w:rsidRDefault="00B43E07" w14:paraId="609D9107" w14:textId="6117A1E3">
      <w:pPr>
        <w:pStyle w:val="TableParagraph"/>
        <w:spacing w:before="11"/>
      </w:pPr>
    </w:p>
    <w:sectPr w:rsidRPr="00653192" w:rsidR="00B43E07" w:rsidSect="00117FB7">
      <w:pgSz w:w="11900" w:h="16840"/>
      <w:pgMar w:top="2268" w:right="1418" w:bottom="1134" w:left="1701" w:header="709"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730E" w14:textId="77777777" w:rsidR="00884270" w:rsidRDefault="00884270" w:rsidP="00A00E34">
      <w:r>
        <w:separator/>
      </w:r>
    </w:p>
    <w:p w14:paraId="148FCE15" w14:textId="77777777" w:rsidR="00884270" w:rsidRDefault="00884270"/>
  </w:endnote>
  <w:endnote w:type="continuationSeparator" w:id="0">
    <w:p w14:paraId="4FC1C58B" w14:textId="77777777" w:rsidR="00884270" w:rsidRDefault="00884270" w:rsidP="00A00E34">
      <w:r>
        <w:continuationSeparator/>
      </w:r>
    </w:p>
    <w:p w14:paraId="57C44BEC" w14:textId="77777777" w:rsidR="00884270" w:rsidRDefault="00884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4AC" w:rsidP="0017667F" w:rsidRDefault="008344AC" w14:paraId="142C28E2" w14:textId="77777777">
    <w:pPr>
      <w:pStyle w:val="Footer"/>
      <w:rPr>
        <w:rStyle w:val="PageNumber"/>
        <w:noProof/>
      </w:rPr>
    </w:pPr>
    <w:r>
      <w:rPr>
        <w:rStyle w:val="PageNumber"/>
      </w:rPr>
      <w:fldChar w:fldCharType="begin"/>
    </w:r>
    <w:r>
      <w:rPr>
        <w:rStyle w:val="PageNumber"/>
      </w:rPr>
      <w:instrText xml:space="preserve">PAGE  </w:instrText>
    </w:r>
    <w:r>
      <w:rPr>
        <w:rStyle w:val="PageNumber"/>
      </w:rPr>
      <w:fldChar w:fldCharType="end"/>
    </w:r>
  </w:p>
  <w:p w:rsidR="008344AC" w:rsidP="00610305" w:rsidRDefault="008344AC" w14:paraId="7D2916CD" w14:textId="77777777">
    <w:pPr>
      <w:pStyle w:val="Footer"/>
      <w:ind w:right="360"/>
      <w:rPr>
        <w:noProof/>
      </w:rPr>
    </w:pPr>
  </w:p>
</w:ftr>
</file>

<file path=word/footer2.xml><?xml version="1.0" encoding="utf-8"?>
<w:ftr xmlns:a="http://schemas.openxmlformats.org/drawingml/2006/main"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53192" w:rsidR="008344AC" w:rsidP="00117FB7" w:rsidRDefault="008344AC" w14:paraId="7C3A9832" w14:textId="14E03A77">
    <w:pPr>
      <w:pStyle w:val="Footer"/>
      <w:jc w:val="right"/>
      <w:rPr>
        <w:rStyle w:val="PageNumber"/>
        <w:noProof/>
      </w:rPr>
    </w:pPr>
    <w:r w:rsidRPr="00653192">
      <w:rPr>
        <w:rStyle w:val="PageNumber"/>
      </w:rPr>
      <w:fldChar w:fldCharType="begin"/>
    </w:r>
    <w:r w:rsidRPr="00653192">
      <w:rPr>
        <w:rStyle w:val="PageNumber"/>
      </w:rPr>
      <w:instrText xml:space="preserve">PAGE  </w:instrText>
    </w:r>
    <w:r w:rsidRPr="00653192">
      <w:rPr>
        <w:rStyle w:val="PageNumber"/>
      </w:rPr>
      <w:fldChar w:fldCharType="separate"/>
    </w:r>
    <w:r w:rsidR="00D91F18">
      <w:rPr>
        <w:rStyle w:val="PageNumber"/>
        <w:noProof/>
      </w:rPr>
      <w:t>17</w:t>
    </w:r>
    <w:r w:rsidRPr="00653192">
      <w:rPr>
        <w:rStyle w:val="PageNumber"/>
      </w:rPr>
      <w:fldChar w:fldCharType="end"/>
    </w:r>
  </w:p>
  <w:p w:rsidRPr="00653192" w:rsidR="008344AC" w:rsidP="00610305" w:rsidRDefault="008344AC" w14:paraId="6EEDA3DB" w14:textId="77777777">
    <w:pPr>
      <w:pStyle w:val="Footer"/>
      <w:ind w:right="360"/>
      <w:rPr>
        <w:noProof/>
      </w:rPr>
    </w:pPr>
    <w:r w:rsidRPr="00653192">
      <w:rPr>
        <w:noProof/>
        <w:lang w:val="en-GB" w:eastAsia="en-GB"/>
      </w:rPr>
      <mc:AlternateContent>
        <mc:Choice Requires="wps">
          <w:drawing>
            <wp:anchor distT="4294967295" distB="4294967295" distL="114300" distR="114300" simplePos="0" relativeHeight="251657728" behindDoc="1" locked="1" layoutInCell="1" allowOverlap="1" wp14:editId="03F879D1" wp14:anchorId="127A96D1">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line id="Straight Connector 10"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spid="_x0000_s1026" strokecolor="#2f5773 [32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from="-5.6pt,785.3pt" to="445.1pt,785.3pt" w14:anchorId="18EAF944">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AA21" w14:textId="77777777" w:rsidR="00884270" w:rsidRPr="00DB5E8F" w:rsidRDefault="00884270">
      <w:pPr>
        <w:rPr>
          <w:sz w:val="12"/>
          <w:szCs w:val="12"/>
        </w:rPr>
      </w:pPr>
      <w:r w:rsidRPr="00DB5E8F">
        <w:rPr>
          <w:sz w:val="12"/>
          <w:szCs w:val="12"/>
        </w:rPr>
        <w:separator/>
      </w:r>
    </w:p>
  </w:footnote>
  <w:footnote w:type="continuationSeparator" w:id="0">
    <w:p w14:paraId="0C645FEF" w14:textId="77777777" w:rsidR="00884270" w:rsidRDefault="00884270" w:rsidP="00A00E34">
      <w:r>
        <w:continuationSeparator/>
      </w:r>
    </w:p>
    <w:p w14:paraId="01C10CA0" w14:textId="77777777" w:rsidR="00884270" w:rsidRDefault="00884270"/>
  </w:footnote>
  <w:footnote w:type="continuationNotice" w:id="1">
    <w:p w14:paraId="41C17F92" w14:textId="77777777" w:rsidR="00884270" w:rsidRDefault="00884270"/>
  </w:footnote>
  <w:footnote w:id="2">
    <w:p w14:paraId="2B9C6101" w14:textId="2B4968B2" w:rsidR="008344AC" w:rsidRPr="00653192" w:rsidRDefault="008344AC" w:rsidP="00C92B4B">
      <w:pPr>
        <w:pStyle w:val="FootnoteText"/>
        <w:rPr>
          <w:rFonts w:asciiTheme="minorHAnsi" w:hAnsiTheme="minorHAnsi" w:cstheme="minorHAnsi"/>
        </w:rPr>
      </w:pPr>
      <w:r w:rsidRPr="00653192">
        <w:rPr>
          <w:rFonts w:asciiTheme="minorHAnsi" w:hAnsiTheme="minorHAnsi" w:cstheme="minorHAnsi"/>
        </w:rPr>
        <w:t>(</w:t>
      </w:r>
      <w:r w:rsidRPr="00653192">
        <w:rPr>
          <w:rStyle w:val="FootnoteReference"/>
          <w:rFonts w:cstheme="minorHAnsi"/>
          <w:sz w:val="18"/>
        </w:rPr>
        <w:footnoteRef/>
      </w:r>
      <w:r w:rsidRPr="00653192">
        <w:rPr>
          <w:rFonts w:asciiTheme="minorHAnsi" w:hAnsiTheme="minorHAnsi" w:cstheme="minorHAnsi"/>
        </w:rPr>
        <w:t>) Az Európai Parlament és a Tanács 2010. november 24-i 1093/2010/EU rendelete az európai felügyeleti hatóság (Európai Bankhatóság) létrehozásáról, a 716/2009/EK határozat módosításáról és a 2009/78/EK bizottsági határozat hatályon kívül helyezéséről (HL L 331., 2010.12.15., 12. o.).</w:t>
      </w:r>
    </w:p>
  </w:footnote>
  <w:footnote w:id="3">
    <w:p w14:paraId="3D7723D1" w14:textId="336153BC" w:rsidR="00E830CC" w:rsidRPr="00E830CC" w:rsidRDefault="00E830CC">
      <w:pPr>
        <w:pStyle w:val="FootnoteText"/>
      </w:pPr>
      <w:r>
        <w:rPr>
          <w:rStyle w:val="FootnoteReference"/>
        </w:rPr>
        <w:footnoteRef/>
      </w:r>
      <w:r>
        <w:t xml:space="preserve"> </w:t>
      </w:r>
      <w:r w:rsidRPr="009F3C3E">
        <w:t>https://www.eba.europa.eu/risk-analysis-and-data/global-systemically-important-institutions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4AC" w:rsidRDefault="008344AC" w14:paraId="41B1516F" w14:textId="12C57839">
    <w:pPr>
      <w:rPr>
        <w:noProof/>
      </w:rPr>
    </w:pPr>
    <w:r>
      <w:ptab w:alignment="center" w:relativeTo="margin" w:leader="none"/>
    </w:r>
    <w:r>
      <w:ptab w:alignment="right" w:relativeTo="margin" w:leader="none"/>
    </w:r>
  </w:p>
  <w:p w:rsidR="008344AC" w:rsidRDefault="008344AC" w14:paraId="4A8DE438" w14:textId="77777777">
    <w:pPr>
      <w:rPr>
        <w:noProof/>
      </w:rPr>
    </w:pPr>
  </w:p>
</w:hdr>
</file>

<file path=word/header2.xml><?xml version="1.0" encoding="utf-8"?>
<w:hdr xmlns:a="http://schemas.openxmlformats.org/drawingml/2006/main" xmlns:pic="http://schemas.openxmlformats.org/drawingml/2006/picture" xmlns:a14="http://schemas.microsoft.com/office/drawing/2010/main" xmlns:arto="http://schemas.microsoft.com/office/word/2006/arto"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53192" w:rsidR="008344AC" w:rsidP="002215B5" w:rsidRDefault="008344AC" w14:paraId="233A6472" w14:textId="42F4713B">
    <w:pPr>
      <w:pStyle w:val="Runningtitle"/>
      <w:rPr>
        <w:noProof/>
      </w:rPr>
    </w:pPr>
    <w:r w:rsidRPr="00653192">
      <w:rPr>
        <w:noProof/>
        <w:lang w:val="en-GB" w:eastAsia="en-GB"/>
      </w:rPr>
      <w:drawing>
        <wp:anchor distT="0" distB="0" distL="114300" distR="114300" simplePos="0" relativeHeight="251671040" behindDoc="0" locked="0" layoutInCell="1" allowOverlap="1" wp14:editId="234C082C" wp14:anchorId="427C9B91">
          <wp:simplePos x="0" y="0"/>
          <wp:positionH relativeFrom="column">
            <wp:posOffset>4739392</wp:posOffset>
          </wp:positionH>
          <wp:positionV relativeFrom="page">
            <wp:posOffset>450215</wp:posOffset>
          </wp:positionV>
          <wp:extent cx="1207770" cy="447675"/>
          <wp:effectExtent l="0" t="0" r="0" b="952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r w:rsidRPr="00653192">
      <w:t>VÉGLEGES jelentés a rendszerszintű jelentőség mutatóinak</w:t>
    </w:r>
  </w:p>
  <w:p w:rsidRPr="00653192" w:rsidR="008344AC" w:rsidP="002215B5" w:rsidRDefault="008344AC" w14:paraId="122C2463" w14:textId="77777777">
    <w:pPr>
      <w:pStyle w:val="Runningtitle"/>
      <w:rPr>
        <w:noProof/>
      </w:rPr>
    </w:pPr>
    <w:r w:rsidRPr="00653192">
      <w:t>meghatározásáról és nyilvánosságra hozataláról szóló EBH-iránymutatásokról</w:t>
    </w:r>
  </w:p>
  <w:p w:rsidRPr="00653192" w:rsidR="008344AC" w:rsidP="002215B5" w:rsidRDefault="008344AC" w14:paraId="750CEC09" w14:textId="5D2D20C5">
    <w:pPr>
      <w:pStyle w:val="Header"/>
      <w:rPr>
        <w:noProof/>
      </w:rPr>
    </w:pPr>
  </w:p>
</w:hdr>
</file>

<file path=word/header3.xml><?xml version="1.0" encoding="utf-8"?>
<w:hdr xmlns:a="http://schemas.openxmlformats.org/drawingml/2006/main" xmlns:pic="http://schemas.openxmlformats.org/drawingml/2006/picture" xmlns:a14="http://schemas.microsoft.com/office/drawing/2010/main"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4AC" w:rsidP="00E677EF" w:rsidRDefault="008344AC" w14:paraId="6E4DF7C2" w14:textId="77777777">
    <w:pPr>
      <w:pStyle w:val="Runningtitle"/>
      <w:rPr>
        <w:noProof/>
      </w:rPr>
    </w:pPr>
    <w:r>
      <w:t>fejléc beillesztése fejlécstílusban</w:t>
    </w:r>
    <w:r>
      <w:rPr>
        <w:noProof/>
        <w:lang w:val="en-GB" w:eastAsia="en-GB"/>
      </w:rPr>
      <w:drawing>
        <wp:anchor distT="0" distB="0" distL="114300" distR="114300" simplePos="0" relativeHeight="251653632" behindDoc="1" locked="1" layoutInCell="1" allowOverlap="0" wp14:editId="569AD1BD" wp14:anchorId="6E65E8A4">
          <wp:simplePos x="0" y="0"/>
          <wp:positionH relativeFrom="page">
            <wp:posOffset>4702175</wp:posOffset>
          </wp:positionH>
          <wp:positionV relativeFrom="page">
            <wp:posOffset>450215</wp:posOffset>
          </wp:positionV>
          <wp:extent cx="1941830" cy="719455"/>
          <wp:effectExtent l="0" t="0" r="0" b="0"/>
          <wp:wrapNone/>
          <wp:docPr id="12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14="http://schemas.microsoft.com/office/drawing/2010/main"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1B05"/>
    <w:multiLevelType w:val="hybridMultilevel"/>
    <w:tmpl w:val="A780858E"/>
    <w:lvl w:ilvl="0" w:tplc="B37630F6">
      <w:start w:val="9"/>
      <w:numFmt w:val="decimal"/>
      <w:lvlText w:val="%1."/>
      <w:lvlJc w:val="left"/>
      <w:pPr>
        <w:ind w:left="761" w:hanging="360"/>
      </w:pPr>
      <w:rPr>
        <w:rFonts w:ascii="Calibri" w:eastAsia="Calibri" w:hAnsi="Calibri" w:cs="Calibri" w:hint="default"/>
        <w:b w:val="0"/>
        <w:bCs w:val="0"/>
        <w:i w:val="0"/>
        <w:iCs w:val="0"/>
        <w:w w:val="99"/>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228F008E"/>
    <w:multiLevelType w:val="hybridMultilevel"/>
    <w:tmpl w:val="0CEAE5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6"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35DEC"/>
    <w:multiLevelType w:val="hybridMultilevel"/>
    <w:tmpl w:val="BC245978"/>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684A36"/>
    <w:multiLevelType w:val="hybridMultilevel"/>
    <w:tmpl w:val="E47640F2"/>
    <w:lvl w:ilvl="0" w:tplc="6E5679CC">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2F30E9"/>
    <w:multiLevelType w:val="hybridMultilevel"/>
    <w:tmpl w:val="0E982D22"/>
    <w:lvl w:ilvl="0" w:tplc="0456A452">
      <w:start w:val="9"/>
      <w:numFmt w:val="decimal"/>
      <w:lvlText w:val="%1."/>
      <w:lvlJc w:val="left"/>
      <w:pPr>
        <w:ind w:left="761" w:hanging="360"/>
      </w:pPr>
      <w:rPr>
        <w:rFonts w:ascii="Calibri" w:eastAsia="Calibri" w:hAnsi="Calibri" w:cs="Calibri" w:hint="default"/>
        <w:b w:val="0"/>
        <w:bCs w:val="0"/>
        <w:i w:val="0"/>
        <w:iCs w:val="0"/>
        <w:w w:val="99"/>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65B2C"/>
    <w:multiLevelType w:val="hybridMultilevel"/>
    <w:tmpl w:val="E77C41F8"/>
    <w:lvl w:ilvl="0" w:tplc="2E5A8EA4">
      <w:start w:val="11"/>
      <w:numFmt w:val="decimal"/>
      <w:lvlText w:val="%1."/>
      <w:lvlJc w:val="left"/>
      <w:pPr>
        <w:ind w:left="360" w:hanging="360"/>
      </w:pPr>
      <w:rPr>
        <w:rFonts w:hint="default"/>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6BCD57BB"/>
    <w:multiLevelType w:val="multilevel"/>
    <w:tmpl w:val="201419E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531E6"/>
    <w:multiLevelType w:val="hybridMultilevel"/>
    <w:tmpl w:val="F6E690F0"/>
    <w:lvl w:ilvl="0" w:tplc="E93C5DE0">
      <w:start w:val="2"/>
      <w:numFmt w:val="decimal"/>
      <w:lvlText w:val="%1."/>
      <w:lvlJc w:val="left"/>
      <w:pPr>
        <w:ind w:left="761" w:hanging="360"/>
      </w:pPr>
      <w:rPr>
        <w:rFonts w:ascii="Calibri" w:eastAsia="Calibri" w:hAnsi="Calibri" w:cs="Calibri" w:hint="default"/>
        <w:b w:val="0"/>
        <w:bCs w:val="0"/>
        <w:i w:val="0"/>
        <w:iCs w:val="0"/>
        <w:w w:val="99"/>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2"/>
  </w:num>
  <w:num w:numId="3">
    <w:abstractNumId w:val="6"/>
  </w:num>
  <w:num w:numId="4">
    <w:abstractNumId w:val="7"/>
  </w:num>
  <w:num w:numId="5">
    <w:abstractNumId w:val="15"/>
  </w:num>
  <w:num w:numId="6">
    <w:abstractNumId w:val="1"/>
  </w:num>
  <w:num w:numId="7">
    <w:abstractNumId w:val="14"/>
  </w:num>
  <w:num w:numId="8">
    <w:abstractNumId w:val="12"/>
  </w:num>
  <w:num w:numId="9">
    <w:abstractNumId w:val="0"/>
  </w:num>
  <w:num w:numId="10">
    <w:abstractNumId w:val="17"/>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9"/>
  </w:num>
  <w:num w:numId="16">
    <w:abstractNumId w:val="11"/>
  </w:num>
  <w:num w:numId="17">
    <w:abstractNumId w:val="16"/>
  </w:num>
  <w:num w:numId="18">
    <w:abstractNumId w:val="3"/>
  </w:num>
  <w:num w:numId="1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873"/>
    <w:rsid w:val="00002BCF"/>
    <w:rsid w:val="00003F50"/>
    <w:rsid w:val="0001213D"/>
    <w:rsid w:val="00013281"/>
    <w:rsid w:val="00021E10"/>
    <w:rsid w:val="000231B7"/>
    <w:rsid w:val="0002414D"/>
    <w:rsid w:val="00027CA0"/>
    <w:rsid w:val="00030D65"/>
    <w:rsid w:val="00040129"/>
    <w:rsid w:val="00051823"/>
    <w:rsid w:val="00060A12"/>
    <w:rsid w:val="00060F40"/>
    <w:rsid w:val="00062830"/>
    <w:rsid w:val="0007574B"/>
    <w:rsid w:val="000774B3"/>
    <w:rsid w:val="000843CD"/>
    <w:rsid w:val="00087EEC"/>
    <w:rsid w:val="00094169"/>
    <w:rsid w:val="000A1C81"/>
    <w:rsid w:val="000A3851"/>
    <w:rsid w:val="000A5345"/>
    <w:rsid w:val="000B1645"/>
    <w:rsid w:val="000B2614"/>
    <w:rsid w:val="000B3BA3"/>
    <w:rsid w:val="000B72D3"/>
    <w:rsid w:val="000C2B79"/>
    <w:rsid w:val="000C5A8A"/>
    <w:rsid w:val="000C7FD8"/>
    <w:rsid w:val="000D7A44"/>
    <w:rsid w:val="000E0C27"/>
    <w:rsid w:val="000E6D15"/>
    <w:rsid w:val="000E735E"/>
    <w:rsid w:val="000F33D3"/>
    <w:rsid w:val="000F3C24"/>
    <w:rsid w:val="000F607B"/>
    <w:rsid w:val="000F6495"/>
    <w:rsid w:val="000F6FD8"/>
    <w:rsid w:val="001061FA"/>
    <w:rsid w:val="00112BF2"/>
    <w:rsid w:val="0011517F"/>
    <w:rsid w:val="00117062"/>
    <w:rsid w:val="00117FB7"/>
    <w:rsid w:val="0012173D"/>
    <w:rsid w:val="00121BB0"/>
    <w:rsid w:val="0012686C"/>
    <w:rsid w:val="0013090C"/>
    <w:rsid w:val="00131C5D"/>
    <w:rsid w:val="00132059"/>
    <w:rsid w:val="00132F74"/>
    <w:rsid w:val="0014310A"/>
    <w:rsid w:val="00143427"/>
    <w:rsid w:val="00145D24"/>
    <w:rsid w:val="00145E0A"/>
    <w:rsid w:val="00152832"/>
    <w:rsid w:val="001600FC"/>
    <w:rsid w:val="00160815"/>
    <w:rsid w:val="00172007"/>
    <w:rsid w:val="0017446F"/>
    <w:rsid w:val="0017667F"/>
    <w:rsid w:val="00177CB9"/>
    <w:rsid w:val="001834D4"/>
    <w:rsid w:val="00192287"/>
    <w:rsid w:val="00197E14"/>
    <w:rsid w:val="001A016C"/>
    <w:rsid w:val="001A2A81"/>
    <w:rsid w:val="001A32D5"/>
    <w:rsid w:val="001A47D0"/>
    <w:rsid w:val="001A5BD4"/>
    <w:rsid w:val="001A70A8"/>
    <w:rsid w:val="001B2C0D"/>
    <w:rsid w:val="001B3341"/>
    <w:rsid w:val="001B6017"/>
    <w:rsid w:val="001B7A0B"/>
    <w:rsid w:val="001B7EB3"/>
    <w:rsid w:val="001C1FD9"/>
    <w:rsid w:val="001C5BC2"/>
    <w:rsid w:val="001D0179"/>
    <w:rsid w:val="001E0B2E"/>
    <w:rsid w:val="001E1188"/>
    <w:rsid w:val="001E3599"/>
    <w:rsid w:val="001F1CB9"/>
    <w:rsid w:val="001F7501"/>
    <w:rsid w:val="00205878"/>
    <w:rsid w:val="00213D7B"/>
    <w:rsid w:val="00214DEC"/>
    <w:rsid w:val="00215B80"/>
    <w:rsid w:val="002215B5"/>
    <w:rsid w:val="00224761"/>
    <w:rsid w:val="00224A3F"/>
    <w:rsid w:val="00224D96"/>
    <w:rsid w:val="002306C7"/>
    <w:rsid w:val="00231819"/>
    <w:rsid w:val="002351E9"/>
    <w:rsid w:val="00236329"/>
    <w:rsid w:val="00241BD8"/>
    <w:rsid w:val="002422FB"/>
    <w:rsid w:val="002434B0"/>
    <w:rsid w:val="00254CA9"/>
    <w:rsid w:val="0026681D"/>
    <w:rsid w:val="00267452"/>
    <w:rsid w:val="00273421"/>
    <w:rsid w:val="0027418E"/>
    <w:rsid w:val="00290DA3"/>
    <w:rsid w:val="002A3A19"/>
    <w:rsid w:val="002A6F7C"/>
    <w:rsid w:val="002B19D7"/>
    <w:rsid w:val="002C06C1"/>
    <w:rsid w:val="002C0DCF"/>
    <w:rsid w:val="002C1673"/>
    <w:rsid w:val="002C2703"/>
    <w:rsid w:val="002D1867"/>
    <w:rsid w:val="002F2009"/>
    <w:rsid w:val="002F2269"/>
    <w:rsid w:val="00300924"/>
    <w:rsid w:val="003025A8"/>
    <w:rsid w:val="003129B6"/>
    <w:rsid w:val="00314D6E"/>
    <w:rsid w:val="00315AB3"/>
    <w:rsid w:val="00320E57"/>
    <w:rsid w:val="003221EF"/>
    <w:rsid w:val="00322C23"/>
    <w:rsid w:val="003248A2"/>
    <w:rsid w:val="00352A51"/>
    <w:rsid w:val="0035477B"/>
    <w:rsid w:val="00355E53"/>
    <w:rsid w:val="003604AA"/>
    <w:rsid w:val="00362309"/>
    <w:rsid w:val="00363390"/>
    <w:rsid w:val="0036783B"/>
    <w:rsid w:val="00370D44"/>
    <w:rsid w:val="00372BEC"/>
    <w:rsid w:val="00392385"/>
    <w:rsid w:val="003953B5"/>
    <w:rsid w:val="003A2221"/>
    <w:rsid w:val="003C34A3"/>
    <w:rsid w:val="003C3DE8"/>
    <w:rsid w:val="003D7A72"/>
    <w:rsid w:val="003E318D"/>
    <w:rsid w:val="003E7E30"/>
    <w:rsid w:val="003F3AA3"/>
    <w:rsid w:val="00412567"/>
    <w:rsid w:val="004172D1"/>
    <w:rsid w:val="00424530"/>
    <w:rsid w:val="0043577F"/>
    <w:rsid w:val="0043675A"/>
    <w:rsid w:val="00441F85"/>
    <w:rsid w:val="00446D76"/>
    <w:rsid w:val="00452CF3"/>
    <w:rsid w:val="0045301B"/>
    <w:rsid w:val="00454B24"/>
    <w:rsid w:val="00455E0E"/>
    <w:rsid w:val="004637D3"/>
    <w:rsid w:val="004719B4"/>
    <w:rsid w:val="00471CA1"/>
    <w:rsid w:val="00471CCE"/>
    <w:rsid w:val="00481AC4"/>
    <w:rsid w:val="00482FB6"/>
    <w:rsid w:val="00490251"/>
    <w:rsid w:val="004955E7"/>
    <w:rsid w:val="004A5D8B"/>
    <w:rsid w:val="004A76C6"/>
    <w:rsid w:val="004B2FC0"/>
    <w:rsid w:val="004B60EB"/>
    <w:rsid w:val="004B7784"/>
    <w:rsid w:val="004C1B19"/>
    <w:rsid w:val="004C6392"/>
    <w:rsid w:val="004D3523"/>
    <w:rsid w:val="004D7668"/>
    <w:rsid w:val="004E405B"/>
    <w:rsid w:val="004F0AB6"/>
    <w:rsid w:val="004F63DB"/>
    <w:rsid w:val="005037F2"/>
    <w:rsid w:val="00505C64"/>
    <w:rsid w:val="005105EF"/>
    <w:rsid w:val="0051571A"/>
    <w:rsid w:val="00522627"/>
    <w:rsid w:val="00523895"/>
    <w:rsid w:val="00525D14"/>
    <w:rsid w:val="00526B39"/>
    <w:rsid w:val="00532EBE"/>
    <w:rsid w:val="005410AB"/>
    <w:rsid w:val="00543A44"/>
    <w:rsid w:val="005574DA"/>
    <w:rsid w:val="00565691"/>
    <w:rsid w:val="005706A6"/>
    <w:rsid w:val="00571BB6"/>
    <w:rsid w:val="00574B26"/>
    <w:rsid w:val="00575BA7"/>
    <w:rsid w:val="00582AA7"/>
    <w:rsid w:val="0058477C"/>
    <w:rsid w:val="0058568F"/>
    <w:rsid w:val="005A11A7"/>
    <w:rsid w:val="005A6911"/>
    <w:rsid w:val="005B3658"/>
    <w:rsid w:val="005B5C09"/>
    <w:rsid w:val="005C1A47"/>
    <w:rsid w:val="005C3DFF"/>
    <w:rsid w:val="005C498B"/>
    <w:rsid w:val="005D033E"/>
    <w:rsid w:val="005D4005"/>
    <w:rsid w:val="005D40D1"/>
    <w:rsid w:val="005D6612"/>
    <w:rsid w:val="005D755B"/>
    <w:rsid w:val="005E167D"/>
    <w:rsid w:val="005F4B3C"/>
    <w:rsid w:val="00600024"/>
    <w:rsid w:val="00600065"/>
    <w:rsid w:val="006017FA"/>
    <w:rsid w:val="006059B2"/>
    <w:rsid w:val="00610305"/>
    <w:rsid w:val="00610419"/>
    <w:rsid w:val="00611DDB"/>
    <w:rsid w:val="00612C7B"/>
    <w:rsid w:val="006209BD"/>
    <w:rsid w:val="006224C1"/>
    <w:rsid w:val="006241B4"/>
    <w:rsid w:val="006269B7"/>
    <w:rsid w:val="006307A5"/>
    <w:rsid w:val="006336C8"/>
    <w:rsid w:val="00633DC7"/>
    <w:rsid w:val="00636E1D"/>
    <w:rsid w:val="00641A7A"/>
    <w:rsid w:val="00645495"/>
    <w:rsid w:val="00653192"/>
    <w:rsid w:val="00655112"/>
    <w:rsid w:val="00663B0A"/>
    <w:rsid w:val="006641F8"/>
    <w:rsid w:val="0066422C"/>
    <w:rsid w:val="00670254"/>
    <w:rsid w:val="00675E42"/>
    <w:rsid w:val="00683BFB"/>
    <w:rsid w:val="006915A4"/>
    <w:rsid w:val="00692AB7"/>
    <w:rsid w:val="00692AD8"/>
    <w:rsid w:val="006973AC"/>
    <w:rsid w:val="006C186D"/>
    <w:rsid w:val="006C6D8E"/>
    <w:rsid w:val="006D4C7C"/>
    <w:rsid w:val="006D7393"/>
    <w:rsid w:val="006E0D7A"/>
    <w:rsid w:val="006E3CE5"/>
    <w:rsid w:val="006E55E1"/>
    <w:rsid w:val="006E5EF0"/>
    <w:rsid w:val="006F2E13"/>
    <w:rsid w:val="006F445D"/>
    <w:rsid w:val="006F72C6"/>
    <w:rsid w:val="006F7529"/>
    <w:rsid w:val="00703E4E"/>
    <w:rsid w:val="007071C6"/>
    <w:rsid w:val="007114E4"/>
    <w:rsid w:val="00711E1C"/>
    <w:rsid w:val="00721D07"/>
    <w:rsid w:val="00721FBA"/>
    <w:rsid w:val="00723921"/>
    <w:rsid w:val="00730352"/>
    <w:rsid w:val="00731463"/>
    <w:rsid w:val="0073336B"/>
    <w:rsid w:val="00734CF5"/>
    <w:rsid w:val="007373D2"/>
    <w:rsid w:val="00740F65"/>
    <w:rsid w:val="00742839"/>
    <w:rsid w:val="00755505"/>
    <w:rsid w:val="0076316D"/>
    <w:rsid w:val="00771BCE"/>
    <w:rsid w:val="00772993"/>
    <w:rsid w:val="007815FB"/>
    <w:rsid w:val="00781A37"/>
    <w:rsid w:val="00781D80"/>
    <w:rsid w:val="007850AB"/>
    <w:rsid w:val="00791EAE"/>
    <w:rsid w:val="007A0054"/>
    <w:rsid w:val="007A44A6"/>
    <w:rsid w:val="007A5353"/>
    <w:rsid w:val="007B3D63"/>
    <w:rsid w:val="007B6077"/>
    <w:rsid w:val="007B69D6"/>
    <w:rsid w:val="007B793D"/>
    <w:rsid w:val="007C08B0"/>
    <w:rsid w:val="007C3A00"/>
    <w:rsid w:val="007C55D0"/>
    <w:rsid w:val="007D2626"/>
    <w:rsid w:val="007F5092"/>
    <w:rsid w:val="007F6B00"/>
    <w:rsid w:val="007F7895"/>
    <w:rsid w:val="00804A88"/>
    <w:rsid w:val="00813BAC"/>
    <w:rsid w:val="00813CD4"/>
    <w:rsid w:val="00817C42"/>
    <w:rsid w:val="00821B9D"/>
    <w:rsid w:val="008344AC"/>
    <w:rsid w:val="0084468C"/>
    <w:rsid w:val="008552A0"/>
    <w:rsid w:val="008651AA"/>
    <w:rsid w:val="00865492"/>
    <w:rsid w:val="00865A3C"/>
    <w:rsid w:val="00867CB4"/>
    <w:rsid w:val="008708AB"/>
    <w:rsid w:val="00870A33"/>
    <w:rsid w:val="00871962"/>
    <w:rsid w:val="008725EC"/>
    <w:rsid w:val="00874ED5"/>
    <w:rsid w:val="00884270"/>
    <w:rsid w:val="00894ED2"/>
    <w:rsid w:val="008A4100"/>
    <w:rsid w:val="008A7288"/>
    <w:rsid w:val="008B6155"/>
    <w:rsid w:val="008C1A94"/>
    <w:rsid w:val="008C567C"/>
    <w:rsid w:val="008C5B82"/>
    <w:rsid w:val="008E297F"/>
    <w:rsid w:val="008F3908"/>
    <w:rsid w:val="009014B6"/>
    <w:rsid w:val="009041D9"/>
    <w:rsid w:val="00907439"/>
    <w:rsid w:val="00907D57"/>
    <w:rsid w:val="00911860"/>
    <w:rsid w:val="0091231C"/>
    <w:rsid w:val="00912882"/>
    <w:rsid w:val="00912895"/>
    <w:rsid w:val="00913422"/>
    <w:rsid w:val="009210DE"/>
    <w:rsid w:val="009257BE"/>
    <w:rsid w:val="00943B87"/>
    <w:rsid w:val="00944AD8"/>
    <w:rsid w:val="009549FF"/>
    <w:rsid w:val="00954FC6"/>
    <w:rsid w:val="0096160F"/>
    <w:rsid w:val="009642A9"/>
    <w:rsid w:val="009648B2"/>
    <w:rsid w:val="00965B80"/>
    <w:rsid w:val="009730FB"/>
    <w:rsid w:val="00976A15"/>
    <w:rsid w:val="00980519"/>
    <w:rsid w:val="009846C5"/>
    <w:rsid w:val="0099008B"/>
    <w:rsid w:val="00993B1E"/>
    <w:rsid w:val="00993BAA"/>
    <w:rsid w:val="00994F87"/>
    <w:rsid w:val="009A1966"/>
    <w:rsid w:val="009A294D"/>
    <w:rsid w:val="009A5120"/>
    <w:rsid w:val="009A5AF6"/>
    <w:rsid w:val="009B7C11"/>
    <w:rsid w:val="009C12C9"/>
    <w:rsid w:val="009C1CE7"/>
    <w:rsid w:val="009D55F7"/>
    <w:rsid w:val="009E300F"/>
    <w:rsid w:val="009E38A2"/>
    <w:rsid w:val="009E697F"/>
    <w:rsid w:val="009E76BE"/>
    <w:rsid w:val="009E79BF"/>
    <w:rsid w:val="009F12DA"/>
    <w:rsid w:val="009F3FE6"/>
    <w:rsid w:val="009F53AF"/>
    <w:rsid w:val="00A00E34"/>
    <w:rsid w:val="00A02BBA"/>
    <w:rsid w:val="00A062C7"/>
    <w:rsid w:val="00A10257"/>
    <w:rsid w:val="00A13558"/>
    <w:rsid w:val="00A14332"/>
    <w:rsid w:val="00A2290D"/>
    <w:rsid w:val="00A23608"/>
    <w:rsid w:val="00A23D22"/>
    <w:rsid w:val="00A25403"/>
    <w:rsid w:val="00A27B9D"/>
    <w:rsid w:val="00A27D88"/>
    <w:rsid w:val="00A304D0"/>
    <w:rsid w:val="00A41338"/>
    <w:rsid w:val="00A4361D"/>
    <w:rsid w:val="00A44695"/>
    <w:rsid w:val="00A4607D"/>
    <w:rsid w:val="00A53EC9"/>
    <w:rsid w:val="00A725D6"/>
    <w:rsid w:val="00A72C7D"/>
    <w:rsid w:val="00A81586"/>
    <w:rsid w:val="00A92440"/>
    <w:rsid w:val="00AA04E8"/>
    <w:rsid w:val="00AA435E"/>
    <w:rsid w:val="00AA796D"/>
    <w:rsid w:val="00AB104D"/>
    <w:rsid w:val="00AB21B0"/>
    <w:rsid w:val="00AB2476"/>
    <w:rsid w:val="00AB4B80"/>
    <w:rsid w:val="00AC2312"/>
    <w:rsid w:val="00AD0C73"/>
    <w:rsid w:val="00AD3179"/>
    <w:rsid w:val="00AD3F49"/>
    <w:rsid w:val="00AE1A2D"/>
    <w:rsid w:val="00AE5347"/>
    <w:rsid w:val="00AE55F6"/>
    <w:rsid w:val="00AE56DB"/>
    <w:rsid w:val="00AF0781"/>
    <w:rsid w:val="00AF21F6"/>
    <w:rsid w:val="00AF2BCB"/>
    <w:rsid w:val="00AF4C86"/>
    <w:rsid w:val="00B025DB"/>
    <w:rsid w:val="00B13C87"/>
    <w:rsid w:val="00B15443"/>
    <w:rsid w:val="00B1710D"/>
    <w:rsid w:val="00B2771A"/>
    <w:rsid w:val="00B32510"/>
    <w:rsid w:val="00B33222"/>
    <w:rsid w:val="00B3595C"/>
    <w:rsid w:val="00B36D5E"/>
    <w:rsid w:val="00B43E07"/>
    <w:rsid w:val="00B51926"/>
    <w:rsid w:val="00B51BB3"/>
    <w:rsid w:val="00B526A8"/>
    <w:rsid w:val="00B55FAB"/>
    <w:rsid w:val="00B56F17"/>
    <w:rsid w:val="00B6734E"/>
    <w:rsid w:val="00B76198"/>
    <w:rsid w:val="00B77DC8"/>
    <w:rsid w:val="00B77F65"/>
    <w:rsid w:val="00B82515"/>
    <w:rsid w:val="00B83D9D"/>
    <w:rsid w:val="00B84529"/>
    <w:rsid w:val="00B954E5"/>
    <w:rsid w:val="00B96F7F"/>
    <w:rsid w:val="00BB2111"/>
    <w:rsid w:val="00BC1D4B"/>
    <w:rsid w:val="00BC3450"/>
    <w:rsid w:val="00BC7FD2"/>
    <w:rsid w:val="00BD1538"/>
    <w:rsid w:val="00BD1DD9"/>
    <w:rsid w:val="00BE2989"/>
    <w:rsid w:val="00BF4906"/>
    <w:rsid w:val="00BF4EC0"/>
    <w:rsid w:val="00BF78EE"/>
    <w:rsid w:val="00C03AE7"/>
    <w:rsid w:val="00C05D9D"/>
    <w:rsid w:val="00C12FA8"/>
    <w:rsid w:val="00C20DA3"/>
    <w:rsid w:val="00C35592"/>
    <w:rsid w:val="00C356AF"/>
    <w:rsid w:val="00C41927"/>
    <w:rsid w:val="00C439D6"/>
    <w:rsid w:val="00C43FD9"/>
    <w:rsid w:val="00C44EB2"/>
    <w:rsid w:val="00C47E8F"/>
    <w:rsid w:val="00C57BC4"/>
    <w:rsid w:val="00C60915"/>
    <w:rsid w:val="00C60EEB"/>
    <w:rsid w:val="00C64E27"/>
    <w:rsid w:val="00C84497"/>
    <w:rsid w:val="00C91A9F"/>
    <w:rsid w:val="00C92B4B"/>
    <w:rsid w:val="00C95F54"/>
    <w:rsid w:val="00C964B8"/>
    <w:rsid w:val="00CA1DF9"/>
    <w:rsid w:val="00CA2D7F"/>
    <w:rsid w:val="00CB6121"/>
    <w:rsid w:val="00CB6EBB"/>
    <w:rsid w:val="00CD4AF7"/>
    <w:rsid w:val="00CE3517"/>
    <w:rsid w:val="00CE3F04"/>
    <w:rsid w:val="00CF15C6"/>
    <w:rsid w:val="00D01670"/>
    <w:rsid w:val="00D0474C"/>
    <w:rsid w:val="00D05C26"/>
    <w:rsid w:val="00D062AC"/>
    <w:rsid w:val="00D152E7"/>
    <w:rsid w:val="00D21F91"/>
    <w:rsid w:val="00D251D0"/>
    <w:rsid w:val="00D3796C"/>
    <w:rsid w:val="00D43C43"/>
    <w:rsid w:val="00D44360"/>
    <w:rsid w:val="00D53948"/>
    <w:rsid w:val="00D549B9"/>
    <w:rsid w:val="00D557EE"/>
    <w:rsid w:val="00D56058"/>
    <w:rsid w:val="00D57F4B"/>
    <w:rsid w:val="00D656AD"/>
    <w:rsid w:val="00D6692C"/>
    <w:rsid w:val="00D76E91"/>
    <w:rsid w:val="00D770BF"/>
    <w:rsid w:val="00D823B5"/>
    <w:rsid w:val="00D849AA"/>
    <w:rsid w:val="00D872D1"/>
    <w:rsid w:val="00D873F3"/>
    <w:rsid w:val="00D90F63"/>
    <w:rsid w:val="00D91F18"/>
    <w:rsid w:val="00DA6122"/>
    <w:rsid w:val="00DB4809"/>
    <w:rsid w:val="00DB5E8F"/>
    <w:rsid w:val="00DC3E99"/>
    <w:rsid w:val="00DC5214"/>
    <w:rsid w:val="00DC7C3E"/>
    <w:rsid w:val="00DD247B"/>
    <w:rsid w:val="00DE0FE1"/>
    <w:rsid w:val="00DE30E0"/>
    <w:rsid w:val="00DE46D0"/>
    <w:rsid w:val="00DF5812"/>
    <w:rsid w:val="00E21FC7"/>
    <w:rsid w:val="00E22BCE"/>
    <w:rsid w:val="00E255BF"/>
    <w:rsid w:val="00E2590B"/>
    <w:rsid w:val="00E26355"/>
    <w:rsid w:val="00E326FF"/>
    <w:rsid w:val="00E337DC"/>
    <w:rsid w:val="00E35F55"/>
    <w:rsid w:val="00E361B0"/>
    <w:rsid w:val="00E410F0"/>
    <w:rsid w:val="00E5738D"/>
    <w:rsid w:val="00E5771C"/>
    <w:rsid w:val="00E62DB8"/>
    <w:rsid w:val="00E677EF"/>
    <w:rsid w:val="00E830CC"/>
    <w:rsid w:val="00E859DF"/>
    <w:rsid w:val="00E87041"/>
    <w:rsid w:val="00E90EDD"/>
    <w:rsid w:val="00E94506"/>
    <w:rsid w:val="00E95201"/>
    <w:rsid w:val="00E974A1"/>
    <w:rsid w:val="00EA13B4"/>
    <w:rsid w:val="00EA16F3"/>
    <w:rsid w:val="00EA1807"/>
    <w:rsid w:val="00EA4947"/>
    <w:rsid w:val="00EC0C41"/>
    <w:rsid w:val="00EC11F0"/>
    <w:rsid w:val="00EC1594"/>
    <w:rsid w:val="00ED2521"/>
    <w:rsid w:val="00ED2FB9"/>
    <w:rsid w:val="00ED41FD"/>
    <w:rsid w:val="00ED4A40"/>
    <w:rsid w:val="00ED675F"/>
    <w:rsid w:val="00EE456B"/>
    <w:rsid w:val="00EF35BF"/>
    <w:rsid w:val="00F00C37"/>
    <w:rsid w:val="00F00C8E"/>
    <w:rsid w:val="00F01EA6"/>
    <w:rsid w:val="00F02D51"/>
    <w:rsid w:val="00F033B6"/>
    <w:rsid w:val="00F034AC"/>
    <w:rsid w:val="00F1590B"/>
    <w:rsid w:val="00F160D2"/>
    <w:rsid w:val="00F221AB"/>
    <w:rsid w:val="00F23DC0"/>
    <w:rsid w:val="00F311CD"/>
    <w:rsid w:val="00F3669D"/>
    <w:rsid w:val="00F42F3F"/>
    <w:rsid w:val="00F4748D"/>
    <w:rsid w:val="00F56DC4"/>
    <w:rsid w:val="00F612B3"/>
    <w:rsid w:val="00F647A3"/>
    <w:rsid w:val="00F653FF"/>
    <w:rsid w:val="00F7064A"/>
    <w:rsid w:val="00F720FF"/>
    <w:rsid w:val="00F747AD"/>
    <w:rsid w:val="00F764A1"/>
    <w:rsid w:val="00F86AD4"/>
    <w:rsid w:val="00F87FF5"/>
    <w:rsid w:val="00F9329F"/>
    <w:rsid w:val="00F942CA"/>
    <w:rsid w:val="00F9452C"/>
    <w:rsid w:val="00FA459D"/>
    <w:rsid w:val="00FB28E1"/>
    <w:rsid w:val="00FB43F9"/>
    <w:rsid w:val="00FB7206"/>
    <w:rsid w:val="00FC1255"/>
    <w:rsid w:val="00FC1D72"/>
    <w:rsid w:val="00FE0C92"/>
    <w:rsid w:val="00FE0E60"/>
    <w:rsid w:val="00FE438F"/>
    <w:rsid w:val="00FE5577"/>
    <w:rsid w:val="00FE64B3"/>
    <w:rsid w:val="00FF0C19"/>
    <w:rsid w:val="00FF34C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6184604"/>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215B80"/>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uiPriority w:val="99"/>
    <w:qFormat/>
    <w:rsid w:val="00C92B4B"/>
    <w:pPr>
      <w:spacing w:before="80" w:after="0" w:line="200" w:lineRule="exact"/>
    </w:pPr>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rsid w:val="00C92B4B"/>
    <w:rPr>
      <w:rFonts w:ascii="Times New Roman" w:hAnsi="Times New Roman" w:cs="Times New Roman"/>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hu-HU"/>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basedOn w:val="Normal"/>
    <w:uiPriority w:val="1"/>
    <w:qFormat/>
    <w:rsid w:val="009F12DA"/>
    <w:pPr>
      <w:ind w:left="720"/>
    </w:pPr>
    <w:rPr>
      <w:rFonts w:ascii="Calibri" w:eastAsia="Calibri" w:hAnsi="Calibri" w:cs="Times New Roman"/>
      <w:szCs w:val="22"/>
    </w:rPr>
  </w:style>
  <w:style w:type="character" w:styleId="CommentReference">
    <w:name w:val="annotation reference"/>
    <w:basedOn w:val="DefaultParagraphFont"/>
    <w:uiPriority w:val="99"/>
    <w:semiHidden/>
    <w:unhideWhenUsed/>
    <w:rsid w:val="006336C8"/>
    <w:rPr>
      <w:sz w:val="16"/>
      <w:szCs w:val="16"/>
    </w:rPr>
  </w:style>
  <w:style w:type="paragraph" w:styleId="CommentText">
    <w:name w:val="annotation text"/>
    <w:basedOn w:val="Normal"/>
    <w:link w:val="CommentTextChar"/>
    <w:uiPriority w:val="99"/>
    <w:unhideWhenUsed/>
    <w:rsid w:val="006336C8"/>
    <w:rPr>
      <w:sz w:val="20"/>
      <w:szCs w:val="20"/>
    </w:rPr>
  </w:style>
  <w:style w:type="character" w:customStyle="1" w:styleId="CommentTextChar">
    <w:name w:val="Comment Text Char"/>
    <w:basedOn w:val="DefaultParagraphFont"/>
    <w:link w:val="CommentText"/>
    <w:uiPriority w:val="99"/>
    <w:rsid w:val="006336C8"/>
    <w:rPr>
      <w:sz w:val="20"/>
      <w:szCs w:val="20"/>
      <w:lang w:val="hu-HU"/>
    </w:rPr>
  </w:style>
  <w:style w:type="paragraph" w:styleId="CommentSubject">
    <w:name w:val="annotation subject"/>
    <w:basedOn w:val="CommentText"/>
    <w:next w:val="CommentText"/>
    <w:link w:val="CommentSubjectChar"/>
    <w:uiPriority w:val="99"/>
    <w:semiHidden/>
    <w:unhideWhenUsed/>
    <w:rsid w:val="00944AD8"/>
    <w:rPr>
      <w:b/>
      <w:bCs/>
    </w:rPr>
  </w:style>
  <w:style w:type="character" w:customStyle="1" w:styleId="CommentSubjectChar">
    <w:name w:val="Comment Subject Char"/>
    <w:basedOn w:val="CommentTextChar"/>
    <w:link w:val="CommentSubject"/>
    <w:uiPriority w:val="99"/>
    <w:semiHidden/>
    <w:rsid w:val="00944AD8"/>
    <w:rPr>
      <w:b/>
      <w:bCs/>
      <w:sz w:val="20"/>
      <w:szCs w:val="20"/>
      <w:lang w:val="hu-HU"/>
    </w:rPr>
  </w:style>
  <w:style w:type="paragraph" w:styleId="Revision">
    <w:name w:val="Revision"/>
    <w:hidden/>
    <w:uiPriority w:val="99"/>
    <w:semiHidden/>
    <w:rsid w:val="00944AD8"/>
    <w:rPr>
      <w:sz w:val="22"/>
    </w:rPr>
  </w:style>
  <w:style w:type="paragraph" w:customStyle="1" w:styleId="Text1">
    <w:name w:val="Text 1"/>
    <w:basedOn w:val="Normal"/>
    <w:rsid w:val="00454B24"/>
    <w:pPr>
      <w:spacing w:before="120" w:after="120"/>
      <w:ind w:left="850"/>
      <w:jc w:val="both"/>
    </w:pPr>
    <w:rPr>
      <w:rFonts w:ascii="Times New Roman" w:eastAsia="Calibri" w:hAnsi="Times New Roman" w:cs="Times New Roman"/>
      <w:sz w:val="24"/>
      <w:szCs w:val="20"/>
      <w:lang w:eastAsia="en-GB"/>
    </w:rPr>
  </w:style>
  <w:style w:type="paragraph" w:customStyle="1" w:styleId="TableParagraph">
    <w:name w:val="Table Paragraph"/>
    <w:basedOn w:val="Normal"/>
    <w:uiPriority w:val="1"/>
    <w:qFormat/>
    <w:rsid w:val="00723921"/>
    <w:pPr>
      <w:widowControl w:val="0"/>
      <w:autoSpaceDE w:val="0"/>
      <w:autoSpaceDN w:val="0"/>
    </w:pPr>
    <w:rPr>
      <w:rFonts w:ascii="Calibri" w:eastAsia="Calibri" w:hAnsi="Calibri" w:cs="Calibri"/>
      <w:szCs w:val="22"/>
      <w:lang w:eastAsia="en-GB" w:bidi="en-GB"/>
    </w:rPr>
  </w:style>
  <w:style w:type="paragraph" w:styleId="BodyText">
    <w:name w:val="Body Text"/>
    <w:basedOn w:val="Normal"/>
    <w:link w:val="BodyTextChar"/>
    <w:uiPriority w:val="1"/>
    <w:qFormat/>
    <w:rsid w:val="00D770BF"/>
    <w:pPr>
      <w:widowControl w:val="0"/>
      <w:autoSpaceDE w:val="0"/>
      <w:autoSpaceDN w:val="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D770BF"/>
    <w:rPr>
      <w:rFonts w:ascii="Calibri" w:eastAsia="Calibri" w:hAnsi="Calibri" w:cs="Calibri"/>
      <w:sz w:val="22"/>
      <w:szCs w:val="22"/>
      <w:lang w:val="en-US"/>
    </w:rPr>
  </w:style>
  <w:style w:type="table" w:customStyle="1" w:styleId="TableGrid1">
    <w:name w:val="Table Grid1"/>
    <w:basedOn w:val="TableNormal"/>
    <w:next w:val="TableGrid"/>
    <w:uiPriority w:val="39"/>
    <w:rsid w:val="00060A12"/>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0294">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49382086">
      <w:bodyDiv w:val="1"/>
      <w:marLeft w:val="0"/>
      <w:marRight w:val="0"/>
      <w:marTop w:val="0"/>
      <w:marBottom w:val="0"/>
      <w:divBdr>
        <w:top w:val="none" w:sz="0" w:space="0" w:color="auto"/>
        <w:left w:val="none" w:sz="0" w:space="0" w:color="auto"/>
        <w:bottom w:val="none" w:sz="0" w:space="0" w:color="auto"/>
        <w:right w:val="none" w:sz="0" w:space="0" w:color="auto"/>
      </w:divBdr>
    </w:div>
    <w:div w:id="977882448">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2018773254">
      <w:bodyDiv w:val="1"/>
      <w:marLeft w:val="0"/>
      <w:marRight w:val="0"/>
      <w:marTop w:val="0"/>
      <w:marBottom w:val="0"/>
      <w:divBdr>
        <w:top w:val="none" w:sz="0" w:space="0" w:color="auto"/>
        <w:left w:val="none" w:sz="0" w:space="0" w:color="auto"/>
        <w:bottom w:val="none" w:sz="0" w:space="0" w:color="auto"/>
        <w:right w:val="none" w:sz="0" w:space="0" w:color="auto"/>
      </w:divBdr>
    </w:div>
    <w:div w:id="203792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7C70-C265-444F-9571-CEC16EB62E6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47</ap:TotalTime>
  <ap:Pages>17</ap:Pages>
  <ap:Words>4345</ap:Words>
  <ap:Characters>24771</ap:Characters>
  <ap:Application>Microsoft Office Word</ap:Application>
  <ap:DocSecurity>0</ap:DocSecurity>
  <ap:Lines>206</ap:Lines>
  <ap:Paragraphs>58</ap:Paragraphs>
  <ap:ScaleCrop>false</ap:ScaleCrop>
  <ap:HeadingPairs>
    <vt:vector baseType="variant" size="2">
      <vt:variant>
        <vt:lpstr>Title</vt:lpstr>
      </vt:variant>
      <vt:variant>
        <vt:i4>1</vt:i4>
      </vt:variant>
    </vt:vector>
  </ap:HeadingPairs>
  <ap:TitlesOfParts>
    <vt:vector baseType="lpstr" size="1">
      <vt:lpstr/>
    </vt:vector>
  </ap:TitlesOfParts>
  <ap:Company>CDT</ap:Company>
  <ap:LinksUpToDate>false</ap:LinksUpToDate>
  <ap:CharactersWithSpaces>29058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CDT</dc:creator>
  <lastModifiedBy>CDT</lastModifiedBy>
  <revision>14</revision>
  <lastPrinted>2020-11-04T10:23:00.0000000Z</lastPrinted>
  <dcterms:created xsi:type="dcterms:W3CDTF">2020-12-07T12:13:00.0000000Z</dcterms:created>
  <dcterms:modified xsi:type="dcterms:W3CDTF">2024-04-22T12:53:00.0000000Z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2025-11-23T09:15:18Z</vt:filetime>
  </property>
  <property fmtid="{D5CDD505-2E9C-101B-9397-08002B2CF9AE}" pid="3" name="Érvényességet beállító">
    <vt:lpwstr>kerekgyartoj</vt:lpwstr>
  </property>
  <property fmtid="{D5CDD505-2E9C-101B-9397-08002B2CF9AE}" pid="4" name="Érvényességi idő első beállítása">
    <vt:filetime>2020-11-23T09:15:19Z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kerekgyartoj@mnb.hu</vt:lpwstr>
  </property>
  <property fmtid="{D5CDD505-2E9C-101B-9397-08002B2CF9AE}" pid="8" name="MSIP_Label_b0d11092-50c9-4e74-84b5-b1af078dc3d0_SetDate">
    <vt:lpwstr>2020-11-23T09:15:53.0002789Z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1b27e8e4-d401-45a2-9645-f701812fda72</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JobId">
    <vt:lpwstr>4431109c-6850-4cbb-a37e-ac6900effe05</vt:lpwstr>
  </property>
</Properties>
</file>