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238803888" w:displacedByCustomXml="next" w:id="0"/>
    <w:bookmarkStart w:name="_Toc238803087" w:displacedByCustomXml="next" w:id="1"/>
    <w:bookmarkStart w:name="_Toc245891774" w:displacedByCustomXml="next" w:id="2"/>
    <w:bookmarkStart w:name="_Toc331517265" w:displacedByCustomXml="next" w:id="3"/>
    <w:bookmarkStart w:name="_Toc306350113" w:displacedByCustomXml="next" w:id="4"/>
    <w:bookmarkStart w:name="_Toc306350093" w:displacedByCustomXml="next" w:id="5"/>
    <w:bookmarkStart w:name="_Toc305686691" w:displacedByCustomXml="next" w:id="6"/>
    <w:bookmarkStart w:name="_Toc298788641" w:displacedByCustomXml="next" w:id="7"/>
    <w:bookmarkStart w:name="_Toc298788158" w:displacedByCustomXml="next" w:id="8"/>
    <w:bookmarkStart w:name="_Toc298787969" w:displacedByCustomXml="next" w:id="9"/>
    <w:sdt>
      <w:sdtPr>
        <w:id w:val="1024973533"/>
        <w:docPartObj>
          <w:docPartGallery w:val="Cover Pages"/>
          <w:docPartUnique/>
        </w:docPartObj>
      </w:sdtPr>
      <w:sdtEndPr/>
      <w:sdtContent>
        <w:p w:rsidRPr="0016372E" w:rsidR="00B43E07" w:rsidP="00B43E07" w:rsidRDefault="00B43E07" w14:paraId="05640F5D" w14:textId="77777777">
          <w:pPr>
            <w:rPr>
              <w:lang w:val="en-GB"/>
            </w:rPr>
          </w:pPr>
        </w:p>
        <w:tbl>
          <w:tblPr>
            <w:tblW w:w="0" w:type="auto"/>
            <w:tblCellMar>
              <w:top w:w="85" w:type="dxa"/>
              <w:bottom w:w="85" w:type="dxa"/>
            </w:tblCellMar>
            <w:tblLook w:val="04A0" w:firstRow="1" w:lastRow="0" w:firstColumn="1" w:lastColumn="0" w:noHBand="0" w:noVBand="1"/>
          </w:tblPr>
          <w:tblGrid>
            <w:gridCol w:w="3686"/>
          </w:tblGrid>
          <w:tr w:rsidRPr="0016372E" w:rsidR="005B3658" w:rsidTr="00993B1E" w14:paraId="3170F2D8" w14:textId="77777777">
            <w:tc>
              <w:tcPr>
                <w:tcW w:w="3686" w:type="dxa"/>
                <w:tcBorders>
                  <w:bottom w:val="single" w:color="A6A6A6" w:themeColor="background1" w:themeShade="A6" w:sz="4" w:space="0"/>
                </w:tcBorders>
                <w:shd w:val="clear" w:color="auto" w:fill="auto"/>
              </w:tcPr>
              <w:p w:rsidRPr="0016372E" w:rsidR="005B3658" w:rsidP="005B3658" w:rsidRDefault="005B3658" w14:paraId="6AAE07DF" w14:textId="4A7E3A60">
                <w:r w:rsidRPr="0016372E">
                  <w:t>EBA/GL/2020/14</w:t>
                </w:r>
                <w:r w:rsidR="00FD1666">
                  <w:t xml:space="preserve"> </w:t>
                </w:r>
                <w:r w:rsidRPr="00FD1666" w:rsidR="00FD1666">
                  <w:t>(version consolidée)</w:t>
                </w:r>
              </w:p>
            </w:tc>
          </w:tr>
          <w:tr w:rsidRPr="0016372E" w:rsidR="005B3658" w:rsidTr="00993B1E" w14:paraId="70F4DBFA" w14:textId="77777777">
            <w:tc>
              <w:tcPr>
                <w:tcW w:w="3686" w:type="dxa"/>
                <w:tcBorders>
                  <w:top w:val="single" w:color="A6A6A6" w:themeColor="background1" w:themeShade="A6" w:sz="4" w:space="0"/>
                  <w:bottom w:val="single" w:color="A6A6A6" w:themeColor="background1" w:themeShade="A6" w:sz="4" w:space="0"/>
                </w:tcBorders>
                <w:shd w:val="clear" w:color="auto" w:fill="auto"/>
              </w:tcPr>
              <w:p w:rsidRPr="0016372E" w:rsidR="005B3658" w:rsidP="005B3658" w:rsidRDefault="005B3658" w14:paraId="55211379" w14:textId="73FFF2EB">
                <w:r w:rsidRPr="0016372E">
                  <w:rPr>
                    <w:color w:val="000000"/>
                  </w:rPr>
                  <w:t>4 novembre 2020</w:t>
                </w:r>
              </w:p>
            </w:tc>
          </w:tr>
        </w:tbl>
        <w:p w:rsidRPr="0016372E" w:rsidR="00B43E07" w:rsidP="00B43E07" w:rsidRDefault="00B43E07" w14:paraId="2E2B6714" w14:textId="77777777">
          <w:pPr>
            <w:rPr>
              <w:lang w:val="en-GB"/>
            </w:rPr>
          </w:pPr>
        </w:p>
        <w:tbl>
          <w:tblPr>
            <w:tblStyle w:val="TableGrid"/>
            <w:tblW w:w="0" w:type="auto"/>
            <w:tblBorders>
              <w:bottom w:val="none" w:color="auto" w:sz="0" w:space="0"/>
              <w:insideH w:val="none" w:color="auto" w:sz="0" w:space="0"/>
            </w:tblBorders>
            <w:tblLook w:val="04A0" w:firstRow="1" w:lastRow="0" w:firstColumn="1" w:lastColumn="0" w:noHBand="0" w:noVBand="1"/>
          </w:tblPr>
          <w:tblGrid>
            <w:gridCol w:w="8781"/>
          </w:tblGrid>
          <w:tr w:rsidRPr="0016372E" w:rsidR="00B43E07" w:rsidTr="00993B1E" w14:paraId="598BC7AF" w14:textId="77777777">
            <w:trPr>
              <w:cnfStyle w:val="100000000000" w:firstRow="1" w:lastRow="0" w:firstColumn="0" w:lastColumn="0" w:oddVBand="0" w:evenVBand="0" w:oddHBand="0" w:evenHBand="0" w:firstRowFirstColumn="0" w:firstRowLastColumn="0" w:lastRowFirstColumn="0" w:lastRowLastColumn="0"/>
              <w:trHeight w:val="4073"/>
            </w:trPr>
            <w:tc>
              <w:tcPr>
                <w:tcW w:w="8781"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0" w:type="dxa"/>
                  <w:right w:w="0" w:type="dxa"/>
                </w:tcMar>
                <w:vAlign w:val="bottom"/>
              </w:tcPr>
              <w:p w:rsidRPr="00DC3BF4" w:rsidR="005D5B32" w:rsidP="005D5B32" w:rsidRDefault="005D5B32" w14:paraId="2094A157" w14:textId="77777777">
                <w:pPr>
                  <w:pStyle w:val="BodyText"/>
                  <w:tabs>
                    <w:tab w:val="left" w:pos="1802"/>
                  </w:tabs>
                  <w:spacing w:before="100" w:after="60" w:line="276" w:lineRule="auto"/>
                  <w:ind w:left="425" w:right="232"/>
                  <w:jc w:val="both"/>
                  <w:rPr>
                    <w:color w:val="E98E31" w:themeColor="background2"/>
                    <w:spacing w:val="-1"/>
                  </w:rPr>
                </w:pPr>
                <w:r w:rsidRPr="007B541C">
                  <w:rPr>
                    <w:rFonts w:ascii="Wingdings" w:hAnsi="Wingdings" w:eastAsia="Wingdings" w:cs="Wingdings"/>
                    <w:color w:val="E98E31"/>
                    <w:highlight w:val="yellow"/>
                    <w:lang w:val="en-GB"/>
                  </w:rPr>
                  <w:t>Ø</w:t>
                </w:r>
                <w:r w:rsidRPr="007B541C">
                  <w:rPr>
                    <w:rFonts w:eastAsia="MS PGothic" w:cs="Times New Roman"/>
                    <w:color w:val="E98E31"/>
                    <w:highlight w:val="yellow"/>
                    <w:lang w:val="en-GB"/>
                  </w:rPr>
                  <w:t>O</w:t>
                </w:r>
                <w:r w:rsidRPr="00DC3BF4">
                  <w:rPr>
                    <w:color w:val="E98E31" w:themeColor="background2"/>
                    <w:spacing w:val="-1"/>
                  </w:rPr>
                  <w:t xml:space="preserve"> </w:t>
                </w:r>
              </w:p>
              <w:p w:rsidRPr="0016372E" w:rsidR="00B43E07" w:rsidP="00721D07" w:rsidRDefault="00A81586" w14:paraId="6E80AD78" w14:textId="57BD894E">
                <w:pPr>
                  <w:pStyle w:val="Contenttitle"/>
                </w:pPr>
                <w:r w:rsidRPr="0016372E">
                  <w:t xml:space="preserve">Orientations </w:t>
                </w:r>
              </w:p>
            </w:tc>
          </w:tr>
          <w:tr w:rsidRPr="0016372E" w:rsidR="00B43E07" w:rsidTr="00993B1E" w14:paraId="15A7E3AC" w14:textId="77777777">
            <w:tc>
              <w:tcPr>
                <w:tcW w:w="8781" w:type="dxa"/>
                <w:tcMar>
                  <w:left w:w="0" w:type="dxa"/>
                  <w:right w:w="0" w:type="dxa"/>
                </w:tcMar>
                <w:vAlign w:val="top"/>
              </w:tcPr>
              <w:p w:rsidRPr="0016372E" w:rsidR="00B43E07" w:rsidP="00777A9A" w:rsidRDefault="00B43E07" w14:paraId="0720F01B" w14:textId="7E27CB38">
                <w:pPr>
                  <w:pStyle w:val="Titlelevel4"/>
                </w:pPr>
                <w:r w:rsidRPr="0016372E">
                  <w:rPr>
                    <w:rFonts w:asciiTheme="majorHAnsi" w:hAnsiTheme="majorHAnsi"/>
                    <w:bCs/>
                    <w:color w:val="2F5773" w:themeColor="text2"/>
                    <w:sz w:val="52"/>
                    <w:szCs w:val="52"/>
                  </w:rPr>
                  <w:t xml:space="preserve">concernant la spécification des indicateurs d’importance systémique et </w:t>
                </w:r>
                <w:r w:rsidR="00777A9A">
                  <w:rPr>
                    <w:rFonts w:asciiTheme="majorHAnsi" w:hAnsiTheme="majorHAnsi"/>
                    <w:bCs/>
                    <w:color w:val="2F5773" w:themeColor="text2"/>
                    <w:sz w:val="52"/>
                    <w:szCs w:val="52"/>
                  </w:rPr>
                  <w:t>leur</w:t>
                </w:r>
                <w:r w:rsidRPr="0016372E" w:rsidR="00777A9A">
                  <w:rPr>
                    <w:rFonts w:asciiTheme="majorHAnsi" w:hAnsiTheme="majorHAnsi"/>
                    <w:bCs/>
                    <w:color w:val="2F5773" w:themeColor="text2"/>
                    <w:sz w:val="52"/>
                    <w:szCs w:val="52"/>
                  </w:rPr>
                  <w:t xml:space="preserve"> </w:t>
                </w:r>
                <w:r w:rsidRPr="0016372E">
                  <w:rPr>
                    <w:rFonts w:asciiTheme="majorHAnsi" w:hAnsiTheme="majorHAnsi"/>
                    <w:bCs/>
                    <w:color w:val="2F5773" w:themeColor="text2"/>
                    <w:sz w:val="52"/>
                    <w:szCs w:val="52"/>
                  </w:rPr>
                  <w:t xml:space="preserve">publication </w:t>
                </w:r>
              </w:p>
            </w:tc>
          </w:tr>
        </w:tbl>
        <w:p w:rsidRPr="00FD1666" w:rsidR="00B43E07" w:rsidP="00B43E07" w:rsidRDefault="00B43E07" w14:paraId="41F2A21B" w14:textId="77777777">
          <w:pPr>
            <w:rPr>
              <w:sz w:val="52"/>
              <w:szCs w:val="52"/>
              <w:lang w:val="fr-LU"/>
            </w:rPr>
          </w:pPr>
        </w:p>
        <w:p w:rsidRPr="00FD1666" w:rsidR="00B43E07" w:rsidP="00B43E07" w:rsidRDefault="00B43E07" w14:paraId="1441AC18" w14:textId="1BBD9781">
          <w:pPr>
            <w:rPr>
              <w:sz w:val="52"/>
              <w:szCs w:val="52"/>
              <w:lang w:val="fr-LU"/>
            </w:rPr>
          </w:pPr>
        </w:p>
        <w:p w:rsidRPr="00FD1666" w:rsidR="00FD1666" w:rsidP="00B43E07" w:rsidRDefault="00FD1666" w14:paraId="5369EC08" w14:textId="2190C347">
          <w:pPr>
            <w:rPr>
              <w:sz w:val="52"/>
              <w:szCs w:val="52"/>
              <w:lang w:val="fr-LU"/>
            </w:rPr>
          </w:pPr>
        </w:p>
        <w:p w:rsidRPr="00FD1666" w:rsidR="00FD1666" w:rsidP="00B43E07" w:rsidRDefault="00FD1666" w14:paraId="49A04280" w14:textId="2423FBD3">
          <w:pPr>
            <w:rPr>
              <w:sz w:val="52"/>
              <w:szCs w:val="52"/>
              <w:lang w:val="fr-LU"/>
            </w:rPr>
          </w:pPr>
        </w:p>
        <w:p w:rsidR="00FD1666" w:rsidP="00B43E07" w:rsidRDefault="00FD1666" w14:paraId="13808088" w14:textId="43CFA1B2">
          <w:pPr>
            <w:rPr>
              <w:lang w:val="fr-LU"/>
            </w:rPr>
          </w:pPr>
        </w:p>
        <w:tbl>
          <w:tblPr>
            <w:tblStyle w:val="EBAtable"/>
            <w:tblW w:w="9125" w:type="dxa"/>
            <w:tblLook w:val="04A0" w:firstRow="1" w:lastRow="0" w:firstColumn="1" w:lastColumn="0" w:noHBand="0" w:noVBand="1"/>
          </w:tblPr>
          <w:tblGrid>
            <w:gridCol w:w="824"/>
            <w:gridCol w:w="2190"/>
            <w:gridCol w:w="6111"/>
          </w:tblGrid>
          <w:tr w:rsidRPr="00D13DB3" w:rsidR="00FD1666" w:rsidTr="005D18C0" w14:paraId="05CC531B" w14:textId="77777777">
            <w:trPr>
              <w:cnfStyle w:val="100000000000" w:firstRow="1" w:lastRow="0" w:firstColumn="0" w:lastColumn="0" w:oddVBand="0" w:evenVBand="0" w:oddHBand="0" w:evenHBand="0" w:firstRowFirstColumn="0" w:firstRowLastColumn="0" w:lastRowFirstColumn="0" w:lastRowLastColumn="0"/>
              <w:trHeight w:val="300"/>
            </w:trPr>
            <w:tc>
              <w:tcPr>
                <w:tcW w:w="3014" w:type="dxa"/>
                <w:gridSpan w:val="2"/>
                <w:tcBorders>
                  <w:top w:val="single" w:color="auto" w:sz="12" w:space="0"/>
                  <w:left w:val="single" w:color="auto" w:sz="12" w:space="0"/>
                </w:tcBorders>
              </w:tcPr>
              <w:p w:rsidRPr="00D13DB3" w:rsidR="00FD1666" w:rsidP="005D18C0" w:rsidRDefault="00FD1666" w14:paraId="7C62079F" w14:textId="77777777">
                <w:pPr>
                  <w:spacing w:before="240" w:after="120" w:line="276" w:lineRule="auto"/>
                  <w:jc w:val="both"/>
                  <w:rPr>
                    <w:rFonts w:eastAsia="MS PGothic" w:cs="Times New Roman"/>
                    <w:lang w:eastAsia="en-GB"/>
                  </w:rPr>
                </w:pPr>
              </w:p>
              <w:p w:rsidRPr="00D13DB3" w:rsidR="00FD1666" w:rsidP="005D18C0" w:rsidRDefault="00FD1666" w14:paraId="57CB46B0" w14:textId="77777777">
                <w:pPr>
                  <w:rPr>
                    <w:rFonts w:eastAsia="MS PGothic" w:cs="Times New Roman"/>
                    <w:lang w:val="en-GB" w:eastAsia="en-GB"/>
                  </w:rPr>
                </w:pPr>
              </w:p>
            </w:tc>
            <w:tc>
              <w:tcPr>
                <w:tcW w:w="6111" w:type="dxa"/>
                <w:tcBorders>
                  <w:top w:val="single" w:color="auto" w:sz="12" w:space="0"/>
                  <w:right w:val="single" w:color="auto" w:sz="12" w:space="0"/>
                </w:tcBorders>
              </w:tcPr>
              <w:p w:rsidRPr="00FD1666" w:rsidR="00FD1666" w:rsidP="00FD1666" w:rsidRDefault="00FD1666" w14:paraId="2C63A561" w14:textId="2134BAC0">
                <w:pPr>
                  <w:rPr>
                    <w:rFonts w:ascii="Calibri" w:hAnsi="Calibri" w:cs="Calibri"/>
                    <w:color w:val="000000"/>
                    <w:szCs w:val="22"/>
                  </w:rPr>
                </w:pPr>
                <w:r>
                  <w:rPr>
                    <w:rFonts w:ascii="Calibri" w:hAnsi="Calibri" w:cs="Calibri"/>
                    <w:color w:val="000000"/>
                    <w:szCs w:val="22"/>
                  </w:rPr>
                  <w:t>Date de mise en œuvre</w:t>
                </w:r>
              </w:p>
            </w:tc>
          </w:tr>
          <w:tr w:rsidRPr="00D13DB3" w:rsidR="00FD1666" w:rsidTr="005D18C0" w14:paraId="26766D5B" w14:textId="77777777">
            <w:trPr>
              <w:trHeight w:val="300"/>
            </w:trPr>
            <w:tc>
              <w:tcPr>
                <w:tcW w:w="3014" w:type="dxa"/>
                <w:gridSpan w:val="2"/>
                <w:tcBorders>
                  <w:left w:val="single" w:color="auto" w:sz="12" w:space="0"/>
                </w:tcBorders>
              </w:tcPr>
              <w:p w:rsidRPr="00D13DB3" w:rsidR="00FD1666" w:rsidP="005D18C0" w:rsidRDefault="00FD1666" w14:paraId="0A9CF69F" w14:textId="77777777">
                <w:pPr>
                  <w:rPr>
                    <w:rFonts w:eastAsia="MS PGothic" w:cs="Times New Roman"/>
                    <w:lang w:val="en-GB" w:eastAsia="en-GB"/>
                  </w:rPr>
                </w:pPr>
                <w:r w:rsidRPr="007B541C">
                  <w:rPr>
                    <w:rFonts w:ascii="Wingdings" w:hAnsi="Wingdings" w:eastAsia="Wingdings" w:cs="Wingdings"/>
                    <w:color w:val="E98E31"/>
                    <w:highlight w:val="yellow"/>
                    <w:lang w:val="en-GB" w:eastAsia="en-GB"/>
                  </w:rPr>
                  <w:t>Ø</w:t>
                </w:r>
                <w:r w:rsidRPr="007B541C">
                  <w:rPr>
                    <w:rFonts w:eastAsia="MS PGothic" w:cs="Times New Roman"/>
                    <w:color w:val="E98E31"/>
                    <w:highlight w:val="yellow"/>
                    <w:lang w:val="en-GB" w:eastAsia="en-GB"/>
                  </w:rPr>
                  <w:t>O</w:t>
                </w:r>
              </w:p>
            </w:tc>
            <w:tc>
              <w:tcPr>
                <w:tcW w:w="6111" w:type="dxa"/>
                <w:tcBorders>
                  <w:right w:val="single" w:color="auto" w:sz="12" w:space="0"/>
                </w:tcBorders>
              </w:tcPr>
              <w:p w:rsidRPr="00D13DB3" w:rsidR="00FD1666" w:rsidP="005D18C0" w:rsidRDefault="00FD1666" w14:paraId="42ADF400" w14:textId="77777777">
                <w:pPr>
                  <w:rPr>
                    <w:rFonts w:eastAsia="MS PGothic" w:cs="Times New Roman"/>
                    <w:lang w:val="en-GB" w:eastAsia="en-GB"/>
                  </w:rPr>
                </w:pPr>
                <w:r>
                  <w:rPr>
                    <w:rFonts w:eastAsia="MS PGothic" w:cs="Times New Roman"/>
                    <w:lang w:val="en-GB" w:eastAsia="en-GB"/>
                  </w:rPr>
                  <w:t>04</w:t>
                </w:r>
                <w:r w:rsidRPr="00D13DB3">
                  <w:rPr>
                    <w:rFonts w:eastAsia="MS PGothic" w:cs="Times New Roman"/>
                    <w:lang w:val="en-GB" w:eastAsia="en-GB"/>
                  </w:rPr>
                  <w:t>.</w:t>
                </w:r>
                <w:r>
                  <w:rPr>
                    <w:rFonts w:eastAsia="MS PGothic" w:cs="Times New Roman"/>
                    <w:lang w:val="en-GB" w:eastAsia="en-GB"/>
                  </w:rPr>
                  <w:t>11</w:t>
                </w:r>
                <w:r w:rsidRPr="00D13DB3">
                  <w:rPr>
                    <w:rFonts w:eastAsia="MS PGothic" w:cs="Times New Roman"/>
                    <w:lang w:val="en-GB" w:eastAsia="en-GB"/>
                  </w:rPr>
                  <w:t>.</w:t>
                </w:r>
                <w:r>
                  <w:rPr>
                    <w:rFonts w:eastAsia="MS PGothic" w:cs="Times New Roman"/>
                    <w:lang w:val="en-GB" w:eastAsia="en-GB"/>
                  </w:rPr>
                  <w:t>2020</w:t>
                </w:r>
              </w:p>
            </w:tc>
          </w:tr>
          <w:tr w:rsidRPr="00D13DB3" w:rsidR="00FD1666" w:rsidTr="005D18C0" w14:paraId="1F6DBC31" w14:textId="77777777">
            <w:trPr>
              <w:trHeight w:val="300"/>
            </w:trPr>
            <w:tc>
              <w:tcPr>
                <w:tcW w:w="3014" w:type="dxa"/>
                <w:gridSpan w:val="2"/>
                <w:tcBorders>
                  <w:left w:val="single" w:color="auto" w:sz="12" w:space="0"/>
                </w:tcBorders>
              </w:tcPr>
              <w:p w:rsidRPr="00FD1666" w:rsidR="00FD1666" w:rsidP="00FD1666" w:rsidRDefault="00FD1666" w14:paraId="284E0F3B" w14:textId="3D8B3B43">
                <w:pPr>
                  <w:rPr>
                    <w:rFonts w:ascii="Calibri" w:hAnsi="Calibri" w:cs="Calibri"/>
                    <w:color w:val="000000"/>
                    <w:szCs w:val="22"/>
                  </w:rPr>
                </w:pPr>
                <w:r>
                  <w:rPr>
                    <w:rFonts w:ascii="Calibri" w:hAnsi="Calibri" w:cs="Calibri"/>
                    <w:color w:val="000000"/>
                    <w:szCs w:val="22"/>
                  </w:rPr>
                  <w:t>modifié par:</w:t>
                </w:r>
              </w:p>
            </w:tc>
            <w:tc>
              <w:tcPr>
                <w:tcW w:w="6111" w:type="dxa"/>
                <w:tcBorders>
                  <w:right w:val="single" w:color="auto" w:sz="12" w:space="0"/>
                </w:tcBorders>
              </w:tcPr>
              <w:p w:rsidRPr="00D13DB3" w:rsidR="00FD1666" w:rsidP="005D18C0" w:rsidRDefault="00FD1666" w14:paraId="55AB15BC" w14:textId="77777777">
                <w:pPr>
                  <w:rPr>
                    <w:rFonts w:eastAsia="MS PGothic" w:cs="Times New Roman"/>
                    <w:lang w:val="en-GB" w:eastAsia="en-GB"/>
                  </w:rPr>
                </w:pPr>
              </w:p>
            </w:tc>
          </w:tr>
          <w:tr w:rsidRPr="00D13DB3" w:rsidR="00FD1666" w:rsidTr="005D18C0" w14:paraId="6B853DF5" w14:textId="77777777">
            <w:trPr>
              <w:trHeight w:val="58"/>
            </w:trPr>
            <w:tc>
              <w:tcPr>
                <w:tcW w:w="824" w:type="dxa"/>
                <w:tcBorders>
                  <w:left w:val="single" w:color="auto" w:sz="12" w:space="0"/>
                  <w:bottom w:val="single" w:color="auto" w:sz="12" w:space="0"/>
                </w:tcBorders>
              </w:tcPr>
              <w:p w:rsidRPr="00D13DB3" w:rsidR="00FD1666" w:rsidP="005D18C0" w:rsidRDefault="00FD1666" w14:paraId="4FD9770C" w14:textId="77777777">
                <w:pPr>
                  <w:rPr>
                    <w:rFonts w:eastAsia="MS PGothic" w:cs="Times New Roman"/>
                    <w:color w:val="E98E31"/>
                    <w:lang w:val="en-GB" w:eastAsia="en-GB"/>
                  </w:rPr>
                </w:pPr>
                <w:r w:rsidRPr="007B541C">
                  <w:rPr>
                    <w:rFonts w:ascii="Wingdings" w:hAnsi="Wingdings" w:eastAsia="Wingdings" w:cs="Wingdings"/>
                    <w:color w:val="E98E31"/>
                    <w:highlight w:val="green"/>
                    <w:lang w:val="en-GB" w:eastAsia="en-GB"/>
                  </w:rPr>
                  <w:t>Ø</w:t>
                </w:r>
                <w:r w:rsidRPr="007B541C">
                  <w:rPr>
                    <w:rFonts w:eastAsia="Wingdings" w:cs="Wingdings"/>
                    <w:color w:val="E98E31"/>
                    <w:highlight w:val="green"/>
                    <w:lang w:val="en-GB" w:eastAsia="en-GB"/>
                  </w:rPr>
                  <w:t>A1</w:t>
                </w:r>
              </w:p>
            </w:tc>
            <w:tc>
              <w:tcPr>
                <w:tcW w:w="2190" w:type="dxa"/>
                <w:tcBorders>
                  <w:bottom w:val="single" w:color="auto" w:sz="12" w:space="0"/>
                </w:tcBorders>
              </w:tcPr>
              <w:p w:rsidRPr="00D13DB3" w:rsidR="00FD1666" w:rsidP="005D18C0" w:rsidRDefault="00FD1666" w14:paraId="64B8D9A1" w14:textId="77777777">
                <w:pPr>
                  <w:rPr>
                    <w:rFonts w:eastAsia="MS PGothic" w:cs="Times New Roman"/>
                  </w:rPr>
                </w:pPr>
                <w:r w:rsidRPr="00D13DB3">
                  <w:rPr>
                    <w:rFonts w:eastAsia="MS PGothic" w:cs="Times New Roman"/>
                  </w:rPr>
                  <w:t>EBA/GL</w:t>
                </w:r>
                <w:r w:rsidRPr="005261FC">
                  <w:t>/2023/10</w:t>
                </w:r>
              </w:p>
            </w:tc>
            <w:tc>
              <w:tcPr>
                <w:tcW w:w="6111" w:type="dxa"/>
                <w:tcBorders>
                  <w:bottom w:val="single" w:color="auto" w:sz="12" w:space="0"/>
                  <w:right w:val="single" w:color="auto" w:sz="12" w:space="0"/>
                </w:tcBorders>
              </w:tcPr>
              <w:p w:rsidRPr="00D13DB3" w:rsidR="00FD1666" w:rsidP="005D18C0" w:rsidRDefault="00FD1666" w14:paraId="2281E043" w14:textId="77777777">
                <w:pPr>
                  <w:rPr>
                    <w:rFonts w:eastAsia="MS PGothic" w:cs="Times New Roman"/>
                    <w:lang w:val="en-GB" w:eastAsia="en-GB"/>
                  </w:rPr>
                </w:pPr>
              </w:p>
            </w:tc>
          </w:tr>
        </w:tbl>
        <w:p w:rsidRPr="0016372E" w:rsidR="00FD1666" w:rsidP="00B43E07" w:rsidRDefault="00FD1666" w14:paraId="0F7AFDA9" w14:textId="77777777">
          <w:pPr>
            <w:rPr>
              <w:lang w:val="fr-LU"/>
            </w:rPr>
          </w:pPr>
        </w:p>
        <w:p w:rsidRPr="0016372E" w:rsidR="00B43E07" w:rsidP="00B43E07" w:rsidRDefault="00B43E07" w14:paraId="3673D6BB" w14:textId="77777777">
          <w:r w:rsidRPr="0016372E">
            <w:br w:type="page"/>
          </w:r>
        </w:p>
      </w:sdtContent>
    </w:sdt>
    <w:p w:rsidRPr="0016372E" w:rsidR="00B43E07" w:rsidP="007B09CA" w:rsidRDefault="00B43E07" w14:paraId="72D6F5BF" w14:textId="77777777">
      <w:pPr>
        <w:pStyle w:val="Numberedtilelevel1"/>
        <w:numPr>
          <w:ilvl w:val="0"/>
          <w:numId w:val="12"/>
        </w:numPr>
      </w:pPr>
      <w:r w:rsidRPr="0016372E">
        <w:lastRenderedPageBreak/>
        <w:t>Obligations de conformité et de déclaration</w:t>
      </w:r>
    </w:p>
    <w:p w:rsidRPr="0016372E" w:rsidR="00B43E07" w:rsidP="00B43E07" w:rsidRDefault="00B43E07" w14:paraId="3B9E826E" w14:textId="5EE3EC56">
      <w:pPr>
        <w:pStyle w:val="Titlelevel2"/>
      </w:pPr>
      <w:r w:rsidRPr="0016372E">
        <w:t>Statut des présentes orientations</w:t>
      </w:r>
    </w:p>
    <w:p w:rsidRPr="0016372E" w:rsidR="00B43E07" w:rsidP="007B09CA" w:rsidRDefault="00B43E07" w14:paraId="4AFE96B1" w14:textId="13B187BE">
      <w:pPr>
        <w:pStyle w:val="body"/>
        <w:numPr>
          <w:ilvl w:val="0"/>
          <w:numId w:val="10"/>
        </w:numPr>
      </w:pPr>
      <w:r w:rsidRPr="0016372E">
        <w:t>Le présent document contient des orientations émises en vertu de l’article 16 du règlement (UE) nº 1093/2010</w:t>
      </w:r>
      <w:r w:rsidRPr="0016372E">
        <w:rPr>
          <w:rStyle w:val="FootnoteReference"/>
          <w:lang w:val="en-GB"/>
        </w:rPr>
        <w:footnoteReference w:id="2"/>
      </w:r>
      <w:r w:rsidRPr="0016372E">
        <w:t>. Conformément à l’article 16, paragraphe 3, du règlement (UE) nº 1093/2010, les autorités compétentes et les établissements financiers mettent tout en œuvre pour respecter ces orientations.</w:t>
      </w:r>
    </w:p>
    <w:p w:rsidRPr="0016372E" w:rsidR="00B43E07" w:rsidP="007B09CA" w:rsidRDefault="00B43E07" w14:paraId="23E7F140" w14:textId="078B1353">
      <w:pPr>
        <w:pStyle w:val="body"/>
        <w:numPr>
          <w:ilvl w:val="0"/>
          <w:numId w:val="10"/>
        </w:numPr>
      </w:pPr>
      <w:r w:rsidRPr="0016372E">
        <w:t xml:space="preserve">Les orientations donnent l’avis de l’ABE sur </w:t>
      </w:r>
      <w:r w:rsidR="00E12A6F">
        <w:t>les</w:t>
      </w:r>
      <w:r w:rsidRPr="0016372E">
        <w:t xml:space="preserve"> pratiques de surveillance appropriées au sein du système européen de surveillance financière ou sur les modalités d’application du droit de l’Union dans un domaine particulier. Les autorités compétentes, telles que définies à l’article 4, paragraphe 2, du règlement (UE) nº 1093/2010, </w:t>
      </w:r>
      <w:r w:rsidR="00E12A6F">
        <w:t>auxquelles s’appliquent les orientations</w:t>
      </w:r>
      <w:r w:rsidRPr="0016372E">
        <w:t xml:space="preserve">, </w:t>
      </w:r>
      <w:r w:rsidR="00E12A6F">
        <w:t>doivent s’y conformer</w:t>
      </w:r>
      <w:r w:rsidRPr="0016372E">
        <w:t xml:space="preserve"> en les intégrant dans leurs pratiques, s’il y a lieu (par exemple en modifiant leur cadre juridique ou leurs processus de surveillance), y compris lorsque les orientations s’adressent principalement à des établissements.</w:t>
      </w:r>
    </w:p>
    <w:p w:rsidRPr="0016372E" w:rsidR="00B43E07" w:rsidP="00B43E07" w:rsidRDefault="00B43E07" w14:paraId="141EDBC6" w14:textId="77777777">
      <w:pPr>
        <w:pStyle w:val="Titlelevel2"/>
      </w:pPr>
      <w:r w:rsidRPr="0016372E">
        <w:t>Obligations de déclaration</w:t>
      </w:r>
    </w:p>
    <w:p w:rsidRPr="0016372E" w:rsidR="00B43E07" w:rsidP="007B09CA" w:rsidRDefault="00236329" w14:paraId="7EE20541" w14:textId="128B9CEE">
      <w:pPr>
        <w:pStyle w:val="body"/>
        <w:numPr>
          <w:ilvl w:val="0"/>
          <w:numId w:val="10"/>
        </w:numPr>
      </w:pPr>
      <w:r w:rsidRPr="0016372E">
        <w:t xml:space="preserve">Conformément à l’article 16, paragraphe 3, du règlement (UE) nº 1093/2010, les autorités compétentes </w:t>
      </w:r>
      <w:r w:rsidR="00E12A6F">
        <w:t>doivent indiquer</w:t>
      </w:r>
      <w:r w:rsidRPr="0016372E">
        <w:t xml:space="preserve"> à l’ABE si elles </w:t>
      </w:r>
      <w:r w:rsidR="00E12A6F">
        <w:t>se conforment ou entendent se conformer aux</w:t>
      </w:r>
      <w:r w:rsidRPr="0016372E">
        <w:t xml:space="preserve"> présentes orientations, ou indiquer les raisons du non-respect des orientations, le cas échéant, avant le </w:t>
      </w:r>
      <w:r w:rsidR="007431D5">
        <w:t>16.02.2021</w:t>
      </w:r>
      <w:r w:rsidRPr="0016372E">
        <w:t>. En l’absence d’une notification avant cette date, les autorités compétentes seront considérées par l’ABE comme n’ayant pas respecté les orientations. Les notifications sont à adresser à l’aide du formulaire disponible sur le site web de l’ABE en indiquant en objet «EBA/GL/2020/14». Les notifications doivent être communiquées par des personnes dûment habilitées à rendre compte du respect des orientations au nom de leurs autorités compétentes. Toute modification du statut de conformité avec les orientations doit également être signalée à l’ABE.</w:t>
      </w:r>
    </w:p>
    <w:p w:rsidRPr="0016372E" w:rsidR="00B43E07" w:rsidP="007B09CA" w:rsidRDefault="00B43E07" w14:paraId="3FF09602" w14:textId="563622BD">
      <w:pPr>
        <w:pStyle w:val="body"/>
        <w:numPr>
          <w:ilvl w:val="0"/>
          <w:numId w:val="10"/>
        </w:numPr>
      </w:pPr>
      <w:r w:rsidRPr="0016372E">
        <w:t>Les notifications seront publiées sur le site web de l’ABE, conformément à l’article 16, paragraphe 3.</w:t>
      </w:r>
    </w:p>
    <w:p w:rsidRPr="0016372E" w:rsidR="00B43E07" w:rsidP="00B43E07" w:rsidRDefault="00B43E07" w14:paraId="0BB7AD43" w14:textId="77777777">
      <w:pPr>
        <w:pStyle w:val="Titlelevel2"/>
      </w:pPr>
      <w:r w:rsidRPr="0016372E">
        <w:br w:type="page"/>
      </w:r>
    </w:p>
    <w:p w:rsidRPr="0016372E" w:rsidR="00B43E07" w:rsidP="00CE3517" w:rsidRDefault="00B43E07" w14:paraId="207E9159" w14:textId="77777777">
      <w:pPr>
        <w:pStyle w:val="Numberedtilelevel1"/>
      </w:pPr>
      <w:r w:rsidRPr="0016372E">
        <w:lastRenderedPageBreak/>
        <w:t>Objet, champ d’application et définitions</w:t>
      </w:r>
    </w:p>
    <w:p w:rsidRPr="0016372E" w:rsidR="00B43E07" w:rsidP="00B43E07" w:rsidRDefault="00B43E07" w14:paraId="329ACB0A" w14:textId="77777777">
      <w:pPr>
        <w:pStyle w:val="Titlelevel2"/>
      </w:pPr>
      <w:r w:rsidRPr="0016372E">
        <w:t>Objet</w:t>
      </w:r>
    </w:p>
    <w:p w:rsidRPr="0016372E" w:rsidR="00DE0FE1" w:rsidP="007B09CA" w:rsidRDefault="00DE0FE1" w14:paraId="667A5E79" w14:textId="59213B17">
      <w:pPr>
        <w:pStyle w:val="body"/>
        <w:numPr>
          <w:ilvl w:val="0"/>
          <w:numId w:val="10"/>
        </w:numPr>
      </w:pPr>
      <w:r w:rsidRPr="0016372E">
        <w:t>Les présentes orientations concernent</w:t>
      </w:r>
      <w:r w:rsidR="0031002F">
        <w:t> </w:t>
      </w:r>
      <w:r w:rsidRPr="0016372E">
        <w:t>:</w:t>
      </w:r>
    </w:p>
    <w:p w:rsidRPr="0016372E" w:rsidR="00DE0FE1" w:rsidP="007B09CA" w:rsidRDefault="00DE0FE1" w14:paraId="7F872996" w14:textId="614CC3F9">
      <w:pPr>
        <w:pStyle w:val="body"/>
        <w:numPr>
          <w:ilvl w:val="1"/>
          <w:numId w:val="13"/>
        </w:numPr>
      </w:pPr>
      <w:r w:rsidRPr="0016372E">
        <w:t>la spécification des indicateurs utilisés pour identifier les établissements d’importance systémique mondiale (EISm) conformément au règlement (UE) nº 1222/2014 («</w:t>
      </w:r>
      <w:r w:rsidR="0031002F">
        <w:t> </w:t>
      </w:r>
      <w:r w:rsidRPr="0016372E">
        <w:t>indicateurs</w:t>
      </w:r>
      <w:r w:rsidR="0031002F">
        <w:t> </w:t>
      </w:r>
      <w:r w:rsidRPr="0016372E">
        <w:t>»)</w:t>
      </w:r>
      <w:r w:rsidR="009C1EE3">
        <w:t xml:space="preserve"> </w:t>
      </w:r>
      <w:r w:rsidRPr="0016372E">
        <w:t>; et</w:t>
      </w:r>
    </w:p>
    <w:p w:rsidRPr="0016372E" w:rsidR="00B43E07" w:rsidP="007B09CA" w:rsidRDefault="00DE0FE1" w14:paraId="776C11F3" w14:textId="58E74370">
      <w:pPr>
        <w:pStyle w:val="body"/>
        <w:numPr>
          <w:ilvl w:val="1"/>
          <w:numId w:val="13"/>
        </w:numPr>
      </w:pPr>
      <w:r w:rsidRPr="0016372E">
        <w:t>la déclaration des données sous-jacentes (indicateurs, données auxiliaires et éléments pour mémoire) et la publication annuelle des valeurs des indicateurs qui en découlent, utilisées pour identifier les EISm.</w:t>
      </w:r>
    </w:p>
    <w:p w:rsidRPr="0016372E" w:rsidR="00B43E07" w:rsidP="00B43E07" w:rsidRDefault="00B43E07" w14:paraId="07F996E2" w14:textId="77777777">
      <w:pPr>
        <w:pStyle w:val="Titlelevel2"/>
      </w:pPr>
      <w:r w:rsidRPr="0016372E">
        <w:t>Champ d’application</w:t>
      </w:r>
    </w:p>
    <w:p w:rsidRPr="0016372E" w:rsidR="00DE0FE1" w:rsidP="007B09CA" w:rsidRDefault="00B43E07" w14:paraId="71B629CF" w14:textId="05197A71">
      <w:pPr>
        <w:pStyle w:val="body"/>
        <w:numPr>
          <w:ilvl w:val="0"/>
          <w:numId w:val="10"/>
        </w:numPr>
      </w:pPr>
      <w:r w:rsidRPr="0016372E">
        <w:t>Les présentes orientations s’appliquent en lien avec</w:t>
      </w:r>
    </w:p>
    <w:p w:rsidRPr="0016372E" w:rsidR="00DE0FE1" w:rsidP="007B09CA" w:rsidRDefault="000F3C24" w14:paraId="73EAD676" w14:textId="3E39D136">
      <w:pPr>
        <w:pStyle w:val="body"/>
        <w:numPr>
          <w:ilvl w:val="0"/>
          <w:numId w:val="14"/>
        </w:numPr>
      </w:pPr>
      <w:r w:rsidRPr="0016372E">
        <w:t>les groupes dirigés par un établissement mère dans l’Union, une compagnie financière holding mère dans l’Union ou une compagnie financière holding mixte mère dans l’Union</w:t>
      </w:r>
      <w:r w:rsidR="009C1EE3">
        <w:t> </w:t>
      </w:r>
      <w:r w:rsidRPr="0016372E">
        <w:t>; et</w:t>
      </w:r>
    </w:p>
    <w:p w:rsidRPr="0016372E" w:rsidR="00B43E07" w:rsidP="007B09CA" w:rsidRDefault="00DE0FE1" w14:paraId="0D1E1C78" w14:textId="031EF3C2">
      <w:pPr>
        <w:pStyle w:val="body"/>
        <w:numPr>
          <w:ilvl w:val="0"/>
          <w:numId w:val="14"/>
        </w:numPr>
      </w:pPr>
      <w:r w:rsidRPr="0016372E">
        <w:t>les établissements qui ne sont pas des filiales d’un établissement mère dans l’Union, d’une compagnie financière holding mère dans l’Union ou d’une compagnie financière holding mixte mère dans l’Union</w:t>
      </w:r>
    </w:p>
    <w:p w:rsidRPr="0016372E" w:rsidR="00B43E07" w:rsidP="00DE0FE1" w:rsidRDefault="003A2221" w14:paraId="5736DC31" w14:textId="690705AA">
      <w:pPr>
        <w:pStyle w:val="body"/>
      </w:pPr>
      <w:r w:rsidRPr="0016372E">
        <w:t xml:space="preserve">dont la mesure de l’exposition aux fins du ratio de levier dépasse 200 milliards d’EUR sur </w:t>
      </w:r>
      <w:r w:rsidR="00777A9A">
        <w:t xml:space="preserve">une </w:t>
      </w:r>
      <w:r w:rsidRPr="0016372E">
        <w:t>base consolidée ou individuelle, respectivement (</w:t>
      </w:r>
      <w:r w:rsidR="00777A9A">
        <w:t>en y incluant</w:t>
      </w:r>
      <w:r w:rsidRPr="0016372E">
        <w:t xml:space="preserve"> les filiales d’assurance), en utilisant un taux de change approprié qui tien</w:t>
      </w:r>
      <w:r w:rsidR="00777A9A">
        <w:t>ne</w:t>
      </w:r>
      <w:r w:rsidRPr="0016372E">
        <w:t xml:space="preserve"> compte du taux de change de référence publié par la Banque centrale européenne applicable à la fin de chaque exercice et des normes internationales («</w:t>
      </w:r>
      <w:r w:rsidR="0031002F">
        <w:t> </w:t>
      </w:r>
      <w:r w:rsidRPr="0016372E">
        <w:t>entités pertinentes</w:t>
      </w:r>
      <w:r w:rsidR="0031002F">
        <w:t> </w:t>
      </w:r>
      <w:r w:rsidRPr="0016372E">
        <w:t>»).</w:t>
      </w:r>
    </w:p>
    <w:p w:rsidRPr="0016372E" w:rsidR="00B43E07" w:rsidP="00B43E07" w:rsidRDefault="00B43E07" w14:paraId="6EAA3145" w14:textId="77777777">
      <w:pPr>
        <w:pStyle w:val="Titlelevel2"/>
      </w:pPr>
      <w:r w:rsidRPr="0016372E">
        <w:t>Destinataires</w:t>
      </w:r>
    </w:p>
    <w:p w:rsidRPr="0016372E" w:rsidR="00DE0FE1" w:rsidP="007B09CA" w:rsidRDefault="00DE0FE1" w14:paraId="52A8B3D5" w14:textId="36968B76">
      <w:pPr>
        <w:pStyle w:val="body"/>
        <w:numPr>
          <w:ilvl w:val="0"/>
          <w:numId w:val="10"/>
        </w:numPr>
      </w:pPr>
      <w:r w:rsidRPr="0016372E">
        <w:t>Les présentes orientations sont destinées aux autorités compétentes, au sens de l’article 4, paragraphe 2, point i), du règlement (UE) nº 1093/2010 et aux établissements financiers auxquels les présentes orientations s’appliquent. Les autorités désignées auxquelles il est fait référence à l’article 131, paragraphe 1, de la directive 2013/36/UE, autres que les autorités compétentes, sont encouragées à appliquer les présentes orientations. Les autorités compétentes et les autorités désignées sont rassemblées sous l’appellation «autorités pertinentes» dans les présentes orientations.</w:t>
      </w:r>
      <w:r w:rsidRPr="0016372E">
        <w:br w:type="page"/>
      </w:r>
    </w:p>
    <w:p w:rsidRPr="0016372E" w:rsidR="00B43E07" w:rsidP="00CE3517" w:rsidRDefault="00B43E07" w14:paraId="25D099DB" w14:textId="77777777">
      <w:pPr>
        <w:pStyle w:val="Numberedtilelevel1"/>
      </w:pPr>
      <w:r w:rsidRPr="0016372E">
        <w:lastRenderedPageBreak/>
        <w:t>Mise en œuvre</w:t>
      </w:r>
    </w:p>
    <w:p w:rsidRPr="0016372E" w:rsidR="00B43E07" w:rsidP="00B43E07" w:rsidRDefault="00B43E07" w14:paraId="4EAB2FB0" w14:textId="77777777">
      <w:pPr>
        <w:pStyle w:val="Titlelevel2"/>
      </w:pPr>
      <w:r w:rsidRPr="0016372E">
        <w:t>Date d’application</w:t>
      </w:r>
    </w:p>
    <w:p w:rsidRPr="0016372E" w:rsidR="00B43E07" w:rsidP="007B09CA" w:rsidRDefault="00DE0FE1" w14:paraId="18515792" w14:textId="5C26C7C1">
      <w:pPr>
        <w:pStyle w:val="body"/>
        <w:numPr>
          <w:ilvl w:val="0"/>
          <w:numId w:val="15"/>
        </w:numPr>
      </w:pPr>
      <w:r w:rsidRPr="0016372E">
        <w:t xml:space="preserve">Les présentes orientations s’appliquent à compter du </w:t>
      </w:r>
      <w:r w:rsidR="008A4556">
        <w:t>16.12.2020</w:t>
      </w:r>
      <w:r w:rsidRPr="0016372E">
        <w:t>.</w:t>
      </w:r>
    </w:p>
    <w:p w:rsidRPr="0016372E" w:rsidR="00B43E07" w:rsidP="00B43E07" w:rsidRDefault="00B43E07" w14:paraId="4AB150AF" w14:textId="64BC8239">
      <w:pPr>
        <w:pStyle w:val="Titlelevel2"/>
      </w:pPr>
      <w:r w:rsidRPr="0016372E">
        <w:t>Abrogation</w:t>
      </w:r>
    </w:p>
    <w:p w:rsidRPr="0016372E" w:rsidR="00B43E07" w:rsidP="00A41338" w:rsidRDefault="00BD1538" w14:paraId="0F71334D" w14:textId="3B71CA3B">
      <w:r w:rsidRPr="0016372E">
        <w:t xml:space="preserve">Les orientations révisées concernant la spécification des indicateurs d’importance systémique mondiale et la publication de ces indicateurs, en date du 29 février 2016 </w:t>
      </w:r>
      <w:r w:rsidR="0011598D">
        <w:t>(</w:t>
      </w:r>
      <w:r w:rsidRPr="0016372E">
        <w:t>EBA/GL/2016/01), sont par les présentes abrogées.</w:t>
      </w:r>
    </w:p>
    <w:p w:rsidRPr="0016372E" w:rsidR="00BD1538" w:rsidP="00B43E07" w:rsidRDefault="00BD1538" w14:paraId="30F30A96" w14:textId="77777777">
      <w:pPr>
        <w:pStyle w:val="body"/>
        <w:rPr>
          <w:lang w:val="fr-LU"/>
        </w:rPr>
        <w:sectPr w:rsidRPr="0016372E" w:rsidR="00BD1538" w:rsidSect="00BD5ED2">
          <w:headerReference w:type="even" r:id="rId8"/>
          <w:headerReference w:type="default" r:id="rId9"/>
          <w:footerReference w:type="even" r:id="rId10"/>
          <w:footerReference w:type="default" r:id="rId11"/>
          <w:headerReference w:type="first" r:id="rId12"/>
          <w:footerReference w:type="first" r:id="rId13"/>
          <w:pgSz w:w="11900" w:h="16840"/>
          <w:pgMar w:top="2268" w:right="1418" w:bottom="1134" w:left="1701" w:header="709" w:footer="397" w:gutter="0"/>
          <w:cols w:space="708"/>
          <w:docGrid w:linePitch="299"/>
        </w:sectPr>
      </w:pPr>
    </w:p>
    <w:p w:rsidRPr="0016372E" w:rsidR="00B43E07" w:rsidP="00BD1538" w:rsidRDefault="00BD1538" w14:paraId="4D344DEC" w14:textId="3CE1317D">
      <w:pPr>
        <w:pStyle w:val="Numberedtilelevel1"/>
        <w:jc w:val="both"/>
      </w:pPr>
      <w:r w:rsidRPr="0016372E">
        <w:lastRenderedPageBreak/>
        <w:t>Spécification des données sous-jacentes et des indicateurs utilisés pour identifier les EISm</w:t>
      </w:r>
    </w:p>
    <w:p w:rsidR="005D5B32" w:rsidP="005D5B32" w:rsidRDefault="005D5B32" w14:paraId="5876E1DC" w14:textId="17E5CF4A">
      <w:pPr>
        <w:pStyle w:val="body"/>
        <w:rPr>
          <w:iCs/>
        </w:rPr>
      </w:pPr>
      <w:r w:rsidRPr="007B541C">
        <w:rPr>
          <w:spacing w:val="-1"/>
          <w:highlight w:val="green"/>
        </w:rPr>
        <w:sym w:font="Wingdings" w:char="F0DA"/>
      </w:r>
      <w:r w:rsidRPr="007B541C">
        <w:rPr>
          <w:spacing w:val="-1"/>
          <w:highlight w:val="green"/>
        </w:rPr>
        <w:t>A1</w:t>
      </w:r>
    </w:p>
    <w:p w:rsidRPr="009755FE" w:rsidR="00B43E07" w:rsidP="007B09CA" w:rsidRDefault="006F5266" w14:paraId="50643877" w14:textId="3B26BEEA">
      <w:pPr>
        <w:pStyle w:val="body"/>
        <w:numPr>
          <w:ilvl w:val="0"/>
          <w:numId w:val="15"/>
        </w:numPr>
        <w:rPr>
          <w:iCs/>
        </w:rPr>
      </w:pPr>
      <w:r w:rsidRPr="009755FE">
        <w:rPr>
          <w:iCs/>
        </w:rPr>
        <w:t>Les autorités concernées et les entités pertinentes devraient suivre les instructions et les spécifications relatives aux éléments de données énumérés à l’annexe, telles qu’elles figurent dans le lien intitulé “Instructions de déclaration” sur le site internet de l’ABE, à la section consacrée aux EISm</w:t>
      </w:r>
      <w:r w:rsidRPr="009755FE">
        <w:rPr>
          <w:rStyle w:val="FootnoteReference"/>
          <w:iCs/>
        </w:rPr>
        <w:footnoteReference w:id="3"/>
      </w:r>
      <w:r w:rsidRPr="009755FE" w:rsidR="00BD1538">
        <w:rPr>
          <w:iCs/>
        </w:rPr>
        <w:t>.</w:t>
      </w:r>
    </w:p>
    <w:p w:rsidR="009755FE" w:rsidP="007B09CA" w:rsidRDefault="006F5266" w14:paraId="78133984" w14:textId="77777777">
      <w:pPr>
        <w:pStyle w:val="body"/>
        <w:numPr>
          <w:ilvl w:val="0"/>
          <w:numId w:val="15"/>
        </w:numPr>
        <w:rPr>
          <w:iCs/>
        </w:rPr>
      </w:pPr>
      <w:r w:rsidRPr="009755FE">
        <w:rPr>
          <w:iCs/>
        </w:rPr>
        <w:t>Les autorités concernées devraient utiliser les données auxiliaires (sections 15 et 16 de l’annexe des présentes orientations) pour étayer leur jugement prudentiel conformément à l’article 131, paragraphe 10, de la directive 2013/36/UE et aux éléments pour mémoire (sections 17 à 22 de l’annexe) afin d’améliorer la qualité des données et de contribuer à l’élaboration des améliorations futures de la méthode d’identification. Les éléments pour mémoire devraient être complétés par des commentaires détaillés de la part des entités pertinentes concernant la qualité et la disponibilité des données, le cas échéant</w:t>
      </w:r>
      <w:r w:rsidRPr="009755FE" w:rsidR="003A2221">
        <w:rPr>
          <w:iCs/>
        </w:rPr>
        <w:t>.</w:t>
      </w:r>
    </w:p>
    <w:p w:rsidRPr="009755FE" w:rsidR="00BD1538" w:rsidP="005D5B32" w:rsidRDefault="009755FE" w14:paraId="6A6FBBAE" w14:textId="2D86B219">
      <w:pPr>
        <w:pStyle w:val="body"/>
        <w:ind w:left="360" w:hanging="360"/>
        <w:rPr>
          <w:iCs/>
        </w:rPr>
      </w:pPr>
      <w:r>
        <w:rPr>
          <w:iCs/>
        </w:rPr>
        <w:t>10</w:t>
      </w:r>
      <w:r w:rsidRPr="009755FE" w:rsidR="006F5266">
        <w:rPr>
          <w:iCs/>
        </w:rPr>
        <w:t> bis.</w:t>
      </w:r>
      <w:r>
        <w:rPr>
          <w:iCs/>
        </w:rPr>
        <w:tab/>
      </w:r>
      <w:r w:rsidRPr="009755FE" w:rsidR="006F5266">
        <w:rPr>
          <w:iCs/>
        </w:rPr>
        <w:t>Conformément à l’article 131, paragraphe 2 </w:t>
      </w:r>
      <w:r w:rsidRPr="009755FE" w:rsidR="006F5266">
        <w:rPr>
          <w:i/>
        </w:rPr>
        <w:t>bis</w:t>
      </w:r>
      <w:r w:rsidRPr="009755FE" w:rsidR="006F5266">
        <w:rPr>
          <w:iCs/>
        </w:rPr>
        <w:t>, de la directive 2013/36/UE exigeant une méthode d’identification supplémentaire excluant les activités transfrontières au sein du mécanisme de résolution unique (MRU), et conformément à l’accord international conclu par le Comité de Bâle le 31 mai 2022 pour tenir compte des progrès accomplis dans la mise en place de l’union bancaire européenne, les éléments de données pertinents pour le calcul des indicateurs interjuridictionnels ajustés du MRU concernant les établissements ayant leur siège dans les États membres participant au MRU devraient être considérés comme faisant partie des indicateurs d’activité interjuridictionnels et, à ce titre, publiés conformément au paragraphe 12, et non en tant qu’éléments auxiliaires ou pour mémoire destinés à la méthode d’identification et de répartition des sous-catégories des EISm</w:t>
      </w:r>
      <w:r w:rsidRPr="009755FE">
        <w:rPr>
          <w:iCs/>
        </w:rPr>
        <w:t>.</w:t>
      </w:r>
    </w:p>
    <w:p w:rsidRPr="0016372E" w:rsidR="00BD1538" w:rsidP="00505C64" w:rsidRDefault="00BD1538" w14:paraId="2DFFA9BA" w14:textId="77777777">
      <w:pPr>
        <w:pStyle w:val="Titlelevel2"/>
        <w:rPr>
          <w:lang w:val="fr-LU"/>
        </w:rPr>
        <w:sectPr w:rsidRPr="0016372E" w:rsidR="00BD1538" w:rsidSect="00BD5ED2">
          <w:pgSz w:w="11900" w:h="16840"/>
          <w:pgMar w:top="2268" w:right="1418" w:bottom="1134" w:left="1701" w:header="709" w:footer="454" w:gutter="0"/>
          <w:cols w:space="708"/>
          <w:docGrid w:linePitch="299"/>
        </w:sectPr>
      </w:pPr>
    </w:p>
    <w:p w:rsidRPr="0016372E" w:rsidR="00B43E07" w:rsidP="00BD1538" w:rsidRDefault="00BD1538" w14:paraId="6CDBC73A" w14:textId="63126AA5">
      <w:pPr>
        <w:pStyle w:val="Numberedtilelevel1"/>
        <w:jc w:val="both"/>
      </w:pPr>
      <w:r w:rsidRPr="0016372E">
        <w:lastRenderedPageBreak/>
        <w:t>Exigences relatives à la déclaration et à la publication par les établissements pertinents</w:t>
      </w:r>
    </w:p>
    <w:p w:rsidRPr="004D36AC" w:rsidR="0007574B" w:rsidP="007B09CA" w:rsidRDefault="006F5266" w14:paraId="107B3895" w14:textId="16288DE5">
      <w:pPr>
        <w:pStyle w:val="body"/>
        <w:numPr>
          <w:ilvl w:val="0"/>
          <w:numId w:val="16"/>
        </w:numPr>
        <w:rPr>
          <w:iCs/>
        </w:rPr>
      </w:pPr>
      <w:r w:rsidRPr="004D36AC">
        <w:rPr>
          <w:iCs/>
        </w:rPr>
        <w:t>Les autorités compétentes devraient s’assurer qu’elles collectent, au 31 décembre de chaque année, tous les éléments de données précisés à l’annexe des présentes orientations auprès d’entités compétentes qui remplissent les critères énoncés au paragraphe 6 des présentes lignes directrices</w:t>
      </w:r>
      <w:r w:rsidRPr="004D36AC" w:rsidR="003A2221">
        <w:rPr>
          <w:iCs/>
        </w:rPr>
        <w:t>.</w:t>
      </w:r>
    </w:p>
    <w:p w:rsidR="0007574B" w:rsidP="007B09CA" w:rsidRDefault="006F5266" w14:paraId="623657F6" w14:textId="66E55ACC">
      <w:pPr>
        <w:pStyle w:val="body"/>
        <w:numPr>
          <w:ilvl w:val="0"/>
          <w:numId w:val="16"/>
        </w:numPr>
        <w:rPr>
          <w:iCs/>
        </w:rPr>
      </w:pPr>
      <w:r w:rsidRPr="004D36AC">
        <w:rPr>
          <w:iCs/>
        </w:rPr>
        <w:t>Les autorités concernées devraient veiller à ce que les entités concernées publient sur leur site internet, sur une base annuelle, les valeurs des indicateurs spécifiées aux sections 1 à 14 de l’annexe des présentes orientations et, lorsque la méthode d’identification supplémentaire du MRU est nécessaire, les points e), f) et g) de la section 21, ainsi que tout autre élément de la section 21 faisant référence à l’activité transversale du MRU qui pourrait être jugé pertinent pour le calcul de cette méthode par l’autorité compétente concernée</w:t>
      </w:r>
      <w:r w:rsidRPr="004D36AC" w:rsidR="003A2221">
        <w:rPr>
          <w:iCs/>
        </w:rPr>
        <w:t>.</w:t>
      </w:r>
    </w:p>
    <w:p w:rsidRPr="004D36AC" w:rsidR="003D28D3" w:rsidP="003D28D3" w:rsidRDefault="003D28D3" w14:paraId="07D92CA3" w14:textId="4B8F6F9E">
      <w:pPr>
        <w:pStyle w:val="BodyText"/>
        <w:tabs>
          <w:tab w:val="left" w:pos="1802"/>
        </w:tabs>
        <w:spacing w:before="100" w:after="60" w:line="276" w:lineRule="auto"/>
        <w:ind w:right="232"/>
        <w:jc w:val="both"/>
        <w:rPr>
          <w:iCs/>
        </w:rPr>
      </w:pPr>
      <w:r w:rsidRPr="007B541C">
        <w:rPr>
          <w:spacing w:val="-1"/>
          <w:highlight w:val="yellow"/>
        </w:rPr>
        <w:sym w:font="Wingdings" w:char="F0DA"/>
      </w:r>
      <w:r w:rsidRPr="007B541C">
        <w:rPr>
          <w:spacing w:val="-1"/>
          <w:highlight w:val="yellow"/>
        </w:rPr>
        <w:t>O</w:t>
      </w:r>
    </w:p>
    <w:p w:rsidR="0007574B" w:rsidP="007B09CA" w:rsidRDefault="0007574B" w14:paraId="59D95C2C" w14:textId="58612C99">
      <w:pPr>
        <w:pStyle w:val="body"/>
        <w:numPr>
          <w:ilvl w:val="0"/>
          <w:numId w:val="16"/>
        </w:numPr>
      </w:pPr>
      <w:r w:rsidRPr="0016372E">
        <w:t>Lorsqu’elles déclarent et publient les informations visées aux paragraphes 11 et 12, les entités pertinentes devraient utiliser le modèle électronique et suivre les instructions annuelles publiées à ces fins sur le site web de l’ABE.</w:t>
      </w:r>
    </w:p>
    <w:p w:rsidRPr="0016372E" w:rsidR="003D28D3" w:rsidP="003D28D3" w:rsidRDefault="003D28D3" w14:paraId="22F8DD6C" w14:textId="40534B08">
      <w:pPr>
        <w:pStyle w:val="body"/>
      </w:pPr>
      <w:r w:rsidRPr="007B541C">
        <w:rPr>
          <w:spacing w:val="-1"/>
          <w:highlight w:val="green"/>
        </w:rPr>
        <w:sym w:font="Wingdings" w:char="F0DA"/>
      </w:r>
      <w:r w:rsidRPr="007B541C">
        <w:rPr>
          <w:spacing w:val="-1"/>
          <w:highlight w:val="green"/>
        </w:rPr>
        <w:t>A1</w:t>
      </w:r>
    </w:p>
    <w:p w:rsidR="006C6D8E" w:rsidP="007B09CA" w:rsidRDefault="006F5266" w14:paraId="5F511C1E" w14:textId="1972C15E">
      <w:pPr>
        <w:pStyle w:val="body"/>
        <w:numPr>
          <w:ilvl w:val="0"/>
          <w:numId w:val="16"/>
        </w:numPr>
        <w:rPr>
          <w:iCs/>
        </w:rPr>
      </w:pPr>
      <w:r w:rsidRPr="006F5266">
        <w:rPr>
          <w:i/>
        </w:rPr>
        <w:t xml:space="preserve"> </w:t>
      </w:r>
      <w:r w:rsidRPr="004D36AC">
        <w:rPr>
          <w:iCs/>
        </w:rPr>
        <w:t>Les entités pertinentes devraient transmettre les informations visées au paragraphe 11 aux autorités concernées et publier les informations visées au paragraphe 12 sur une base annuelle au plus tard quatre mois après chaque date de fin d’exercice, à compter de la deuxième date de fin d’exercice consécutive à laquelle le seuil visé au paragraphe 6 des présentes orientations a été dépassé. Pour ce faire, les entités pertinentes devraient s’identifier à l’aide de leur identifiant d’entité juridique (LEI)</w:t>
      </w:r>
      <w:r w:rsidRPr="004D36AC" w:rsidR="0007574B">
        <w:rPr>
          <w:iCs/>
        </w:rPr>
        <w:t>.</w:t>
      </w:r>
    </w:p>
    <w:p w:rsidRPr="004D36AC" w:rsidR="003D28D3" w:rsidP="003D28D3" w:rsidRDefault="003D28D3" w14:paraId="6270E799" w14:textId="4C91AAA0">
      <w:pPr>
        <w:pStyle w:val="BodyText"/>
        <w:tabs>
          <w:tab w:val="left" w:pos="1802"/>
        </w:tabs>
        <w:spacing w:before="100" w:after="60" w:line="276" w:lineRule="auto"/>
        <w:ind w:right="232"/>
        <w:jc w:val="both"/>
        <w:rPr>
          <w:iCs/>
        </w:rPr>
      </w:pPr>
      <w:r w:rsidRPr="007B541C">
        <w:rPr>
          <w:spacing w:val="-1"/>
          <w:highlight w:val="yellow"/>
        </w:rPr>
        <w:sym w:font="Wingdings" w:char="F0DA"/>
      </w:r>
      <w:r w:rsidRPr="007B541C">
        <w:rPr>
          <w:spacing w:val="-1"/>
          <w:highlight w:val="yellow"/>
        </w:rPr>
        <w:t>O</w:t>
      </w:r>
    </w:p>
    <w:p w:rsidRPr="0016372E" w:rsidR="0007574B" w:rsidP="007B09CA" w:rsidRDefault="003A2221" w14:paraId="02B1DBBB" w14:textId="35B7F7D9">
      <w:pPr>
        <w:pStyle w:val="body"/>
        <w:numPr>
          <w:ilvl w:val="0"/>
          <w:numId w:val="16"/>
        </w:numPr>
      </w:pPr>
      <w:r w:rsidRPr="0016372E">
        <w:t>Les autorités pertinentes peuvent autoriser les entités pertinentes dont l’exercice ne se termine pas le 31 décembre à déclarer et publier ces informations sur la base de leur situation à une date aussi proche que possible du 31 décembre. En tout état de cause, les informations devraient être publiées au plus tard le 31 juillet.</w:t>
      </w:r>
    </w:p>
    <w:p w:rsidRPr="0016372E" w:rsidR="00B43E07" w:rsidP="007B09CA" w:rsidRDefault="003A2221" w14:paraId="0BE8B0EA" w14:textId="3AD888C3">
      <w:pPr>
        <w:pStyle w:val="body"/>
        <w:numPr>
          <w:ilvl w:val="0"/>
          <w:numId w:val="16"/>
        </w:numPr>
      </w:pPr>
      <w:r w:rsidRPr="0016372E">
        <w:t>Les autorités pertinentes devraient veiller à ce que les données déclarées et publiées soient identiques à celles transmises au Comité de Bâle sur le contrôle bancaire, le cas échéant.</w:t>
      </w:r>
    </w:p>
    <w:p w:rsidRPr="0016372E" w:rsidR="006C6D8E" w:rsidP="006C6D8E" w:rsidRDefault="006C6D8E" w14:paraId="304AED26" w14:textId="0684F911">
      <w:pPr>
        <w:pStyle w:val="body"/>
        <w:rPr>
          <w:lang w:val="fr-LU"/>
        </w:rPr>
      </w:pPr>
    </w:p>
    <w:p w:rsidRPr="0016372E" w:rsidR="006C6D8E" w:rsidP="006C6D8E" w:rsidRDefault="006C6D8E" w14:paraId="3653C3DD" w14:textId="77777777">
      <w:pPr>
        <w:pStyle w:val="body"/>
        <w:rPr>
          <w:lang w:val="fr-LU"/>
        </w:rPr>
        <w:sectPr w:rsidRPr="0016372E" w:rsidR="006C6D8E" w:rsidSect="00BD5ED2">
          <w:pgSz w:w="11900" w:h="16840"/>
          <w:pgMar w:top="2268" w:right="1418" w:bottom="1134" w:left="1701" w:header="709" w:footer="397" w:gutter="0"/>
          <w:cols w:space="708"/>
          <w:docGrid w:linePitch="299"/>
        </w:sectPr>
      </w:pPr>
    </w:p>
    <w:p w:rsidRPr="0016372E" w:rsidR="00B43E07" w:rsidP="006C6D8E" w:rsidRDefault="006C6D8E" w14:paraId="78D7CAE2" w14:textId="0D9CA5B9">
      <w:pPr>
        <w:pStyle w:val="Numberedtilelevel1"/>
        <w:jc w:val="both"/>
      </w:pPr>
      <w:r w:rsidRPr="0016372E">
        <w:lastRenderedPageBreak/>
        <w:t>Informations communiquées à l’ABE</w:t>
      </w:r>
    </w:p>
    <w:p w:rsidRPr="0016372E" w:rsidR="006C6D8E" w:rsidP="007B09CA" w:rsidRDefault="003A2221" w14:paraId="0966C959" w14:textId="52E7A3EF">
      <w:pPr>
        <w:pStyle w:val="body"/>
        <w:numPr>
          <w:ilvl w:val="0"/>
          <w:numId w:val="16"/>
        </w:numPr>
      </w:pPr>
      <w:r w:rsidRPr="0016372E">
        <w:t>Les autorités pertinentes devraient communiquer à l’ABE toutes les données collectées conformément aux présentes orientations, y compris les données auxiliaires et les éléments pour mémoire, afin qu’elles puissent être rassemblées sur le site web de l’ABE. Les entités pertinentes devraient s’identifier à l’aide de leur LEI. L’ABE ne publiera ni les données auxiliaires ni les éléments pour mémoire.</w:t>
      </w:r>
    </w:p>
    <w:p w:rsidRPr="0016372E" w:rsidR="006C6D8E" w:rsidP="00B43E07" w:rsidRDefault="006C6D8E" w14:paraId="001293F4" w14:textId="77777777">
      <w:pPr>
        <w:pStyle w:val="body"/>
        <w:rPr>
          <w:lang w:val="fr-LU" w:eastAsia="en-GB"/>
        </w:rPr>
        <w:sectPr w:rsidRPr="0016372E" w:rsidR="006C6D8E" w:rsidSect="00BD5ED2">
          <w:pgSz w:w="11900" w:h="16840"/>
          <w:pgMar w:top="2268" w:right="1418" w:bottom="1134" w:left="1701" w:header="709" w:footer="397" w:gutter="0"/>
          <w:cols w:space="708"/>
          <w:docGrid w:linePitch="299"/>
        </w:sectPr>
      </w:pPr>
    </w:p>
    <w:p w:rsidRPr="0016372E" w:rsidR="006C6D8E" w:rsidP="006C6D8E" w:rsidRDefault="006C6D8E" w14:paraId="6FBD395E" w14:textId="77777777">
      <w:pPr>
        <w:pStyle w:val="Contenttitle"/>
      </w:pPr>
      <w:r w:rsidRPr="0016372E">
        <w:lastRenderedPageBreak/>
        <w:t>Annexe</w:t>
      </w:r>
    </w:p>
    <w:tbl>
      <w:tblPr>
        <w:tblStyle w:val="TableGrid1"/>
        <w:tblW w:w="9549" w:type="dxa"/>
        <w:tblLook w:val="04A0" w:firstRow="1" w:lastRow="0" w:firstColumn="1" w:lastColumn="0" w:noHBand="0" w:noVBand="1"/>
      </w:tblPr>
      <w:tblGrid>
        <w:gridCol w:w="6804"/>
        <w:gridCol w:w="2745"/>
      </w:tblGrid>
      <w:tr w:rsidRPr="00EA2A25" w:rsidR="006F5266" w:rsidTr="00A87C3B" w14:paraId="15B35F3B" w14:textId="77777777">
        <w:trPr>
          <w:trHeight w:val="420"/>
        </w:trPr>
        <w:tc>
          <w:tcPr>
            <w:tcW w:w="9549" w:type="dxa"/>
            <w:gridSpan w:val="2"/>
            <w:tcBorders>
              <w:top w:val="nil"/>
              <w:left w:val="nil"/>
              <w:bottom w:val="nil"/>
              <w:right w:val="nil"/>
            </w:tcBorders>
            <w:noWrap/>
            <w:hideMark/>
          </w:tcPr>
          <w:bookmarkEnd w:id="9"/>
          <w:bookmarkEnd w:id="8"/>
          <w:bookmarkEnd w:id="7"/>
          <w:bookmarkEnd w:id="6"/>
          <w:bookmarkEnd w:id="5"/>
          <w:bookmarkEnd w:id="4"/>
          <w:bookmarkEnd w:id="3"/>
          <w:bookmarkEnd w:id="2"/>
          <w:bookmarkEnd w:id="1"/>
          <w:bookmarkEnd w:id="0"/>
          <w:p w:rsidR="00C37C05" w:rsidP="00A87C3B" w:rsidRDefault="00C37C05" w14:paraId="187574B4" w14:textId="6D0AEC5D">
            <w:pPr>
              <w:keepNext/>
              <w:keepLines/>
              <w:spacing w:before="47"/>
              <w:outlineLvl w:val="5"/>
              <w:rPr>
                <w:rFonts w:ascii="Arial" w:hAnsi="Arial"/>
                <w:b/>
                <w:i/>
                <w:caps/>
                <w:color w:val="172B39" w:themeColor="accent1" w:themeShade="80"/>
                <w:sz w:val="24"/>
              </w:rPr>
            </w:pPr>
            <w:r w:rsidRPr="007B541C">
              <w:rPr>
                <w:spacing w:val="-1"/>
                <w:highlight w:val="green"/>
              </w:rPr>
              <w:sym w:font="Wingdings" w:char="F0DA"/>
            </w:r>
            <w:r w:rsidRPr="007B541C">
              <w:rPr>
                <w:spacing w:val="-1"/>
                <w:highlight w:val="green"/>
              </w:rPr>
              <w:t>A1</w:t>
            </w:r>
          </w:p>
          <w:p w:rsidRPr="00C933B0" w:rsidR="006F5266" w:rsidP="00A87C3B" w:rsidRDefault="006F5266" w14:paraId="378AAD1E" w14:textId="24241CE6">
            <w:pPr>
              <w:keepNext/>
              <w:keepLines/>
              <w:spacing w:before="47"/>
              <w:outlineLvl w:val="5"/>
              <w:rPr>
                <w:rFonts w:asciiTheme="majorHAnsi" w:hAnsiTheme="majorHAnsi" w:eastAsiaTheme="majorEastAsia" w:cstheme="majorBidi"/>
                <w:b/>
                <w:bCs/>
                <w:i/>
                <w:iCs/>
                <w:caps/>
                <w:color w:val="172B39" w:themeColor="accent1" w:themeShade="80"/>
              </w:rPr>
            </w:pPr>
            <w:r w:rsidRPr="00EA2A25">
              <w:rPr>
                <w:rFonts w:ascii="Arial" w:hAnsi="Arial"/>
                <w:b/>
                <w:i/>
                <w:caps/>
                <w:color w:val="172B39" w:themeColor="accent1" w:themeShade="80"/>
                <w:sz w:val="24"/>
              </w:rPr>
              <w:t> </w:t>
            </w:r>
            <w:r w:rsidRPr="00EA2A25">
              <w:rPr>
                <w:rFonts w:asciiTheme="majorHAnsi" w:hAnsiTheme="majorHAnsi"/>
                <w:b/>
                <w:i/>
                <w:caps/>
              </w:rPr>
              <w:t>Données bancaires générales</w:t>
            </w:r>
            <w:r w:rsidRPr="00EA2A25">
              <w:rPr>
                <w:rFonts w:ascii="Arial" w:hAnsi="Arial"/>
                <w:i/>
                <w:caps/>
                <w:color w:val="172B39" w:themeColor="accent1" w:themeShade="80"/>
                <w:sz w:val="20"/>
              </w:rPr>
              <w:t> </w:t>
            </w:r>
          </w:p>
          <w:p w:rsidRPr="00EA2A25" w:rsidR="006F5266" w:rsidP="00A87C3B" w:rsidRDefault="006F5266" w14:paraId="5E203C3A" w14:textId="77777777">
            <w:pPr>
              <w:rPr>
                <w:rFonts w:ascii="Arial" w:hAnsi="Arial" w:eastAsia="Times New Roman" w:cs="Arial"/>
                <w:b/>
                <w:bCs/>
                <w:sz w:val="24"/>
                <w:szCs w:val="24"/>
              </w:rPr>
            </w:pPr>
            <w:r w:rsidRPr="00EA2A25">
              <w:rPr>
                <w:rFonts w:ascii="Arial" w:hAnsi="Arial"/>
                <w:sz w:val="20"/>
              </w:rPr>
              <w:t> </w:t>
            </w:r>
          </w:p>
        </w:tc>
      </w:tr>
      <w:tr w:rsidRPr="00EA2A25" w:rsidR="006F5266" w:rsidTr="00A87C3B" w14:paraId="5AB5BCA8" w14:textId="77777777">
        <w:trPr>
          <w:trHeight w:val="300"/>
        </w:trPr>
        <w:tc>
          <w:tcPr>
            <w:tcW w:w="6804" w:type="dxa"/>
            <w:tcBorders>
              <w:top w:val="nil"/>
              <w:left w:val="nil"/>
              <w:bottom w:val="single" w:color="auto" w:sz="4" w:space="0"/>
              <w:right w:val="nil"/>
            </w:tcBorders>
            <w:noWrap/>
          </w:tcPr>
          <w:p w:rsidRPr="00EA2A25" w:rsidR="006F5266" w:rsidP="00A87C3B" w:rsidRDefault="006F5266" w14:paraId="1D590BF7" w14:textId="77777777">
            <w:pPr>
              <w:rPr>
                <w:rFonts w:ascii="Arial" w:hAnsi="Arial" w:eastAsia="Times New Roman" w:cs="Arial"/>
                <w:b/>
                <w:bCs/>
                <w:sz w:val="20"/>
                <w:szCs w:val="20"/>
                <w:lang w:eastAsia="en-GB"/>
              </w:rPr>
            </w:pPr>
          </w:p>
        </w:tc>
        <w:tc>
          <w:tcPr>
            <w:tcW w:w="2745" w:type="dxa"/>
            <w:tcBorders>
              <w:top w:val="nil"/>
              <w:left w:val="nil"/>
              <w:bottom w:val="single" w:color="auto" w:sz="4" w:space="0"/>
              <w:right w:val="nil"/>
            </w:tcBorders>
            <w:noWrap/>
          </w:tcPr>
          <w:p w:rsidRPr="00EA2A25" w:rsidR="006F5266" w:rsidP="00A87C3B" w:rsidRDefault="006F5266" w14:paraId="7C2CB8AD" w14:textId="77777777">
            <w:pPr>
              <w:jc w:val="center"/>
              <w:rPr>
                <w:rFonts w:ascii="Arial" w:hAnsi="Arial" w:eastAsia="Times New Roman" w:cs="Arial"/>
                <w:b/>
                <w:bCs/>
                <w:sz w:val="20"/>
                <w:szCs w:val="20"/>
                <w:lang w:eastAsia="en-GB"/>
              </w:rPr>
            </w:pPr>
          </w:p>
        </w:tc>
      </w:tr>
      <w:tr w:rsidRPr="00EA2A25" w:rsidR="006F5266" w:rsidTr="00A87C3B" w14:paraId="2046900A" w14:textId="77777777">
        <w:trPr>
          <w:trHeight w:val="300"/>
        </w:trPr>
        <w:tc>
          <w:tcPr>
            <w:tcW w:w="6804" w:type="dxa"/>
            <w:tcBorders>
              <w:top w:val="single" w:color="auto" w:sz="4" w:space="0"/>
              <w:left w:val="nil"/>
              <w:bottom w:val="single" w:color="auto" w:sz="4" w:space="0"/>
              <w:right w:val="nil"/>
            </w:tcBorders>
            <w:noWrap/>
            <w:hideMark/>
          </w:tcPr>
          <w:p w:rsidRPr="00EA2A25" w:rsidR="006F5266" w:rsidP="00A87C3B" w:rsidRDefault="006F5266" w14:paraId="091363F5" w14:textId="77777777">
            <w:pPr>
              <w:rPr>
                <w:rFonts w:ascii="Arial" w:hAnsi="Arial" w:eastAsia="Times New Roman" w:cs="Arial"/>
                <w:b/>
                <w:bCs/>
                <w:sz w:val="20"/>
                <w:szCs w:val="20"/>
              </w:rPr>
            </w:pPr>
            <w:r w:rsidRPr="00EA2A25">
              <w:rPr>
                <w:rFonts w:ascii="Arial" w:hAnsi="Arial"/>
                <w:b/>
                <w:sz w:val="20"/>
              </w:rPr>
              <w:t>Section 1 - Informations générales</w:t>
            </w:r>
          </w:p>
        </w:tc>
        <w:tc>
          <w:tcPr>
            <w:tcW w:w="2745" w:type="dxa"/>
            <w:tcBorders>
              <w:top w:val="single" w:color="auto" w:sz="4" w:space="0"/>
              <w:left w:val="nil"/>
              <w:right w:val="nil"/>
            </w:tcBorders>
            <w:noWrap/>
            <w:hideMark/>
          </w:tcPr>
          <w:p w:rsidRPr="00EA2A25" w:rsidR="006F5266" w:rsidP="00A87C3B" w:rsidRDefault="006F5266" w14:paraId="47EE6932" w14:textId="77777777">
            <w:pPr>
              <w:jc w:val="center"/>
              <w:rPr>
                <w:rFonts w:ascii="Arial" w:hAnsi="Arial" w:eastAsia="Times New Roman" w:cs="Arial"/>
                <w:b/>
                <w:bCs/>
                <w:sz w:val="20"/>
                <w:szCs w:val="20"/>
              </w:rPr>
            </w:pPr>
            <w:r w:rsidRPr="00EA2A25">
              <w:rPr>
                <w:rFonts w:ascii="Arial" w:hAnsi="Arial"/>
                <w:b/>
                <w:sz w:val="20"/>
              </w:rPr>
              <w:t>Réponse</w:t>
            </w:r>
          </w:p>
        </w:tc>
      </w:tr>
      <w:tr w:rsidRPr="00EA2A25" w:rsidR="006F5266" w:rsidTr="00A87C3B" w14:paraId="6A127FE3" w14:textId="77777777">
        <w:trPr>
          <w:gridAfter w:val="1"/>
          <w:wAfter w:w="2745" w:type="dxa"/>
          <w:trHeight w:val="300"/>
        </w:trPr>
        <w:tc>
          <w:tcPr>
            <w:tcW w:w="6804" w:type="dxa"/>
            <w:tcBorders>
              <w:top w:val="single" w:color="auto" w:sz="4" w:space="0"/>
              <w:left w:val="nil"/>
              <w:bottom w:val="single" w:color="auto" w:sz="4" w:space="0"/>
              <w:right w:val="nil"/>
            </w:tcBorders>
            <w:noWrap/>
            <w:hideMark/>
          </w:tcPr>
          <w:p w:rsidRPr="00EA2A25" w:rsidR="006F5266" w:rsidP="00A87C3B" w:rsidRDefault="006F5266" w14:paraId="4E108030" w14:textId="77777777">
            <w:pPr>
              <w:ind w:firstLine="200" w:firstLineChars="100"/>
              <w:rPr>
                <w:rFonts w:ascii="Arial" w:hAnsi="Arial" w:eastAsia="Times New Roman" w:cs="Arial"/>
                <w:sz w:val="20"/>
                <w:szCs w:val="20"/>
              </w:rPr>
            </w:pPr>
            <w:r w:rsidRPr="00EA2A25">
              <w:rPr>
                <w:rFonts w:ascii="Arial" w:hAnsi="Arial"/>
                <w:sz w:val="20"/>
              </w:rPr>
              <w:t>a. Informations générales fournies par l’autorité de surveillance pertinente:</w:t>
            </w:r>
          </w:p>
        </w:tc>
      </w:tr>
      <w:tr w:rsidRPr="00EA2A25" w:rsidR="006F5266" w:rsidTr="00A87C3B" w14:paraId="0F8ECD2B" w14:textId="77777777">
        <w:trPr>
          <w:trHeight w:val="300"/>
        </w:trPr>
        <w:tc>
          <w:tcPr>
            <w:tcW w:w="6804" w:type="dxa"/>
            <w:tcBorders>
              <w:left w:val="nil"/>
              <w:right w:val="nil"/>
            </w:tcBorders>
            <w:noWrap/>
            <w:hideMark/>
          </w:tcPr>
          <w:p w:rsidRPr="00EA2A25" w:rsidR="006F5266" w:rsidP="00A87C3B" w:rsidRDefault="006F5266" w14:paraId="62C1081F" w14:textId="77777777">
            <w:pPr>
              <w:ind w:firstLine="400" w:firstLineChars="200"/>
              <w:rPr>
                <w:rFonts w:ascii="Arial" w:hAnsi="Arial" w:eastAsia="Times New Roman" w:cs="Arial"/>
                <w:sz w:val="20"/>
                <w:szCs w:val="20"/>
              </w:rPr>
            </w:pPr>
            <w:r w:rsidRPr="00EA2A25">
              <w:rPr>
                <w:rFonts w:ascii="Arial" w:hAnsi="Arial"/>
                <w:sz w:val="20"/>
                <w:lang w:eastAsia="en-GB"/>
              </w:rPr>
              <w:t xml:space="preserve">(1) </w:t>
            </w:r>
            <w:r w:rsidRPr="00EA2A25">
              <w:rPr>
                <w:rFonts w:ascii="Arial" w:hAnsi="Arial"/>
                <w:sz w:val="20"/>
              </w:rPr>
              <w:t>Code pays</w:t>
            </w:r>
          </w:p>
        </w:tc>
        <w:tc>
          <w:tcPr>
            <w:tcW w:w="2745" w:type="dxa"/>
            <w:tcBorders>
              <w:left w:val="nil"/>
              <w:bottom w:val="single" w:color="auto" w:sz="4" w:space="0"/>
              <w:right w:val="nil"/>
            </w:tcBorders>
            <w:noWrap/>
            <w:hideMark/>
          </w:tcPr>
          <w:p w:rsidRPr="00EA2A25" w:rsidR="006F5266" w:rsidP="00A87C3B" w:rsidRDefault="006F5266" w14:paraId="2261733E" w14:textId="77777777">
            <w:pPr>
              <w:jc w:val="center"/>
              <w:rPr>
                <w:rFonts w:ascii="Arial" w:hAnsi="Arial" w:eastAsia="Times New Roman" w:cs="Arial"/>
                <w:sz w:val="20"/>
                <w:szCs w:val="20"/>
              </w:rPr>
            </w:pPr>
            <w:r w:rsidRPr="00EA2A25">
              <w:rPr>
                <w:rFonts w:ascii="Arial" w:hAnsi="Arial"/>
                <w:sz w:val="20"/>
              </w:rPr>
              <w:t> </w:t>
            </w:r>
          </w:p>
        </w:tc>
      </w:tr>
      <w:tr w:rsidRPr="00EA2A25" w:rsidR="006F5266" w:rsidTr="00A87C3B" w14:paraId="745D3AD9" w14:textId="77777777">
        <w:trPr>
          <w:trHeight w:val="300"/>
        </w:trPr>
        <w:tc>
          <w:tcPr>
            <w:tcW w:w="6804" w:type="dxa"/>
            <w:tcBorders>
              <w:left w:val="nil"/>
              <w:right w:val="nil"/>
            </w:tcBorders>
            <w:noWrap/>
            <w:hideMark/>
          </w:tcPr>
          <w:p w:rsidRPr="00EA2A25" w:rsidR="006F5266" w:rsidP="00A87C3B" w:rsidRDefault="006F5266" w14:paraId="7461B493" w14:textId="77777777">
            <w:pPr>
              <w:ind w:firstLine="400" w:firstLineChars="200"/>
              <w:rPr>
                <w:rFonts w:ascii="Arial" w:hAnsi="Arial" w:eastAsia="Times New Roman" w:cs="Arial"/>
                <w:sz w:val="20"/>
                <w:szCs w:val="20"/>
              </w:rPr>
            </w:pPr>
            <w:r w:rsidRPr="00EA2A25">
              <w:rPr>
                <w:rFonts w:ascii="Arial" w:hAnsi="Arial"/>
                <w:sz w:val="20"/>
                <w:lang w:eastAsia="en-GB"/>
              </w:rPr>
              <w:t xml:space="preserve">(2) </w:t>
            </w:r>
            <w:r w:rsidRPr="00EA2A25">
              <w:rPr>
                <w:rFonts w:ascii="Arial" w:hAnsi="Arial"/>
                <w:sz w:val="20"/>
              </w:rPr>
              <w:t>Nom de la banque</w:t>
            </w:r>
          </w:p>
        </w:tc>
        <w:tc>
          <w:tcPr>
            <w:tcW w:w="2745" w:type="dxa"/>
            <w:tcBorders>
              <w:left w:val="nil"/>
              <w:bottom w:val="single" w:color="auto" w:sz="4" w:space="0"/>
              <w:right w:val="nil"/>
            </w:tcBorders>
            <w:hideMark/>
          </w:tcPr>
          <w:p w:rsidRPr="00EA2A25" w:rsidR="006F5266" w:rsidP="00A87C3B" w:rsidRDefault="006F5266" w14:paraId="63594FF4" w14:textId="77777777">
            <w:pPr>
              <w:jc w:val="center"/>
              <w:rPr>
                <w:rFonts w:ascii="Arial" w:hAnsi="Arial" w:eastAsia="Times New Roman" w:cs="Arial"/>
                <w:sz w:val="20"/>
                <w:szCs w:val="20"/>
              </w:rPr>
            </w:pPr>
            <w:r w:rsidRPr="00EA2A25">
              <w:rPr>
                <w:rFonts w:ascii="Arial" w:hAnsi="Arial"/>
                <w:sz w:val="20"/>
              </w:rPr>
              <w:t> </w:t>
            </w:r>
          </w:p>
        </w:tc>
      </w:tr>
      <w:tr w:rsidRPr="00EA2A25" w:rsidR="006F5266" w:rsidTr="00A87C3B" w14:paraId="7848763A" w14:textId="77777777">
        <w:trPr>
          <w:trHeight w:val="300"/>
        </w:trPr>
        <w:tc>
          <w:tcPr>
            <w:tcW w:w="6804" w:type="dxa"/>
            <w:tcBorders>
              <w:left w:val="nil"/>
              <w:right w:val="nil"/>
            </w:tcBorders>
            <w:noWrap/>
            <w:hideMark/>
          </w:tcPr>
          <w:p w:rsidRPr="00EA2A25" w:rsidR="006F5266" w:rsidP="00A87C3B" w:rsidRDefault="006F5266" w14:paraId="37A796A9" w14:textId="77777777">
            <w:pPr>
              <w:ind w:firstLine="400" w:firstLineChars="200"/>
              <w:rPr>
                <w:rFonts w:ascii="Arial" w:hAnsi="Arial" w:eastAsia="Times New Roman" w:cs="Arial"/>
                <w:sz w:val="20"/>
                <w:szCs w:val="20"/>
              </w:rPr>
            </w:pPr>
            <w:r w:rsidRPr="00EA2A25">
              <w:rPr>
                <w:rFonts w:ascii="Arial" w:hAnsi="Arial"/>
                <w:sz w:val="20"/>
                <w:lang w:eastAsia="en-GB"/>
              </w:rPr>
              <w:t xml:space="preserve">(3) </w:t>
            </w:r>
            <w:r w:rsidRPr="00EA2A25">
              <w:rPr>
                <w:rFonts w:ascii="Arial" w:hAnsi="Arial"/>
                <w:sz w:val="20"/>
              </w:rPr>
              <w:t>Date de déclaration (aaaa-mm-jj)</w:t>
            </w:r>
          </w:p>
        </w:tc>
        <w:tc>
          <w:tcPr>
            <w:tcW w:w="2745" w:type="dxa"/>
            <w:tcBorders>
              <w:left w:val="nil"/>
              <w:bottom w:val="single" w:color="auto" w:sz="4" w:space="0"/>
              <w:right w:val="nil"/>
            </w:tcBorders>
            <w:noWrap/>
            <w:hideMark/>
          </w:tcPr>
          <w:p w:rsidRPr="00EA2A25" w:rsidR="006F5266" w:rsidP="00A87C3B" w:rsidRDefault="006F5266" w14:paraId="334BA6BD" w14:textId="77777777">
            <w:pPr>
              <w:jc w:val="center"/>
              <w:rPr>
                <w:rFonts w:ascii="Arial" w:hAnsi="Arial" w:eastAsia="Times New Roman" w:cs="Arial"/>
                <w:sz w:val="20"/>
                <w:szCs w:val="20"/>
                <w:lang w:eastAsia="en-GB"/>
              </w:rPr>
            </w:pPr>
          </w:p>
        </w:tc>
      </w:tr>
      <w:tr w:rsidRPr="00EA2A25" w:rsidR="006F5266" w:rsidTr="00A87C3B" w14:paraId="0AD0A46B" w14:textId="77777777">
        <w:trPr>
          <w:trHeight w:val="300"/>
        </w:trPr>
        <w:tc>
          <w:tcPr>
            <w:tcW w:w="6804" w:type="dxa"/>
            <w:tcBorders>
              <w:left w:val="nil"/>
              <w:right w:val="nil"/>
            </w:tcBorders>
            <w:noWrap/>
            <w:hideMark/>
          </w:tcPr>
          <w:p w:rsidRPr="00EA2A25" w:rsidR="006F5266" w:rsidP="00A87C3B" w:rsidRDefault="006F5266" w14:paraId="0EEC798C" w14:textId="77777777">
            <w:pPr>
              <w:ind w:firstLine="400" w:firstLineChars="200"/>
              <w:rPr>
                <w:rFonts w:ascii="Arial" w:hAnsi="Arial" w:eastAsia="Times New Roman" w:cs="Arial"/>
                <w:sz w:val="20"/>
                <w:szCs w:val="20"/>
              </w:rPr>
            </w:pPr>
            <w:r w:rsidRPr="00EA2A25">
              <w:rPr>
                <w:rFonts w:ascii="Arial" w:hAnsi="Arial"/>
                <w:sz w:val="20"/>
                <w:lang w:eastAsia="en-GB"/>
              </w:rPr>
              <w:t xml:space="preserve">(4) </w:t>
            </w:r>
            <w:r w:rsidRPr="00EA2A25">
              <w:rPr>
                <w:rFonts w:ascii="Arial" w:hAnsi="Arial"/>
                <w:sz w:val="20"/>
              </w:rPr>
              <w:t>Monnaie de déclaration</w:t>
            </w:r>
          </w:p>
        </w:tc>
        <w:tc>
          <w:tcPr>
            <w:tcW w:w="2745" w:type="dxa"/>
            <w:tcBorders>
              <w:left w:val="nil"/>
              <w:bottom w:val="single" w:color="auto" w:sz="4" w:space="0"/>
              <w:right w:val="nil"/>
            </w:tcBorders>
            <w:noWrap/>
            <w:hideMark/>
          </w:tcPr>
          <w:p w:rsidRPr="00EA2A25" w:rsidR="006F5266" w:rsidP="00A87C3B" w:rsidRDefault="006F5266" w14:paraId="20FFA7AF" w14:textId="77777777">
            <w:pPr>
              <w:jc w:val="center"/>
              <w:rPr>
                <w:rFonts w:ascii="Arial" w:hAnsi="Arial" w:eastAsia="Times New Roman" w:cs="Arial"/>
                <w:sz w:val="20"/>
                <w:szCs w:val="20"/>
                <w:lang w:eastAsia="en-GB"/>
              </w:rPr>
            </w:pPr>
          </w:p>
        </w:tc>
      </w:tr>
      <w:tr w:rsidRPr="00EA2A25" w:rsidR="006F5266" w:rsidTr="00A87C3B" w14:paraId="11F10D51" w14:textId="77777777">
        <w:trPr>
          <w:trHeight w:val="300"/>
        </w:trPr>
        <w:tc>
          <w:tcPr>
            <w:tcW w:w="6804" w:type="dxa"/>
            <w:tcBorders>
              <w:left w:val="nil"/>
              <w:right w:val="nil"/>
            </w:tcBorders>
            <w:noWrap/>
            <w:hideMark/>
          </w:tcPr>
          <w:p w:rsidRPr="00EA2A25" w:rsidR="006F5266" w:rsidP="00A87C3B" w:rsidRDefault="006F5266" w14:paraId="0140470F" w14:textId="77777777">
            <w:pPr>
              <w:ind w:firstLine="400" w:firstLineChars="200"/>
              <w:rPr>
                <w:rFonts w:ascii="Arial" w:hAnsi="Arial" w:eastAsia="Times New Roman" w:cs="Arial"/>
                <w:sz w:val="20"/>
                <w:szCs w:val="20"/>
              </w:rPr>
            </w:pPr>
            <w:r w:rsidRPr="00EA2A25">
              <w:rPr>
                <w:rFonts w:ascii="Arial" w:hAnsi="Arial"/>
                <w:sz w:val="20"/>
                <w:lang w:eastAsia="en-GB"/>
              </w:rPr>
              <w:t xml:space="preserve">(5) </w:t>
            </w:r>
            <w:r w:rsidRPr="00EA2A25">
              <w:rPr>
                <w:rFonts w:ascii="Arial" w:hAnsi="Arial"/>
                <w:sz w:val="20"/>
              </w:rPr>
              <w:t>Taux de conversion de l’euro</w:t>
            </w:r>
          </w:p>
        </w:tc>
        <w:tc>
          <w:tcPr>
            <w:tcW w:w="2745" w:type="dxa"/>
            <w:tcBorders>
              <w:left w:val="nil"/>
              <w:bottom w:val="single" w:color="auto" w:sz="4" w:space="0"/>
              <w:right w:val="nil"/>
            </w:tcBorders>
            <w:noWrap/>
            <w:hideMark/>
          </w:tcPr>
          <w:p w:rsidRPr="00EA2A25" w:rsidR="006F5266" w:rsidP="00A87C3B" w:rsidRDefault="006F5266" w14:paraId="19F2C80B" w14:textId="77777777">
            <w:pPr>
              <w:rPr>
                <w:rFonts w:ascii="Arial" w:hAnsi="Arial" w:eastAsia="Times New Roman" w:cs="Arial"/>
                <w:sz w:val="20"/>
                <w:szCs w:val="20"/>
              </w:rPr>
            </w:pPr>
            <w:r w:rsidRPr="00EA2A25">
              <w:rPr>
                <w:rFonts w:ascii="Arial" w:hAnsi="Arial"/>
                <w:sz w:val="20"/>
              </w:rPr>
              <w:t> </w:t>
            </w:r>
          </w:p>
        </w:tc>
      </w:tr>
      <w:tr w:rsidRPr="00EA2A25" w:rsidR="006F5266" w:rsidTr="00A87C3B" w14:paraId="0415C942" w14:textId="77777777">
        <w:trPr>
          <w:trHeight w:val="300"/>
        </w:trPr>
        <w:tc>
          <w:tcPr>
            <w:tcW w:w="6804" w:type="dxa"/>
            <w:tcBorders>
              <w:left w:val="nil"/>
              <w:right w:val="nil"/>
            </w:tcBorders>
            <w:noWrap/>
            <w:hideMark/>
          </w:tcPr>
          <w:p w:rsidRPr="00EA2A25" w:rsidR="006F5266" w:rsidP="00A87C3B" w:rsidRDefault="006F5266" w14:paraId="679887B2" w14:textId="77777777">
            <w:pPr>
              <w:ind w:firstLine="400" w:firstLineChars="200"/>
              <w:rPr>
                <w:rFonts w:ascii="Arial" w:hAnsi="Arial" w:eastAsia="Times New Roman" w:cs="Arial"/>
                <w:sz w:val="20"/>
                <w:szCs w:val="20"/>
              </w:rPr>
            </w:pPr>
            <w:r w:rsidRPr="00EA2A25">
              <w:rPr>
                <w:rFonts w:ascii="Arial" w:hAnsi="Arial"/>
                <w:sz w:val="20"/>
                <w:lang w:eastAsia="en-GB"/>
              </w:rPr>
              <w:t xml:space="preserve">(6) </w:t>
            </w:r>
            <w:r w:rsidRPr="00EA2A25">
              <w:rPr>
                <w:rFonts w:ascii="Arial" w:hAnsi="Arial"/>
                <w:sz w:val="20"/>
              </w:rPr>
              <w:t>Date de soumission (aaaa-mm-jj)</w:t>
            </w:r>
          </w:p>
        </w:tc>
        <w:tc>
          <w:tcPr>
            <w:tcW w:w="2745" w:type="dxa"/>
            <w:tcBorders>
              <w:left w:val="nil"/>
              <w:bottom w:val="single" w:color="auto" w:sz="4" w:space="0"/>
              <w:right w:val="nil"/>
            </w:tcBorders>
            <w:noWrap/>
            <w:hideMark/>
          </w:tcPr>
          <w:p w:rsidRPr="00EA2A25" w:rsidR="006F5266" w:rsidP="00A87C3B" w:rsidRDefault="006F5266" w14:paraId="619AA0C0" w14:textId="77777777">
            <w:pPr>
              <w:jc w:val="center"/>
              <w:rPr>
                <w:rFonts w:ascii="Arial" w:hAnsi="Arial" w:eastAsia="Times New Roman" w:cs="Arial"/>
                <w:sz w:val="20"/>
                <w:szCs w:val="20"/>
              </w:rPr>
            </w:pPr>
            <w:r w:rsidRPr="00EA2A25">
              <w:rPr>
                <w:rFonts w:ascii="Arial" w:hAnsi="Arial"/>
                <w:sz w:val="20"/>
              </w:rPr>
              <w:t> </w:t>
            </w:r>
          </w:p>
        </w:tc>
      </w:tr>
      <w:tr w:rsidRPr="00EA2A25" w:rsidR="006F5266" w:rsidTr="00A87C3B" w14:paraId="0F315BB6" w14:textId="77777777">
        <w:trPr>
          <w:trHeight w:val="300"/>
        </w:trPr>
        <w:tc>
          <w:tcPr>
            <w:tcW w:w="6804" w:type="dxa"/>
            <w:tcBorders>
              <w:left w:val="nil"/>
              <w:right w:val="nil"/>
            </w:tcBorders>
            <w:noWrap/>
            <w:hideMark/>
          </w:tcPr>
          <w:p w:rsidRPr="00EA2A25" w:rsidR="006F5266" w:rsidP="00A87C3B" w:rsidRDefault="006F5266" w14:paraId="52D6A4D8" w14:textId="77777777">
            <w:pPr>
              <w:ind w:firstLine="200" w:firstLineChars="100"/>
              <w:rPr>
                <w:rFonts w:ascii="Arial" w:hAnsi="Arial" w:eastAsia="Times New Roman" w:cs="Arial"/>
                <w:sz w:val="20"/>
                <w:szCs w:val="20"/>
              </w:rPr>
            </w:pPr>
            <w:r w:rsidRPr="00EA2A25">
              <w:rPr>
                <w:rFonts w:ascii="Arial" w:hAnsi="Arial"/>
                <w:sz w:val="20"/>
              </w:rPr>
              <w:t>b. Informations générales fournies par l'établissement déclarant:</w:t>
            </w:r>
          </w:p>
        </w:tc>
        <w:tc>
          <w:tcPr>
            <w:tcW w:w="2745" w:type="dxa"/>
            <w:tcBorders>
              <w:left w:val="nil"/>
              <w:bottom w:val="single" w:color="auto" w:sz="4" w:space="0"/>
              <w:right w:val="nil"/>
            </w:tcBorders>
            <w:noWrap/>
            <w:hideMark/>
          </w:tcPr>
          <w:p w:rsidRPr="00EA2A25" w:rsidR="006F5266" w:rsidP="00A87C3B" w:rsidRDefault="006F5266" w14:paraId="0F7ED155" w14:textId="77777777">
            <w:pPr>
              <w:ind w:firstLine="200" w:firstLineChars="100"/>
              <w:rPr>
                <w:rFonts w:ascii="Arial" w:hAnsi="Arial" w:eastAsia="Times New Roman" w:cs="Arial"/>
                <w:sz w:val="20"/>
                <w:szCs w:val="20"/>
              </w:rPr>
            </w:pPr>
            <w:r w:rsidRPr="00EA2A25">
              <w:rPr>
                <w:rFonts w:ascii="Arial" w:hAnsi="Arial"/>
                <w:sz w:val="20"/>
              </w:rPr>
              <w:t> </w:t>
            </w:r>
          </w:p>
        </w:tc>
      </w:tr>
      <w:tr w:rsidRPr="00EA2A25" w:rsidR="006F5266" w:rsidTr="00A87C3B" w14:paraId="208541FE" w14:textId="77777777">
        <w:trPr>
          <w:trHeight w:val="300"/>
        </w:trPr>
        <w:tc>
          <w:tcPr>
            <w:tcW w:w="6804" w:type="dxa"/>
            <w:tcBorders>
              <w:left w:val="nil"/>
              <w:right w:val="nil"/>
            </w:tcBorders>
            <w:noWrap/>
            <w:hideMark/>
          </w:tcPr>
          <w:p w:rsidRPr="00EA2A25" w:rsidR="006F5266" w:rsidP="00A87C3B" w:rsidRDefault="006F5266" w14:paraId="73980093" w14:textId="77777777">
            <w:pPr>
              <w:ind w:firstLine="400" w:firstLineChars="200"/>
              <w:rPr>
                <w:rFonts w:ascii="Arial" w:hAnsi="Arial" w:eastAsia="Times New Roman" w:cs="Arial"/>
                <w:sz w:val="20"/>
                <w:szCs w:val="20"/>
              </w:rPr>
            </w:pPr>
            <w:r w:rsidRPr="00EA2A25">
              <w:rPr>
                <w:rFonts w:ascii="Arial" w:hAnsi="Arial"/>
                <w:sz w:val="20"/>
                <w:lang w:eastAsia="en-GB"/>
              </w:rPr>
              <w:t xml:space="preserve">(1) </w:t>
            </w:r>
            <w:r w:rsidRPr="00EA2A25">
              <w:rPr>
                <w:rFonts w:ascii="Arial" w:hAnsi="Arial"/>
                <w:sz w:val="20"/>
              </w:rPr>
              <w:t>Unité de déclaration</w:t>
            </w:r>
          </w:p>
        </w:tc>
        <w:tc>
          <w:tcPr>
            <w:tcW w:w="2745" w:type="dxa"/>
            <w:tcBorders>
              <w:left w:val="nil"/>
              <w:bottom w:val="single" w:color="auto" w:sz="4" w:space="0"/>
              <w:right w:val="nil"/>
            </w:tcBorders>
            <w:noWrap/>
            <w:hideMark/>
          </w:tcPr>
          <w:p w:rsidRPr="00EA2A25" w:rsidR="006F5266" w:rsidP="00A87C3B" w:rsidRDefault="006F5266" w14:paraId="295AEEBB" w14:textId="77777777">
            <w:pPr>
              <w:jc w:val="center"/>
              <w:rPr>
                <w:rFonts w:ascii="Arial" w:hAnsi="Arial" w:eastAsia="Times New Roman" w:cs="Arial"/>
                <w:sz w:val="20"/>
                <w:szCs w:val="20"/>
              </w:rPr>
            </w:pPr>
            <w:r w:rsidRPr="00EA2A25">
              <w:rPr>
                <w:rFonts w:ascii="Arial" w:hAnsi="Arial"/>
                <w:sz w:val="20"/>
              </w:rPr>
              <w:t> </w:t>
            </w:r>
          </w:p>
        </w:tc>
      </w:tr>
      <w:tr w:rsidRPr="00EA2A25" w:rsidR="006F5266" w:rsidTr="00A87C3B" w14:paraId="3749E2F0" w14:textId="77777777">
        <w:trPr>
          <w:trHeight w:val="300"/>
        </w:trPr>
        <w:tc>
          <w:tcPr>
            <w:tcW w:w="6804" w:type="dxa"/>
            <w:tcBorders>
              <w:left w:val="nil"/>
              <w:right w:val="nil"/>
            </w:tcBorders>
            <w:noWrap/>
            <w:hideMark/>
          </w:tcPr>
          <w:p w:rsidRPr="00EA2A25" w:rsidR="006F5266" w:rsidP="00A87C3B" w:rsidRDefault="006F5266" w14:paraId="334180BF" w14:textId="77777777">
            <w:pPr>
              <w:ind w:firstLine="400" w:firstLineChars="200"/>
              <w:rPr>
                <w:rFonts w:ascii="Arial" w:hAnsi="Arial" w:eastAsia="Times New Roman" w:cs="Arial"/>
                <w:sz w:val="20"/>
                <w:szCs w:val="20"/>
              </w:rPr>
            </w:pPr>
            <w:r w:rsidRPr="00EA2A25">
              <w:rPr>
                <w:rFonts w:ascii="Arial" w:hAnsi="Arial"/>
                <w:sz w:val="20"/>
                <w:lang w:eastAsia="en-GB"/>
              </w:rPr>
              <w:t xml:space="preserve">(2) </w:t>
            </w:r>
            <w:r w:rsidRPr="00EA2A25">
              <w:rPr>
                <w:rFonts w:ascii="Arial" w:hAnsi="Arial"/>
                <w:sz w:val="20"/>
              </w:rPr>
              <w:t>Norme comptable</w:t>
            </w:r>
          </w:p>
        </w:tc>
        <w:tc>
          <w:tcPr>
            <w:tcW w:w="2745" w:type="dxa"/>
            <w:tcBorders>
              <w:left w:val="nil"/>
              <w:bottom w:val="single" w:color="auto" w:sz="4" w:space="0"/>
              <w:right w:val="nil"/>
            </w:tcBorders>
            <w:hideMark/>
          </w:tcPr>
          <w:p w:rsidRPr="00EA2A25" w:rsidR="006F5266" w:rsidP="00A87C3B" w:rsidRDefault="006F5266" w14:paraId="72F4E032" w14:textId="77777777">
            <w:pPr>
              <w:jc w:val="center"/>
              <w:rPr>
                <w:rFonts w:ascii="Arial" w:hAnsi="Arial" w:eastAsia="Times New Roman" w:cs="Arial"/>
                <w:sz w:val="20"/>
                <w:szCs w:val="20"/>
              </w:rPr>
            </w:pPr>
            <w:r w:rsidRPr="00EA2A25">
              <w:rPr>
                <w:rFonts w:ascii="Arial" w:hAnsi="Arial"/>
                <w:sz w:val="20"/>
              </w:rPr>
              <w:t> </w:t>
            </w:r>
          </w:p>
        </w:tc>
      </w:tr>
      <w:tr w:rsidRPr="00EA2A25" w:rsidR="006F5266" w:rsidTr="00A87C3B" w14:paraId="19011FCF" w14:textId="77777777">
        <w:trPr>
          <w:trHeight w:val="300"/>
        </w:trPr>
        <w:tc>
          <w:tcPr>
            <w:tcW w:w="6804" w:type="dxa"/>
            <w:tcBorders>
              <w:left w:val="nil"/>
              <w:right w:val="nil"/>
            </w:tcBorders>
            <w:noWrap/>
            <w:hideMark/>
          </w:tcPr>
          <w:p w:rsidRPr="00EA2A25" w:rsidR="006F5266" w:rsidP="00A87C3B" w:rsidRDefault="006F5266" w14:paraId="2893E5EF" w14:textId="77777777">
            <w:pPr>
              <w:ind w:firstLine="400" w:firstLineChars="200"/>
              <w:rPr>
                <w:rFonts w:ascii="Arial" w:hAnsi="Arial" w:eastAsia="Times New Roman" w:cs="Arial"/>
                <w:sz w:val="20"/>
                <w:szCs w:val="20"/>
              </w:rPr>
            </w:pPr>
            <w:r w:rsidRPr="00EA2A25">
              <w:rPr>
                <w:rFonts w:ascii="Arial" w:hAnsi="Arial"/>
                <w:sz w:val="20"/>
                <w:lang w:eastAsia="en-GB"/>
              </w:rPr>
              <w:t xml:space="preserve">(3) </w:t>
            </w:r>
            <w:r w:rsidRPr="00EA2A25">
              <w:rPr>
                <w:rFonts w:ascii="Arial" w:hAnsi="Arial"/>
                <w:sz w:val="20"/>
              </w:rPr>
              <w:t>Date de publication des informations (aaaa-mm-jj)</w:t>
            </w:r>
          </w:p>
        </w:tc>
        <w:tc>
          <w:tcPr>
            <w:tcW w:w="2745" w:type="dxa"/>
            <w:tcBorders>
              <w:left w:val="nil"/>
              <w:bottom w:val="single" w:color="auto" w:sz="4" w:space="0"/>
              <w:right w:val="nil"/>
            </w:tcBorders>
            <w:noWrap/>
            <w:hideMark/>
          </w:tcPr>
          <w:p w:rsidRPr="00EA2A25" w:rsidR="006F5266" w:rsidP="00A87C3B" w:rsidRDefault="006F5266" w14:paraId="4CE8C602" w14:textId="77777777">
            <w:pPr>
              <w:jc w:val="center"/>
              <w:rPr>
                <w:rFonts w:ascii="Arial" w:hAnsi="Arial" w:eastAsia="Times New Roman" w:cs="Arial"/>
                <w:sz w:val="20"/>
                <w:szCs w:val="20"/>
              </w:rPr>
            </w:pPr>
            <w:r w:rsidRPr="00EA2A25">
              <w:rPr>
                <w:rFonts w:ascii="Arial" w:hAnsi="Arial"/>
                <w:sz w:val="20"/>
              </w:rPr>
              <w:t> </w:t>
            </w:r>
          </w:p>
        </w:tc>
      </w:tr>
      <w:tr w:rsidRPr="00EA2A25" w:rsidR="006F5266" w:rsidTr="00A87C3B" w14:paraId="597DE8D9" w14:textId="77777777">
        <w:trPr>
          <w:trHeight w:val="300"/>
        </w:trPr>
        <w:tc>
          <w:tcPr>
            <w:tcW w:w="6804" w:type="dxa"/>
            <w:tcBorders>
              <w:left w:val="nil"/>
              <w:right w:val="nil"/>
            </w:tcBorders>
            <w:noWrap/>
            <w:hideMark/>
          </w:tcPr>
          <w:p w:rsidRPr="00EA2A25" w:rsidR="006F5266" w:rsidP="00A87C3B" w:rsidRDefault="006F5266" w14:paraId="5B2DFCF3" w14:textId="77777777">
            <w:pPr>
              <w:ind w:firstLine="400" w:firstLineChars="200"/>
              <w:rPr>
                <w:rFonts w:ascii="Arial" w:hAnsi="Arial" w:eastAsia="Times New Roman" w:cs="Arial"/>
                <w:sz w:val="20"/>
                <w:szCs w:val="20"/>
              </w:rPr>
            </w:pPr>
            <w:r w:rsidRPr="00EA2A25">
              <w:rPr>
                <w:rFonts w:ascii="Arial" w:hAnsi="Arial"/>
                <w:sz w:val="20"/>
                <w:lang w:eastAsia="en-GB"/>
              </w:rPr>
              <w:t xml:space="preserve">(4) </w:t>
            </w:r>
            <w:r w:rsidRPr="00EA2A25">
              <w:rPr>
                <w:rFonts w:ascii="Arial" w:hAnsi="Arial"/>
                <w:sz w:val="20"/>
              </w:rPr>
              <w:t>Langue de publication des informations</w:t>
            </w:r>
          </w:p>
        </w:tc>
        <w:tc>
          <w:tcPr>
            <w:tcW w:w="2745" w:type="dxa"/>
            <w:tcBorders>
              <w:left w:val="nil"/>
              <w:bottom w:val="single" w:color="auto" w:sz="4" w:space="0"/>
              <w:right w:val="nil"/>
            </w:tcBorders>
            <w:hideMark/>
          </w:tcPr>
          <w:p w:rsidRPr="00EA2A25" w:rsidR="006F5266" w:rsidP="00A87C3B" w:rsidRDefault="006F5266" w14:paraId="0E4DCB53" w14:textId="77777777">
            <w:pPr>
              <w:jc w:val="center"/>
              <w:rPr>
                <w:rFonts w:ascii="Arial" w:hAnsi="Arial" w:eastAsia="Times New Roman" w:cs="Arial"/>
                <w:sz w:val="20"/>
                <w:szCs w:val="20"/>
              </w:rPr>
            </w:pPr>
            <w:r w:rsidRPr="00EA2A25">
              <w:rPr>
                <w:rFonts w:ascii="Arial" w:hAnsi="Arial"/>
                <w:sz w:val="20"/>
              </w:rPr>
              <w:t> </w:t>
            </w:r>
          </w:p>
        </w:tc>
      </w:tr>
      <w:tr w:rsidRPr="00EA2A25" w:rsidR="006F5266" w:rsidTr="00A87C3B" w14:paraId="57217193" w14:textId="77777777">
        <w:trPr>
          <w:trHeight w:val="300"/>
        </w:trPr>
        <w:tc>
          <w:tcPr>
            <w:tcW w:w="6804" w:type="dxa"/>
            <w:tcBorders>
              <w:left w:val="nil"/>
              <w:bottom w:val="single" w:color="auto" w:sz="4" w:space="0"/>
              <w:right w:val="nil"/>
            </w:tcBorders>
            <w:noWrap/>
            <w:hideMark/>
          </w:tcPr>
          <w:p w:rsidRPr="00EA2A25" w:rsidR="006F5266" w:rsidP="00A87C3B" w:rsidRDefault="006F5266" w14:paraId="4E5AA16D" w14:textId="77777777">
            <w:pPr>
              <w:ind w:firstLine="400" w:firstLineChars="200"/>
              <w:rPr>
                <w:rFonts w:ascii="Arial" w:hAnsi="Arial" w:eastAsia="Times New Roman" w:cs="Arial"/>
                <w:sz w:val="20"/>
                <w:szCs w:val="20"/>
              </w:rPr>
            </w:pPr>
            <w:r w:rsidRPr="00EA2A25">
              <w:rPr>
                <w:rFonts w:ascii="Arial" w:hAnsi="Arial"/>
                <w:sz w:val="20"/>
                <w:lang w:eastAsia="en-GB"/>
              </w:rPr>
              <w:t xml:space="preserve">(5) </w:t>
            </w:r>
            <w:r w:rsidRPr="00EA2A25">
              <w:rPr>
                <w:rFonts w:ascii="Arial" w:hAnsi="Arial"/>
                <w:sz w:val="20"/>
              </w:rPr>
              <w:t>Adresse web de publication des informations</w:t>
            </w:r>
          </w:p>
        </w:tc>
        <w:tc>
          <w:tcPr>
            <w:tcW w:w="2745" w:type="dxa"/>
            <w:tcBorders>
              <w:left w:val="nil"/>
              <w:bottom w:val="single" w:color="auto" w:sz="4" w:space="0"/>
              <w:right w:val="nil"/>
            </w:tcBorders>
            <w:noWrap/>
            <w:hideMark/>
          </w:tcPr>
          <w:p w:rsidRPr="00EA2A25" w:rsidR="006F5266" w:rsidP="00A87C3B" w:rsidRDefault="006F5266" w14:paraId="05EFAF37" w14:textId="77777777">
            <w:pPr>
              <w:jc w:val="center"/>
              <w:rPr>
                <w:rFonts w:ascii="Arial" w:hAnsi="Arial" w:eastAsia="Times New Roman" w:cs="Arial"/>
                <w:color w:val="0000FF"/>
                <w:sz w:val="20"/>
                <w:szCs w:val="20"/>
                <w:u w:val="single"/>
                <w:lang w:eastAsia="en-GB"/>
              </w:rPr>
            </w:pPr>
          </w:p>
        </w:tc>
      </w:tr>
      <w:tr w:rsidRPr="00EA2A25" w:rsidR="006F5266" w:rsidTr="00A87C3B" w14:paraId="22A046CA" w14:textId="77777777">
        <w:trPr>
          <w:trHeight w:val="300"/>
        </w:trPr>
        <w:tc>
          <w:tcPr>
            <w:tcW w:w="6804" w:type="dxa"/>
            <w:tcBorders>
              <w:left w:val="nil"/>
              <w:bottom w:val="single" w:color="auto" w:sz="4" w:space="0"/>
              <w:right w:val="nil"/>
            </w:tcBorders>
            <w:noWrap/>
            <w:hideMark/>
          </w:tcPr>
          <w:p w:rsidRPr="00EA2A25" w:rsidR="006F5266" w:rsidP="00A87C3B" w:rsidRDefault="006F5266" w14:paraId="390EEEC4" w14:textId="77777777">
            <w:pPr>
              <w:ind w:firstLine="400" w:firstLineChars="200"/>
              <w:rPr>
                <w:rFonts w:ascii="Arial" w:hAnsi="Arial" w:eastAsia="Times New Roman" w:cs="Arial"/>
                <w:sz w:val="20"/>
                <w:szCs w:val="20"/>
              </w:rPr>
            </w:pPr>
            <w:r w:rsidRPr="00EA2A25">
              <w:rPr>
                <w:rFonts w:ascii="Arial" w:hAnsi="Arial"/>
                <w:sz w:val="20"/>
                <w:lang w:eastAsia="en-GB"/>
              </w:rPr>
              <w:t xml:space="preserve">(6) </w:t>
            </w:r>
            <w:r w:rsidRPr="00EA2A25">
              <w:rPr>
                <w:rFonts w:ascii="Arial" w:hAnsi="Arial"/>
                <w:sz w:val="20"/>
              </w:rPr>
              <w:t>Code LEI</w:t>
            </w:r>
          </w:p>
        </w:tc>
        <w:tc>
          <w:tcPr>
            <w:tcW w:w="2745" w:type="dxa"/>
            <w:tcBorders>
              <w:left w:val="nil"/>
              <w:bottom w:val="single" w:color="auto" w:sz="4" w:space="0"/>
              <w:right w:val="nil"/>
            </w:tcBorders>
            <w:hideMark/>
          </w:tcPr>
          <w:p w:rsidRPr="00EA2A25" w:rsidR="006F5266" w:rsidP="00A87C3B" w:rsidRDefault="006F5266" w14:paraId="0CEAB14B" w14:textId="77777777">
            <w:pPr>
              <w:jc w:val="center"/>
              <w:rPr>
                <w:rFonts w:ascii="Arial" w:hAnsi="Arial" w:eastAsia="Times New Roman" w:cs="Arial"/>
                <w:sz w:val="20"/>
                <w:szCs w:val="20"/>
              </w:rPr>
            </w:pPr>
            <w:r w:rsidRPr="00EA2A25">
              <w:rPr>
                <w:rFonts w:ascii="Arial" w:hAnsi="Arial"/>
                <w:sz w:val="20"/>
              </w:rPr>
              <w:t> </w:t>
            </w:r>
          </w:p>
        </w:tc>
      </w:tr>
      <w:tr w:rsidRPr="00EA2A25" w:rsidR="006F5266" w:rsidTr="00A87C3B" w14:paraId="4E13E0E6" w14:textId="77777777">
        <w:trPr>
          <w:trHeight w:val="300"/>
        </w:trPr>
        <w:tc>
          <w:tcPr>
            <w:tcW w:w="6804" w:type="dxa"/>
            <w:tcBorders>
              <w:left w:val="nil"/>
              <w:bottom w:val="nil"/>
              <w:right w:val="nil"/>
            </w:tcBorders>
            <w:noWrap/>
          </w:tcPr>
          <w:p w:rsidRPr="00EA2A25" w:rsidR="006F5266" w:rsidP="00A87C3B" w:rsidRDefault="006F5266" w14:paraId="79C8843A" w14:textId="77777777">
            <w:pPr>
              <w:ind w:firstLine="400" w:firstLineChars="200"/>
              <w:rPr>
                <w:rFonts w:ascii="Arial" w:hAnsi="Arial" w:eastAsia="Times New Roman" w:cs="Arial"/>
                <w:sz w:val="20"/>
                <w:szCs w:val="20"/>
                <w:lang w:eastAsia="en-GB"/>
              </w:rPr>
            </w:pPr>
          </w:p>
        </w:tc>
        <w:tc>
          <w:tcPr>
            <w:tcW w:w="2745" w:type="dxa"/>
            <w:tcBorders>
              <w:left w:val="nil"/>
              <w:bottom w:val="nil"/>
              <w:right w:val="nil"/>
            </w:tcBorders>
          </w:tcPr>
          <w:p w:rsidRPr="00EA2A25" w:rsidR="006F5266" w:rsidP="00A87C3B" w:rsidRDefault="006F5266" w14:paraId="1C85A4E7" w14:textId="77777777">
            <w:pPr>
              <w:jc w:val="center"/>
              <w:rPr>
                <w:rFonts w:ascii="Arial" w:hAnsi="Arial" w:eastAsia="Times New Roman" w:cs="Arial"/>
                <w:sz w:val="20"/>
                <w:szCs w:val="20"/>
                <w:lang w:eastAsia="en-GB"/>
              </w:rPr>
            </w:pPr>
          </w:p>
        </w:tc>
      </w:tr>
      <w:tr w:rsidRPr="00EA2A25" w:rsidR="006F5266" w:rsidTr="00A87C3B" w14:paraId="7023D27B" w14:textId="77777777">
        <w:trPr>
          <w:trHeight w:val="300"/>
        </w:trPr>
        <w:tc>
          <w:tcPr>
            <w:tcW w:w="6804" w:type="dxa"/>
            <w:tcBorders>
              <w:top w:val="nil"/>
              <w:left w:val="nil"/>
              <w:bottom w:val="nil"/>
              <w:right w:val="nil"/>
            </w:tcBorders>
            <w:noWrap/>
          </w:tcPr>
          <w:p w:rsidRPr="00EA2A25" w:rsidR="006F5266" w:rsidP="00A87C3B" w:rsidRDefault="006F5266" w14:paraId="6BA7AD1F" w14:textId="77777777">
            <w:pPr>
              <w:keepNext/>
              <w:keepLines/>
              <w:spacing w:before="47"/>
              <w:outlineLvl w:val="5"/>
              <w:rPr>
                <w:rFonts w:ascii="Arial" w:hAnsi="Arial" w:eastAsia="Times New Roman" w:cs="Arial"/>
                <w:i/>
                <w:iCs/>
                <w:caps/>
                <w:color w:val="172B39" w:themeColor="accent1" w:themeShade="80"/>
                <w:sz w:val="20"/>
                <w:szCs w:val="20"/>
              </w:rPr>
            </w:pPr>
            <w:r w:rsidRPr="00EA2A25">
              <w:rPr>
                <w:rFonts w:asciiTheme="majorHAnsi" w:hAnsiTheme="majorHAnsi"/>
                <w:b/>
                <w:i/>
                <w:caps/>
              </w:rPr>
              <w:t>Indicateurs de taille</w:t>
            </w:r>
          </w:p>
        </w:tc>
        <w:tc>
          <w:tcPr>
            <w:tcW w:w="2745" w:type="dxa"/>
            <w:tcBorders>
              <w:top w:val="nil"/>
              <w:left w:val="nil"/>
              <w:bottom w:val="nil"/>
              <w:right w:val="nil"/>
            </w:tcBorders>
          </w:tcPr>
          <w:p w:rsidRPr="00EA2A25" w:rsidR="006F5266" w:rsidP="00A87C3B" w:rsidRDefault="006F5266" w14:paraId="1AA968BD" w14:textId="77777777">
            <w:pPr>
              <w:jc w:val="center"/>
              <w:rPr>
                <w:rFonts w:ascii="Arial" w:hAnsi="Arial" w:eastAsia="Times New Roman" w:cs="Arial"/>
                <w:sz w:val="20"/>
                <w:szCs w:val="20"/>
                <w:lang w:eastAsia="en-GB"/>
              </w:rPr>
            </w:pPr>
          </w:p>
        </w:tc>
      </w:tr>
      <w:tr w:rsidRPr="00EA2A25" w:rsidR="006F5266" w:rsidTr="00A87C3B" w14:paraId="4A0EC60B" w14:textId="77777777">
        <w:trPr>
          <w:trHeight w:val="300"/>
        </w:trPr>
        <w:tc>
          <w:tcPr>
            <w:tcW w:w="6804" w:type="dxa"/>
            <w:tcBorders>
              <w:top w:val="nil"/>
              <w:left w:val="nil"/>
              <w:bottom w:val="single" w:color="auto" w:sz="4" w:space="0"/>
              <w:right w:val="nil"/>
            </w:tcBorders>
            <w:noWrap/>
          </w:tcPr>
          <w:p w:rsidRPr="00EA2A25" w:rsidR="006F5266" w:rsidP="00A87C3B" w:rsidRDefault="006F5266" w14:paraId="294E9EE3" w14:textId="77777777">
            <w:pPr>
              <w:ind w:firstLine="400" w:firstLineChars="200"/>
              <w:rPr>
                <w:rFonts w:ascii="Arial" w:hAnsi="Arial" w:eastAsia="Times New Roman" w:cs="Arial"/>
                <w:sz w:val="20"/>
                <w:szCs w:val="20"/>
                <w:lang w:eastAsia="en-GB"/>
              </w:rPr>
            </w:pPr>
          </w:p>
        </w:tc>
        <w:tc>
          <w:tcPr>
            <w:tcW w:w="2745" w:type="dxa"/>
            <w:tcBorders>
              <w:top w:val="nil"/>
              <w:left w:val="nil"/>
              <w:bottom w:val="single" w:color="auto" w:sz="4" w:space="0"/>
              <w:right w:val="nil"/>
            </w:tcBorders>
          </w:tcPr>
          <w:p w:rsidRPr="00EA2A25" w:rsidR="006F5266" w:rsidP="00A87C3B" w:rsidRDefault="006F5266" w14:paraId="48323B03" w14:textId="77777777">
            <w:pPr>
              <w:jc w:val="center"/>
              <w:rPr>
                <w:rFonts w:ascii="Arial" w:hAnsi="Arial" w:eastAsia="Times New Roman" w:cs="Arial"/>
                <w:sz w:val="20"/>
                <w:szCs w:val="20"/>
                <w:lang w:eastAsia="en-GB"/>
              </w:rPr>
            </w:pPr>
          </w:p>
        </w:tc>
      </w:tr>
      <w:tr w:rsidRPr="00EA2A25" w:rsidR="006F5266" w:rsidTr="00A87C3B" w14:paraId="15B122A0" w14:textId="77777777">
        <w:trPr>
          <w:trHeight w:val="300"/>
        </w:trPr>
        <w:tc>
          <w:tcPr>
            <w:tcW w:w="6804" w:type="dxa"/>
            <w:tcBorders>
              <w:left w:val="nil"/>
              <w:right w:val="nil"/>
            </w:tcBorders>
            <w:noWrap/>
          </w:tcPr>
          <w:p w:rsidRPr="00EA2A25" w:rsidR="006F5266" w:rsidP="00A87C3B" w:rsidRDefault="006F5266" w14:paraId="33D079AD" w14:textId="77777777">
            <w:pPr>
              <w:rPr>
                <w:rFonts w:ascii="Arial" w:hAnsi="Arial" w:eastAsia="Times New Roman" w:cs="Arial"/>
                <w:sz w:val="20"/>
                <w:szCs w:val="20"/>
              </w:rPr>
            </w:pPr>
            <w:r w:rsidRPr="00EA2A25">
              <w:rPr>
                <w:rFonts w:ascii="Arial" w:hAnsi="Arial"/>
                <w:b/>
                <w:sz w:val="20"/>
              </w:rPr>
              <w:t>Section 2 - Expositions totales</w:t>
            </w:r>
          </w:p>
        </w:tc>
        <w:tc>
          <w:tcPr>
            <w:tcW w:w="2745" w:type="dxa"/>
            <w:tcBorders>
              <w:left w:val="nil"/>
              <w:right w:val="nil"/>
            </w:tcBorders>
            <w:noWrap/>
          </w:tcPr>
          <w:p w:rsidRPr="00EA2A25" w:rsidR="006F5266" w:rsidP="00A87C3B" w:rsidRDefault="006F5266" w14:paraId="5FD8A7FB" w14:textId="77777777">
            <w:pPr>
              <w:ind w:firstLine="201" w:firstLineChars="100"/>
              <w:jc w:val="center"/>
              <w:rPr>
                <w:rFonts w:ascii="Arial" w:hAnsi="Arial" w:eastAsia="Times New Roman" w:cs="Arial"/>
                <w:sz w:val="20"/>
                <w:szCs w:val="20"/>
              </w:rPr>
            </w:pPr>
            <w:r w:rsidRPr="00EA2A25">
              <w:rPr>
                <w:rFonts w:ascii="Arial" w:hAnsi="Arial"/>
                <w:b/>
                <w:sz w:val="20"/>
              </w:rPr>
              <w:t>Montant</w:t>
            </w:r>
          </w:p>
        </w:tc>
      </w:tr>
      <w:tr w:rsidRPr="00EA2A25" w:rsidR="006F5266" w:rsidTr="00A87C3B" w14:paraId="128C1758" w14:textId="77777777">
        <w:trPr>
          <w:trHeight w:val="300"/>
        </w:trPr>
        <w:tc>
          <w:tcPr>
            <w:tcW w:w="6804" w:type="dxa"/>
            <w:tcBorders>
              <w:left w:val="nil"/>
              <w:right w:val="nil"/>
            </w:tcBorders>
            <w:noWrap/>
            <w:hideMark/>
          </w:tcPr>
          <w:p w:rsidRPr="00EA2A25" w:rsidR="006F5266" w:rsidP="00A87C3B" w:rsidRDefault="006F5266" w14:paraId="478A10D1" w14:textId="77777777">
            <w:pPr>
              <w:ind w:firstLine="200" w:firstLineChars="100"/>
              <w:rPr>
                <w:rFonts w:ascii="Arial" w:hAnsi="Arial" w:eastAsia="Times New Roman" w:cs="Arial"/>
                <w:sz w:val="20"/>
                <w:szCs w:val="20"/>
              </w:rPr>
            </w:pPr>
            <w:r w:rsidRPr="00EA2A25">
              <w:rPr>
                <w:rFonts w:ascii="Arial" w:hAnsi="Arial"/>
                <w:sz w:val="20"/>
              </w:rPr>
              <w:t>a. Dérivés</w:t>
            </w:r>
          </w:p>
        </w:tc>
        <w:tc>
          <w:tcPr>
            <w:tcW w:w="2745" w:type="dxa"/>
            <w:tcBorders>
              <w:left w:val="nil"/>
              <w:right w:val="nil"/>
            </w:tcBorders>
            <w:noWrap/>
            <w:hideMark/>
          </w:tcPr>
          <w:p w:rsidRPr="00EA2A25" w:rsidR="006F5266" w:rsidP="00A87C3B" w:rsidRDefault="006F5266" w14:paraId="16B400B7" w14:textId="77777777">
            <w:pPr>
              <w:ind w:firstLine="200" w:firstLineChars="100"/>
              <w:rPr>
                <w:rFonts w:ascii="Arial" w:hAnsi="Arial" w:eastAsia="Times New Roman" w:cs="Arial"/>
                <w:sz w:val="20"/>
                <w:szCs w:val="20"/>
              </w:rPr>
            </w:pPr>
            <w:r w:rsidRPr="00EA2A25">
              <w:rPr>
                <w:rFonts w:ascii="Arial" w:hAnsi="Arial"/>
                <w:sz w:val="20"/>
              </w:rPr>
              <w:t> </w:t>
            </w:r>
          </w:p>
        </w:tc>
      </w:tr>
      <w:tr w:rsidRPr="00EA2A25" w:rsidR="006F5266" w:rsidTr="00A87C3B" w14:paraId="03883C12" w14:textId="77777777">
        <w:trPr>
          <w:trHeight w:val="300"/>
        </w:trPr>
        <w:tc>
          <w:tcPr>
            <w:tcW w:w="6804" w:type="dxa"/>
            <w:tcBorders>
              <w:left w:val="nil"/>
              <w:right w:val="nil"/>
            </w:tcBorders>
            <w:noWrap/>
            <w:hideMark/>
          </w:tcPr>
          <w:p w:rsidRPr="00EA2A25" w:rsidR="006F5266" w:rsidP="00A87C3B" w:rsidRDefault="006F5266" w14:paraId="23683A8D" w14:textId="77777777">
            <w:pPr>
              <w:ind w:firstLine="400" w:firstLineChars="200"/>
              <w:rPr>
                <w:rFonts w:ascii="Arial" w:hAnsi="Arial" w:eastAsia="Times New Roman" w:cs="Arial"/>
                <w:sz w:val="20"/>
                <w:szCs w:val="20"/>
              </w:rPr>
            </w:pPr>
            <w:r w:rsidRPr="00EA2A25">
              <w:rPr>
                <w:rFonts w:ascii="Arial" w:hAnsi="Arial"/>
                <w:sz w:val="20"/>
                <w:lang w:eastAsia="en-GB"/>
              </w:rPr>
              <w:t xml:space="preserve">(1) </w:t>
            </w:r>
            <w:r w:rsidRPr="00EA2A25">
              <w:rPr>
                <w:rFonts w:ascii="Arial" w:hAnsi="Arial"/>
                <w:sz w:val="20"/>
              </w:rPr>
              <w:t>Exposition au risque de contrepartie des contrats dérivés</w:t>
            </w:r>
          </w:p>
        </w:tc>
        <w:tc>
          <w:tcPr>
            <w:tcW w:w="2745" w:type="dxa"/>
            <w:tcBorders>
              <w:left w:val="nil"/>
              <w:right w:val="nil"/>
            </w:tcBorders>
            <w:noWrap/>
            <w:hideMark/>
          </w:tcPr>
          <w:p w:rsidRPr="00EA2A25" w:rsidR="006F5266" w:rsidP="00A87C3B" w:rsidRDefault="006F5266" w14:paraId="709AF3CF" w14:textId="77777777">
            <w:pPr>
              <w:jc w:val="right"/>
              <w:rPr>
                <w:rFonts w:ascii="Arial" w:hAnsi="Arial" w:eastAsia="Times New Roman" w:cs="Arial"/>
                <w:sz w:val="20"/>
                <w:szCs w:val="20"/>
              </w:rPr>
            </w:pPr>
            <w:r w:rsidRPr="00EA2A25">
              <w:rPr>
                <w:rFonts w:ascii="Arial" w:hAnsi="Arial"/>
                <w:sz w:val="20"/>
              </w:rPr>
              <w:t> </w:t>
            </w:r>
          </w:p>
        </w:tc>
      </w:tr>
      <w:tr w:rsidRPr="00EA2A25" w:rsidR="006F5266" w:rsidTr="00A87C3B" w14:paraId="4FB64F4C" w14:textId="77777777">
        <w:trPr>
          <w:trHeight w:val="300"/>
        </w:trPr>
        <w:tc>
          <w:tcPr>
            <w:tcW w:w="6804" w:type="dxa"/>
            <w:tcBorders>
              <w:left w:val="nil"/>
              <w:right w:val="nil"/>
            </w:tcBorders>
            <w:noWrap/>
            <w:hideMark/>
          </w:tcPr>
          <w:p w:rsidRPr="00EA2A25" w:rsidR="006F5266" w:rsidP="00A87C3B" w:rsidRDefault="006F5266" w14:paraId="1C75395C" w14:textId="77777777">
            <w:pPr>
              <w:ind w:firstLine="400" w:firstLineChars="200"/>
              <w:rPr>
                <w:rFonts w:ascii="Arial" w:hAnsi="Arial" w:eastAsia="Times New Roman" w:cs="Arial"/>
                <w:sz w:val="20"/>
                <w:szCs w:val="20"/>
              </w:rPr>
            </w:pPr>
            <w:r w:rsidRPr="00EA2A25">
              <w:rPr>
                <w:rFonts w:ascii="Arial" w:hAnsi="Arial"/>
                <w:sz w:val="20"/>
                <w:lang w:eastAsia="en-GB"/>
              </w:rPr>
              <w:t xml:space="preserve">(2) </w:t>
            </w:r>
            <w:r w:rsidRPr="00EA2A25">
              <w:rPr>
                <w:rFonts w:ascii="Arial" w:hAnsi="Arial"/>
                <w:sz w:val="20"/>
              </w:rPr>
              <w:t>Montant notionnel plafonné des dérivés de crédit</w:t>
            </w:r>
          </w:p>
        </w:tc>
        <w:tc>
          <w:tcPr>
            <w:tcW w:w="2745" w:type="dxa"/>
            <w:tcBorders>
              <w:left w:val="nil"/>
              <w:right w:val="nil"/>
            </w:tcBorders>
            <w:noWrap/>
            <w:hideMark/>
          </w:tcPr>
          <w:p w:rsidRPr="00EA2A25" w:rsidR="006F5266" w:rsidP="00A87C3B" w:rsidRDefault="006F5266" w14:paraId="58264873" w14:textId="77777777">
            <w:pPr>
              <w:jc w:val="right"/>
              <w:rPr>
                <w:rFonts w:ascii="Arial" w:hAnsi="Arial" w:eastAsia="Times New Roman" w:cs="Arial"/>
                <w:sz w:val="20"/>
                <w:szCs w:val="20"/>
              </w:rPr>
            </w:pPr>
            <w:r w:rsidRPr="00EA2A25">
              <w:rPr>
                <w:rFonts w:ascii="Arial" w:hAnsi="Arial"/>
                <w:sz w:val="20"/>
              </w:rPr>
              <w:t> </w:t>
            </w:r>
          </w:p>
        </w:tc>
      </w:tr>
      <w:tr w:rsidRPr="00EA2A25" w:rsidR="006F5266" w:rsidTr="00A87C3B" w14:paraId="0073CF8B" w14:textId="77777777">
        <w:trPr>
          <w:trHeight w:val="300"/>
        </w:trPr>
        <w:tc>
          <w:tcPr>
            <w:tcW w:w="6804" w:type="dxa"/>
            <w:tcBorders>
              <w:left w:val="nil"/>
              <w:right w:val="nil"/>
            </w:tcBorders>
            <w:noWrap/>
            <w:hideMark/>
          </w:tcPr>
          <w:p w:rsidRPr="00EA2A25" w:rsidR="006F5266" w:rsidP="00A87C3B" w:rsidRDefault="006F5266" w14:paraId="200D098D" w14:textId="77777777">
            <w:pPr>
              <w:ind w:firstLine="400" w:firstLineChars="200"/>
              <w:rPr>
                <w:rFonts w:ascii="Arial" w:hAnsi="Arial" w:eastAsia="Times New Roman" w:cs="Arial"/>
                <w:sz w:val="20"/>
                <w:szCs w:val="20"/>
              </w:rPr>
            </w:pPr>
            <w:r w:rsidRPr="00EA2A25">
              <w:rPr>
                <w:rFonts w:ascii="Arial" w:hAnsi="Arial"/>
                <w:sz w:val="20"/>
                <w:lang w:eastAsia="en-GB"/>
              </w:rPr>
              <w:t xml:space="preserve">(3) </w:t>
            </w:r>
            <w:r w:rsidRPr="00EA2A25">
              <w:rPr>
                <w:rFonts w:ascii="Arial" w:hAnsi="Arial"/>
                <w:sz w:val="20"/>
              </w:rPr>
              <w:t>Exposition potentielle future des contrats dérivés</w:t>
            </w:r>
          </w:p>
        </w:tc>
        <w:tc>
          <w:tcPr>
            <w:tcW w:w="2745" w:type="dxa"/>
            <w:tcBorders>
              <w:left w:val="nil"/>
              <w:right w:val="nil"/>
            </w:tcBorders>
            <w:noWrap/>
            <w:hideMark/>
          </w:tcPr>
          <w:p w:rsidRPr="00EA2A25" w:rsidR="006F5266" w:rsidP="00A87C3B" w:rsidRDefault="006F5266" w14:paraId="2F343220" w14:textId="77777777">
            <w:pPr>
              <w:jc w:val="right"/>
              <w:rPr>
                <w:rFonts w:ascii="Arial" w:hAnsi="Arial" w:eastAsia="Times New Roman" w:cs="Arial"/>
                <w:sz w:val="20"/>
                <w:szCs w:val="20"/>
              </w:rPr>
            </w:pPr>
            <w:r w:rsidRPr="00EA2A25">
              <w:rPr>
                <w:rFonts w:ascii="Arial" w:hAnsi="Arial"/>
                <w:sz w:val="20"/>
              </w:rPr>
              <w:t> </w:t>
            </w:r>
          </w:p>
        </w:tc>
      </w:tr>
      <w:tr w:rsidRPr="00EA2A25" w:rsidR="006F5266" w:rsidTr="00A87C3B" w14:paraId="68E69CAA" w14:textId="77777777">
        <w:trPr>
          <w:trHeight w:val="300"/>
        </w:trPr>
        <w:tc>
          <w:tcPr>
            <w:tcW w:w="6804" w:type="dxa"/>
            <w:tcBorders>
              <w:left w:val="nil"/>
              <w:right w:val="nil"/>
            </w:tcBorders>
            <w:noWrap/>
            <w:hideMark/>
          </w:tcPr>
          <w:p w:rsidRPr="00EA2A25" w:rsidR="006F5266" w:rsidP="00A87C3B" w:rsidRDefault="006F5266" w14:paraId="75EDB9C5" w14:textId="77777777">
            <w:pPr>
              <w:ind w:firstLine="200" w:firstLineChars="100"/>
              <w:rPr>
                <w:rFonts w:ascii="Arial" w:hAnsi="Arial" w:eastAsia="Times New Roman" w:cs="Arial"/>
                <w:sz w:val="20"/>
                <w:szCs w:val="20"/>
              </w:rPr>
            </w:pPr>
            <w:r w:rsidRPr="00EA2A25">
              <w:rPr>
                <w:rFonts w:ascii="Arial" w:hAnsi="Arial"/>
                <w:sz w:val="20"/>
              </w:rPr>
              <w:t>b. Opérations de financement sur titres (SFT)</w:t>
            </w:r>
          </w:p>
        </w:tc>
        <w:tc>
          <w:tcPr>
            <w:tcW w:w="2745" w:type="dxa"/>
            <w:tcBorders>
              <w:left w:val="nil"/>
              <w:right w:val="nil"/>
            </w:tcBorders>
            <w:noWrap/>
            <w:hideMark/>
          </w:tcPr>
          <w:p w:rsidRPr="00EA2A25" w:rsidR="006F5266" w:rsidP="00A87C3B" w:rsidRDefault="006F5266" w14:paraId="3BFCB633" w14:textId="77777777">
            <w:pPr>
              <w:ind w:firstLine="200" w:firstLineChars="100"/>
              <w:rPr>
                <w:rFonts w:ascii="Arial" w:hAnsi="Arial" w:eastAsia="Times New Roman" w:cs="Arial"/>
                <w:sz w:val="20"/>
                <w:szCs w:val="20"/>
              </w:rPr>
            </w:pPr>
            <w:r w:rsidRPr="00EA2A25">
              <w:rPr>
                <w:rFonts w:ascii="Arial" w:hAnsi="Arial"/>
                <w:sz w:val="20"/>
              </w:rPr>
              <w:t> </w:t>
            </w:r>
          </w:p>
        </w:tc>
      </w:tr>
      <w:tr w:rsidRPr="00EA2A25" w:rsidR="006F5266" w:rsidTr="00A87C3B" w14:paraId="6382FA52" w14:textId="77777777">
        <w:trPr>
          <w:trHeight w:val="300"/>
        </w:trPr>
        <w:tc>
          <w:tcPr>
            <w:tcW w:w="6804" w:type="dxa"/>
            <w:tcBorders>
              <w:left w:val="nil"/>
              <w:right w:val="nil"/>
            </w:tcBorders>
            <w:noWrap/>
            <w:hideMark/>
          </w:tcPr>
          <w:p w:rsidRPr="00EA2A25" w:rsidR="006F5266" w:rsidP="00A87C3B" w:rsidRDefault="006F5266" w14:paraId="7215134D" w14:textId="77777777">
            <w:pPr>
              <w:ind w:firstLine="400" w:firstLineChars="200"/>
              <w:rPr>
                <w:rFonts w:ascii="Arial" w:hAnsi="Arial" w:eastAsia="Times New Roman" w:cs="Arial"/>
                <w:sz w:val="20"/>
                <w:szCs w:val="20"/>
              </w:rPr>
            </w:pPr>
            <w:r w:rsidRPr="00EA2A25">
              <w:rPr>
                <w:rFonts w:ascii="Arial" w:hAnsi="Arial"/>
                <w:sz w:val="20"/>
                <w:lang w:eastAsia="en-GB"/>
              </w:rPr>
              <w:t xml:space="preserve">(1) </w:t>
            </w:r>
            <w:r w:rsidRPr="00EA2A25">
              <w:rPr>
                <w:rFonts w:ascii="Arial" w:hAnsi="Arial"/>
                <w:sz w:val="20"/>
              </w:rPr>
              <w:t>Valeur brute ajustée des SFT</w:t>
            </w:r>
          </w:p>
        </w:tc>
        <w:tc>
          <w:tcPr>
            <w:tcW w:w="2745" w:type="dxa"/>
            <w:tcBorders>
              <w:left w:val="nil"/>
              <w:right w:val="nil"/>
            </w:tcBorders>
            <w:noWrap/>
            <w:hideMark/>
          </w:tcPr>
          <w:p w:rsidRPr="00EA2A25" w:rsidR="006F5266" w:rsidP="00A87C3B" w:rsidRDefault="006F5266" w14:paraId="2D92603E" w14:textId="77777777">
            <w:pPr>
              <w:jc w:val="right"/>
              <w:rPr>
                <w:rFonts w:ascii="Arial" w:hAnsi="Arial" w:eastAsia="Times New Roman" w:cs="Arial"/>
                <w:sz w:val="20"/>
                <w:szCs w:val="20"/>
              </w:rPr>
            </w:pPr>
            <w:r w:rsidRPr="00EA2A25">
              <w:rPr>
                <w:rFonts w:ascii="Arial" w:hAnsi="Arial"/>
                <w:sz w:val="20"/>
              </w:rPr>
              <w:t> </w:t>
            </w:r>
          </w:p>
        </w:tc>
      </w:tr>
      <w:tr w:rsidRPr="00EA2A25" w:rsidR="006F5266" w:rsidTr="00A87C3B" w14:paraId="5DD9FE3F" w14:textId="77777777">
        <w:trPr>
          <w:trHeight w:val="300"/>
        </w:trPr>
        <w:tc>
          <w:tcPr>
            <w:tcW w:w="6804" w:type="dxa"/>
            <w:tcBorders>
              <w:left w:val="nil"/>
              <w:right w:val="nil"/>
            </w:tcBorders>
            <w:noWrap/>
            <w:hideMark/>
          </w:tcPr>
          <w:p w:rsidRPr="00EA2A25" w:rsidR="006F5266" w:rsidP="00A87C3B" w:rsidRDefault="006F5266" w14:paraId="32CA06CA" w14:textId="77777777">
            <w:pPr>
              <w:ind w:firstLine="400" w:firstLineChars="200"/>
              <w:rPr>
                <w:rFonts w:ascii="Arial" w:hAnsi="Arial" w:eastAsia="Times New Roman" w:cs="Arial"/>
                <w:sz w:val="20"/>
                <w:szCs w:val="20"/>
              </w:rPr>
            </w:pPr>
            <w:r w:rsidRPr="00EA2A25">
              <w:rPr>
                <w:rFonts w:ascii="Arial" w:hAnsi="Arial"/>
                <w:sz w:val="20"/>
                <w:lang w:eastAsia="en-GB"/>
              </w:rPr>
              <w:t xml:space="preserve">(2) </w:t>
            </w:r>
            <w:r w:rsidRPr="00EA2A25">
              <w:rPr>
                <w:rFonts w:ascii="Arial" w:hAnsi="Arial"/>
                <w:sz w:val="20"/>
              </w:rPr>
              <w:t>Exposition au risque de contrepartie des SFT</w:t>
            </w:r>
          </w:p>
        </w:tc>
        <w:tc>
          <w:tcPr>
            <w:tcW w:w="2745" w:type="dxa"/>
            <w:tcBorders>
              <w:left w:val="nil"/>
              <w:right w:val="nil"/>
            </w:tcBorders>
            <w:noWrap/>
            <w:hideMark/>
          </w:tcPr>
          <w:p w:rsidRPr="00EA2A25" w:rsidR="006F5266" w:rsidP="00A87C3B" w:rsidRDefault="006F5266" w14:paraId="0B73358C" w14:textId="77777777">
            <w:pPr>
              <w:jc w:val="right"/>
              <w:rPr>
                <w:rFonts w:ascii="Arial" w:hAnsi="Arial" w:eastAsia="Times New Roman" w:cs="Arial"/>
                <w:sz w:val="20"/>
                <w:szCs w:val="20"/>
              </w:rPr>
            </w:pPr>
            <w:r w:rsidRPr="00EA2A25">
              <w:rPr>
                <w:rFonts w:ascii="Arial" w:hAnsi="Arial"/>
                <w:sz w:val="20"/>
              </w:rPr>
              <w:t> </w:t>
            </w:r>
          </w:p>
        </w:tc>
      </w:tr>
      <w:tr w:rsidRPr="00EA2A25" w:rsidR="006F5266" w:rsidTr="00A87C3B" w14:paraId="4A9E70A1" w14:textId="77777777">
        <w:trPr>
          <w:trHeight w:val="300"/>
        </w:trPr>
        <w:tc>
          <w:tcPr>
            <w:tcW w:w="6804" w:type="dxa"/>
            <w:tcBorders>
              <w:left w:val="nil"/>
              <w:right w:val="nil"/>
            </w:tcBorders>
            <w:noWrap/>
            <w:hideMark/>
          </w:tcPr>
          <w:p w:rsidRPr="00EA2A25" w:rsidR="006F5266" w:rsidP="00A87C3B" w:rsidRDefault="006F5266" w14:paraId="0EFB8E2E" w14:textId="77777777">
            <w:pPr>
              <w:ind w:firstLine="200" w:firstLineChars="100"/>
              <w:rPr>
                <w:rFonts w:ascii="Arial" w:hAnsi="Arial" w:eastAsia="Times New Roman" w:cs="Arial"/>
                <w:sz w:val="20"/>
                <w:szCs w:val="20"/>
              </w:rPr>
            </w:pPr>
            <w:r w:rsidRPr="00EA2A25">
              <w:rPr>
                <w:rFonts w:ascii="Arial" w:hAnsi="Arial"/>
                <w:sz w:val="20"/>
              </w:rPr>
              <w:t>c. Autres actifs</w:t>
            </w:r>
          </w:p>
        </w:tc>
        <w:tc>
          <w:tcPr>
            <w:tcW w:w="2745" w:type="dxa"/>
            <w:tcBorders>
              <w:left w:val="nil"/>
              <w:right w:val="nil"/>
            </w:tcBorders>
            <w:noWrap/>
            <w:hideMark/>
          </w:tcPr>
          <w:p w:rsidRPr="00EA2A25" w:rsidR="006F5266" w:rsidP="00A87C3B" w:rsidRDefault="006F5266" w14:paraId="638A45A3" w14:textId="77777777">
            <w:pPr>
              <w:jc w:val="right"/>
              <w:rPr>
                <w:rFonts w:ascii="Arial" w:hAnsi="Arial" w:eastAsia="Times New Roman" w:cs="Arial"/>
                <w:sz w:val="20"/>
                <w:szCs w:val="20"/>
              </w:rPr>
            </w:pPr>
            <w:r w:rsidRPr="00EA2A25">
              <w:rPr>
                <w:rFonts w:ascii="Arial" w:hAnsi="Arial"/>
                <w:sz w:val="20"/>
              </w:rPr>
              <w:t> </w:t>
            </w:r>
          </w:p>
        </w:tc>
      </w:tr>
      <w:tr w:rsidRPr="00EA2A25" w:rsidR="006F5266" w:rsidTr="00A87C3B" w14:paraId="7560A661" w14:textId="77777777">
        <w:trPr>
          <w:trHeight w:val="300"/>
        </w:trPr>
        <w:tc>
          <w:tcPr>
            <w:tcW w:w="6804" w:type="dxa"/>
            <w:tcBorders>
              <w:left w:val="nil"/>
              <w:right w:val="nil"/>
            </w:tcBorders>
            <w:noWrap/>
            <w:hideMark/>
          </w:tcPr>
          <w:p w:rsidRPr="00EA2A25" w:rsidR="006F5266" w:rsidP="00A87C3B" w:rsidRDefault="006F5266" w14:paraId="3B53B857" w14:textId="77777777">
            <w:pPr>
              <w:ind w:firstLine="200" w:firstLineChars="100"/>
              <w:rPr>
                <w:rFonts w:ascii="Arial" w:hAnsi="Arial" w:eastAsia="Times New Roman" w:cs="Arial"/>
                <w:sz w:val="20"/>
                <w:szCs w:val="20"/>
              </w:rPr>
            </w:pPr>
            <w:r w:rsidRPr="00EA2A25">
              <w:rPr>
                <w:rFonts w:ascii="Arial" w:hAnsi="Arial"/>
                <w:sz w:val="20"/>
              </w:rPr>
              <w:t>d. Montant brut notionnel des éléments de hors bilan</w:t>
            </w:r>
          </w:p>
        </w:tc>
        <w:tc>
          <w:tcPr>
            <w:tcW w:w="2745" w:type="dxa"/>
            <w:tcBorders>
              <w:left w:val="nil"/>
              <w:right w:val="nil"/>
            </w:tcBorders>
            <w:noWrap/>
            <w:hideMark/>
          </w:tcPr>
          <w:p w:rsidRPr="00EA2A25" w:rsidR="006F5266" w:rsidP="00A87C3B" w:rsidRDefault="006F5266" w14:paraId="15D3B202" w14:textId="77777777">
            <w:pPr>
              <w:ind w:firstLine="200" w:firstLineChars="100"/>
              <w:rPr>
                <w:rFonts w:ascii="Arial" w:hAnsi="Arial" w:eastAsia="Times New Roman" w:cs="Arial"/>
                <w:sz w:val="20"/>
                <w:szCs w:val="20"/>
              </w:rPr>
            </w:pPr>
            <w:r w:rsidRPr="00EA2A25">
              <w:rPr>
                <w:rFonts w:ascii="Arial" w:hAnsi="Arial"/>
                <w:sz w:val="20"/>
              </w:rPr>
              <w:t> </w:t>
            </w:r>
          </w:p>
        </w:tc>
      </w:tr>
      <w:tr w:rsidRPr="00EA2A25" w:rsidR="006F5266" w:rsidTr="00A87C3B" w14:paraId="36B41425" w14:textId="77777777">
        <w:trPr>
          <w:trHeight w:val="300"/>
        </w:trPr>
        <w:tc>
          <w:tcPr>
            <w:tcW w:w="6804" w:type="dxa"/>
            <w:tcBorders>
              <w:left w:val="nil"/>
              <w:right w:val="nil"/>
            </w:tcBorders>
            <w:noWrap/>
            <w:hideMark/>
          </w:tcPr>
          <w:p w:rsidRPr="00EA2A25" w:rsidR="006F5266" w:rsidP="00A87C3B" w:rsidRDefault="006F5266" w14:paraId="17DBC529" w14:textId="77777777">
            <w:pPr>
              <w:ind w:firstLine="400" w:firstLineChars="200"/>
              <w:rPr>
                <w:rFonts w:ascii="Arial" w:hAnsi="Arial" w:eastAsia="Times New Roman" w:cs="Arial"/>
                <w:sz w:val="20"/>
                <w:szCs w:val="20"/>
              </w:rPr>
            </w:pPr>
            <w:r w:rsidRPr="00EA2A25">
              <w:rPr>
                <w:rFonts w:ascii="Arial" w:hAnsi="Arial"/>
                <w:sz w:val="20"/>
                <w:lang w:eastAsia="en-GB"/>
              </w:rPr>
              <w:t xml:space="preserve">(1) </w:t>
            </w:r>
            <w:r w:rsidRPr="00EA2A25">
              <w:rPr>
                <w:rFonts w:ascii="Arial" w:hAnsi="Arial"/>
                <w:sz w:val="20"/>
              </w:rPr>
              <w:t>Éléments soumis à un facteur de conversion en équivalent-crédit (FCEC) de 0 %</w:t>
            </w:r>
          </w:p>
        </w:tc>
        <w:tc>
          <w:tcPr>
            <w:tcW w:w="2745" w:type="dxa"/>
            <w:tcBorders>
              <w:left w:val="nil"/>
              <w:right w:val="nil"/>
            </w:tcBorders>
            <w:noWrap/>
            <w:hideMark/>
          </w:tcPr>
          <w:p w:rsidRPr="00EA2A25" w:rsidR="006F5266" w:rsidP="00A87C3B" w:rsidRDefault="006F5266" w14:paraId="65277B5A" w14:textId="77777777">
            <w:pPr>
              <w:jc w:val="right"/>
              <w:rPr>
                <w:rFonts w:ascii="Arial" w:hAnsi="Arial" w:eastAsia="Times New Roman" w:cs="Arial"/>
                <w:sz w:val="20"/>
                <w:szCs w:val="20"/>
              </w:rPr>
            </w:pPr>
            <w:r w:rsidRPr="00EA2A25">
              <w:rPr>
                <w:rFonts w:ascii="Arial" w:hAnsi="Arial"/>
                <w:sz w:val="20"/>
              </w:rPr>
              <w:t> </w:t>
            </w:r>
          </w:p>
        </w:tc>
      </w:tr>
      <w:tr w:rsidRPr="00EA2A25" w:rsidR="006F5266" w:rsidTr="00A87C3B" w14:paraId="0B1076D2" w14:textId="77777777">
        <w:trPr>
          <w:trHeight w:val="300"/>
        </w:trPr>
        <w:tc>
          <w:tcPr>
            <w:tcW w:w="6804" w:type="dxa"/>
            <w:tcBorders>
              <w:left w:val="nil"/>
              <w:right w:val="nil"/>
            </w:tcBorders>
            <w:noWrap/>
            <w:hideMark/>
          </w:tcPr>
          <w:p w:rsidRPr="00EA2A25" w:rsidR="006F5266" w:rsidP="00A87C3B" w:rsidRDefault="006F5266" w14:paraId="3575B139" w14:textId="77777777">
            <w:pPr>
              <w:ind w:firstLine="400" w:firstLineChars="200"/>
              <w:rPr>
                <w:rFonts w:ascii="Arial" w:hAnsi="Arial" w:eastAsia="Times New Roman" w:cs="Arial"/>
                <w:sz w:val="20"/>
                <w:szCs w:val="20"/>
              </w:rPr>
            </w:pPr>
            <w:r w:rsidRPr="00EA2A25">
              <w:rPr>
                <w:rFonts w:ascii="Arial" w:hAnsi="Arial"/>
                <w:sz w:val="20"/>
                <w:lang w:eastAsia="en-GB"/>
              </w:rPr>
              <w:t xml:space="preserve">(2) </w:t>
            </w:r>
            <w:r w:rsidRPr="00EA2A25">
              <w:rPr>
                <w:rFonts w:ascii="Arial" w:hAnsi="Arial"/>
                <w:sz w:val="20"/>
              </w:rPr>
              <w:t>Éléments soumis à un FCEC de 20 %</w:t>
            </w:r>
          </w:p>
        </w:tc>
        <w:tc>
          <w:tcPr>
            <w:tcW w:w="2745" w:type="dxa"/>
            <w:tcBorders>
              <w:left w:val="nil"/>
              <w:right w:val="nil"/>
            </w:tcBorders>
            <w:noWrap/>
            <w:hideMark/>
          </w:tcPr>
          <w:p w:rsidRPr="00EA2A25" w:rsidR="006F5266" w:rsidP="00A87C3B" w:rsidRDefault="006F5266" w14:paraId="7F1CB31E" w14:textId="77777777">
            <w:pPr>
              <w:jc w:val="right"/>
              <w:rPr>
                <w:rFonts w:ascii="Arial" w:hAnsi="Arial" w:eastAsia="Times New Roman" w:cs="Arial"/>
                <w:sz w:val="20"/>
                <w:szCs w:val="20"/>
              </w:rPr>
            </w:pPr>
            <w:r w:rsidRPr="00EA2A25">
              <w:rPr>
                <w:rFonts w:ascii="Arial" w:hAnsi="Arial"/>
                <w:sz w:val="20"/>
              </w:rPr>
              <w:t> </w:t>
            </w:r>
          </w:p>
        </w:tc>
      </w:tr>
      <w:tr w:rsidRPr="00EA2A25" w:rsidR="006F5266" w:rsidTr="00A87C3B" w14:paraId="0328AAA3" w14:textId="77777777">
        <w:trPr>
          <w:trHeight w:val="300"/>
        </w:trPr>
        <w:tc>
          <w:tcPr>
            <w:tcW w:w="6804" w:type="dxa"/>
            <w:tcBorders>
              <w:left w:val="nil"/>
              <w:right w:val="nil"/>
            </w:tcBorders>
            <w:noWrap/>
            <w:hideMark/>
          </w:tcPr>
          <w:p w:rsidRPr="00EA2A25" w:rsidR="006F5266" w:rsidP="00A87C3B" w:rsidRDefault="006F5266" w14:paraId="11AAFF94" w14:textId="77777777">
            <w:pPr>
              <w:ind w:firstLine="400" w:firstLineChars="200"/>
              <w:rPr>
                <w:rFonts w:ascii="Arial" w:hAnsi="Arial" w:eastAsia="Times New Roman" w:cs="Arial"/>
                <w:sz w:val="20"/>
                <w:szCs w:val="20"/>
              </w:rPr>
            </w:pPr>
            <w:r w:rsidRPr="00EA2A25">
              <w:rPr>
                <w:rFonts w:ascii="Arial" w:hAnsi="Arial"/>
                <w:sz w:val="20"/>
                <w:lang w:eastAsia="en-GB"/>
              </w:rPr>
              <w:t xml:space="preserve">(3) </w:t>
            </w:r>
            <w:r w:rsidRPr="00EA2A25">
              <w:rPr>
                <w:rFonts w:ascii="Arial" w:hAnsi="Arial"/>
                <w:sz w:val="20"/>
              </w:rPr>
              <w:t>Éléments soumis à un FCEC de 50 %</w:t>
            </w:r>
          </w:p>
        </w:tc>
        <w:tc>
          <w:tcPr>
            <w:tcW w:w="2745" w:type="dxa"/>
            <w:tcBorders>
              <w:left w:val="nil"/>
              <w:right w:val="nil"/>
            </w:tcBorders>
            <w:noWrap/>
            <w:hideMark/>
          </w:tcPr>
          <w:p w:rsidRPr="00EA2A25" w:rsidR="006F5266" w:rsidP="00A87C3B" w:rsidRDefault="006F5266" w14:paraId="681B8776" w14:textId="77777777">
            <w:pPr>
              <w:jc w:val="right"/>
              <w:rPr>
                <w:rFonts w:ascii="Arial" w:hAnsi="Arial" w:eastAsia="Times New Roman" w:cs="Arial"/>
                <w:sz w:val="20"/>
                <w:szCs w:val="20"/>
              </w:rPr>
            </w:pPr>
            <w:r w:rsidRPr="00EA2A25">
              <w:rPr>
                <w:rFonts w:ascii="Arial" w:hAnsi="Arial"/>
                <w:sz w:val="20"/>
              </w:rPr>
              <w:t> </w:t>
            </w:r>
          </w:p>
        </w:tc>
      </w:tr>
      <w:tr w:rsidRPr="00EA2A25" w:rsidR="006F5266" w:rsidTr="00A87C3B" w14:paraId="44C47B2F" w14:textId="77777777">
        <w:trPr>
          <w:trHeight w:val="300"/>
        </w:trPr>
        <w:tc>
          <w:tcPr>
            <w:tcW w:w="6804" w:type="dxa"/>
            <w:tcBorders>
              <w:left w:val="nil"/>
              <w:right w:val="nil"/>
            </w:tcBorders>
            <w:noWrap/>
            <w:hideMark/>
          </w:tcPr>
          <w:p w:rsidRPr="00EA2A25" w:rsidR="006F5266" w:rsidP="00A87C3B" w:rsidRDefault="006F5266" w14:paraId="4A26F0DA" w14:textId="77777777">
            <w:pPr>
              <w:ind w:firstLine="400" w:firstLineChars="200"/>
              <w:rPr>
                <w:rFonts w:ascii="Arial" w:hAnsi="Arial" w:eastAsia="Times New Roman" w:cs="Arial"/>
                <w:sz w:val="20"/>
                <w:szCs w:val="20"/>
              </w:rPr>
            </w:pPr>
            <w:r w:rsidRPr="00EA2A25">
              <w:rPr>
                <w:rFonts w:ascii="Arial" w:hAnsi="Arial"/>
                <w:sz w:val="20"/>
                <w:lang w:eastAsia="en-GB"/>
              </w:rPr>
              <w:t xml:space="preserve">(4) </w:t>
            </w:r>
            <w:r w:rsidRPr="00EA2A25">
              <w:rPr>
                <w:rFonts w:ascii="Arial" w:hAnsi="Arial"/>
                <w:sz w:val="20"/>
              </w:rPr>
              <w:t>Éléments soumis à un FCEC de 100 %</w:t>
            </w:r>
          </w:p>
        </w:tc>
        <w:tc>
          <w:tcPr>
            <w:tcW w:w="2745" w:type="dxa"/>
            <w:tcBorders>
              <w:left w:val="nil"/>
              <w:right w:val="nil"/>
            </w:tcBorders>
            <w:noWrap/>
            <w:hideMark/>
          </w:tcPr>
          <w:p w:rsidRPr="00EA2A25" w:rsidR="006F5266" w:rsidP="00A87C3B" w:rsidRDefault="006F5266" w14:paraId="52F2B988" w14:textId="77777777">
            <w:pPr>
              <w:jc w:val="right"/>
              <w:rPr>
                <w:rFonts w:ascii="Arial" w:hAnsi="Arial" w:eastAsia="Times New Roman" w:cs="Arial"/>
                <w:sz w:val="20"/>
                <w:szCs w:val="20"/>
              </w:rPr>
            </w:pPr>
            <w:r w:rsidRPr="00EA2A25">
              <w:rPr>
                <w:rFonts w:ascii="Arial" w:hAnsi="Arial"/>
                <w:sz w:val="20"/>
              </w:rPr>
              <w:t> </w:t>
            </w:r>
          </w:p>
        </w:tc>
      </w:tr>
      <w:tr w:rsidRPr="00EA2A25" w:rsidR="006F5266" w:rsidTr="00A87C3B" w14:paraId="7F27626E" w14:textId="77777777">
        <w:trPr>
          <w:trHeight w:val="300"/>
        </w:trPr>
        <w:tc>
          <w:tcPr>
            <w:tcW w:w="6804" w:type="dxa"/>
            <w:tcBorders>
              <w:left w:val="nil"/>
              <w:right w:val="nil"/>
            </w:tcBorders>
            <w:noWrap/>
            <w:hideMark/>
          </w:tcPr>
          <w:p w:rsidRPr="00EA2A25" w:rsidR="006F5266" w:rsidP="00A87C3B" w:rsidRDefault="006F5266" w14:paraId="40B69FAD" w14:textId="77777777">
            <w:pPr>
              <w:ind w:firstLine="200" w:firstLineChars="100"/>
              <w:rPr>
                <w:rFonts w:ascii="Arial" w:hAnsi="Arial" w:eastAsia="Times New Roman" w:cs="Arial"/>
                <w:sz w:val="20"/>
                <w:szCs w:val="20"/>
              </w:rPr>
            </w:pPr>
            <w:r w:rsidRPr="00EA2A25">
              <w:rPr>
                <w:rFonts w:ascii="Arial" w:hAnsi="Arial"/>
                <w:sz w:val="20"/>
              </w:rPr>
              <w:t>e. Ajustements réglementaires</w:t>
            </w:r>
          </w:p>
        </w:tc>
        <w:tc>
          <w:tcPr>
            <w:tcW w:w="2745" w:type="dxa"/>
            <w:tcBorders>
              <w:left w:val="nil"/>
              <w:right w:val="nil"/>
            </w:tcBorders>
            <w:noWrap/>
            <w:hideMark/>
          </w:tcPr>
          <w:p w:rsidRPr="00EA2A25" w:rsidR="006F5266" w:rsidP="00A87C3B" w:rsidRDefault="006F5266" w14:paraId="39189560" w14:textId="77777777">
            <w:pPr>
              <w:jc w:val="right"/>
              <w:rPr>
                <w:rFonts w:ascii="Arial" w:hAnsi="Arial" w:eastAsia="Times New Roman" w:cs="Arial"/>
                <w:sz w:val="20"/>
                <w:szCs w:val="20"/>
              </w:rPr>
            </w:pPr>
            <w:r w:rsidRPr="00EA2A25">
              <w:rPr>
                <w:rFonts w:ascii="Arial" w:hAnsi="Arial"/>
                <w:sz w:val="20"/>
              </w:rPr>
              <w:t> </w:t>
            </w:r>
          </w:p>
        </w:tc>
      </w:tr>
      <w:tr w:rsidRPr="00EA2A25" w:rsidR="006F5266" w:rsidTr="00A87C3B" w14:paraId="34C8A4D2" w14:textId="77777777">
        <w:trPr>
          <w:trHeight w:val="300"/>
        </w:trPr>
        <w:tc>
          <w:tcPr>
            <w:tcW w:w="6804" w:type="dxa"/>
            <w:tcBorders>
              <w:left w:val="nil"/>
              <w:right w:val="nil"/>
            </w:tcBorders>
            <w:noWrap/>
          </w:tcPr>
          <w:p w:rsidRPr="00EA2A25" w:rsidR="006F5266" w:rsidP="00A87C3B" w:rsidRDefault="006F5266" w14:paraId="24F81F02" w14:textId="77777777">
            <w:pPr>
              <w:ind w:left="171" w:firstLine="28" w:firstLineChars="14"/>
              <w:rPr>
                <w:rFonts w:ascii="Arial" w:hAnsi="Arial" w:eastAsia="Times New Roman" w:cs="Arial"/>
                <w:sz w:val="20"/>
                <w:szCs w:val="20"/>
              </w:rPr>
            </w:pPr>
            <w:r w:rsidRPr="00EA2A25">
              <w:rPr>
                <w:rFonts w:ascii="Arial" w:hAnsi="Arial"/>
                <w:sz w:val="20"/>
              </w:rPr>
              <w:lastRenderedPageBreak/>
              <w:t>f. Expositions totales avant ajustements réglementaires [somme des éléments 2.a.(1) jusqu’à 2.c., 0,1 fois 2.d.(1), 0,2 fois 2.d.(2), 0,5 fois 2.d.(3) et 2.d.(4)]</w:t>
            </w:r>
          </w:p>
        </w:tc>
        <w:tc>
          <w:tcPr>
            <w:tcW w:w="2745" w:type="dxa"/>
            <w:tcBorders>
              <w:left w:val="nil"/>
              <w:right w:val="nil"/>
            </w:tcBorders>
            <w:noWrap/>
          </w:tcPr>
          <w:p w:rsidRPr="00EA2A25" w:rsidR="006F5266" w:rsidP="00A87C3B" w:rsidRDefault="006F5266" w14:paraId="5DCA4BBE" w14:textId="77777777">
            <w:pPr>
              <w:jc w:val="right"/>
              <w:rPr>
                <w:rFonts w:ascii="Arial" w:hAnsi="Arial" w:eastAsia="Times New Roman" w:cs="Arial"/>
                <w:sz w:val="20"/>
                <w:szCs w:val="20"/>
                <w:lang w:eastAsia="en-GB"/>
              </w:rPr>
            </w:pPr>
          </w:p>
        </w:tc>
      </w:tr>
      <w:tr w:rsidRPr="00EA2A25" w:rsidR="006F5266" w:rsidTr="00A87C3B" w14:paraId="679F0037" w14:textId="77777777">
        <w:trPr>
          <w:trHeight w:val="300"/>
        </w:trPr>
        <w:tc>
          <w:tcPr>
            <w:tcW w:w="6804" w:type="dxa"/>
            <w:tcBorders>
              <w:left w:val="nil"/>
              <w:right w:val="nil"/>
            </w:tcBorders>
            <w:noWrap/>
          </w:tcPr>
          <w:p w:rsidRPr="00EA2A25" w:rsidR="006F5266" w:rsidP="00A87C3B" w:rsidRDefault="006F5266" w14:paraId="1067DC3E" w14:textId="77777777">
            <w:pPr>
              <w:ind w:left="171" w:firstLine="28" w:firstLineChars="14"/>
              <w:rPr>
                <w:rFonts w:ascii="Arial" w:hAnsi="Arial" w:eastAsia="Times New Roman" w:cs="Arial"/>
                <w:sz w:val="20"/>
                <w:szCs w:val="20"/>
              </w:rPr>
            </w:pPr>
            <w:r w:rsidRPr="00EA2A25">
              <w:rPr>
                <w:rFonts w:ascii="Arial" w:hAnsi="Arial"/>
                <w:sz w:val="20"/>
              </w:rPr>
              <w:t>g. Expositions des filiales d’assurance non incluses dans la rubrique 2.f., nettes des expositions intragroupe:</w:t>
            </w:r>
          </w:p>
        </w:tc>
        <w:tc>
          <w:tcPr>
            <w:tcW w:w="2745" w:type="dxa"/>
            <w:tcBorders>
              <w:left w:val="nil"/>
              <w:right w:val="nil"/>
            </w:tcBorders>
            <w:noWrap/>
          </w:tcPr>
          <w:p w:rsidRPr="00EA2A25" w:rsidR="006F5266" w:rsidP="00A87C3B" w:rsidRDefault="006F5266" w14:paraId="7B78E2BA" w14:textId="77777777">
            <w:pPr>
              <w:jc w:val="right"/>
              <w:rPr>
                <w:rFonts w:ascii="Arial" w:hAnsi="Arial" w:eastAsia="Times New Roman" w:cs="Arial"/>
                <w:sz w:val="20"/>
                <w:szCs w:val="20"/>
                <w:lang w:eastAsia="en-GB"/>
              </w:rPr>
            </w:pPr>
          </w:p>
        </w:tc>
      </w:tr>
      <w:tr w:rsidRPr="00EA2A25" w:rsidR="006F5266" w:rsidTr="00A87C3B" w14:paraId="3F8627CC" w14:textId="77777777">
        <w:trPr>
          <w:trHeight w:val="300"/>
        </w:trPr>
        <w:tc>
          <w:tcPr>
            <w:tcW w:w="6804" w:type="dxa"/>
            <w:tcBorders>
              <w:left w:val="nil"/>
              <w:right w:val="nil"/>
            </w:tcBorders>
            <w:noWrap/>
          </w:tcPr>
          <w:p w:rsidRPr="00EA2A25" w:rsidR="006F5266" w:rsidP="00A87C3B" w:rsidRDefault="006F5266" w14:paraId="59D8278E" w14:textId="77777777">
            <w:pPr>
              <w:ind w:left="720" w:firstLine="28" w:firstLineChars="14"/>
              <w:rPr>
                <w:rFonts w:ascii="Arial" w:hAnsi="Arial" w:eastAsia="Times New Roman" w:cs="Arial"/>
                <w:sz w:val="20"/>
                <w:szCs w:val="20"/>
              </w:rPr>
            </w:pPr>
            <w:r w:rsidRPr="00EA2A25">
              <w:rPr>
                <w:rFonts w:ascii="Arial" w:hAnsi="Arial"/>
                <w:sz w:val="20"/>
                <w:lang w:eastAsia="en-GB"/>
              </w:rPr>
              <w:t xml:space="preserve">(1) </w:t>
            </w:r>
            <w:r w:rsidRPr="00EA2A25">
              <w:rPr>
                <w:rFonts w:ascii="Arial" w:hAnsi="Arial"/>
                <w:sz w:val="20"/>
              </w:rPr>
              <w:t>Actifs au bilan et hors bilan des filiales d’assurance</w:t>
            </w:r>
          </w:p>
        </w:tc>
        <w:tc>
          <w:tcPr>
            <w:tcW w:w="2745" w:type="dxa"/>
            <w:tcBorders>
              <w:left w:val="nil"/>
              <w:right w:val="nil"/>
            </w:tcBorders>
            <w:noWrap/>
          </w:tcPr>
          <w:p w:rsidRPr="00EA2A25" w:rsidR="006F5266" w:rsidP="00A87C3B" w:rsidRDefault="006F5266" w14:paraId="547249CD" w14:textId="77777777">
            <w:pPr>
              <w:jc w:val="right"/>
              <w:rPr>
                <w:rFonts w:ascii="Arial" w:hAnsi="Arial" w:eastAsia="Times New Roman" w:cs="Arial"/>
                <w:sz w:val="20"/>
                <w:szCs w:val="20"/>
                <w:lang w:eastAsia="en-GB"/>
              </w:rPr>
            </w:pPr>
          </w:p>
        </w:tc>
      </w:tr>
      <w:tr w:rsidRPr="00EA2A25" w:rsidR="006F5266" w:rsidTr="00A87C3B" w14:paraId="22871CC6" w14:textId="77777777">
        <w:trPr>
          <w:trHeight w:val="300"/>
        </w:trPr>
        <w:tc>
          <w:tcPr>
            <w:tcW w:w="6804" w:type="dxa"/>
            <w:tcBorders>
              <w:left w:val="nil"/>
              <w:right w:val="nil"/>
            </w:tcBorders>
            <w:noWrap/>
          </w:tcPr>
          <w:p w:rsidRPr="00EA2A25" w:rsidR="006F5266" w:rsidP="00A87C3B" w:rsidRDefault="006F5266" w14:paraId="18B18D49" w14:textId="77777777">
            <w:pPr>
              <w:ind w:left="720" w:firstLine="28" w:firstLineChars="14"/>
              <w:rPr>
                <w:rFonts w:ascii="Arial" w:hAnsi="Arial" w:eastAsia="Times New Roman" w:cs="Arial"/>
                <w:sz w:val="20"/>
                <w:szCs w:val="20"/>
              </w:rPr>
            </w:pPr>
            <w:r w:rsidRPr="00EA2A25">
              <w:rPr>
                <w:rFonts w:ascii="Arial" w:hAnsi="Arial"/>
                <w:sz w:val="20"/>
                <w:lang w:eastAsia="en-GB"/>
              </w:rPr>
              <w:t xml:space="preserve">(2) </w:t>
            </w:r>
            <w:r w:rsidRPr="00EA2A25">
              <w:rPr>
                <w:rFonts w:ascii="Arial" w:hAnsi="Arial"/>
                <w:sz w:val="20"/>
              </w:rPr>
              <w:t>Exposition future potentielle des contrats dérivés des filiales d’assurance</w:t>
            </w:r>
          </w:p>
        </w:tc>
        <w:tc>
          <w:tcPr>
            <w:tcW w:w="2745" w:type="dxa"/>
            <w:tcBorders>
              <w:left w:val="nil"/>
              <w:right w:val="nil"/>
            </w:tcBorders>
            <w:noWrap/>
          </w:tcPr>
          <w:p w:rsidRPr="00EA2A25" w:rsidR="006F5266" w:rsidP="00A87C3B" w:rsidRDefault="006F5266" w14:paraId="6E85EAA1" w14:textId="77777777">
            <w:pPr>
              <w:jc w:val="right"/>
              <w:rPr>
                <w:rFonts w:ascii="Arial" w:hAnsi="Arial" w:eastAsia="Times New Roman" w:cs="Arial"/>
                <w:sz w:val="20"/>
                <w:szCs w:val="20"/>
                <w:lang w:eastAsia="en-GB"/>
              </w:rPr>
            </w:pPr>
          </w:p>
        </w:tc>
      </w:tr>
      <w:tr w:rsidRPr="00EA2A25" w:rsidR="006F5266" w:rsidTr="00A87C3B" w14:paraId="75417109" w14:textId="77777777">
        <w:trPr>
          <w:trHeight w:val="300"/>
        </w:trPr>
        <w:tc>
          <w:tcPr>
            <w:tcW w:w="6804" w:type="dxa"/>
            <w:tcBorders>
              <w:left w:val="nil"/>
              <w:right w:val="nil"/>
            </w:tcBorders>
            <w:noWrap/>
          </w:tcPr>
          <w:p w:rsidRPr="00EA2A25" w:rsidR="006F5266" w:rsidP="00A87C3B" w:rsidRDefault="006F5266" w14:paraId="34679C31" w14:textId="77777777">
            <w:pPr>
              <w:ind w:left="720" w:firstLine="28" w:firstLineChars="14"/>
              <w:rPr>
                <w:rFonts w:ascii="Arial" w:hAnsi="Arial" w:eastAsia="Times New Roman" w:cs="Arial"/>
                <w:sz w:val="20"/>
                <w:szCs w:val="20"/>
              </w:rPr>
            </w:pPr>
            <w:r w:rsidRPr="00EA2A25">
              <w:rPr>
                <w:rFonts w:ascii="Arial" w:hAnsi="Arial"/>
                <w:sz w:val="20"/>
                <w:lang w:eastAsia="en-GB"/>
              </w:rPr>
              <w:t xml:space="preserve">(3) </w:t>
            </w:r>
            <w:r w:rsidRPr="00EA2A25">
              <w:rPr>
                <w:rFonts w:ascii="Arial" w:hAnsi="Arial"/>
                <w:sz w:val="20"/>
              </w:rPr>
              <w:t>Valeur d’investissement dans des entités consolidées</w:t>
            </w:r>
          </w:p>
        </w:tc>
        <w:tc>
          <w:tcPr>
            <w:tcW w:w="2745" w:type="dxa"/>
            <w:tcBorders>
              <w:left w:val="nil"/>
              <w:right w:val="nil"/>
            </w:tcBorders>
            <w:noWrap/>
          </w:tcPr>
          <w:p w:rsidRPr="00EA2A25" w:rsidR="006F5266" w:rsidP="00A87C3B" w:rsidRDefault="006F5266" w14:paraId="05DFC97D" w14:textId="77777777">
            <w:pPr>
              <w:jc w:val="right"/>
              <w:rPr>
                <w:rFonts w:ascii="Arial" w:hAnsi="Arial" w:eastAsia="Times New Roman" w:cs="Arial"/>
                <w:sz w:val="20"/>
                <w:szCs w:val="20"/>
                <w:lang w:eastAsia="en-GB"/>
              </w:rPr>
            </w:pPr>
          </w:p>
        </w:tc>
      </w:tr>
      <w:tr w:rsidRPr="00EA2A25" w:rsidR="006F5266" w:rsidTr="00A87C3B" w14:paraId="6DC2EF53" w14:textId="77777777">
        <w:trPr>
          <w:trHeight w:val="300"/>
        </w:trPr>
        <w:tc>
          <w:tcPr>
            <w:tcW w:w="6804" w:type="dxa"/>
            <w:tcBorders>
              <w:left w:val="nil"/>
              <w:right w:val="nil"/>
            </w:tcBorders>
            <w:noWrap/>
          </w:tcPr>
          <w:p w:rsidRPr="00EA2A25" w:rsidR="006F5266" w:rsidP="00A87C3B" w:rsidRDefault="006F5266" w14:paraId="6A9A620C" w14:textId="77777777">
            <w:pPr>
              <w:ind w:left="171"/>
              <w:rPr>
                <w:rFonts w:ascii="Arial" w:hAnsi="Arial" w:eastAsia="Times New Roman" w:cs="Arial"/>
                <w:sz w:val="20"/>
                <w:szCs w:val="20"/>
              </w:rPr>
            </w:pPr>
            <w:r w:rsidRPr="00EA2A25">
              <w:rPr>
                <w:rFonts w:ascii="Arial" w:hAnsi="Arial"/>
                <w:sz w:val="20"/>
              </w:rPr>
              <w:t>h. Expositions intragroupe incluses dans l’élément 2.f. à l’égard de filiales d’assurance déclarées dans l’élément 2.g.</w:t>
            </w:r>
          </w:p>
        </w:tc>
        <w:tc>
          <w:tcPr>
            <w:tcW w:w="2745" w:type="dxa"/>
            <w:tcBorders>
              <w:left w:val="nil"/>
              <w:right w:val="nil"/>
            </w:tcBorders>
            <w:noWrap/>
          </w:tcPr>
          <w:p w:rsidRPr="00EA2A25" w:rsidR="006F5266" w:rsidP="00A87C3B" w:rsidRDefault="006F5266" w14:paraId="3FB06942" w14:textId="77777777">
            <w:pPr>
              <w:jc w:val="right"/>
              <w:rPr>
                <w:rFonts w:ascii="Arial" w:hAnsi="Arial" w:eastAsia="Times New Roman" w:cs="Arial"/>
                <w:sz w:val="20"/>
                <w:szCs w:val="20"/>
                <w:lang w:eastAsia="en-GB"/>
              </w:rPr>
            </w:pPr>
          </w:p>
        </w:tc>
      </w:tr>
      <w:tr w:rsidRPr="00EA2A25" w:rsidR="006F5266" w:rsidTr="00A87C3B" w14:paraId="213D236B" w14:textId="77777777">
        <w:trPr>
          <w:trHeight w:val="300"/>
        </w:trPr>
        <w:tc>
          <w:tcPr>
            <w:tcW w:w="6804" w:type="dxa"/>
            <w:tcBorders>
              <w:left w:val="nil"/>
              <w:bottom w:val="single" w:color="auto" w:sz="4" w:space="0"/>
              <w:right w:val="nil"/>
            </w:tcBorders>
            <w:noWrap/>
          </w:tcPr>
          <w:p w:rsidRPr="00EA2A25" w:rsidR="006F5266" w:rsidP="00A87C3B" w:rsidRDefault="006F5266" w14:paraId="6A6447FF" w14:textId="77777777">
            <w:pPr>
              <w:ind w:left="171"/>
              <w:rPr>
                <w:rFonts w:ascii="Arial" w:hAnsi="Arial" w:eastAsia="Times New Roman" w:cs="Arial"/>
                <w:sz w:val="20"/>
                <w:szCs w:val="20"/>
              </w:rPr>
            </w:pPr>
            <w:r w:rsidRPr="00EA2A25">
              <w:rPr>
                <w:rFonts w:ascii="Arial" w:hAnsi="Arial"/>
                <w:sz w:val="20"/>
              </w:rPr>
              <w:t>i. Indicateur d’expositions totales, y compris les filiales d’assurance [somme des éléments 2.f., 2.g.(1) jusqu’à 2.g.(2) moins 2.g.(3) jusqu’à 2.h.]</w:t>
            </w:r>
          </w:p>
        </w:tc>
        <w:tc>
          <w:tcPr>
            <w:tcW w:w="2745" w:type="dxa"/>
            <w:tcBorders>
              <w:left w:val="nil"/>
              <w:bottom w:val="single" w:color="auto" w:sz="4" w:space="0"/>
              <w:right w:val="nil"/>
            </w:tcBorders>
            <w:noWrap/>
          </w:tcPr>
          <w:p w:rsidRPr="00EA2A25" w:rsidR="006F5266" w:rsidP="00A87C3B" w:rsidRDefault="006F5266" w14:paraId="242B03CA" w14:textId="77777777">
            <w:pPr>
              <w:jc w:val="right"/>
              <w:rPr>
                <w:rFonts w:ascii="Arial" w:hAnsi="Arial" w:eastAsia="Times New Roman" w:cs="Arial"/>
                <w:sz w:val="20"/>
                <w:szCs w:val="20"/>
                <w:lang w:eastAsia="en-GB"/>
              </w:rPr>
            </w:pPr>
          </w:p>
        </w:tc>
      </w:tr>
      <w:tr w:rsidRPr="00EA2A25" w:rsidR="006F5266" w:rsidTr="00A87C3B" w14:paraId="200B589E" w14:textId="77777777">
        <w:trPr>
          <w:trHeight w:val="403"/>
        </w:trPr>
        <w:tc>
          <w:tcPr>
            <w:tcW w:w="9549" w:type="dxa"/>
            <w:gridSpan w:val="2"/>
            <w:tcBorders>
              <w:left w:val="nil"/>
              <w:right w:val="nil"/>
            </w:tcBorders>
            <w:noWrap/>
            <w:hideMark/>
          </w:tcPr>
          <w:p w:rsidRPr="00EA2A25" w:rsidR="006F5266" w:rsidP="00A87C3B" w:rsidRDefault="006F5266" w14:paraId="41847AD7" w14:textId="77777777">
            <w:pPr>
              <w:keepNext/>
              <w:keepLines/>
              <w:spacing w:before="47"/>
              <w:outlineLvl w:val="5"/>
              <w:rPr>
                <w:rFonts w:ascii="Arial" w:hAnsi="Arial" w:eastAsia="Times New Roman" w:cs="Arial"/>
                <w:b/>
                <w:bCs/>
                <w:i/>
                <w:iCs/>
                <w:caps/>
                <w:color w:val="172B39" w:themeColor="accent1" w:themeShade="80"/>
                <w:sz w:val="20"/>
                <w:szCs w:val="20"/>
                <w:lang w:eastAsia="en-GB"/>
              </w:rPr>
            </w:pPr>
          </w:p>
          <w:p w:rsidRPr="00EA2A25" w:rsidR="006F5266" w:rsidP="00A87C3B" w:rsidRDefault="006F5266" w14:paraId="12696213" w14:textId="77777777">
            <w:pPr>
              <w:keepNext/>
              <w:keepLines/>
              <w:spacing w:before="47"/>
              <w:outlineLvl w:val="5"/>
              <w:rPr>
                <w:rFonts w:ascii="Arial" w:hAnsi="Arial" w:eastAsia="Times New Roman" w:cs="Arial"/>
                <w:i/>
                <w:iCs/>
                <w:caps/>
                <w:color w:val="172B39" w:themeColor="accent1" w:themeShade="80"/>
                <w:sz w:val="20"/>
                <w:szCs w:val="20"/>
              </w:rPr>
            </w:pPr>
            <w:r w:rsidRPr="00EA2A25">
              <w:rPr>
                <w:rFonts w:ascii="Arial" w:hAnsi="Arial"/>
                <w:b/>
                <w:i/>
                <w:caps/>
                <w:color w:val="172B39" w:themeColor="accent1" w:themeShade="80"/>
                <w:sz w:val="24"/>
              </w:rPr>
              <w:t> </w:t>
            </w:r>
            <w:r w:rsidRPr="00EA2A25">
              <w:rPr>
                <w:rFonts w:asciiTheme="majorHAnsi" w:hAnsiTheme="majorHAnsi"/>
                <w:b/>
                <w:i/>
                <w:caps/>
              </w:rPr>
              <w:t>Indicateurs d’interdépendance</w:t>
            </w:r>
          </w:p>
          <w:p w:rsidRPr="00EA2A25" w:rsidR="006F5266" w:rsidP="00A87C3B" w:rsidRDefault="006F5266" w14:paraId="6FE42FD1" w14:textId="77777777">
            <w:pPr>
              <w:rPr>
                <w:rFonts w:ascii="Arial" w:hAnsi="Arial" w:eastAsia="Times New Roman" w:cs="Arial"/>
                <w:b/>
                <w:bCs/>
                <w:sz w:val="24"/>
                <w:szCs w:val="24"/>
              </w:rPr>
            </w:pPr>
            <w:r w:rsidRPr="00EA2A25">
              <w:rPr>
                <w:rFonts w:ascii="Arial" w:hAnsi="Arial"/>
                <w:b/>
                <w:sz w:val="24"/>
              </w:rPr>
              <w:t> </w:t>
            </w:r>
          </w:p>
        </w:tc>
      </w:tr>
      <w:tr w:rsidRPr="00EA2A25" w:rsidR="006F5266" w:rsidTr="00A87C3B" w14:paraId="1CD2AB89" w14:textId="77777777">
        <w:trPr>
          <w:trHeight w:val="300"/>
        </w:trPr>
        <w:tc>
          <w:tcPr>
            <w:tcW w:w="6804" w:type="dxa"/>
            <w:tcBorders>
              <w:left w:val="nil"/>
              <w:bottom w:val="single" w:color="auto" w:sz="4" w:space="0"/>
              <w:right w:val="nil"/>
            </w:tcBorders>
            <w:noWrap/>
            <w:hideMark/>
          </w:tcPr>
          <w:p w:rsidRPr="00EA2A25" w:rsidR="006F5266" w:rsidP="00A87C3B" w:rsidRDefault="006F5266" w14:paraId="6E536A41" w14:textId="77777777">
            <w:pPr>
              <w:rPr>
                <w:rFonts w:ascii="Arial" w:hAnsi="Arial" w:eastAsia="Times New Roman" w:cs="Arial"/>
                <w:b/>
                <w:bCs/>
                <w:sz w:val="20"/>
                <w:szCs w:val="20"/>
              </w:rPr>
            </w:pPr>
            <w:r w:rsidRPr="00EA2A25">
              <w:rPr>
                <w:rFonts w:ascii="Arial" w:hAnsi="Arial"/>
                <w:b/>
                <w:sz w:val="20"/>
              </w:rPr>
              <w:t>Section 3 - Actifs au sein du système financier</w:t>
            </w:r>
          </w:p>
        </w:tc>
        <w:tc>
          <w:tcPr>
            <w:tcW w:w="2745" w:type="dxa"/>
            <w:tcBorders>
              <w:left w:val="nil"/>
              <w:bottom w:val="single" w:color="auto" w:sz="4" w:space="0"/>
              <w:right w:val="nil"/>
            </w:tcBorders>
            <w:hideMark/>
          </w:tcPr>
          <w:p w:rsidRPr="00EA2A25" w:rsidR="006F5266" w:rsidP="00A87C3B" w:rsidRDefault="006F5266" w14:paraId="11203D0C" w14:textId="77777777">
            <w:pPr>
              <w:jc w:val="center"/>
              <w:rPr>
                <w:rFonts w:ascii="Arial" w:hAnsi="Arial" w:eastAsia="Times New Roman" w:cs="Arial"/>
                <w:b/>
                <w:bCs/>
                <w:sz w:val="20"/>
                <w:szCs w:val="20"/>
              </w:rPr>
            </w:pPr>
            <w:r w:rsidRPr="00EA2A25">
              <w:rPr>
                <w:rFonts w:ascii="Arial" w:hAnsi="Arial"/>
                <w:b/>
                <w:sz w:val="20"/>
              </w:rPr>
              <w:t>Montant</w:t>
            </w:r>
          </w:p>
        </w:tc>
      </w:tr>
      <w:tr w:rsidRPr="00EA2A25" w:rsidR="006F5266" w:rsidTr="00A87C3B" w14:paraId="214EFF15" w14:textId="77777777">
        <w:trPr>
          <w:trHeight w:val="300"/>
        </w:trPr>
        <w:tc>
          <w:tcPr>
            <w:tcW w:w="6804" w:type="dxa"/>
            <w:tcBorders>
              <w:left w:val="nil"/>
              <w:right w:val="nil"/>
            </w:tcBorders>
            <w:noWrap/>
            <w:hideMark/>
          </w:tcPr>
          <w:p w:rsidRPr="00EA2A25" w:rsidR="006F5266" w:rsidP="00A87C3B" w:rsidRDefault="006F5266" w14:paraId="590B66C2" w14:textId="77777777">
            <w:pPr>
              <w:ind w:firstLine="200" w:firstLineChars="100"/>
              <w:rPr>
                <w:rFonts w:ascii="Arial" w:hAnsi="Arial" w:eastAsia="Times New Roman" w:cs="Arial"/>
                <w:sz w:val="20"/>
                <w:szCs w:val="20"/>
              </w:rPr>
            </w:pPr>
            <w:r w:rsidRPr="00EA2A25">
              <w:rPr>
                <w:rFonts w:ascii="Arial" w:hAnsi="Arial"/>
                <w:sz w:val="20"/>
              </w:rPr>
              <w:t>a. Fonds déposés auprès d’établissements financiers ou prêtés à d’autres établissements financiers</w:t>
            </w:r>
          </w:p>
        </w:tc>
        <w:tc>
          <w:tcPr>
            <w:tcW w:w="2745" w:type="dxa"/>
            <w:tcBorders>
              <w:left w:val="nil"/>
              <w:right w:val="nil"/>
            </w:tcBorders>
            <w:noWrap/>
            <w:hideMark/>
          </w:tcPr>
          <w:p w:rsidRPr="00EA2A25" w:rsidR="006F5266" w:rsidP="00A87C3B" w:rsidRDefault="006F5266" w14:paraId="2571FEF7" w14:textId="77777777">
            <w:pPr>
              <w:jc w:val="right"/>
              <w:rPr>
                <w:rFonts w:ascii="Arial" w:hAnsi="Arial" w:eastAsia="Times New Roman" w:cs="Arial"/>
                <w:sz w:val="20"/>
                <w:szCs w:val="20"/>
              </w:rPr>
            </w:pPr>
            <w:r w:rsidRPr="00EA2A25">
              <w:rPr>
                <w:rFonts w:ascii="Arial" w:hAnsi="Arial"/>
                <w:sz w:val="20"/>
              </w:rPr>
              <w:t> </w:t>
            </w:r>
          </w:p>
        </w:tc>
      </w:tr>
      <w:tr w:rsidRPr="00EA2A25" w:rsidR="006F5266" w:rsidTr="00A87C3B" w14:paraId="33AC6ADB" w14:textId="77777777">
        <w:trPr>
          <w:trHeight w:val="300"/>
        </w:trPr>
        <w:tc>
          <w:tcPr>
            <w:tcW w:w="6804" w:type="dxa"/>
            <w:tcBorders>
              <w:left w:val="nil"/>
              <w:bottom w:val="single" w:color="auto" w:sz="4" w:space="0"/>
              <w:right w:val="nil"/>
            </w:tcBorders>
            <w:noWrap/>
            <w:hideMark/>
          </w:tcPr>
          <w:p w:rsidRPr="00EA2A25" w:rsidR="006F5266" w:rsidP="00A87C3B" w:rsidRDefault="006F5266" w14:paraId="6E9C88B1" w14:textId="77777777">
            <w:pPr>
              <w:ind w:firstLine="400" w:firstLineChars="200"/>
              <w:rPr>
                <w:rFonts w:ascii="Arial" w:hAnsi="Arial" w:eastAsia="Times New Roman" w:cs="Arial"/>
                <w:sz w:val="20"/>
                <w:szCs w:val="20"/>
              </w:rPr>
            </w:pPr>
            <w:r w:rsidRPr="00EA2A25">
              <w:rPr>
                <w:rFonts w:ascii="Arial" w:hAnsi="Arial"/>
                <w:sz w:val="20"/>
                <w:lang w:eastAsia="en-GB"/>
              </w:rPr>
              <w:t xml:space="preserve">(1) </w:t>
            </w:r>
            <w:r w:rsidRPr="00EA2A25">
              <w:rPr>
                <w:rFonts w:ascii="Arial" w:hAnsi="Arial"/>
                <w:sz w:val="20"/>
              </w:rPr>
              <w:t xml:space="preserve">Certificats de dépôt </w:t>
            </w:r>
          </w:p>
        </w:tc>
        <w:tc>
          <w:tcPr>
            <w:tcW w:w="2745" w:type="dxa"/>
            <w:tcBorders>
              <w:left w:val="nil"/>
              <w:right w:val="nil"/>
            </w:tcBorders>
            <w:noWrap/>
            <w:hideMark/>
          </w:tcPr>
          <w:p w:rsidRPr="00EA2A25" w:rsidR="006F5266" w:rsidP="00A87C3B" w:rsidRDefault="006F5266" w14:paraId="0634D3C2" w14:textId="77777777">
            <w:pPr>
              <w:jc w:val="right"/>
              <w:rPr>
                <w:rFonts w:ascii="Arial" w:hAnsi="Arial" w:eastAsia="Times New Roman" w:cs="Arial"/>
                <w:sz w:val="20"/>
                <w:szCs w:val="20"/>
              </w:rPr>
            </w:pPr>
            <w:r w:rsidRPr="00EA2A25">
              <w:rPr>
                <w:rFonts w:ascii="Arial" w:hAnsi="Arial"/>
                <w:sz w:val="20"/>
              </w:rPr>
              <w:t> </w:t>
            </w:r>
          </w:p>
        </w:tc>
      </w:tr>
      <w:tr w:rsidRPr="00EA2A25" w:rsidR="006F5266" w:rsidTr="00A87C3B" w14:paraId="32FEA784" w14:textId="77777777">
        <w:trPr>
          <w:gridAfter w:val="1"/>
          <w:wAfter w:w="2745" w:type="dxa"/>
          <w:trHeight w:val="300"/>
        </w:trPr>
        <w:tc>
          <w:tcPr>
            <w:tcW w:w="6804" w:type="dxa"/>
            <w:tcBorders>
              <w:left w:val="nil"/>
              <w:right w:val="nil"/>
            </w:tcBorders>
            <w:noWrap/>
            <w:hideMark/>
          </w:tcPr>
          <w:p w:rsidRPr="00EA2A25" w:rsidR="006F5266" w:rsidP="00A87C3B" w:rsidRDefault="006F5266" w14:paraId="788C21EE" w14:textId="77777777">
            <w:pPr>
              <w:ind w:left="171" w:firstLine="28" w:firstLineChars="14"/>
              <w:rPr>
                <w:rFonts w:ascii="Arial" w:hAnsi="Arial" w:eastAsia="Times New Roman" w:cs="Arial"/>
                <w:sz w:val="20"/>
                <w:szCs w:val="20"/>
              </w:rPr>
            </w:pPr>
            <w:r w:rsidRPr="00EA2A25">
              <w:rPr>
                <w:rFonts w:ascii="Arial" w:hAnsi="Arial"/>
                <w:sz w:val="20"/>
              </w:rPr>
              <w:t>b. Part non utilisée des lignes engagées en faveur d’autres établissements financiers</w:t>
            </w:r>
          </w:p>
        </w:tc>
      </w:tr>
      <w:tr w:rsidRPr="00EA2A25" w:rsidR="006F5266" w:rsidTr="00A87C3B" w14:paraId="58EF1B68" w14:textId="77777777">
        <w:trPr>
          <w:trHeight w:val="300"/>
        </w:trPr>
        <w:tc>
          <w:tcPr>
            <w:tcW w:w="6804" w:type="dxa"/>
            <w:tcBorders>
              <w:left w:val="nil"/>
              <w:right w:val="nil"/>
            </w:tcBorders>
            <w:noWrap/>
            <w:hideMark/>
          </w:tcPr>
          <w:p w:rsidRPr="00EA2A25" w:rsidR="006F5266" w:rsidP="00A87C3B" w:rsidRDefault="006F5266" w14:paraId="6E6D36C3" w14:textId="77777777">
            <w:pPr>
              <w:ind w:firstLine="200" w:firstLineChars="100"/>
              <w:rPr>
                <w:rFonts w:ascii="Arial" w:hAnsi="Arial" w:eastAsia="Times New Roman" w:cs="Arial"/>
                <w:sz w:val="20"/>
                <w:szCs w:val="20"/>
              </w:rPr>
            </w:pPr>
            <w:r w:rsidRPr="00EA2A25">
              <w:rPr>
                <w:rFonts w:ascii="Arial" w:hAnsi="Arial"/>
                <w:sz w:val="20"/>
              </w:rPr>
              <w:t>c. Détention de titres émis par d’autres établissements financiers</w:t>
            </w:r>
          </w:p>
        </w:tc>
        <w:tc>
          <w:tcPr>
            <w:tcW w:w="2745" w:type="dxa"/>
            <w:tcBorders>
              <w:left w:val="nil"/>
              <w:right w:val="nil"/>
            </w:tcBorders>
            <w:noWrap/>
            <w:hideMark/>
          </w:tcPr>
          <w:p w:rsidRPr="00EA2A25" w:rsidR="006F5266" w:rsidP="00A87C3B" w:rsidRDefault="006F5266" w14:paraId="6EDABF70" w14:textId="77777777">
            <w:pPr>
              <w:ind w:firstLine="200" w:firstLineChars="100"/>
              <w:rPr>
                <w:rFonts w:ascii="Arial" w:hAnsi="Arial" w:eastAsia="Times New Roman" w:cs="Arial"/>
                <w:sz w:val="20"/>
                <w:szCs w:val="20"/>
              </w:rPr>
            </w:pPr>
            <w:r w:rsidRPr="00EA2A25">
              <w:rPr>
                <w:rFonts w:ascii="Arial" w:hAnsi="Arial"/>
                <w:sz w:val="20"/>
              </w:rPr>
              <w:t> </w:t>
            </w:r>
          </w:p>
        </w:tc>
      </w:tr>
      <w:tr w:rsidRPr="00EA2A25" w:rsidR="006F5266" w:rsidTr="00A87C3B" w14:paraId="62C0B455" w14:textId="77777777">
        <w:trPr>
          <w:trHeight w:val="300"/>
        </w:trPr>
        <w:tc>
          <w:tcPr>
            <w:tcW w:w="6804" w:type="dxa"/>
            <w:tcBorders>
              <w:left w:val="nil"/>
              <w:right w:val="nil"/>
            </w:tcBorders>
            <w:noWrap/>
            <w:hideMark/>
          </w:tcPr>
          <w:p w:rsidRPr="00EA2A25" w:rsidR="006F5266" w:rsidP="00A87C3B" w:rsidRDefault="006F5266" w14:paraId="67FB3806" w14:textId="77777777">
            <w:pPr>
              <w:ind w:firstLine="400" w:firstLineChars="200"/>
              <w:rPr>
                <w:rFonts w:ascii="Arial" w:hAnsi="Arial" w:eastAsia="Times New Roman" w:cs="Arial"/>
                <w:sz w:val="20"/>
                <w:szCs w:val="20"/>
              </w:rPr>
            </w:pPr>
            <w:r w:rsidRPr="00EA2A25">
              <w:rPr>
                <w:rFonts w:ascii="Arial" w:hAnsi="Arial"/>
                <w:sz w:val="20"/>
                <w:lang w:eastAsia="en-GB"/>
              </w:rPr>
              <w:t xml:space="preserve">(1) </w:t>
            </w:r>
            <w:r w:rsidRPr="00EA2A25">
              <w:rPr>
                <w:rFonts w:ascii="Arial" w:hAnsi="Arial"/>
                <w:sz w:val="20"/>
              </w:rPr>
              <w:t>Titres de créance garantis</w:t>
            </w:r>
          </w:p>
        </w:tc>
        <w:tc>
          <w:tcPr>
            <w:tcW w:w="2745" w:type="dxa"/>
            <w:tcBorders>
              <w:left w:val="nil"/>
              <w:right w:val="nil"/>
            </w:tcBorders>
            <w:noWrap/>
            <w:hideMark/>
          </w:tcPr>
          <w:p w:rsidRPr="00EA2A25" w:rsidR="006F5266" w:rsidP="00A87C3B" w:rsidRDefault="006F5266" w14:paraId="2BA136D1" w14:textId="77777777">
            <w:pPr>
              <w:jc w:val="right"/>
              <w:rPr>
                <w:rFonts w:ascii="Arial" w:hAnsi="Arial" w:eastAsia="Times New Roman" w:cs="Arial"/>
                <w:sz w:val="20"/>
                <w:szCs w:val="20"/>
              </w:rPr>
            </w:pPr>
            <w:r w:rsidRPr="00EA2A25">
              <w:rPr>
                <w:rFonts w:ascii="Arial" w:hAnsi="Arial"/>
                <w:sz w:val="20"/>
              </w:rPr>
              <w:t> </w:t>
            </w:r>
          </w:p>
        </w:tc>
      </w:tr>
      <w:tr w:rsidRPr="00EA2A25" w:rsidR="006F5266" w:rsidTr="00A87C3B" w14:paraId="2EDCB270" w14:textId="77777777">
        <w:trPr>
          <w:trHeight w:val="300"/>
        </w:trPr>
        <w:tc>
          <w:tcPr>
            <w:tcW w:w="6804" w:type="dxa"/>
            <w:tcBorders>
              <w:left w:val="nil"/>
              <w:right w:val="nil"/>
            </w:tcBorders>
            <w:noWrap/>
            <w:hideMark/>
          </w:tcPr>
          <w:p w:rsidRPr="00EA2A25" w:rsidR="006F5266" w:rsidP="00A87C3B" w:rsidRDefault="006F5266" w14:paraId="15D31ADD" w14:textId="77777777">
            <w:pPr>
              <w:ind w:firstLine="400" w:firstLineChars="200"/>
              <w:rPr>
                <w:rFonts w:ascii="Arial" w:hAnsi="Arial" w:eastAsia="Times New Roman" w:cs="Arial"/>
                <w:sz w:val="20"/>
                <w:szCs w:val="20"/>
              </w:rPr>
            </w:pPr>
            <w:r w:rsidRPr="00EA2A25">
              <w:rPr>
                <w:rFonts w:ascii="Arial" w:hAnsi="Arial"/>
                <w:sz w:val="20"/>
                <w:lang w:eastAsia="en-GB"/>
              </w:rPr>
              <w:t xml:space="preserve">(2) </w:t>
            </w:r>
            <w:r w:rsidRPr="00EA2A25">
              <w:rPr>
                <w:rFonts w:ascii="Arial" w:hAnsi="Arial"/>
                <w:sz w:val="20"/>
              </w:rPr>
              <w:t>Titres de créance de premier rang non garantis</w:t>
            </w:r>
          </w:p>
        </w:tc>
        <w:tc>
          <w:tcPr>
            <w:tcW w:w="2745" w:type="dxa"/>
            <w:tcBorders>
              <w:left w:val="nil"/>
              <w:right w:val="nil"/>
            </w:tcBorders>
            <w:noWrap/>
            <w:hideMark/>
          </w:tcPr>
          <w:p w:rsidRPr="00EA2A25" w:rsidR="006F5266" w:rsidP="00A87C3B" w:rsidRDefault="006F5266" w14:paraId="5EBA5F09" w14:textId="77777777">
            <w:pPr>
              <w:jc w:val="right"/>
              <w:rPr>
                <w:rFonts w:ascii="Arial" w:hAnsi="Arial" w:eastAsia="Times New Roman" w:cs="Arial"/>
                <w:sz w:val="20"/>
                <w:szCs w:val="20"/>
              </w:rPr>
            </w:pPr>
            <w:r w:rsidRPr="00EA2A25">
              <w:rPr>
                <w:rFonts w:ascii="Arial" w:hAnsi="Arial"/>
                <w:sz w:val="20"/>
              </w:rPr>
              <w:t> </w:t>
            </w:r>
          </w:p>
        </w:tc>
      </w:tr>
      <w:tr w:rsidRPr="00EA2A25" w:rsidR="006F5266" w:rsidTr="00A87C3B" w14:paraId="763B5035" w14:textId="77777777">
        <w:trPr>
          <w:trHeight w:val="300"/>
        </w:trPr>
        <w:tc>
          <w:tcPr>
            <w:tcW w:w="6804" w:type="dxa"/>
            <w:tcBorders>
              <w:left w:val="nil"/>
              <w:right w:val="nil"/>
            </w:tcBorders>
            <w:noWrap/>
            <w:hideMark/>
          </w:tcPr>
          <w:p w:rsidRPr="00EA2A25" w:rsidR="006F5266" w:rsidP="00A87C3B" w:rsidRDefault="006F5266" w14:paraId="63B6482E" w14:textId="77777777">
            <w:pPr>
              <w:ind w:firstLine="400" w:firstLineChars="200"/>
              <w:rPr>
                <w:rFonts w:ascii="Arial" w:hAnsi="Arial" w:eastAsia="Times New Roman" w:cs="Arial"/>
                <w:sz w:val="20"/>
                <w:szCs w:val="20"/>
              </w:rPr>
            </w:pPr>
            <w:r w:rsidRPr="00EA2A25">
              <w:rPr>
                <w:rFonts w:ascii="Arial" w:hAnsi="Arial"/>
                <w:sz w:val="20"/>
                <w:lang w:eastAsia="en-GB"/>
              </w:rPr>
              <w:t xml:space="preserve">(3) </w:t>
            </w:r>
            <w:r w:rsidRPr="00EA2A25">
              <w:rPr>
                <w:rFonts w:ascii="Arial" w:hAnsi="Arial"/>
                <w:sz w:val="20"/>
              </w:rPr>
              <w:t>Titres de créance subordonnés</w:t>
            </w:r>
          </w:p>
        </w:tc>
        <w:tc>
          <w:tcPr>
            <w:tcW w:w="2745" w:type="dxa"/>
            <w:tcBorders>
              <w:left w:val="nil"/>
              <w:right w:val="nil"/>
            </w:tcBorders>
            <w:noWrap/>
            <w:hideMark/>
          </w:tcPr>
          <w:p w:rsidRPr="00EA2A25" w:rsidR="006F5266" w:rsidP="00A87C3B" w:rsidRDefault="006F5266" w14:paraId="62FBF037" w14:textId="77777777">
            <w:pPr>
              <w:jc w:val="right"/>
              <w:rPr>
                <w:rFonts w:ascii="Arial" w:hAnsi="Arial" w:eastAsia="Times New Roman" w:cs="Arial"/>
                <w:sz w:val="20"/>
                <w:szCs w:val="20"/>
              </w:rPr>
            </w:pPr>
            <w:r w:rsidRPr="00EA2A25">
              <w:rPr>
                <w:rFonts w:ascii="Arial" w:hAnsi="Arial"/>
                <w:sz w:val="20"/>
              </w:rPr>
              <w:t> </w:t>
            </w:r>
          </w:p>
        </w:tc>
      </w:tr>
      <w:tr w:rsidRPr="00EA2A25" w:rsidR="006F5266" w:rsidTr="00A87C3B" w14:paraId="70F08926" w14:textId="77777777">
        <w:trPr>
          <w:trHeight w:val="300"/>
        </w:trPr>
        <w:tc>
          <w:tcPr>
            <w:tcW w:w="6804" w:type="dxa"/>
            <w:tcBorders>
              <w:left w:val="nil"/>
              <w:right w:val="nil"/>
            </w:tcBorders>
            <w:noWrap/>
            <w:hideMark/>
          </w:tcPr>
          <w:p w:rsidRPr="00EA2A25" w:rsidR="006F5266" w:rsidP="00A87C3B" w:rsidRDefault="006F5266" w14:paraId="5C81067A" w14:textId="77777777">
            <w:pPr>
              <w:ind w:firstLine="400" w:firstLineChars="200"/>
              <w:rPr>
                <w:rFonts w:ascii="Arial" w:hAnsi="Arial" w:eastAsia="Times New Roman" w:cs="Arial"/>
                <w:sz w:val="20"/>
                <w:szCs w:val="20"/>
              </w:rPr>
            </w:pPr>
            <w:r w:rsidRPr="00EA2A25">
              <w:rPr>
                <w:rFonts w:ascii="Arial" w:hAnsi="Arial"/>
                <w:sz w:val="20"/>
                <w:lang w:eastAsia="en-GB"/>
              </w:rPr>
              <w:t xml:space="preserve">(4) </w:t>
            </w:r>
            <w:r w:rsidRPr="00EA2A25">
              <w:rPr>
                <w:rFonts w:ascii="Arial" w:hAnsi="Arial"/>
                <w:sz w:val="20"/>
              </w:rPr>
              <w:t xml:space="preserve">Billet de trésorerie </w:t>
            </w:r>
          </w:p>
        </w:tc>
        <w:tc>
          <w:tcPr>
            <w:tcW w:w="2745" w:type="dxa"/>
            <w:tcBorders>
              <w:left w:val="nil"/>
              <w:right w:val="nil"/>
            </w:tcBorders>
            <w:noWrap/>
            <w:hideMark/>
          </w:tcPr>
          <w:p w:rsidRPr="00EA2A25" w:rsidR="006F5266" w:rsidP="00A87C3B" w:rsidRDefault="006F5266" w14:paraId="5CE24EA9" w14:textId="77777777">
            <w:pPr>
              <w:jc w:val="right"/>
              <w:rPr>
                <w:rFonts w:ascii="Arial" w:hAnsi="Arial" w:eastAsia="Times New Roman" w:cs="Arial"/>
                <w:sz w:val="20"/>
                <w:szCs w:val="20"/>
              </w:rPr>
            </w:pPr>
            <w:r w:rsidRPr="00EA2A25">
              <w:rPr>
                <w:rFonts w:ascii="Arial" w:hAnsi="Arial"/>
                <w:sz w:val="20"/>
              </w:rPr>
              <w:t> </w:t>
            </w:r>
          </w:p>
        </w:tc>
      </w:tr>
      <w:tr w:rsidRPr="00EA2A25" w:rsidR="006F5266" w:rsidTr="00A87C3B" w14:paraId="706A4BA9" w14:textId="77777777">
        <w:trPr>
          <w:trHeight w:val="300"/>
        </w:trPr>
        <w:tc>
          <w:tcPr>
            <w:tcW w:w="6804" w:type="dxa"/>
            <w:tcBorders>
              <w:left w:val="nil"/>
              <w:bottom w:val="single" w:color="auto" w:sz="4" w:space="0"/>
              <w:right w:val="nil"/>
            </w:tcBorders>
            <w:noWrap/>
            <w:hideMark/>
          </w:tcPr>
          <w:p w:rsidRPr="00EA2A25" w:rsidR="006F5266" w:rsidP="00A87C3B" w:rsidRDefault="006F5266" w14:paraId="56CA7C40" w14:textId="77777777">
            <w:pPr>
              <w:ind w:firstLine="400" w:firstLineChars="200"/>
              <w:rPr>
                <w:rFonts w:ascii="Arial" w:hAnsi="Arial" w:eastAsia="Times New Roman" w:cs="Arial"/>
                <w:sz w:val="20"/>
                <w:szCs w:val="20"/>
              </w:rPr>
            </w:pPr>
            <w:r w:rsidRPr="00EA2A25">
              <w:rPr>
                <w:rFonts w:ascii="Arial" w:hAnsi="Arial"/>
                <w:sz w:val="20"/>
                <w:lang w:eastAsia="en-GB"/>
              </w:rPr>
              <w:t xml:space="preserve">(5) </w:t>
            </w:r>
            <w:r w:rsidRPr="00EA2A25">
              <w:rPr>
                <w:rFonts w:ascii="Arial" w:hAnsi="Arial"/>
                <w:sz w:val="20"/>
              </w:rPr>
              <w:t>Actions</w:t>
            </w:r>
          </w:p>
        </w:tc>
        <w:tc>
          <w:tcPr>
            <w:tcW w:w="2745" w:type="dxa"/>
            <w:tcBorders>
              <w:left w:val="nil"/>
              <w:right w:val="nil"/>
            </w:tcBorders>
            <w:noWrap/>
            <w:hideMark/>
          </w:tcPr>
          <w:p w:rsidRPr="00EA2A25" w:rsidR="006F5266" w:rsidP="00A87C3B" w:rsidRDefault="006F5266" w14:paraId="310D906C" w14:textId="77777777">
            <w:pPr>
              <w:jc w:val="right"/>
              <w:rPr>
                <w:rFonts w:ascii="Arial" w:hAnsi="Arial" w:eastAsia="Times New Roman" w:cs="Arial"/>
                <w:sz w:val="20"/>
                <w:szCs w:val="20"/>
              </w:rPr>
            </w:pPr>
            <w:r w:rsidRPr="00EA2A25">
              <w:rPr>
                <w:rFonts w:ascii="Arial" w:hAnsi="Arial"/>
                <w:sz w:val="20"/>
              </w:rPr>
              <w:t> </w:t>
            </w:r>
          </w:p>
        </w:tc>
      </w:tr>
      <w:tr w:rsidRPr="00EA2A25" w:rsidR="006F5266" w:rsidTr="00A87C3B" w14:paraId="1E279C8D" w14:textId="77777777">
        <w:trPr>
          <w:trHeight w:val="300"/>
        </w:trPr>
        <w:tc>
          <w:tcPr>
            <w:tcW w:w="6804" w:type="dxa"/>
            <w:tcBorders>
              <w:left w:val="nil"/>
              <w:bottom w:val="single" w:color="auto" w:sz="4" w:space="0"/>
              <w:right w:val="nil"/>
            </w:tcBorders>
            <w:noWrap/>
          </w:tcPr>
          <w:p w:rsidRPr="00EA2A25" w:rsidR="006F5266" w:rsidP="00A87C3B" w:rsidRDefault="006F5266" w14:paraId="38E576B9" w14:textId="77777777">
            <w:pPr>
              <w:ind w:left="313" w:firstLine="86" w:firstLineChars="43"/>
              <w:rPr>
                <w:rFonts w:ascii="Arial" w:hAnsi="Arial" w:eastAsia="Times New Roman" w:cs="Arial"/>
                <w:sz w:val="20"/>
                <w:szCs w:val="20"/>
              </w:rPr>
            </w:pPr>
            <w:r w:rsidRPr="00EA2A25">
              <w:rPr>
                <w:rFonts w:ascii="Arial" w:hAnsi="Arial"/>
                <w:sz w:val="20"/>
                <w:lang w:eastAsia="en-GB"/>
              </w:rPr>
              <w:t xml:space="preserve">(6) </w:t>
            </w:r>
            <w:r w:rsidRPr="00EA2A25">
              <w:rPr>
                <w:rFonts w:ascii="Arial" w:hAnsi="Arial"/>
                <w:sz w:val="20"/>
              </w:rPr>
              <w:t>Positions courtes compensatoires liées aux détentions d’actions spécifiques incluses dans l’élément 3.c.(5)</w:t>
            </w:r>
          </w:p>
        </w:tc>
        <w:tc>
          <w:tcPr>
            <w:tcW w:w="2745" w:type="dxa"/>
            <w:tcBorders>
              <w:left w:val="nil"/>
              <w:right w:val="nil"/>
            </w:tcBorders>
            <w:noWrap/>
          </w:tcPr>
          <w:p w:rsidRPr="00EA2A25" w:rsidR="006F5266" w:rsidP="00A87C3B" w:rsidRDefault="006F5266" w14:paraId="56087970" w14:textId="77777777">
            <w:pPr>
              <w:jc w:val="right"/>
              <w:rPr>
                <w:rFonts w:ascii="Arial" w:hAnsi="Arial" w:eastAsia="Times New Roman" w:cs="Arial"/>
                <w:sz w:val="20"/>
                <w:szCs w:val="20"/>
                <w:lang w:eastAsia="en-GB"/>
              </w:rPr>
            </w:pPr>
          </w:p>
        </w:tc>
      </w:tr>
      <w:tr w:rsidRPr="00EA2A25" w:rsidR="006F5266" w:rsidTr="00A87C3B" w14:paraId="7092A6D2" w14:textId="77777777">
        <w:trPr>
          <w:trHeight w:val="300"/>
        </w:trPr>
        <w:tc>
          <w:tcPr>
            <w:tcW w:w="6804" w:type="dxa"/>
            <w:tcBorders>
              <w:left w:val="nil"/>
              <w:bottom w:val="single" w:color="auto" w:sz="4" w:space="0"/>
              <w:right w:val="nil"/>
            </w:tcBorders>
            <w:noWrap/>
          </w:tcPr>
          <w:p w:rsidRPr="00EA2A25" w:rsidR="006F5266" w:rsidP="00A87C3B" w:rsidRDefault="006F5266" w14:paraId="70AD7F0C" w14:textId="77777777">
            <w:pPr>
              <w:ind w:firstLine="171"/>
              <w:rPr>
                <w:rFonts w:ascii="Arial" w:hAnsi="Arial" w:eastAsia="Times New Roman" w:cs="Arial"/>
                <w:sz w:val="20"/>
                <w:szCs w:val="20"/>
              </w:rPr>
            </w:pPr>
            <w:r w:rsidRPr="00EA2A25">
              <w:rPr>
                <w:rFonts w:ascii="Arial" w:hAnsi="Arial"/>
                <w:sz w:val="20"/>
              </w:rPr>
              <w:t>d. Exposition courante positive nette d’opérations de financement sur titres avec d’autres établissements financiers</w:t>
            </w:r>
          </w:p>
        </w:tc>
        <w:tc>
          <w:tcPr>
            <w:tcW w:w="2745" w:type="dxa"/>
            <w:tcBorders>
              <w:left w:val="nil"/>
              <w:right w:val="nil"/>
            </w:tcBorders>
            <w:noWrap/>
          </w:tcPr>
          <w:p w:rsidRPr="00EA2A25" w:rsidR="006F5266" w:rsidP="00A87C3B" w:rsidRDefault="006F5266" w14:paraId="4AEFE78B" w14:textId="77777777">
            <w:pPr>
              <w:jc w:val="right"/>
              <w:rPr>
                <w:rFonts w:ascii="Arial" w:hAnsi="Arial" w:eastAsia="Times New Roman" w:cs="Arial"/>
                <w:sz w:val="20"/>
                <w:szCs w:val="20"/>
                <w:lang w:eastAsia="en-GB"/>
              </w:rPr>
            </w:pPr>
          </w:p>
        </w:tc>
      </w:tr>
      <w:tr w:rsidRPr="00EA2A25" w:rsidR="006F5266" w:rsidTr="00A87C3B" w14:paraId="4C658E85" w14:textId="77777777">
        <w:trPr>
          <w:trHeight w:val="300"/>
        </w:trPr>
        <w:tc>
          <w:tcPr>
            <w:tcW w:w="6804" w:type="dxa"/>
            <w:tcBorders>
              <w:left w:val="nil"/>
              <w:bottom w:val="single" w:color="auto" w:sz="4" w:space="0"/>
              <w:right w:val="nil"/>
            </w:tcBorders>
            <w:noWrap/>
          </w:tcPr>
          <w:p w:rsidRPr="00EA2A25" w:rsidR="006F5266" w:rsidP="00A87C3B" w:rsidRDefault="006F5266" w14:paraId="4516B2A3" w14:textId="77777777">
            <w:pPr>
              <w:ind w:left="171"/>
              <w:rPr>
                <w:rFonts w:ascii="Arial" w:hAnsi="Arial" w:eastAsia="Times New Roman" w:cs="Arial"/>
                <w:sz w:val="20"/>
                <w:szCs w:val="20"/>
              </w:rPr>
            </w:pPr>
            <w:r w:rsidRPr="00EA2A25">
              <w:rPr>
                <w:rFonts w:ascii="Arial" w:hAnsi="Arial"/>
                <w:sz w:val="20"/>
              </w:rPr>
              <w:t>e. Contrats dérivés de gré à gré avec d’autres établissements financiers ayant une juste valeur nette positive:</w:t>
            </w:r>
          </w:p>
        </w:tc>
        <w:tc>
          <w:tcPr>
            <w:tcW w:w="2745" w:type="dxa"/>
            <w:tcBorders>
              <w:left w:val="nil"/>
              <w:right w:val="nil"/>
            </w:tcBorders>
            <w:noWrap/>
          </w:tcPr>
          <w:p w:rsidRPr="00EA2A25" w:rsidR="006F5266" w:rsidP="00A87C3B" w:rsidRDefault="006F5266" w14:paraId="12CFE3DF" w14:textId="77777777">
            <w:pPr>
              <w:jc w:val="right"/>
              <w:rPr>
                <w:rFonts w:ascii="Arial" w:hAnsi="Arial" w:eastAsia="Times New Roman" w:cs="Arial"/>
                <w:sz w:val="20"/>
                <w:szCs w:val="20"/>
                <w:lang w:eastAsia="en-GB"/>
              </w:rPr>
            </w:pPr>
          </w:p>
        </w:tc>
      </w:tr>
      <w:tr w:rsidRPr="00EA2A25" w:rsidR="006F5266" w:rsidTr="00A87C3B" w14:paraId="1040AC30" w14:textId="77777777">
        <w:trPr>
          <w:trHeight w:val="300"/>
        </w:trPr>
        <w:tc>
          <w:tcPr>
            <w:tcW w:w="6804" w:type="dxa"/>
            <w:tcBorders>
              <w:left w:val="nil"/>
              <w:bottom w:val="single" w:color="auto" w:sz="4" w:space="0"/>
              <w:right w:val="nil"/>
            </w:tcBorders>
            <w:noWrap/>
          </w:tcPr>
          <w:p w:rsidRPr="00EA2A25" w:rsidR="006F5266" w:rsidP="00A87C3B" w:rsidRDefault="006F5266" w14:paraId="6F195A1B" w14:textId="77777777">
            <w:pPr>
              <w:ind w:left="313" w:firstLine="86" w:firstLineChars="43"/>
              <w:rPr>
                <w:rFonts w:ascii="Arial" w:hAnsi="Arial" w:eastAsia="Times New Roman" w:cs="Arial"/>
                <w:sz w:val="20"/>
                <w:szCs w:val="20"/>
              </w:rPr>
            </w:pPr>
            <w:r w:rsidRPr="00EA2A25">
              <w:rPr>
                <w:rFonts w:ascii="Arial" w:hAnsi="Arial"/>
                <w:sz w:val="20"/>
                <w:lang w:eastAsia="en-GB"/>
              </w:rPr>
              <w:t xml:space="preserve">(1) </w:t>
            </w:r>
            <w:r w:rsidRPr="00EA2A25">
              <w:rPr>
                <w:rFonts w:ascii="Arial" w:hAnsi="Arial"/>
                <w:sz w:val="20"/>
              </w:rPr>
              <w:t>Juste valeur nette positive</w:t>
            </w:r>
          </w:p>
        </w:tc>
        <w:tc>
          <w:tcPr>
            <w:tcW w:w="2745" w:type="dxa"/>
            <w:tcBorders>
              <w:left w:val="nil"/>
              <w:right w:val="nil"/>
            </w:tcBorders>
            <w:noWrap/>
          </w:tcPr>
          <w:p w:rsidRPr="00EA2A25" w:rsidR="006F5266" w:rsidP="00A87C3B" w:rsidRDefault="006F5266" w14:paraId="3AA2BD30" w14:textId="77777777">
            <w:pPr>
              <w:jc w:val="right"/>
              <w:rPr>
                <w:rFonts w:ascii="Arial" w:hAnsi="Arial" w:eastAsia="Times New Roman" w:cs="Arial"/>
                <w:sz w:val="20"/>
                <w:szCs w:val="20"/>
                <w:lang w:eastAsia="en-GB"/>
              </w:rPr>
            </w:pPr>
          </w:p>
        </w:tc>
      </w:tr>
      <w:tr w:rsidRPr="00EA2A25" w:rsidR="006F5266" w:rsidTr="00A87C3B" w14:paraId="3A9B6317" w14:textId="77777777">
        <w:trPr>
          <w:trHeight w:val="300"/>
        </w:trPr>
        <w:tc>
          <w:tcPr>
            <w:tcW w:w="6804" w:type="dxa"/>
            <w:tcBorders>
              <w:left w:val="nil"/>
              <w:bottom w:val="single" w:color="auto" w:sz="4" w:space="0"/>
              <w:right w:val="nil"/>
            </w:tcBorders>
            <w:noWrap/>
          </w:tcPr>
          <w:p w:rsidRPr="00EA2A25" w:rsidR="006F5266" w:rsidP="00A87C3B" w:rsidRDefault="006F5266" w14:paraId="1C1A676F" w14:textId="77777777">
            <w:pPr>
              <w:ind w:left="313" w:firstLine="86" w:firstLineChars="43"/>
              <w:rPr>
                <w:rFonts w:ascii="Arial" w:hAnsi="Arial" w:eastAsia="Times New Roman" w:cs="Arial"/>
                <w:sz w:val="20"/>
                <w:szCs w:val="20"/>
              </w:rPr>
            </w:pPr>
            <w:r w:rsidRPr="00EA2A25">
              <w:rPr>
                <w:rFonts w:ascii="Arial" w:hAnsi="Arial"/>
                <w:sz w:val="20"/>
                <w:lang w:eastAsia="en-GB"/>
              </w:rPr>
              <w:t xml:space="preserve">(2) </w:t>
            </w:r>
            <w:r w:rsidRPr="00EA2A25">
              <w:rPr>
                <w:rFonts w:ascii="Arial" w:hAnsi="Arial"/>
                <w:sz w:val="20"/>
              </w:rPr>
              <w:t>Exposition potentielle future</w:t>
            </w:r>
          </w:p>
        </w:tc>
        <w:tc>
          <w:tcPr>
            <w:tcW w:w="2745" w:type="dxa"/>
            <w:tcBorders>
              <w:left w:val="nil"/>
              <w:right w:val="nil"/>
            </w:tcBorders>
            <w:noWrap/>
          </w:tcPr>
          <w:p w:rsidRPr="00EA2A25" w:rsidR="006F5266" w:rsidP="00A87C3B" w:rsidRDefault="006F5266" w14:paraId="3BFED76E" w14:textId="77777777">
            <w:pPr>
              <w:jc w:val="right"/>
              <w:rPr>
                <w:rFonts w:ascii="Arial" w:hAnsi="Arial" w:eastAsia="Times New Roman" w:cs="Arial"/>
                <w:sz w:val="20"/>
                <w:szCs w:val="20"/>
                <w:lang w:eastAsia="en-GB"/>
              </w:rPr>
            </w:pPr>
          </w:p>
        </w:tc>
      </w:tr>
      <w:tr w:rsidRPr="00EA2A25" w:rsidR="006F5266" w:rsidTr="00A87C3B" w14:paraId="71C4C4D6" w14:textId="77777777">
        <w:trPr>
          <w:gridAfter w:val="1"/>
          <w:wAfter w:w="2745" w:type="dxa"/>
          <w:trHeight w:val="450"/>
        </w:trPr>
        <w:tc>
          <w:tcPr>
            <w:tcW w:w="6804" w:type="dxa"/>
            <w:vMerge w:val="restart"/>
            <w:tcBorders>
              <w:left w:val="nil"/>
              <w:right w:val="nil"/>
            </w:tcBorders>
            <w:hideMark/>
          </w:tcPr>
          <w:p w:rsidRPr="00EA2A25" w:rsidR="006F5266" w:rsidP="00A87C3B" w:rsidRDefault="006F5266" w14:paraId="763531CF" w14:textId="77777777">
            <w:pPr>
              <w:ind w:left="171" w:firstLine="28" w:firstLineChars="14"/>
              <w:rPr>
                <w:rFonts w:ascii="Arial" w:hAnsi="Arial" w:eastAsia="Times New Roman" w:cs="Arial"/>
                <w:sz w:val="20"/>
                <w:szCs w:val="20"/>
              </w:rPr>
            </w:pPr>
            <w:r w:rsidRPr="00EA2A25">
              <w:rPr>
                <w:rFonts w:ascii="Arial" w:hAnsi="Arial"/>
                <w:sz w:val="20"/>
              </w:rPr>
              <w:t>f. Indicateur d’actifs au sein du système financier, y compris les filiales d’assurance [somme des éléments 3.a., 3.b. jusqu’à 3.c.(5), 3.d., 3.e.(1) et 3.e.(2), moins 3.c.(6)]</w:t>
            </w:r>
          </w:p>
        </w:tc>
      </w:tr>
      <w:tr w:rsidRPr="00EA2A25" w:rsidR="006F5266" w:rsidTr="00A87C3B" w14:paraId="7EC9AC59" w14:textId="77777777">
        <w:trPr>
          <w:gridAfter w:val="1"/>
          <w:wAfter w:w="2745" w:type="dxa"/>
          <w:trHeight w:val="450"/>
        </w:trPr>
        <w:tc>
          <w:tcPr>
            <w:tcW w:w="6804" w:type="dxa"/>
            <w:vMerge/>
            <w:tcBorders>
              <w:left w:val="nil"/>
              <w:right w:val="nil"/>
            </w:tcBorders>
            <w:hideMark/>
          </w:tcPr>
          <w:p w:rsidRPr="00EA2A25" w:rsidR="006F5266" w:rsidP="00A87C3B" w:rsidRDefault="006F5266" w14:paraId="24C042A6" w14:textId="77777777">
            <w:pPr>
              <w:rPr>
                <w:rFonts w:ascii="Arial" w:hAnsi="Arial" w:eastAsia="Times New Roman" w:cs="Arial"/>
                <w:sz w:val="20"/>
                <w:szCs w:val="20"/>
                <w:lang w:eastAsia="en-GB"/>
              </w:rPr>
            </w:pPr>
          </w:p>
        </w:tc>
      </w:tr>
      <w:tr w:rsidRPr="00EA2A25" w:rsidR="006F5266" w:rsidTr="00A87C3B" w14:paraId="445ED2FA" w14:textId="77777777">
        <w:trPr>
          <w:trHeight w:val="300"/>
        </w:trPr>
        <w:tc>
          <w:tcPr>
            <w:tcW w:w="6804" w:type="dxa"/>
            <w:tcBorders>
              <w:left w:val="nil"/>
              <w:bottom w:val="nil"/>
              <w:right w:val="nil"/>
            </w:tcBorders>
            <w:noWrap/>
          </w:tcPr>
          <w:p w:rsidRPr="00EA2A25" w:rsidR="006F5266" w:rsidP="00A87C3B" w:rsidRDefault="006F5266" w14:paraId="19E5CE91"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EA2A25" w:rsidR="006F5266" w:rsidP="00A87C3B" w:rsidRDefault="006F5266" w14:paraId="20324A73" w14:textId="77777777">
            <w:pPr>
              <w:jc w:val="center"/>
              <w:rPr>
                <w:rFonts w:ascii="Arial" w:hAnsi="Arial" w:eastAsia="Times New Roman" w:cs="Arial"/>
                <w:b/>
                <w:bCs/>
                <w:sz w:val="20"/>
                <w:szCs w:val="20"/>
                <w:lang w:eastAsia="en-GB"/>
              </w:rPr>
            </w:pPr>
          </w:p>
        </w:tc>
      </w:tr>
      <w:tr w:rsidRPr="00EA2A25" w:rsidR="006F5266" w:rsidTr="00A87C3B" w14:paraId="0FF04E89" w14:textId="77777777">
        <w:trPr>
          <w:trHeight w:val="300"/>
        </w:trPr>
        <w:tc>
          <w:tcPr>
            <w:tcW w:w="6804" w:type="dxa"/>
            <w:tcBorders>
              <w:top w:val="nil"/>
              <w:left w:val="nil"/>
              <w:bottom w:val="single" w:color="auto" w:sz="4" w:space="0"/>
              <w:right w:val="nil"/>
            </w:tcBorders>
            <w:noWrap/>
            <w:hideMark/>
          </w:tcPr>
          <w:p w:rsidRPr="00EA2A25" w:rsidR="006F5266" w:rsidP="00A87C3B" w:rsidRDefault="006F5266" w14:paraId="04D09951" w14:textId="77777777">
            <w:pPr>
              <w:rPr>
                <w:rFonts w:ascii="Arial" w:hAnsi="Arial" w:eastAsia="Times New Roman" w:cs="Arial"/>
                <w:b/>
                <w:bCs/>
                <w:sz w:val="20"/>
                <w:szCs w:val="20"/>
              </w:rPr>
            </w:pPr>
            <w:r w:rsidRPr="00EA2A25">
              <w:rPr>
                <w:rFonts w:ascii="Arial" w:hAnsi="Arial"/>
                <w:b/>
                <w:sz w:val="20"/>
              </w:rPr>
              <w:t>Section 4 - Passifs au sein du système financier</w:t>
            </w:r>
          </w:p>
        </w:tc>
        <w:tc>
          <w:tcPr>
            <w:tcW w:w="2745" w:type="dxa"/>
            <w:tcBorders>
              <w:top w:val="nil"/>
              <w:left w:val="nil"/>
              <w:right w:val="nil"/>
            </w:tcBorders>
            <w:hideMark/>
          </w:tcPr>
          <w:p w:rsidRPr="00EA2A25" w:rsidR="006F5266" w:rsidP="00A87C3B" w:rsidRDefault="006F5266" w14:paraId="51965965" w14:textId="77777777">
            <w:pPr>
              <w:jc w:val="center"/>
              <w:rPr>
                <w:rFonts w:ascii="Arial" w:hAnsi="Arial" w:eastAsia="Times New Roman" w:cs="Arial"/>
                <w:b/>
                <w:bCs/>
                <w:sz w:val="20"/>
                <w:szCs w:val="20"/>
              </w:rPr>
            </w:pPr>
            <w:r w:rsidRPr="00EA2A25">
              <w:rPr>
                <w:rFonts w:ascii="Arial" w:hAnsi="Arial"/>
                <w:b/>
                <w:sz w:val="20"/>
              </w:rPr>
              <w:t>Montant</w:t>
            </w:r>
          </w:p>
        </w:tc>
      </w:tr>
      <w:tr w:rsidRPr="00EA2A25" w:rsidR="006F5266" w:rsidTr="00A87C3B" w14:paraId="072D6D08" w14:textId="77777777">
        <w:trPr>
          <w:gridAfter w:val="1"/>
          <w:wAfter w:w="2745" w:type="dxa"/>
          <w:trHeight w:val="300"/>
        </w:trPr>
        <w:tc>
          <w:tcPr>
            <w:tcW w:w="6804" w:type="dxa"/>
            <w:tcBorders>
              <w:left w:val="nil"/>
              <w:right w:val="nil"/>
            </w:tcBorders>
            <w:noWrap/>
            <w:hideMark/>
          </w:tcPr>
          <w:p w:rsidRPr="00EA2A25" w:rsidR="006F5266" w:rsidP="00A87C3B" w:rsidRDefault="006F5266" w14:paraId="1101A541" w14:textId="77777777">
            <w:pPr>
              <w:ind w:left="171" w:firstLine="28" w:firstLineChars="14"/>
              <w:rPr>
                <w:rFonts w:ascii="Arial" w:hAnsi="Arial" w:eastAsia="Times New Roman" w:cs="Arial"/>
                <w:sz w:val="20"/>
                <w:szCs w:val="20"/>
              </w:rPr>
            </w:pPr>
            <w:r w:rsidRPr="00EA2A25">
              <w:rPr>
                <w:rFonts w:ascii="Arial" w:hAnsi="Arial"/>
                <w:sz w:val="20"/>
              </w:rPr>
              <w:t>a. Fonds déposés par des établissements financiers ou empruntés par d’autres</w:t>
            </w:r>
          </w:p>
        </w:tc>
      </w:tr>
      <w:tr w:rsidRPr="00EA2A25" w:rsidR="006F5266" w:rsidTr="00A87C3B" w14:paraId="3D2CDBBB" w14:textId="77777777">
        <w:trPr>
          <w:trHeight w:val="300"/>
        </w:trPr>
        <w:tc>
          <w:tcPr>
            <w:tcW w:w="6804" w:type="dxa"/>
            <w:tcBorders>
              <w:left w:val="nil"/>
              <w:right w:val="nil"/>
            </w:tcBorders>
            <w:noWrap/>
            <w:hideMark/>
          </w:tcPr>
          <w:p w:rsidRPr="00EA2A25" w:rsidR="006F5266" w:rsidP="00A87C3B" w:rsidRDefault="006F5266" w14:paraId="74BC8B25" w14:textId="77777777">
            <w:pPr>
              <w:ind w:firstLine="400" w:firstLineChars="200"/>
              <w:rPr>
                <w:rFonts w:ascii="Arial" w:hAnsi="Arial" w:eastAsia="Times New Roman" w:cs="Arial"/>
                <w:sz w:val="20"/>
                <w:szCs w:val="20"/>
              </w:rPr>
            </w:pPr>
            <w:r w:rsidRPr="00EA2A25">
              <w:rPr>
                <w:rFonts w:ascii="Arial" w:hAnsi="Arial"/>
                <w:sz w:val="20"/>
                <w:lang w:eastAsia="en-GB"/>
              </w:rPr>
              <w:t xml:space="preserve">(1) </w:t>
            </w:r>
            <w:r w:rsidRPr="00EA2A25">
              <w:rPr>
                <w:rFonts w:ascii="Arial" w:hAnsi="Arial"/>
                <w:sz w:val="20"/>
              </w:rPr>
              <w:t>Dépôts dus à des établissements de dépôt</w:t>
            </w:r>
          </w:p>
        </w:tc>
        <w:tc>
          <w:tcPr>
            <w:tcW w:w="2745" w:type="dxa"/>
            <w:tcBorders>
              <w:left w:val="nil"/>
              <w:right w:val="nil"/>
            </w:tcBorders>
            <w:noWrap/>
            <w:hideMark/>
          </w:tcPr>
          <w:p w:rsidRPr="00EA2A25" w:rsidR="006F5266" w:rsidP="00A87C3B" w:rsidRDefault="006F5266" w14:paraId="0032EFF9" w14:textId="77777777">
            <w:pPr>
              <w:jc w:val="right"/>
              <w:rPr>
                <w:rFonts w:ascii="Arial" w:hAnsi="Arial" w:eastAsia="Times New Roman" w:cs="Arial"/>
                <w:sz w:val="20"/>
                <w:szCs w:val="20"/>
              </w:rPr>
            </w:pPr>
            <w:r w:rsidRPr="00EA2A25">
              <w:rPr>
                <w:rFonts w:ascii="Arial" w:hAnsi="Arial"/>
                <w:sz w:val="20"/>
              </w:rPr>
              <w:t> </w:t>
            </w:r>
          </w:p>
        </w:tc>
      </w:tr>
      <w:tr w:rsidRPr="00EA2A25" w:rsidR="006F5266" w:rsidTr="00A87C3B" w14:paraId="40311A7D" w14:textId="77777777">
        <w:trPr>
          <w:trHeight w:val="300"/>
        </w:trPr>
        <w:tc>
          <w:tcPr>
            <w:tcW w:w="6804" w:type="dxa"/>
            <w:tcBorders>
              <w:left w:val="nil"/>
              <w:right w:val="nil"/>
            </w:tcBorders>
            <w:noWrap/>
            <w:hideMark/>
          </w:tcPr>
          <w:p w:rsidRPr="00EA2A25" w:rsidR="006F5266" w:rsidP="00A87C3B" w:rsidRDefault="006F5266" w14:paraId="7CF65838" w14:textId="77777777">
            <w:pPr>
              <w:ind w:firstLine="400" w:firstLineChars="200"/>
              <w:rPr>
                <w:rFonts w:ascii="Arial" w:hAnsi="Arial" w:eastAsia="Times New Roman" w:cs="Arial"/>
                <w:sz w:val="20"/>
                <w:szCs w:val="20"/>
              </w:rPr>
            </w:pPr>
            <w:r w:rsidRPr="00EA2A25">
              <w:rPr>
                <w:rFonts w:ascii="Arial" w:hAnsi="Arial"/>
                <w:sz w:val="20"/>
                <w:lang w:eastAsia="en-GB"/>
              </w:rPr>
              <w:t xml:space="preserve">(2) </w:t>
            </w:r>
            <w:r w:rsidRPr="00EA2A25">
              <w:rPr>
                <w:rFonts w:ascii="Arial" w:hAnsi="Arial"/>
                <w:sz w:val="20"/>
              </w:rPr>
              <w:t>Dépôts dus à des établissements financiers autres que de dépôt</w:t>
            </w:r>
          </w:p>
        </w:tc>
        <w:tc>
          <w:tcPr>
            <w:tcW w:w="2745" w:type="dxa"/>
            <w:tcBorders>
              <w:left w:val="nil"/>
              <w:right w:val="nil"/>
            </w:tcBorders>
            <w:noWrap/>
            <w:hideMark/>
          </w:tcPr>
          <w:p w:rsidRPr="00EA2A25" w:rsidR="006F5266" w:rsidP="00A87C3B" w:rsidRDefault="006F5266" w14:paraId="11A348EB" w14:textId="77777777">
            <w:pPr>
              <w:jc w:val="right"/>
              <w:rPr>
                <w:rFonts w:ascii="Arial" w:hAnsi="Arial" w:eastAsia="Times New Roman" w:cs="Arial"/>
                <w:sz w:val="20"/>
                <w:szCs w:val="20"/>
              </w:rPr>
            </w:pPr>
            <w:r w:rsidRPr="00EA2A25">
              <w:rPr>
                <w:rFonts w:ascii="Arial" w:hAnsi="Arial"/>
                <w:sz w:val="20"/>
              </w:rPr>
              <w:t> </w:t>
            </w:r>
          </w:p>
        </w:tc>
      </w:tr>
      <w:tr w:rsidRPr="00EA2A25" w:rsidR="006F5266" w:rsidTr="00A87C3B" w14:paraId="731F1685" w14:textId="77777777">
        <w:trPr>
          <w:trHeight w:val="300"/>
        </w:trPr>
        <w:tc>
          <w:tcPr>
            <w:tcW w:w="6804" w:type="dxa"/>
            <w:tcBorders>
              <w:left w:val="nil"/>
              <w:right w:val="nil"/>
            </w:tcBorders>
            <w:noWrap/>
            <w:hideMark/>
          </w:tcPr>
          <w:p w:rsidRPr="00EA2A25" w:rsidR="006F5266" w:rsidP="00A87C3B" w:rsidRDefault="006F5266" w14:paraId="36D21350" w14:textId="77777777">
            <w:pPr>
              <w:ind w:firstLine="400" w:firstLineChars="200"/>
              <w:rPr>
                <w:rFonts w:ascii="Arial" w:hAnsi="Arial" w:eastAsia="Times New Roman" w:cs="Arial"/>
                <w:sz w:val="20"/>
                <w:szCs w:val="20"/>
              </w:rPr>
            </w:pPr>
            <w:r w:rsidRPr="00EA2A25">
              <w:rPr>
                <w:rFonts w:ascii="Arial" w:hAnsi="Arial"/>
                <w:sz w:val="20"/>
                <w:lang w:eastAsia="en-GB"/>
              </w:rPr>
              <w:t xml:space="preserve">(3) </w:t>
            </w:r>
            <w:r w:rsidRPr="00EA2A25">
              <w:rPr>
                <w:rFonts w:ascii="Arial" w:hAnsi="Arial"/>
                <w:sz w:val="20"/>
              </w:rPr>
              <w:t>Prêts obtenus auprès d’autres établissements financiers</w:t>
            </w:r>
          </w:p>
        </w:tc>
        <w:tc>
          <w:tcPr>
            <w:tcW w:w="2745" w:type="dxa"/>
            <w:tcBorders>
              <w:left w:val="nil"/>
              <w:right w:val="nil"/>
            </w:tcBorders>
            <w:noWrap/>
            <w:hideMark/>
          </w:tcPr>
          <w:p w:rsidRPr="00EA2A25" w:rsidR="006F5266" w:rsidP="00A87C3B" w:rsidRDefault="006F5266" w14:paraId="343BBF1A" w14:textId="77777777">
            <w:pPr>
              <w:jc w:val="right"/>
              <w:rPr>
                <w:rFonts w:ascii="Arial" w:hAnsi="Arial" w:eastAsia="Times New Roman" w:cs="Arial"/>
                <w:sz w:val="20"/>
                <w:szCs w:val="20"/>
              </w:rPr>
            </w:pPr>
            <w:r w:rsidRPr="00EA2A25">
              <w:rPr>
                <w:rFonts w:ascii="Arial" w:hAnsi="Arial"/>
                <w:sz w:val="20"/>
              </w:rPr>
              <w:t> </w:t>
            </w:r>
          </w:p>
        </w:tc>
      </w:tr>
      <w:tr w:rsidRPr="00EA2A25" w:rsidR="006F5266" w:rsidTr="00A87C3B" w14:paraId="10F29F11" w14:textId="77777777">
        <w:trPr>
          <w:trHeight w:val="300"/>
        </w:trPr>
        <w:tc>
          <w:tcPr>
            <w:tcW w:w="6804" w:type="dxa"/>
            <w:tcBorders>
              <w:left w:val="nil"/>
              <w:right w:val="nil"/>
            </w:tcBorders>
            <w:noWrap/>
          </w:tcPr>
          <w:p w:rsidRPr="00EA2A25" w:rsidR="006F5266" w:rsidP="00A87C3B" w:rsidRDefault="006F5266" w14:paraId="0AAFD080" w14:textId="77777777">
            <w:pPr>
              <w:ind w:left="171"/>
              <w:rPr>
                <w:rFonts w:ascii="Arial" w:hAnsi="Arial" w:eastAsia="Times New Roman" w:cs="Arial"/>
                <w:sz w:val="20"/>
                <w:szCs w:val="20"/>
              </w:rPr>
            </w:pPr>
            <w:r w:rsidRPr="00EA2A25">
              <w:rPr>
                <w:rFonts w:ascii="Arial" w:hAnsi="Arial"/>
                <w:sz w:val="20"/>
              </w:rPr>
              <w:t>b. Part non utilisée des lignes engagées obtenues auprès d’autres établissements financiers</w:t>
            </w:r>
          </w:p>
        </w:tc>
        <w:tc>
          <w:tcPr>
            <w:tcW w:w="2745" w:type="dxa"/>
            <w:tcBorders>
              <w:left w:val="nil"/>
              <w:right w:val="nil"/>
            </w:tcBorders>
            <w:noWrap/>
          </w:tcPr>
          <w:p w:rsidRPr="00EA2A25" w:rsidR="006F5266" w:rsidP="00A87C3B" w:rsidRDefault="006F5266" w14:paraId="15DE6C6F" w14:textId="77777777">
            <w:pPr>
              <w:jc w:val="right"/>
              <w:rPr>
                <w:rFonts w:ascii="Arial" w:hAnsi="Arial" w:eastAsia="Times New Roman" w:cs="Arial"/>
                <w:sz w:val="20"/>
                <w:szCs w:val="20"/>
                <w:lang w:eastAsia="en-GB"/>
              </w:rPr>
            </w:pPr>
          </w:p>
        </w:tc>
      </w:tr>
      <w:tr w:rsidRPr="00EA2A25" w:rsidR="006F5266" w:rsidTr="00A87C3B" w14:paraId="3C8CB07F" w14:textId="77777777">
        <w:trPr>
          <w:trHeight w:val="300"/>
        </w:trPr>
        <w:tc>
          <w:tcPr>
            <w:tcW w:w="6804" w:type="dxa"/>
            <w:tcBorders>
              <w:left w:val="nil"/>
              <w:right w:val="nil"/>
            </w:tcBorders>
            <w:noWrap/>
          </w:tcPr>
          <w:p w:rsidRPr="00EA2A25" w:rsidR="006F5266" w:rsidP="00A87C3B" w:rsidRDefault="006F5266" w14:paraId="46CD0041" w14:textId="77777777">
            <w:pPr>
              <w:ind w:left="171"/>
              <w:rPr>
                <w:rFonts w:ascii="Arial" w:hAnsi="Arial" w:eastAsia="Times New Roman" w:cs="Arial"/>
                <w:sz w:val="20"/>
                <w:szCs w:val="20"/>
              </w:rPr>
            </w:pPr>
            <w:r w:rsidRPr="00EA2A25">
              <w:rPr>
                <w:rFonts w:ascii="Arial" w:hAnsi="Arial"/>
                <w:sz w:val="20"/>
              </w:rPr>
              <w:lastRenderedPageBreak/>
              <w:t>c. Exposition courante négative nette d’opérations de financement sur titres avec d’autres établissements financiers</w:t>
            </w:r>
          </w:p>
        </w:tc>
        <w:tc>
          <w:tcPr>
            <w:tcW w:w="2745" w:type="dxa"/>
            <w:tcBorders>
              <w:left w:val="nil"/>
              <w:right w:val="nil"/>
            </w:tcBorders>
            <w:noWrap/>
          </w:tcPr>
          <w:p w:rsidRPr="00EA2A25" w:rsidR="006F5266" w:rsidP="00A87C3B" w:rsidRDefault="006F5266" w14:paraId="418F967A" w14:textId="77777777">
            <w:pPr>
              <w:jc w:val="right"/>
              <w:rPr>
                <w:rFonts w:ascii="Arial" w:hAnsi="Arial" w:eastAsia="Times New Roman" w:cs="Arial"/>
                <w:sz w:val="20"/>
                <w:szCs w:val="20"/>
                <w:lang w:eastAsia="en-GB"/>
              </w:rPr>
            </w:pPr>
          </w:p>
        </w:tc>
      </w:tr>
      <w:tr w:rsidRPr="00EA2A25" w:rsidR="006F5266" w:rsidTr="00A87C3B" w14:paraId="1ED3B0AE" w14:textId="77777777">
        <w:trPr>
          <w:trHeight w:val="300"/>
        </w:trPr>
        <w:tc>
          <w:tcPr>
            <w:tcW w:w="6804" w:type="dxa"/>
            <w:tcBorders>
              <w:left w:val="nil"/>
              <w:bottom w:val="single" w:color="auto" w:sz="4" w:space="0"/>
              <w:right w:val="nil"/>
            </w:tcBorders>
            <w:noWrap/>
          </w:tcPr>
          <w:p w:rsidRPr="00EA2A25" w:rsidR="006F5266" w:rsidP="00A87C3B" w:rsidRDefault="006F5266" w14:paraId="7C5BBA5F" w14:textId="77777777">
            <w:pPr>
              <w:ind w:left="171"/>
              <w:rPr>
                <w:rFonts w:ascii="Arial" w:hAnsi="Arial" w:eastAsia="Times New Roman" w:cs="Arial"/>
                <w:sz w:val="20"/>
                <w:szCs w:val="20"/>
              </w:rPr>
            </w:pPr>
            <w:r w:rsidRPr="00EA2A25">
              <w:rPr>
                <w:rFonts w:ascii="Arial" w:hAnsi="Arial"/>
                <w:sz w:val="20"/>
              </w:rPr>
              <w:t>d. Contrats dérivés de gré à gré avec d'autres établissements financiers ayant une juste valeur nette négative</w:t>
            </w:r>
          </w:p>
        </w:tc>
        <w:tc>
          <w:tcPr>
            <w:tcW w:w="2745" w:type="dxa"/>
            <w:tcBorders>
              <w:left w:val="nil"/>
              <w:bottom w:val="single" w:color="auto" w:sz="4" w:space="0"/>
              <w:right w:val="nil"/>
            </w:tcBorders>
            <w:noWrap/>
          </w:tcPr>
          <w:p w:rsidRPr="00EA2A25" w:rsidR="006F5266" w:rsidP="00A87C3B" w:rsidRDefault="006F5266" w14:paraId="6609BE3A" w14:textId="77777777">
            <w:pPr>
              <w:jc w:val="right"/>
              <w:rPr>
                <w:rFonts w:ascii="Arial" w:hAnsi="Arial" w:eastAsia="Times New Roman" w:cs="Arial"/>
                <w:sz w:val="20"/>
                <w:szCs w:val="20"/>
                <w:lang w:eastAsia="en-GB"/>
              </w:rPr>
            </w:pPr>
          </w:p>
        </w:tc>
      </w:tr>
      <w:tr w:rsidRPr="00EA2A25" w:rsidR="006F5266" w:rsidTr="00A87C3B" w14:paraId="0BF4EE21" w14:textId="77777777">
        <w:trPr>
          <w:trHeight w:val="300"/>
        </w:trPr>
        <w:tc>
          <w:tcPr>
            <w:tcW w:w="6804" w:type="dxa"/>
            <w:tcBorders>
              <w:left w:val="nil"/>
              <w:right w:val="nil"/>
            </w:tcBorders>
            <w:noWrap/>
            <w:hideMark/>
          </w:tcPr>
          <w:p w:rsidRPr="00EA2A25" w:rsidR="006F5266" w:rsidP="00A87C3B" w:rsidRDefault="006F5266" w14:paraId="3A2DD57C" w14:textId="77777777">
            <w:pPr>
              <w:ind w:firstLine="400" w:firstLineChars="200"/>
              <w:rPr>
                <w:rFonts w:ascii="Arial" w:hAnsi="Arial" w:eastAsia="Times New Roman" w:cs="Arial"/>
                <w:sz w:val="20"/>
                <w:szCs w:val="20"/>
              </w:rPr>
            </w:pPr>
            <w:r w:rsidRPr="00EA2A25">
              <w:rPr>
                <w:rFonts w:ascii="Arial" w:hAnsi="Arial"/>
                <w:sz w:val="20"/>
                <w:lang w:eastAsia="en-GB"/>
              </w:rPr>
              <w:t xml:space="preserve">(1) </w:t>
            </w:r>
            <w:r w:rsidRPr="00EA2A25">
              <w:rPr>
                <w:rFonts w:ascii="Arial" w:hAnsi="Arial"/>
                <w:sz w:val="20"/>
              </w:rPr>
              <w:t>Juste valeur nette négative</w:t>
            </w:r>
          </w:p>
        </w:tc>
        <w:tc>
          <w:tcPr>
            <w:tcW w:w="2745" w:type="dxa"/>
            <w:tcBorders>
              <w:left w:val="nil"/>
              <w:right w:val="nil"/>
            </w:tcBorders>
            <w:noWrap/>
            <w:hideMark/>
          </w:tcPr>
          <w:p w:rsidRPr="00EA2A25" w:rsidR="006F5266" w:rsidP="00A87C3B" w:rsidRDefault="006F5266" w14:paraId="0B63BA76" w14:textId="77777777">
            <w:pPr>
              <w:jc w:val="right"/>
              <w:rPr>
                <w:rFonts w:ascii="Arial" w:hAnsi="Arial" w:eastAsia="Times New Roman" w:cs="Arial"/>
                <w:sz w:val="20"/>
                <w:szCs w:val="20"/>
              </w:rPr>
            </w:pPr>
            <w:r w:rsidRPr="00EA2A25">
              <w:rPr>
                <w:rFonts w:ascii="Arial" w:hAnsi="Arial"/>
                <w:sz w:val="20"/>
              </w:rPr>
              <w:t> </w:t>
            </w:r>
          </w:p>
        </w:tc>
      </w:tr>
      <w:tr w:rsidRPr="00EA2A25" w:rsidR="006F5266" w:rsidTr="00A87C3B" w14:paraId="63A4C07D" w14:textId="77777777">
        <w:trPr>
          <w:trHeight w:val="300"/>
        </w:trPr>
        <w:tc>
          <w:tcPr>
            <w:tcW w:w="6804" w:type="dxa"/>
            <w:tcBorders>
              <w:left w:val="nil"/>
              <w:right w:val="nil"/>
            </w:tcBorders>
            <w:noWrap/>
            <w:hideMark/>
          </w:tcPr>
          <w:p w:rsidRPr="00EA2A25" w:rsidR="006F5266" w:rsidP="00A87C3B" w:rsidRDefault="006F5266" w14:paraId="4E601060" w14:textId="77777777">
            <w:pPr>
              <w:ind w:firstLine="400" w:firstLineChars="200"/>
              <w:rPr>
                <w:rFonts w:ascii="Arial" w:hAnsi="Arial" w:eastAsia="Times New Roman" w:cs="Arial"/>
                <w:sz w:val="20"/>
                <w:szCs w:val="20"/>
              </w:rPr>
            </w:pPr>
            <w:r w:rsidRPr="00EA2A25">
              <w:rPr>
                <w:rFonts w:ascii="Arial" w:hAnsi="Arial"/>
                <w:sz w:val="20"/>
                <w:lang w:eastAsia="en-GB"/>
              </w:rPr>
              <w:t xml:space="preserve">(2) </w:t>
            </w:r>
            <w:r w:rsidRPr="00EA2A25">
              <w:rPr>
                <w:rFonts w:ascii="Arial" w:hAnsi="Arial"/>
                <w:sz w:val="20"/>
              </w:rPr>
              <w:t>Exposition potentielle future</w:t>
            </w:r>
          </w:p>
        </w:tc>
        <w:tc>
          <w:tcPr>
            <w:tcW w:w="2745" w:type="dxa"/>
            <w:tcBorders>
              <w:left w:val="nil"/>
              <w:right w:val="nil"/>
            </w:tcBorders>
            <w:noWrap/>
            <w:hideMark/>
          </w:tcPr>
          <w:p w:rsidRPr="00EA2A25" w:rsidR="006F5266" w:rsidP="00A87C3B" w:rsidRDefault="006F5266" w14:paraId="5661090B" w14:textId="77777777">
            <w:pPr>
              <w:jc w:val="right"/>
              <w:rPr>
                <w:rFonts w:ascii="Arial" w:hAnsi="Arial" w:eastAsia="Times New Roman" w:cs="Arial"/>
                <w:sz w:val="20"/>
                <w:szCs w:val="20"/>
              </w:rPr>
            </w:pPr>
            <w:r w:rsidRPr="00EA2A25">
              <w:rPr>
                <w:rFonts w:ascii="Arial" w:hAnsi="Arial"/>
                <w:sz w:val="20"/>
              </w:rPr>
              <w:t> </w:t>
            </w:r>
          </w:p>
        </w:tc>
      </w:tr>
      <w:tr w:rsidRPr="00EA2A25" w:rsidR="006F5266" w:rsidTr="00A87C3B" w14:paraId="07441806" w14:textId="77777777">
        <w:trPr>
          <w:trHeight w:val="300"/>
        </w:trPr>
        <w:tc>
          <w:tcPr>
            <w:tcW w:w="6804" w:type="dxa"/>
            <w:tcBorders>
              <w:left w:val="nil"/>
              <w:bottom w:val="single" w:color="auto" w:sz="4" w:space="0"/>
              <w:right w:val="nil"/>
            </w:tcBorders>
            <w:noWrap/>
          </w:tcPr>
          <w:p w:rsidRPr="00EA2A25" w:rsidR="006F5266" w:rsidP="00A87C3B" w:rsidRDefault="006F5266" w14:paraId="42795EEA" w14:textId="77777777">
            <w:pPr>
              <w:ind w:left="171"/>
              <w:rPr>
                <w:rFonts w:ascii="Arial" w:hAnsi="Arial" w:eastAsia="Times New Roman" w:cs="Arial"/>
                <w:sz w:val="20"/>
                <w:szCs w:val="20"/>
              </w:rPr>
            </w:pPr>
            <w:r w:rsidRPr="00EA2A25">
              <w:rPr>
                <w:rFonts w:ascii="Arial" w:hAnsi="Arial"/>
                <w:sz w:val="20"/>
              </w:rPr>
              <w:t>e. Indicateur des passifs au sein du système financier, y compris les filiales d’assurance [somme des éléments 4.a.(1) jusqu’à 4.d.(2)]</w:t>
            </w:r>
          </w:p>
        </w:tc>
        <w:tc>
          <w:tcPr>
            <w:tcW w:w="2745" w:type="dxa"/>
            <w:tcBorders>
              <w:left w:val="nil"/>
              <w:bottom w:val="single" w:color="auto" w:sz="4" w:space="0"/>
              <w:right w:val="nil"/>
            </w:tcBorders>
            <w:noWrap/>
          </w:tcPr>
          <w:p w:rsidRPr="00EA2A25" w:rsidR="006F5266" w:rsidP="00A87C3B" w:rsidRDefault="006F5266" w14:paraId="453B193D" w14:textId="77777777">
            <w:pPr>
              <w:jc w:val="right"/>
              <w:rPr>
                <w:rFonts w:ascii="Arial" w:hAnsi="Arial" w:eastAsia="Times New Roman" w:cs="Arial"/>
                <w:sz w:val="20"/>
                <w:szCs w:val="20"/>
                <w:lang w:eastAsia="en-GB"/>
              </w:rPr>
            </w:pPr>
          </w:p>
        </w:tc>
      </w:tr>
      <w:tr w:rsidRPr="00EA2A25" w:rsidR="006F5266" w:rsidTr="00A87C3B" w14:paraId="2F529830" w14:textId="77777777">
        <w:trPr>
          <w:trHeight w:val="300"/>
        </w:trPr>
        <w:tc>
          <w:tcPr>
            <w:tcW w:w="6804" w:type="dxa"/>
            <w:tcBorders>
              <w:left w:val="nil"/>
              <w:bottom w:val="nil"/>
              <w:right w:val="nil"/>
            </w:tcBorders>
            <w:noWrap/>
          </w:tcPr>
          <w:p w:rsidRPr="00EA2A25" w:rsidR="006F5266" w:rsidP="00A87C3B" w:rsidRDefault="006F5266" w14:paraId="5A5A5001"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EA2A25" w:rsidR="006F5266" w:rsidP="00A87C3B" w:rsidRDefault="006F5266" w14:paraId="55BC2E8C" w14:textId="77777777">
            <w:pPr>
              <w:jc w:val="center"/>
              <w:rPr>
                <w:rFonts w:ascii="Arial" w:hAnsi="Arial" w:eastAsia="Times New Roman" w:cs="Arial"/>
                <w:b/>
                <w:bCs/>
                <w:sz w:val="20"/>
                <w:szCs w:val="20"/>
                <w:lang w:eastAsia="en-GB"/>
              </w:rPr>
            </w:pPr>
          </w:p>
        </w:tc>
      </w:tr>
      <w:tr w:rsidRPr="00EA2A25" w:rsidR="006F5266" w:rsidTr="00A87C3B" w14:paraId="46572D98" w14:textId="77777777">
        <w:trPr>
          <w:trHeight w:val="300"/>
        </w:trPr>
        <w:tc>
          <w:tcPr>
            <w:tcW w:w="6804" w:type="dxa"/>
            <w:tcBorders>
              <w:top w:val="nil"/>
              <w:left w:val="nil"/>
              <w:right w:val="nil"/>
            </w:tcBorders>
            <w:noWrap/>
            <w:hideMark/>
          </w:tcPr>
          <w:p w:rsidRPr="00EA2A25" w:rsidR="006F5266" w:rsidP="00A87C3B" w:rsidRDefault="006F5266" w14:paraId="0EA52F6D" w14:textId="77777777">
            <w:pPr>
              <w:rPr>
                <w:rFonts w:ascii="Arial" w:hAnsi="Arial" w:eastAsia="Times New Roman" w:cs="Arial"/>
                <w:b/>
                <w:bCs/>
                <w:sz w:val="20"/>
                <w:szCs w:val="20"/>
              </w:rPr>
            </w:pPr>
            <w:r w:rsidRPr="00EA2A25">
              <w:rPr>
                <w:rFonts w:ascii="Arial" w:hAnsi="Arial"/>
                <w:b/>
                <w:sz w:val="20"/>
              </w:rPr>
              <w:t>Section 5 - Encours de titres</w:t>
            </w:r>
          </w:p>
        </w:tc>
        <w:tc>
          <w:tcPr>
            <w:tcW w:w="2745" w:type="dxa"/>
            <w:tcBorders>
              <w:top w:val="nil"/>
              <w:left w:val="nil"/>
              <w:right w:val="nil"/>
            </w:tcBorders>
            <w:hideMark/>
          </w:tcPr>
          <w:p w:rsidRPr="00EA2A25" w:rsidR="006F5266" w:rsidP="00A87C3B" w:rsidRDefault="006F5266" w14:paraId="72190EBC" w14:textId="77777777">
            <w:pPr>
              <w:jc w:val="center"/>
              <w:rPr>
                <w:rFonts w:ascii="Arial" w:hAnsi="Arial" w:eastAsia="Times New Roman" w:cs="Arial"/>
                <w:b/>
                <w:bCs/>
                <w:sz w:val="20"/>
                <w:szCs w:val="20"/>
              </w:rPr>
            </w:pPr>
            <w:r w:rsidRPr="00EA2A25">
              <w:rPr>
                <w:rFonts w:ascii="Arial" w:hAnsi="Arial"/>
                <w:b/>
                <w:sz w:val="20"/>
              </w:rPr>
              <w:t>Montant</w:t>
            </w:r>
          </w:p>
        </w:tc>
      </w:tr>
      <w:tr w:rsidRPr="00EA2A25" w:rsidR="006F5266" w:rsidTr="00A87C3B" w14:paraId="192A1F88" w14:textId="77777777">
        <w:trPr>
          <w:trHeight w:val="300"/>
        </w:trPr>
        <w:tc>
          <w:tcPr>
            <w:tcW w:w="6804" w:type="dxa"/>
            <w:tcBorders>
              <w:left w:val="nil"/>
              <w:right w:val="nil"/>
            </w:tcBorders>
            <w:noWrap/>
            <w:hideMark/>
          </w:tcPr>
          <w:p w:rsidRPr="00EA2A25" w:rsidR="006F5266" w:rsidP="00A87C3B" w:rsidRDefault="006F5266" w14:paraId="197CFE42" w14:textId="77777777">
            <w:pPr>
              <w:ind w:firstLine="200" w:firstLineChars="100"/>
              <w:rPr>
                <w:rFonts w:ascii="Arial" w:hAnsi="Arial" w:eastAsia="Times New Roman" w:cs="Arial"/>
                <w:sz w:val="20"/>
                <w:szCs w:val="20"/>
              </w:rPr>
            </w:pPr>
            <w:r w:rsidRPr="00EA2A25">
              <w:rPr>
                <w:rFonts w:ascii="Arial" w:hAnsi="Arial"/>
                <w:sz w:val="20"/>
              </w:rPr>
              <w:t>a. Titres de créance garantis</w:t>
            </w:r>
          </w:p>
        </w:tc>
        <w:tc>
          <w:tcPr>
            <w:tcW w:w="2745" w:type="dxa"/>
            <w:tcBorders>
              <w:left w:val="nil"/>
              <w:right w:val="nil"/>
            </w:tcBorders>
            <w:noWrap/>
            <w:hideMark/>
          </w:tcPr>
          <w:p w:rsidRPr="00EA2A25" w:rsidR="006F5266" w:rsidP="00A87C3B" w:rsidRDefault="006F5266" w14:paraId="6B32DBE0" w14:textId="77777777">
            <w:pPr>
              <w:jc w:val="right"/>
              <w:rPr>
                <w:rFonts w:ascii="Arial" w:hAnsi="Arial" w:eastAsia="Times New Roman" w:cs="Arial"/>
                <w:sz w:val="20"/>
                <w:szCs w:val="20"/>
              </w:rPr>
            </w:pPr>
            <w:r w:rsidRPr="00EA2A25">
              <w:rPr>
                <w:rFonts w:ascii="Arial" w:hAnsi="Arial"/>
                <w:sz w:val="20"/>
              </w:rPr>
              <w:t> </w:t>
            </w:r>
          </w:p>
        </w:tc>
      </w:tr>
      <w:tr w:rsidRPr="00EA2A25" w:rsidR="006F5266" w:rsidTr="00A87C3B" w14:paraId="4789858B" w14:textId="77777777">
        <w:trPr>
          <w:trHeight w:val="300"/>
        </w:trPr>
        <w:tc>
          <w:tcPr>
            <w:tcW w:w="6804" w:type="dxa"/>
            <w:tcBorders>
              <w:left w:val="nil"/>
              <w:right w:val="nil"/>
            </w:tcBorders>
            <w:noWrap/>
            <w:hideMark/>
          </w:tcPr>
          <w:p w:rsidRPr="00EA2A25" w:rsidR="006F5266" w:rsidP="00A87C3B" w:rsidRDefault="006F5266" w14:paraId="00086154" w14:textId="77777777">
            <w:pPr>
              <w:ind w:firstLine="200" w:firstLineChars="100"/>
              <w:rPr>
                <w:rFonts w:ascii="Arial" w:hAnsi="Arial" w:eastAsia="Times New Roman" w:cs="Arial"/>
                <w:sz w:val="20"/>
                <w:szCs w:val="20"/>
              </w:rPr>
            </w:pPr>
            <w:r w:rsidRPr="00EA2A25">
              <w:rPr>
                <w:rFonts w:ascii="Arial" w:hAnsi="Arial"/>
                <w:sz w:val="20"/>
              </w:rPr>
              <w:t>b. Titres de créance de premier rang non garantis</w:t>
            </w:r>
          </w:p>
        </w:tc>
        <w:tc>
          <w:tcPr>
            <w:tcW w:w="2745" w:type="dxa"/>
            <w:tcBorders>
              <w:left w:val="nil"/>
              <w:right w:val="nil"/>
            </w:tcBorders>
            <w:noWrap/>
            <w:hideMark/>
          </w:tcPr>
          <w:p w:rsidRPr="00EA2A25" w:rsidR="006F5266" w:rsidP="00A87C3B" w:rsidRDefault="006F5266" w14:paraId="5C8A7A7A" w14:textId="77777777">
            <w:pPr>
              <w:jc w:val="right"/>
              <w:rPr>
                <w:rFonts w:ascii="Arial" w:hAnsi="Arial" w:eastAsia="Times New Roman" w:cs="Arial"/>
                <w:sz w:val="20"/>
                <w:szCs w:val="20"/>
              </w:rPr>
            </w:pPr>
            <w:r w:rsidRPr="00EA2A25">
              <w:rPr>
                <w:rFonts w:ascii="Arial" w:hAnsi="Arial"/>
                <w:sz w:val="20"/>
              </w:rPr>
              <w:t> </w:t>
            </w:r>
          </w:p>
        </w:tc>
      </w:tr>
      <w:tr w:rsidRPr="00EA2A25" w:rsidR="006F5266" w:rsidTr="00A87C3B" w14:paraId="2B9F7F8C" w14:textId="77777777">
        <w:trPr>
          <w:trHeight w:val="300"/>
        </w:trPr>
        <w:tc>
          <w:tcPr>
            <w:tcW w:w="6804" w:type="dxa"/>
            <w:tcBorders>
              <w:left w:val="nil"/>
              <w:right w:val="nil"/>
            </w:tcBorders>
            <w:noWrap/>
            <w:hideMark/>
          </w:tcPr>
          <w:p w:rsidRPr="00EA2A25" w:rsidR="006F5266" w:rsidP="00A87C3B" w:rsidRDefault="006F5266" w14:paraId="01D50A34" w14:textId="77777777">
            <w:pPr>
              <w:ind w:firstLine="200" w:firstLineChars="100"/>
              <w:rPr>
                <w:rFonts w:ascii="Arial" w:hAnsi="Arial" w:eastAsia="Times New Roman" w:cs="Arial"/>
                <w:sz w:val="20"/>
                <w:szCs w:val="20"/>
              </w:rPr>
            </w:pPr>
            <w:r w:rsidRPr="00EA2A25">
              <w:rPr>
                <w:rFonts w:ascii="Arial" w:hAnsi="Arial"/>
                <w:sz w:val="20"/>
              </w:rPr>
              <w:t>c. Titres de créance subordonnés</w:t>
            </w:r>
          </w:p>
        </w:tc>
        <w:tc>
          <w:tcPr>
            <w:tcW w:w="2745" w:type="dxa"/>
            <w:tcBorders>
              <w:left w:val="nil"/>
              <w:right w:val="nil"/>
            </w:tcBorders>
            <w:noWrap/>
            <w:hideMark/>
          </w:tcPr>
          <w:p w:rsidRPr="00EA2A25" w:rsidR="006F5266" w:rsidP="00A87C3B" w:rsidRDefault="006F5266" w14:paraId="64F52529" w14:textId="77777777">
            <w:pPr>
              <w:jc w:val="right"/>
              <w:rPr>
                <w:rFonts w:ascii="Arial" w:hAnsi="Arial" w:eastAsia="Times New Roman" w:cs="Arial"/>
                <w:sz w:val="20"/>
                <w:szCs w:val="20"/>
              </w:rPr>
            </w:pPr>
            <w:r w:rsidRPr="00EA2A25">
              <w:rPr>
                <w:rFonts w:ascii="Arial" w:hAnsi="Arial"/>
                <w:sz w:val="20"/>
              </w:rPr>
              <w:t> </w:t>
            </w:r>
          </w:p>
        </w:tc>
      </w:tr>
      <w:tr w:rsidRPr="00EA2A25" w:rsidR="006F5266" w:rsidTr="00A87C3B" w14:paraId="1DE0617E" w14:textId="77777777">
        <w:trPr>
          <w:trHeight w:val="300"/>
        </w:trPr>
        <w:tc>
          <w:tcPr>
            <w:tcW w:w="6804" w:type="dxa"/>
            <w:tcBorders>
              <w:left w:val="nil"/>
              <w:right w:val="nil"/>
            </w:tcBorders>
            <w:noWrap/>
            <w:hideMark/>
          </w:tcPr>
          <w:p w:rsidRPr="00EA2A25" w:rsidR="006F5266" w:rsidP="00A87C3B" w:rsidRDefault="006F5266" w14:paraId="20ECECB0" w14:textId="77777777">
            <w:pPr>
              <w:ind w:firstLine="200" w:firstLineChars="100"/>
              <w:rPr>
                <w:rFonts w:ascii="Arial" w:hAnsi="Arial" w:eastAsia="Times New Roman" w:cs="Arial"/>
                <w:sz w:val="20"/>
                <w:szCs w:val="20"/>
              </w:rPr>
            </w:pPr>
            <w:r w:rsidRPr="00EA2A25">
              <w:rPr>
                <w:rFonts w:ascii="Arial" w:hAnsi="Arial"/>
                <w:sz w:val="20"/>
              </w:rPr>
              <w:t>d. Billets de trésorerie</w:t>
            </w:r>
          </w:p>
        </w:tc>
        <w:tc>
          <w:tcPr>
            <w:tcW w:w="2745" w:type="dxa"/>
            <w:tcBorders>
              <w:left w:val="nil"/>
              <w:right w:val="nil"/>
            </w:tcBorders>
            <w:noWrap/>
            <w:hideMark/>
          </w:tcPr>
          <w:p w:rsidRPr="00EA2A25" w:rsidR="006F5266" w:rsidP="00A87C3B" w:rsidRDefault="006F5266" w14:paraId="3C40D2B6" w14:textId="77777777">
            <w:pPr>
              <w:jc w:val="right"/>
              <w:rPr>
                <w:rFonts w:ascii="Arial" w:hAnsi="Arial" w:eastAsia="Times New Roman" w:cs="Arial"/>
                <w:sz w:val="20"/>
                <w:szCs w:val="20"/>
              </w:rPr>
            </w:pPr>
            <w:r w:rsidRPr="00EA2A25">
              <w:rPr>
                <w:rFonts w:ascii="Arial" w:hAnsi="Arial"/>
                <w:sz w:val="20"/>
              </w:rPr>
              <w:t> </w:t>
            </w:r>
          </w:p>
        </w:tc>
      </w:tr>
      <w:tr w:rsidRPr="00EA2A25" w:rsidR="006F5266" w:rsidTr="00A87C3B" w14:paraId="1A964E7A" w14:textId="77777777">
        <w:trPr>
          <w:trHeight w:val="300"/>
        </w:trPr>
        <w:tc>
          <w:tcPr>
            <w:tcW w:w="6804" w:type="dxa"/>
            <w:tcBorders>
              <w:left w:val="nil"/>
              <w:right w:val="nil"/>
            </w:tcBorders>
            <w:noWrap/>
            <w:hideMark/>
          </w:tcPr>
          <w:p w:rsidRPr="00EA2A25" w:rsidR="006F5266" w:rsidP="00A87C3B" w:rsidRDefault="006F5266" w14:paraId="4408DC4A" w14:textId="77777777">
            <w:pPr>
              <w:ind w:firstLine="200" w:firstLineChars="100"/>
              <w:rPr>
                <w:rFonts w:ascii="Arial" w:hAnsi="Arial" w:eastAsia="Times New Roman" w:cs="Arial"/>
                <w:sz w:val="20"/>
                <w:szCs w:val="20"/>
              </w:rPr>
            </w:pPr>
            <w:r w:rsidRPr="00EA2A25">
              <w:rPr>
                <w:rFonts w:ascii="Arial" w:hAnsi="Arial"/>
                <w:sz w:val="20"/>
              </w:rPr>
              <w:t>e. Certificats de dépôt</w:t>
            </w:r>
          </w:p>
        </w:tc>
        <w:tc>
          <w:tcPr>
            <w:tcW w:w="2745" w:type="dxa"/>
            <w:tcBorders>
              <w:left w:val="nil"/>
              <w:right w:val="nil"/>
            </w:tcBorders>
            <w:noWrap/>
            <w:hideMark/>
          </w:tcPr>
          <w:p w:rsidRPr="00EA2A25" w:rsidR="006F5266" w:rsidP="00A87C3B" w:rsidRDefault="006F5266" w14:paraId="22F7E198" w14:textId="77777777">
            <w:pPr>
              <w:jc w:val="right"/>
              <w:rPr>
                <w:rFonts w:ascii="Arial" w:hAnsi="Arial" w:eastAsia="Times New Roman" w:cs="Arial"/>
                <w:sz w:val="20"/>
                <w:szCs w:val="20"/>
              </w:rPr>
            </w:pPr>
            <w:r w:rsidRPr="00EA2A25">
              <w:rPr>
                <w:rFonts w:ascii="Arial" w:hAnsi="Arial"/>
                <w:sz w:val="20"/>
              </w:rPr>
              <w:t> </w:t>
            </w:r>
          </w:p>
        </w:tc>
      </w:tr>
      <w:tr w:rsidRPr="00EA2A25" w:rsidR="006F5266" w:rsidTr="00A87C3B" w14:paraId="60F49FB7" w14:textId="77777777">
        <w:trPr>
          <w:trHeight w:val="300"/>
        </w:trPr>
        <w:tc>
          <w:tcPr>
            <w:tcW w:w="6804" w:type="dxa"/>
            <w:tcBorders>
              <w:left w:val="nil"/>
              <w:right w:val="nil"/>
            </w:tcBorders>
            <w:noWrap/>
            <w:hideMark/>
          </w:tcPr>
          <w:p w:rsidRPr="00EA2A25" w:rsidR="006F5266" w:rsidP="00A87C3B" w:rsidRDefault="006F5266" w14:paraId="134D5206" w14:textId="77777777">
            <w:pPr>
              <w:ind w:firstLine="200" w:firstLineChars="100"/>
              <w:rPr>
                <w:rFonts w:ascii="Arial" w:hAnsi="Arial" w:eastAsia="Times New Roman" w:cs="Arial"/>
                <w:sz w:val="20"/>
                <w:szCs w:val="20"/>
              </w:rPr>
            </w:pPr>
            <w:r w:rsidRPr="00EA2A25">
              <w:rPr>
                <w:rFonts w:ascii="Arial" w:hAnsi="Arial"/>
                <w:sz w:val="20"/>
              </w:rPr>
              <w:t>f. Fonds propres de base</w:t>
            </w:r>
          </w:p>
        </w:tc>
        <w:tc>
          <w:tcPr>
            <w:tcW w:w="2745" w:type="dxa"/>
            <w:tcBorders>
              <w:left w:val="nil"/>
              <w:right w:val="nil"/>
            </w:tcBorders>
            <w:noWrap/>
            <w:hideMark/>
          </w:tcPr>
          <w:p w:rsidRPr="00EA2A25" w:rsidR="006F5266" w:rsidP="00A87C3B" w:rsidRDefault="006F5266" w14:paraId="18507065" w14:textId="77777777">
            <w:pPr>
              <w:jc w:val="right"/>
              <w:rPr>
                <w:rFonts w:ascii="Arial" w:hAnsi="Arial" w:eastAsia="Times New Roman" w:cs="Arial"/>
                <w:sz w:val="20"/>
                <w:szCs w:val="20"/>
              </w:rPr>
            </w:pPr>
            <w:r w:rsidRPr="00EA2A25">
              <w:rPr>
                <w:rFonts w:ascii="Arial" w:hAnsi="Arial"/>
                <w:sz w:val="20"/>
              </w:rPr>
              <w:t> </w:t>
            </w:r>
          </w:p>
        </w:tc>
      </w:tr>
      <w:tr w:rsidRPr="00EA2A25" w:rsidR="006F5266" w:rsidTr="00A87C3B" w14:paraId="41DD4795" w14:textId="77777777">
        <w:trPr>
          <w:trHeight w:val="300"/>
        </w:trPr>
        <w:tc>
          <w:tcPr>
            <w:tcW w:w="6804" w:type="dxa"/>
            <w:tcBorders>
              <w:left w:val="nil"/>
              <w:right w:val="nil"/>
            </w:tcBorders>
            <w:noWrap/>
          </w:tcPr>
          <w:p w:rsidRPr="00EA2A25" w:rsidR="006F5266" w:rsidP="00A87C3B" w:rsidRDefault="006F5266" w14:paraId="23A02532" w14:textId="77777777">
            <w:pPr>
              <w:ind w:left="171"/>
              <w:rPr>
                <w:rFonts w:ascii="Arial" w:hAnsi="Arial" w:eastAsia="Times New Roman" w:cs="Arial"/>
                <w:sz w:val="20"/>
                <w:szCs w:val="20"/>
              </w:rPr>
            </w:pPr>
            <w:r w:rsidRPr="00EA2A25">
              <w:rPr>
                <w:rFonts w:ascii="Arial" w:hAnsi="Arial"/>
                <w:sz w:val="20"/>
              </w:rPr>
              <w:t>g. Actions privilégiées et toute autre forme de financement subordonné exclu de l’élément 5.c.</w:t>
            </w:r>
          </w:p>
        </w:tc>
        <w:tc>
          <w:tcPr>
            <w:tcW w:w="2745" w:type="dxa"/>
            <w:tcBorders>
              <w:left w:val="nil"/>
              <w:right w:val="nil"/>
            </w:tcBorders>
            <w:noWrap/>
          </w:tcPr>
          <w:p w:rsidRPr="00EA2A25" w:rsidR="006F5266" w:rsidP="00A87C3B" w:rsidRDefault="006F5266" w14:paraId="51BFB05A" w14:textId="77777777">
            <w:pPr>
              <w:jc w:val="right"/>
              <w:rPr>
                <w:rFonts w:ascii="Arial" w:hAnsi="Arial" w:eastAsia="Times New Roman" w:cs="Arial"/>
                <w:sz w:val="20"/>
                <w:szCs w:val="20"/>
                <w:lang w:eastAsia="en-GB"/>
              </w:rPr>
            </w:pPr>
          </w:p>
        </w:tc>
      </w:tr>
      <w:tr w:rsidRPr="00EA2A25" w:rsidR="006F5266" w:rsidTr="00A87C3B" w14:paraId="3BB2071E" w14:textId="77777777">
        <w:trPr>
          <w:trHeight w:val="300"/>
        </w:trPr>
        <w:tc>
          <w:tcPr>
            <w:tcW w:w="6804" w:type="dxa"/>
            <w:tcBorders>
              <w:left w:val="nil"/>
              <w:bottom w:val="single" w:color="auto" w:sz="4" w:space="0"/>
              <w:right w:val="nil"/>
            </w:tcBorders>
            <w:noWrap/>
          </w:tcPr>
          <w:p w:rsidRPr="00EA2A25" w:rsidR="006F5266" w:rsidP="00A87C3B" w:rsidRDefault="006F5266" w14:paraId="611005A1" w14:textId="77777777">
            <w:pPr>
              <w:ind w:left="171"/>
              <w:rPr>
                <w:rFonts w:ascii="Arial" w:hAnsi="Arial" w:eastAsia="Times New Roman" w:cs="Arial"/>
                <w:sz w:val="20"/>
                <w:szCs w:val="20"/>
              </w:rPr>
            </w:pPr>
            <w:r w:rsidRPr="00EA2A25">
              <w:rPr>
                <w:rFonts w:ascii="Arial" w:hAnsi="Arial"/>
                <w:sz w:val="20"/>
              </w:rPr>
              <w:t>h. Indicateur d’encours de titres, y compris les titres émis par les filiales d’assurance (somme des éléments 5.a. à 5.g.)</w:t>
            </w:r>
          </w:p>
        </w:tc>
        <w:tc>
          <w:tcPr>
            <w:tcW w:w="2745" w:type="dxa"/>
            <w:tcBorders>
              <w:left w:val="nil"/>
              <w:bottom w:val="single" w:color="auto" w:sz="4" w:space="0"/>
              <w:right w:val="nil"/>
            </w:tcBorders>
            <w:noWrap/>
          </w:tcPr>
          <w:p w:rsidRPr="00EA2A25" w:rsidR="006F5266" w:rsidP="00A87C3B" w:rsidRDefault="006F5266" w14:paraId="3EB4DDE9" w14:textId="77777777">
            <w:pPr>
              <w:jc w:val="right"/>
              <w:rPr>
                <w:rFonts w:ascii="Arial" w:hAnsi="Arial" w:eastAsia="Times New Roman" w:cs="Arial"/>
                <w:sz w:val="20"/>
                <w:szCs w:val="20"/>
                <w:lang w:eastAsia="en-GB"/>
              </w:rPr>
            </w:pPr>
          </w:p>
        </w:tc>
      </w:tr>
      <w:tr w:rsidRPr="00EA2A25" w:rsidR="006F5266" w:rsidTr="00A87C3B" w14:paraId="700DBDC9" w14:textId="77777777">
        <w:trPr>
          <w:trHeight w:val="300"/>
        </w:trPr>
        <w:tc>
          <w:tcPr>
            <w:tcW w:w="6804" w:type="dxa"/>
            <w:tcBorders>
              <w:top w:val="single" w:color="auto" w:sz="4" w:space="0"/>
              <w:left w:val="nil"/>
              <w:bottom w:val="nil"/>
              <w:right w:val="nil"/>
            </w:tcBorders>
            <w:noWrap/>
          </w:tcPr>
          <w:p w:rsidRPr="00EA2A25" w:rsidR="006F5266" w:rsidP="00A87C3B" w:rsidRDefault="006F5266" w14:paraId="37C7CAB6" w14:textId="77777777">
            <w:pPr>
              <w:keepNext/>
              <w:keepLines/>
              <w:spacing w:before="47"/>
              <w:outlineLvl w:val="5"/>
              <w:rPr>
                <w:rFonts w:ascii="Arial" w:hAnsi="Arial" w:cs="Arial" w:eastAsiaTheme="majorEastAsia"/>
                <w:b/>
                <w:bCs/>
                <w:i/>
                <w:iCs/>
                <w:caps/>
                <w:spacing w:val="-2"/>
                <w:sz w:val="20"/>
                <w:szCs w:val="20"/>
              </w:rPr>
            </w:pPr>
          </w:p>
        </w:tc>
        <w:tc>
          <w:tcPr>
            <w:tcW w:w="2745" w:type="dxa"/>
            <w:tcBorders>
              <w:top w:val="single" w:color="auto" w:sz="4" w:space="0"/>
              <w:left w:val="nil"/>
              <w:bottom w:val="nil"/>
              <w:right w:val="nil"/>
            </w:tcBorders>
            <w:noWrap/>
          </w:tcPr>
          <w:p w:rsidRPr="00EA2A25" w:rsidR="006F5266" w:rsidP="00A87C3B" w:rsidRDefault="006F5266" w14:paraId="06B88688" w14:textId="77777777">
            <w:pPr>
              <w:jc w:val="center"/>
              <w:rPr>
                <w:rFonts w:ascii="Arial" w:hAnsi="Arial" w:eastAsia="Times New Roman" w:cs="Arial"/>
                <w:b/>
                <w:bCs/>
                <w:sz w:val="20"/>
                <w:szCs w:val="20"/>
                <w:lang w:eastAsia="en-GB"/>
              </w:rPr>
            </w:pPr>
          </w:p>
        </w:tc>
      </w:tr>
      <w:tr w:rsidRPr="00EA2A25" w:rsidR="006F5266" w:rsidTr="00A87C3B" w14:paraId="3C0CF60C" w14:textId="77777777">
        <w:trPr>
          <w:trHeight w:val="300"/>
        </w:trPr>
        <w:tc>
          <w:tcPr>
            <w:tcW w:w="6804" w:type="dxa"/>
            <w:tcBorders>
              <w:top w:val="nil"/>
              <w:left w:val="nil"/>
              <w:bottom w:val="nil"/>
              <w:right w:val="nil"/>
            </w:tcBorders>
            <w:noWrap/>
          </w:tcPr>
          <w:p w:rsidRPr="00EA2A25" w:rsidR="006F5266" w:rsidP="00A87C3B" w:rsidRDefault="006F5266" w14:paraId="5A36B291" w14:textId="77777777">
            <w:pPr>
              <w:keepNext/>
              <w:keepLines/>
              <w:spacing w:before="47"/>
              <w:outlineLvl w:val="5"/>
              <w:rPr>
                <w:rFonts w:asciiTheme="majorHAnsi" w:hAnsiTheme="majorHAnsi" w:eastAsiaTheme="majorEastAsia" w:cstheme="majorBidi"/>
                <w:b/>
                <w:bCs/>
                <w:i/>
                <w:iCs/>
                <w:caps/>
                <w:spacing w:val="-2"/>
              </w:rPr>
            </w:pPr>
            <w:r w:rsidRPr="00EA2A25">
              <w:rPr>
                <w:rFonts w:asciiTheme="majorHAnsi" w:hAnsiTheme="majorHAnsi"/>
                <w:b/>
                <w:i/>
                <w:caps/>
              </w:rPr>
              <w:t>Indicateurs de faculté de substitution/d’infrastructure financière</w:t>
            </w:r>
          </w:p>
          <w:p w:rsidRPr="00EA2A25" w:rsidR="006F5266" w:rsidP="00A87C3B" w:rsidRDefault="006F5266" w14:paraId="7F6D49E6" w14:textId="77777777">
            <w:pPr>
              <w:rPr>
                <w:rFonts w:ascii="Arial" w:hAnsi="Arial" w:eastAsia="Times New Roman" w:cs="Arial"/>
                <w:b/>
                <w:bCs/>
                <w:sz w:val="20"/>
                <w:szCs w:val="20"/>
                <w:lang w:eastAsia="en-GB"/>
              </w:rPr>
            </w:pPr>
          </w:p>
        </w:tc>
        <w:tc>
          <w:tcPr>
            <w:tcW w:w="2745" w:type="dxa"/>
            <w:tcBorders>
              <w:top w:val="nil"/>
              <w:left w:val="nil"/>
              <w:bottom w:val="nil"/>
              <w:right w:val="nil"/>
            </w:tcBorders>
            <w:noWrap/>
          </w:tcPr>
          <w:p w:rsidRPr="00EA2A25" w:rsidR="006F5266" w:rsidP="00A87C3B" w:rsidRDefault="006F5266" w14:paraId="1EB90BF8" w14:textId="77777777">
            <w:pPr>
              <w:jc w:val="center"/>
              <w:rPr>
                <w:rFonts w:ascii="Arial" w:hAnsi="Arial" w:eastAsia="Times New Roman" w:cs="Arial"/>
                <w:b/>
                <w:bCs/>
                <w:sz w:val="20"/>
                <w:szCs w:val="20"/>
                <w:lang w:eastAsia="en-GB"/>
              </w:rPr>
            </w:pPr>
          </w:p>
        </w:tc>
      </w:tr>
      <w:tr w:rsidRPr="00EA2A25" w:rsidR="006F5266" w:rsidTr="00A87C3B" w14:paraId="14701F65" w14:textId="77777777">
        <w:trPr>
          <w:trHeight w:val="300"/>
        </w:trPr>
        <w:tc>
          <w:tcPr>
            <w:tcW w:w="6804" w:type="dxa"/>
            <w:tcBorders>
              <w:left w:val="nil"/>
              <w:bottom w:val="single" w:color="auto" w:sz="4" w:space="0"/>
              <w:right w:val="nil"/>
            </w:tcBorders>
            <w:noWrap/>
          </w:tcPr>
          <w:p w:rsidRPr="00EA2A25" w:rsidR="006F5266" w:rsidP="00A87C3B" w:rsidRDefault="006F5266" w14:paraId="5847F2BD" w14:textId="77777777">
            <w:pPr>
              <w:rPr>
                <w:rFonts w:ascii="Arial" w:hAnsi="Arial" w:eastAsia="Times New Roman" w:cs="Arial"/>
                <w:sz w:val="20"/>
                <w:szCs w:val="20"/>
              </w:rPr>
            </w:pPr>
            <w:r w:rsidRPr="00EA2A25">
              <w:rPr>
                <w:rFonts w:ascii="Arial" w:hAnsi="Arial"/>
                <w:b/>
                <w:sz w:val="20"/>
              </w:rPr>
              <w:t>Section 6 - Paiements effectués durant l’année de l’exercice (hors paiements intragroupe)</w:t>
            </w:r>
          </w:p>
        </w:tc>
        <w:tc>
          <w:tcPr>
            <w:tcW w:w="2745" w:type="dxa"/>
            <w:tcBorders>
              <w:left w:val="nil"/>
              <w:bottom w:val="single" w:color="auto" w:sz="4" w:space="0"/>
              <w:right w:val="nil"/>
            </w:tcBorders>
            <w:noWrap/>
          </w:tcPr>
          <w:p w:rsidRPr="00EA2A25" w:rsidR="006F5266" w:rsidP="00A87C3B" w:rsidRDefault="006F5266" w14:paraId="5B382855" w14:textId="77777777">
            <w:pPr>
              <w:jc w:val="center"/>
              <w:rPr>
                <w:rFonts w:ascii="Arial" w:hAnsi="Arial" w:eastAsia="Times New Roman" w:cs="Arial"/>
                <w:b/>
                <w:bCs/>
                <w:sz w:val="20"/>
                <w:szCs w:val="20"/>
              </w:rPr>
            </w:pPr>
            <w:r w:rsidRPr="00EA2A25">
              <w:rPr>
                <w:rFonts w:ascii="Arial" w:hAnsi="Arial"/>
                <w:b/>
                <w:sz w:val="20"/>
              </w:rPr>
              <w:t>Montant</w:t>
            </w:r>
          </w:p>
        </w:tc>
      </w:tr>
      <w:tr w:rsidRPr="00EA2A25" w:rsidR="006F5266" w:rsidTr="00A87C3B" w14:paraId="63B46704" w14:textId="77777777">
        <w:trPr>
          <w:trHeight w:val="300"/>
        </w:trPr>
        <w:tc>
          <w:tcPr>
            <w:tcW w:w="6804" w:type="dxa"/>
            <w:tcBorders>
              <w:left w:val="nil"/>
              <w:right w:val="nil"/>
            </w:tcBorders>
            <w:noWrap/>
            <w:hideMark/>
          </w:tcPr>
          <w:p w:rsidRPr="00EA2A25" w:rsidR="006F5266" w:rsidP="00A87C3B" w:rsidRDefault="006F5266" w14:paraId="2C71295A" w14:textId="30F7E509">
            <w:pPr>
              <w:ind w:firstLine="200" w:firstLineChars="100"/>
              <w:rPr>
                <w:rFonts w:ascii="Arial" w:hAnsi="Arial" w:eastAsia="Times New Roman" w:cs="Arial"/>
                <w:sz w:val="20"/>
                <w:szCs w:val="20"/>
              </w:rPr>
            </w:pPr>
            <w:r w:rsidRPr="00EA2A25">
              <w:rPr>
                <w:rFonts w:ascii="Arial" w:hAnsi="Arial"/>
                <w:sz w:val="20"/>
              </w:rPr>
              <w:t>a. Dollar australien (AUD)</w:t>
            </w:r>
          </w:p>
        </w:tc>
        <w:tc>
          <w:tcPr>
            <w:tcW w:w="2745" w:type="dxa"/>
            <w:tcBorders>
              <w:left w:val="nil"/>
              <w:right w:val="nil"/>
            </w:tcBorders>
            <w:noWrap/>
            <w:hideMark/>
          </w:tcPr>
          <w:p w:rsidRPr="00EA2A25" w:rsidR="006F5266" w:rsidP="00A87C3B" w:rsidRDefault="006F5266" w14:paraId="0C4C3C5D" w14:textId="77777777">
            <w:pPr>
              <w:jc w:val="right"/>
              <w:rPr>
                <w:rFonts w:ascii="Arial" w:hAnsi="Arial" w:eastAsia="Times New Roman" w:cs="Arial"/>
                <w:sz w:val="20"/>
                <w:szCs w:val="20"/>
              </w:rPr>
            </w:pPr>
            <w:r w:rsidRPr="00EA2A25">
              <w:rPr>
                <w:rFonts w:ascii="Arial" w:hAnsi="Arial"/>
                <w:sz w:val="20"/>
              </w:rPr>
              <w:t> </w:t>
            </w:r>
          </w:p>
        </w:tc>
      </w:tr>
      <w:tr w:rsidRPr="00EA2A25" w:rsidR="006F5266" w:rsidTr="00A87C3B" w14:paraId="2D0E499B" w14:textId="77777777">
        <w:trPr>
          <w:trHeight w:val="300"/>
        </w:trPr>
        <w:tc>
          <w:tcPr>
            <w:tcW w:w="6804" w:type="dxa"/>
            <w:tcBorders>
              <w:left w:val="nil"/>
              <w:right w:val="nil"/>
            </w:tcBorders>
            <w:noWrap/>
            <w:hideMark/>
          </w:tcPr>
          <w:p w:rsidRPr="00EA2A25" w:rsidR="006F5266" w:rsidP="00A87C3B" w:rsidRDefault="006F5266" w14:paraId="1AE0FD3D" w14:textId="77777777">
            <w:pPr>
              <w:ind w:firstLine="200" w:firstLineChars="100"/>
              <w:rPr>
                <w:rFonts w:ascii="Arial" w:hAnsi="Arial" w:eastAsia="Times New Roman" w:cs="Arial"/>
                <w:sz w:val="20"/>
                <w:szCs w:val="20"/>
              </w:rPr>
            </w:pPr>
            <w:r w:rsidRPr="00EA2A25">
              <w:rPr>
                <w:rFonts w:ascii="Arial" w:hAnsi="Arial"/>
                <w:sz w:val="20"/>
              </w:rPr>
              <w:t>b. Dollar canadien (CAD)</w:t>
            </w:r>
          </w:p>
        </w:tc>
        <w:tc>
          <w:tcPr>
            <w:tcW w:w="2745" w:type="dxa"/>
            <w:tcBorders>
              <w:left w:val="nil"/>
              <w:right w:val="nil"/>
            </w:tcBorders>
            <w:noWrap/>
            <w:hideMark/>
          </w:tcPr>
          <w:p w:rsidRPr="00EA2A25" w:rsidR="006F5266" w:rsidP="00A87C3B" w:rsidRDefault="006F5266" w14:paraId="445FDF82" w14:textId="77777777">
            <w:pPr>
              <w:jc w:val="right"/>
              <w:rPr>
                <w:rFonts w:ascii="Arial" w:hAnsi="Arial" w:eastAsia="Times New Roman" w:cs="Arial"/>
                <w:sz w:val="20"/>
                <w:szCs w:val="20"/>
              </w:rPr>
            </w:pPr>
            <w:r w:rsidRPr="00EA2A25">
              <w:rPr>
                <w:rFonts w:ascii="Arial" w:hAnsi="Arial"/>
                <w:sz w:val="20"/>
              </w:rPr>
              <w:t> </w:t>
            </w:r>
          </w:p>
        </w:tc>
      </w:tr>
      <w:tr w:rsidRPr="00EA2A25" w:rsidR="006F5266" w:rsidTr="00A87C3B" w14:paraId="51BCC4CC" w14:textId="77777777">
        <w:trPr>
          <w:trHeight w:val="300"/>
        </w:trPr>
        <w:tc>
          <w:tcPr>
            <w:tcW w:w="6804" w:type="dxa"/>
            <w:tcBorders>
              <w:left w:val="nil"/>
              <w:right w:val="nil"/>
            </w:tcBorders>
            <w:noWrap/>
            <w:hideMark/>
          </w:tcPr>
          <w:p w:rsidRPr="00EA2A25" w:rsidR="006F5266" w:rsidP="00A87C3B" w:rsidRDefault="006F5266" w14:paraId="182A8ECF" w14:textId="77777777">
            <w:pPr>
              <w:ind w:firstLine="200" w:firstLineChars="100"/>
              <w:rPr>
                <w:rFonts w:ascii="Arial" w:hAnsi="Arial" w:eastAsia="Times New Roman" w:cs="Arial"/>
                <w:sz w:val="20"/>
                <w:szCs w:val="20"/>
              </w:rPr>
            </w:pPr>
            <w:r w:rsidRPr="00EA2A25">
              <w:rPr>
                <w:rFonts w:ascii="Arial" w:hAnsi="Arial"/>
                <w:sz w:val="20"/>
              </w:rPr>
              <w:t>c. Franc suisse (CHF)</w:t>
            </w:r>
          </w:p>
        </w:tc>
        <w:tc>
          <w:tcPr>
            <w:tcW w:w="2745" w:type="dxa"/>
            <w:tcBorders>
              <w:left w:val="nil"/>
              <w:right w:val="nil"/>
            </w:tcBorders>
            <w:noWrap/>
            <w:hideMark/>
          </w:tcPr>
          <w:p w:rsidRPr="00EA2A25" w:rsidR="006F5266" w:rsidP="00A87C3B" w:rsidRDefault="006F5266" w14:paraId="33B56A53" w14:textId="77777777">
            <w:pPr>
              <w:jc w:val="right"/>
              <w:rPr>
                <w:rFonts w:ascii="Arial" w:hAnsi="Arial" w:eastAsia="Times New Roman" w:cs="Arial"/>
                <w:sz w:val="20"/>
                <w:szCs w:val="20"/>
              </w:rPr>
            </w:pPr>
            <w:r w:rsidRPr="00EA2A25">
              <w:rPr>
                <w:rFonts w:ascii="Arial" w:hAnsi="Arial"/>
                <w:sz w:val="20"/>
              </w:rPr>
              <w:t> </w:t>
            </w:r>
          </w:p>
        </w:tc>
      </w:tr>
      <w:tr w:rsidRPr="00EA2A25" w:rsidR="006F5266" w:rsidTr="00A87C3B" w14:paraId="3BF79419" w14:textId="77777777">
        <w:trPr>
          <w:trHeight w:val="300"/>
        </w:trPr>
        <w:tc>
          <w:tcPr>
            <w:tcW w:w="6804" w:type="dxa"/>
            <w:tcBorders>
              <w:left w:val="nil"/>
              <w:right w:val="nil"/>
            </w:tcBorders>
            <w:noWrap/>
            <w:hideMark/>
          </w:tcPr>
          <w:p w:rsidRPr="00EA2A25" w:rsidR="006F5266" w:rsidP="00A87C3B" w:rsidRDefault="006F5266" w14:paraId="51D6AD5C" w14:textId="77777777">
            <w:pPr>
              <w:ind w:firstLine="200" w:firstLineChars="100"/>
              <w:rPr>
                <w:rFonts w:ascii="Arial" w:hAnsi="Arial" w:eastAsia="Times New Roman" w:cs="Arial"/>
                <w:sz w:val="20"/>
                <w:szCs w:val="20"/>
              </w:rPr>
            </w:pPr>
            <w:r w:rsidRPr="00EA2A25">
              <w:rPr>
                <w:rFonts w:ascii="Arial" w:hAnsi="Arial"/>
                <w:sz w:val="20"/>
              </w:rPr>
              <w:t>d. Yuan chinois (CNY)</w:t>
            </w:r>
          </w:p>
        </w:tc>
        <w:tc>
          <w:tcPr>
            <w:tcW w:w="2745" w:type="dxa"/>
            <w:tcBorders>
              <w:left w:val="nil"/>
              <w:right w:val="nil"/>
            </w:tcBorders>
            <w:noWrap/>
            <w:hideMark/>
          </w:tcPr>
          <w:p w:rsidRPr="00EA2A25" w:rsidR="006F5266" w:rsidP="00A87C3B" w:rsidRDefault="006F5266" w14:paraId="33C587CD" w14:textId="77777777">
            <w:pPr>
              <w:jc w:val="right"/>
              <w:rPr>
                <w:rFonts w:ascii="Arial" w:hAnsi="Arial" w:eastAsia="Times New Roman" w:cs="Arial"/>
                <w:sz w:val="20"/>
                <w:szCs w:val="20"/>
              </w:rPr>
            </w:pPr>
            <w:r w:rsidRPr="00EA2A25">
              <w:rPr>
                <w:rFonts w:ascii="Arial" w:hAnsi="Arial"/>
                <w:sz w:val="20"/>
              </w:rPr>
              <w:t> </w:t>
            </w:r>
          </w:p>
        </w:tc>
      </w:tr>
      <w:tr w:rsidRPr="00EA2A25" w:rsidR="006F5266" w:rsidTr="00A87C3B" w14:paraId="482F4539" w14:textId="77777777">
        <w:trPr>
          <w:trHeight w:val="300"/>
        </w:trPr>
        <w:tc>
          <w:tcPr>
            <w:tcW w:w="6804" w:type="dxa"/>
            <w:tcBorders>
              <w:left w:val="nil"/>
              <w:right w:val="nil"/>
            </w:tcBorders>
            <w:noWrap/>
            <w:hideMark/>
          </w:tcPr>
          <w:p w:rsidRPr="00EA2A25" w:rsidR="006F5266" w:rsidP="00A87C3B" w:rsidRDefault="006F5266" w14:paraId="23F947A5" w14:textId="77777777">
            <w:pPr>
              <w:ind w:firstLine="200" w:firstLineChars="100"/>
              <w:rPr>
                <w:rFonts w:ascii="Arial" w:hAnsi="Arial" w:eastAsia="Times New Roman" w:cs="Arial"/>
                <w:sz w:val="20"/>
                <w:szCs w:val="20"/>
              </w:rPr>
            </w:pPr>
            <w:r w:rsidRPr="00EA2A25">
              <w:rPr>
                <w:rFonts w:ascii="Arial" w:hAnsi="Arial"/>
                <w:sz w:val="20"/>
              </w:rPr>
              <w:t>e. Euro (EUR)</w:t>
            </w:r>
          </w:p>
        </w:tc>
        <w:tc>
          <w:tcPr>
            <w:tcW w:w="2745" w:type="dxa"/>
            <w:tcBorders>
              <w:left w:val="nil"/>
              <w:right w:val="nil"/>
            </w:tcBorders>
            <w:noWrap/>
            <w:hideMark/>
          </w:tcPr>
          <w:p w:rsidRPr="00EA2A25" w:rsidR="006F5266" w:rsidP="00A87C3B" w:rsidRDefault="006F5266" w14:paraId="2D3E4023" w14:textId="77777777">
            <w:pPr>
              <w:jc w:val="right"/>
              <w:rPr>
                <w:rFonts w:ascii="Arial" w:hAnsi="Arial" w:eastAsia="Times New Roman" w:cs="Arial"/>
                <w:sz w:val="20"/>
                <w:szCs w:val="20"/>
              </w:rPr>
            </w:pPr>
            <w:r w:rsidRPr="00EA2A25">
              <w:rPr>
                <w:rFonts w:ascii="Arial" w:hAnsi="Arial"/>
                <w:sz w:val="20"/>
              </w:rPr>
              <w:t> </w:t>
            </w:r>
          </w:p>
        </w:tc>
      </w:tr>
      <w:tr w:rsidRPr="00EA2A25" w:rsidR="006F5266" w:rsidTr="00A87C3B" w14:paraId="0E6A1210" w14:textId="77777777">
        <w:trPr>
          <w:trHeight w:val="300"/>
        </w:trPr>
        <w:tc>
          <w:tcPr>
            <w:tcW w:w="6804" w:type="dxa"/>
            <w:tcBorders>
              <w:left w:val="nil"/>
              <w:right w:val="nil"/>
            </w:tcBorders>
            <w:noWrap/>
            <w:hideMark/>
          </w:tcPr>
          <w:p w:rsidRPr="00EA2A25" w:rsidR="006F5266" w:rsidP="00A87C3B" w:rsidRDefault="006F5266" w14:paraId="587F729F" w14:textId="77777777">
            <w:pPr>
              <w:ind w:firstLine="200" w:firstLineChars="100"/>
              <w:rPr>
                <w:rFonts w:ascii="Arial" w:hAnsi="Arial" w:eastAsia="Times New Roman" w:cs="Arial"/>
                <w:sz w:val="20"/>
                <w:szCs w:val="20"/>
              </w:rPr>
            </w:pPr>
            <w:r w:rsidRPr="00EA2A25">
              <w:rPr>
                <w:rFonts w:ascii="Arial" w:hAnsi="Arial"/>
                <w:sz w:val="20"/>
              </w:rPr>
              <w:t>f. Livre britannique (GBP)</w:t>
            </w:r>
          </w:p>
        </w:tc>
        <w:tc>
          <w:tcPr>
            <w:tcW w:w="2745" w:type="dxa"/>
            <w:tcBorders>
              <w:left w:val="nil"/>
              <w:right w:val="nil"/>
            </w:tcBorders>
            <w:noWrap/>
            <w:hideMark/>
          </w:tcPr>
          <w:p w:rsidRPr="00EA2A25" w:rsidR="006F5266" w:rsidP="00A87C3B" w:rsidRDefault="006F5266" w14:paraId="2C5D3294" w14:textId="77777777">
            <w:pPr>
              <w:jc w:val="right"/>
              <w:rPr>
                <w:rFonts w:ascii="Arial" w:hAnsi="Arial" w:eastAsia="Times New Roman" w:cs="Arial"/>
                <w:sz w:val="20"/>
                <w:szCs w:val="20"/>
              </w:rPr>
            </w:pPr>
            <w:r w:rsidRPr="00EA2A25">
              <w:rPr>
                <w:rFonts w:ascii="Arial" w:hAnsi="Arial"/>
                <w:sz w:val="20"/>
              </w:rPr>
              <w:t> </w:t>
            </w:r>
          </w:p>
        </w:tc>
      </w:tr>
      <w:tr w:rsidRPr="00EA2A25" w:rsidR="006F5266" w:rsidTr="00A87C3B" w14:paraId="4F426643" w14:textId="77777777">
        <w:trPr>
          <w:trHeight w:val="300"/>
        </w:trPr>
        <w:tc>
          <w:tcPr>
            <w:tcW w:w="6804" w:type="dxa"/>
            <w:tcBorders>
              <w:left w:val="nil"/>
              <w:right w:val="nil"/>
            </w:tcBorders>
            <w:noWrap/>
            <w:hideMark/>
          </w:tcPr>
          <w:p w:rsidRPr="00EA2A25" w:rsidR="006F5266" w:rsidP="00A87C3B" w:rsidRDefault="006F5266" w14:paraId="1643AF6E" w14:textId="77777777">
            <w:pPr>
              <w:ind w:firstLine="200" w:firstLineChars="100"/>
              <w:rPr>
                <w:rFonts w:ascii="Arial" w:hAnsi="Arial" w:eastAsia="Times New Roman" w:cs="Arial"/>
                <w:sz w:val="20"/>
                <w:szCs w:val="20"/>
              </w:rPr>
            </w:pPr>
            <w:r w:rsidRPr="00EA2A25">
              <w:rPr>
                <w:rFonts w:ascii="Arial" w:hAnsi="Arial"/>
                <w:sz w:val="20"/>
              </w:rPr>
              <w:t>g. Dollar de Hong Kong (HKD)</w:t>
            </w:r>
          </w:p>
        </w:tc>
        <w:tc>
          <w:tcPr>
            <w:tcW w:w="2745" w:type="dxa"/>
            <w:tcBorders>
              <w:left w:val="nil"/>
              <w:right w:val="nil"/>
            </w:tcBorders>
            <w:noWrap/>
            <w:hideMark/>
          </w:tcPr>
          <w:p w:rsidRPr="00EA2A25" w:rsidR="006F5266" w:rsidP="00A87C3B" w:rsidRDefault="006F5266" w14:paraId="3DADCA9B" w14:textId="77777777">
            <w:pPr>
              <w:jc w:val="right"/>
              <w:rPr>
                <w:rFonts w:ascii="Arial" w:hAnsi="Arial" w:eastAsia="Times New Roman" w:cs="Arial"/>
                <w:sz w:val="20"/>
                <w:szCs w:val="20"/>
              </w:rPr>
            </w:pPr>
            <w:r w:rsidRPr="00EA2A25">
              <w:rPr>
                <w:rFonts w:ascii="Arial" w:hAnsi="Arial"/>
                <w:sz w:val="20"/>
              </w:rPr>
              <w:t> </w:t>
            </w:r>
          </w:p>
        </w:tc>
      </w:tr>
      <w:tr w:rsidRPr="00EA2A25" w:rsidR="006F5266" w:rsidTr="00A87C3B" w14:paraId="3CE6CF5B" w14:textId="77777777">
        <w:trPr>
          <w:trHeight w:val="300"/>
        </w:trPr>
        <w:tc>
          <w:tcPr>
            <w:tcW w:w="6804" w:type="dxa"/>
            <w:tcBorders>
              <w:left w:val="nil"/>
              <w:right w:val="nil"/>
            </w:tcBorders>
            <w:noWrap/>
            <w:hideMark/>
          </w:tcPr>
          <w:p w:rsidRPr="00EA2A25" w:rsidR="006F5266" w:rsidP="00A87C3B" w:rsidRDefault="004D36AC" w14:paraId="4159FCE5" w14:textId="59E475D9">
            <w:pPr>
              <w:ind w:firstLine="200" w:firstLineChars="100"/>
              <w:rPr>
                <w:rFonts w:ascii="Arial" w:hAnsi="Arial" w:eastAsia="Times New Roman" w:cs="Arial"/>
                <w:sz w:val="20"/>
                <w:szCs w:val="20"/>
              </w:rPr>
            </w:pPr>
            <w:r>
              <w:rPr>
                <w:rFonts w:ascii="Arial" w:hAnsi="Arial"/>
                <w:sz w:val="20"/>
              </w:rPr>
              <w:t>h</w:t>
            </w:r>
            <w:r w:rsidRPr="00EA2A25" w:rsidR="006F5266">
              <w:rPr>
                <w:rFonts w:ascii="Arial" w:hAnsi="Arial"/>
                <w:sz w:val="20"/>
              </w:rPr>
              <w:t>. Roupie indienne (INR)</w:t>
            </w:r>
          </w:p>
        </w:tc>
        <w:tc>
          <w:tcPr>
            <w:tcW w:w="2745" w:type="dxa"/>
            <w:tcBorders>
              <w:left w:val="nil"/>
              <w:right w:val="nil"/>
            </w:tcBorders>
            <w:noWrap/>
            <w:hideMark/>
          </w:tcPr>
          <w:p w:rsidRPr="00EA2A25" w:rsidR="006F5266" w:rsidP="00A87C3B" w:rsidRDefault="006F5266" w14:paraId="3447ADE4" w14:textId="77777777">
            <w:pPr>
              <w:jc w:val="right"/>
              <w:rPr>
                <w:rFonts w:ascii="Arial" w:hAnsi="Arial" w:eastAsia="Times New Roman" w:cs="Arial"/>
                <w:sz w:val="20"/>
                <w:szCs w:val="20"/>
              </w:rPr>
            </w:pPr>
            <w:r w:rsidRPr="00EA2A25">
              <w:rPr>
                <w:rFonts w:ascii="Arial" w:hAnsi="Arial"/>
                <w:sz w:val="20"/>
              </w:rPr>
              <w:t> </w:t>
            </w:r>
          </w:p>
        </w:tc>
      </w:tr>
      <w:tr w:rsidRPr="00EA2A25" w:rsidR="006F5266" w:rsidTr="00A87C3B" w14:paraId="25DE515D" w14:textId="77777777">
        <w:trPr>
          <w:trHeight w:val="300"/>
        </w:trPr>
        <w:tc>
          <w:tcPr>
            <w:tcW w:w="6804" w:type="dxa"/>
            <w:tcBorders>
              <w:left w:val="nil"/>
              <w:right w:val="nil"/>
            </w:tcBorders>
            <w:noWrap/>
            <w:hideMark/>
          </w:tcPr>
          <w:p w:rsidRPr="00EA2A25" w:rsidR="006F5266" w:rsidP="00A87C3B" w:rsidRDefault="006F5266" w14:paraId="7DADB37E" w14:textId="77777777">
            <w:pPr>
              <w:ind w:firstLine="200" w:firstLineChars="100"/>
              <w:rPr>
                <w:rFonts w:ascii="Arial" w:hAnsi="Arial" w:eastAsia="Times New Roman" w:cs="Arial"/>
                <w:sz w:val="20"/>
                <w:szCs w:val="20"/>
              </w:rPr>
            </w:pPr>
            <w:r w:rsidRPr="00EA2A25">
              <w:rPr>
                <w:rFonts w:ascii="Arial" w:hAnsi="Arial"/>
                <w:sz w:val="20"/>
              </w:rPr>
              <w:t>i. Yen japonais (JPY)</w:t>
            </w:r>
          </w:p>
        </w:tc>
        <w:tc>
          <w:tcPr>
            <w:tcW w:w="2745" w:type="dxa"/>
            <w:tcBorders>
              <w:left w:val="nil"/>
              <w:right w:val="nil"/>
            </w:tcBorders>
            <w:noWrap/>
            <w:hideMark/>
          </w:tcPr>
          <w:p w:rsidRPr="00EA2A25" w:rsidR="006F5266" w:rsidP="00A87C3B" w:rsidRDefault="006F5266" w14:paraId="0BCBD606" w14:textId="77777777">
            <w:pPr>
              <w:jc w:val="right"/>
              <w:rPr>
                <w:rFonts w:ascii="Arial" w:hAnsi="Arial" w:eastAsia="Times New Roman" w:cs="Arial"/>
                <w:sz w:val="20"/>
                <w:szCs w:val="20"/>
              </w:rPr>
            </w:pPr>
            <w:r w:rsidRPr="00EA2A25">
              <w:rPr>
                <w:rFonts w:ascii="Arial" w:hAnsi="Arial"/>
                <w:sz w:val="20"/>
              </w:rPr>
              <w:t> </w:t>
            </w:r>
          </w:p>
        </w:tc>
      </w:tr>
      <w:tr w:rsidRPr="00EA2A25" w:rsidR="006F5266" w:rsidTr="00A87C3B" w14:paraId="526DE0D9" w14:textId="77777777">
        <w:trPr>
          <w:trHeight w:val="300"/>
        </w:trPr>
        <w:tc>
          <w:tcPr>
            <w:tcW w:w="6804" w:type="dxa"/>
            <w:tcBorders>
              <w:left w:val="nil"/>
              <w:right w:val="nil"/>
            </w:tcBorders>
            <w:noWrap/>
            <w:hideMark/>
          </w:tcPr>
          <w:p w:rsidRPr="00EA2A25" w:rsidR="006F5266" w:rsidP="00A87C3B" w:rsidRDefault="006F5266" w14:paraId="5CE42491" w14:textId="77777777">
            <w:pPr>
              <w:ind w:firstLine="200" w:firstLineChars="100"/>
              <w:rPr>
                <w:rFonts w:ascii="Arial" w:hAnsi="Arial" w:eastAsia="Times New Roman" w:cs="Arial"/>
                <w:sz w:val="20"/>
                <w:szCs w:val="20"/>
              </w:rPr>
            </w:pPr>
            <w:r w:rsidRPr="00EA2A25">
              <w:rPr>
                <w:rFonts w:ascii="Arial" w:hAnsi="Arial"/>
                <w:sz w:val="20"/>
              </w:rPr>
              <w:t>j. Dollar néo-zélandais (NZD)</w:t>
            </w:r>
          </w:p>
        </w:tc>
        <w:tc>
          <w:tcPr>
            <w:tcW w:w="2745" w:type="dxa"/>
            <w:tcBorders>
              <w:left w:val="nil"/>
              <w:right w:val="nil"/>
            </w:tcBorders>
            <w:noWrap/>
            <w:hideMark/>
          </w:tcPr>
          <w:p w:rsidRPr="00EA2A25" w:rsidR="006F5266" w:rsidP="00A87C3B" w:rsidRDefault="006F5266" w14:paraId="375BA8F7" w14:textId="77777777">
            <w:pPr>
              <w:jc w:val="right"/>
              <w:rPr>
                <w:rFonts w:ascii="Arial" w:hAnsi="Arial" w:eastAsia="Times New Roman" w:cs="Arial"/>
                <w:sz w:val="20"/>
                <w:szCs w:val="20"/>
              </w:rPr>
            </w:pPr>
            <w:r w:rsidRPr="00EA2A25">
              <w:rPr>
                <w:rFonts w:ascii="Arial" w:hAnsi="Arial"/>
                <w:sz w:val="20"/>
              </w:rPr>
              <w:t> </w:t>
            </w:r>
          </w:p>
        </w:tc>
      </w:tr>
      <w:tr w:rsidRPr="00EA2A25" w:rsidR="006F5266" w:rsidTr="00A87C3B" w14:paraId="0D3B0AAE" w14:textId="77777777">
        <w:trPr>
          <w:trHeight w:val="300"/>
        </w:trPr>
        <w:tc>
          <w:tcPr>
            <w:tcW w:w="6804" w:type="dxa"/>
            <w:tcBorders>
              <w:left w:val="nil"/>
              <w:right w:val="nil"/>
            </w:tcBorders>
            <w:noWrap/>
            <w:hideMark/>
          </w:tcPr>
          <w:p w:rsidRPr="00EA2A25" w:rsidR="006F5266" w:rsidP="00A87C3B" w:rsidRDefault="006F5266" w14:paraId="5C57CBDB" w14:textId="77777777">
            <w:pPr>
              <w:ind w:firstLine="200" w:firstLineChars="100"/>
              <w:rPr>
                <w:rFonts w:ascii="Arial" w:hAnsi="Arial" w:eastAsia="Times New Roman" w:cs="Arial"/>
                <w:sz w:val="20"/>
                <w:szCs w:val="20"/>
              </w:rPr>
            </w:pPr>
            <w:r w:rsidRPr="00EA2A25">
              <w:rPr>
                <w:rFonts w:ascii="Arial" w:hAnsi="Arial"/>
                <w:sz w:val="20"/>
              </w:rPr>
              <w:t>k. Couronne suédoise (SEK)</w:t>
            </w:r>
          </w:p>
        </w:tc>
        <w:tc>
          <w:tcPr>
            <w:tcW w:w="2745" w:type="dxa"/>
            <w:tcBorders>
              <w:left w:val="nil"/>
              <w:right w:val="nil"/>
            </w:tcBorders>
            <w:noWrap/>
            <w:hideMark/>
          </w:tcPr>
          <w:p w:rsidRPr="00EA2A25" w:rsidR="006F5266" w:rsidP="00A87C3B" w:rsidRDefault="006F5266" w14:paraId="2F348765" w14:textId="77777777">
            <w:pPr>
              <w:jc w:val="right"/>
              <w:rPr>
                <w:rFonts w:ascii="Arial" w:hAnsi="Arial" w:eastAsia="Times New Roman" w:cs="Arial"/>
                <w:sz w:val="20"/>
                <w:szCs w:val="20"/>
              </w:rPr>
            </w:pPr>
            <w:r w:rsidRPr="00EA2A25">
              <w:rPr>
                <w:rFonts w:ascii="Arial" w:hAnsi="Arial"/>
                <w:sz w:val="20"/>
              </w:rPr>
              <w:t> </w:t>
            </w:r>
          </w:p>
        </w:tc>
      </w:tr>
      <w:tr w:rsidRPr="00EA2A25" w:rsidR="006F5266" w:rsidTr="00A87C3B" w14:paraId="55D3C9C6" w14:textId="77777777">
        <w:trPr>
          <w:trHeight w:val="300"/>
        </w:trPr>
        <w:tc>
          <w:tcPr>
            <w:tcW w:w="6804" w:type="dxa"/>
            <w:tcBorders>
              <w:left w:val="nil"/>
              <w:right w:val="nil"/>
            </w:tcBorders>
            <w:noWrap/>
            <w:hideMark/>
          </w:tcPr>
          <w:p w:rsidRPr="00EA2A25" w:rsidR="006F5266" w:rsidP="00A87C3B" w:rsidRDefault="006F5266" w14:paraId="2D1578A6" w14:textId="77777777">
            <w:pPr>
              <w:ind w:firstLine="200" w:firstLineChars="100"/>
              <w:rPr>
                <w:rFonts w:ascii="Arial" w:hAnsi="Arial" w:eastAsia="Times New Roman" w:cs="Arial"/>
                <w:sz w:val="20"/>
                <w:szCs w:val="20"/>
              </w:rPr>
            </w:pPr>
            <w:r w:rsidRPr="00EA2A25">
              <w:rPr>
                <w:rFonts w:ascii="Arial" w:hAnsi="Arial"/>
                <w:sz w:val="20"/>
              </w:rPr>
              <w:t>l. Dollar des États-Unis (USD)</w:t>
            </w:r>
          </w:p>
        </w:tc>
        <w:tc>
          <w:tcPr>
            <w:tcW w:w="2745" w:type="dxa"/>
            <w:tcBorders>
              <w:left w:val="nil"/>
              <w:right w:val="nil"/>
            </w:tcBorders>
            <w:noWrap/>
            <w:hideMark/>
          </w:tcPr>
          <w:p w:rsidRPr="00EA2A25" w:rsidR="006F5266" w:rsidP="00A87C3B" w:rsidRDefault="006F5266" w14:paraId="2BC23E11" w14:textId="77777777">
            <w:pPr>
              <w:jc w:val="right"/>
              <w:rPr>
                <w:rFonts w:ascii="Arial" w:hAnsi="Arial" w:eastAsia="Times New Roman" w:cs="Arial"/>
                <w:sz w:val="20"/>
                <w:szCs w:val="20"/>
              </w:rPr>
            </w:pPr>
            <w:r w:rsidRPr="00EA2A25">
              <w:rPr>
                <w:rFonts w:ascii="Arial" w:hAnsi="Arial"/>
                <w:sz w:val="20"/>
              </w:rPr>
              <w:t> </w:t>
            </w:r>
          </w:p>
        </w:tc>
      </w:tr>
      <w:tr w:rsidRPr="00EA2A25" w:rsidR="006F5266" w:rsidTr="00A87C3B" w14:paraId="67C4CB03" w14:textId="77777777">
        <w:trPr>
          <w:trHeight w:val="300"/>
        </w:trPr>
        <w:tc>
          <w:tcPr>
            <w:tcW w:w="6804" w:type="dxa"/>
            <w:tcBorders>
              <w:left w:val="nil"/>
              <w:bottom w:val="single" w:color="auto" w:sz="4" w:space="0"/>
              <w:right w:val="nil"/>
            </w:tcBorders>
            <w:noWrap/>
            <w:hideMark/>
          </w:tcPr>
          <w:p w:rsidRPr="00EA2A25" w:rsidR="006F5266" w:rsidP="00A87C3B" w:rsidRDefault="006F5266" w14:paraId="38F0823A" w14:textId="3FD2611B">
            <w:pPr>
              <w:ind w:firstLine="200" w:firstLineChars="100"/>
              <w:rPr>
                <w:rFonts w:ascii="Arial" w:hAnsi="Arial" w:eastAsia="Times New Roman" w:cs="Arial"/>
                <w:sz w:val="20"/>
                <w:szCs w:val="20"/>
              </w:rPr>
            </w:pPr>
            <w:r w:rsidRPr="00EA2A25">
              <w:rPr>
                <w:rFonts w:ascii="Arial" w:hAnsi="Arial"/>
                <w:sz w:val="20"/>
              </w:rPr>
              <w:t>m. Indicateur d’activités de paiement (somme des éléments 6.a jusqu’à</w:t>
            </w:r>
            <w:r w:rsidR="004D36AC">
              <w:rPr>
                <w:rFonts w:ascii="Arial" w:hAnsi="Arial"/>
                <w:sz w:val="20"/>
              </w:rPr>
              <w:t xml:space="preserve"> </w:t>
            </w:r>
            <w:r w:rsidRPr="00EA2A25">
              <w:rPr>
                <w:rFonts w:ascii="Arial" w:hAnsi="Arial"/>
                <w:sz w:val="20"/>
              </w:rPr>
              <w:t>6.l)</w:t>
            </w:r>
          </w:p>
        </w:tc>
        <w:tc>
          <w:tcPr>
            <w:tcW w:w="2745" w:type="dxa"/>
            <w:tcBorders>
              <w:left w:val="nil"/>
              <w:bottom w:val="single" w:color="auto" w:sz="4" w:space="0"/>
              <w:right w:val="nil"/>
            </w:tcBorders>
            <w:noWrap/>
            <w:hideMark/>
          </w:tcPr>
          <w:p w:rsidRPr="00EA2A25" w:rsidR="006F5266" w:rsidP="00A87C3B" w:rsidRDefault="006F5266" w14:paraId="7DC0C7FA" w14:textId="77777777">
            <w:pPr>
              <w:jc w:val="right"/>
              <w:rPr>
                <w:rFonts w:ascii="Arial" w:hAnsi="Arial" w:eastAsia="Times New Roman" w:cs="Arial"/>
                <w:sz w:val="20"/>
                <w:szCs w:val="20"/>
              </w:rPr>
            </w:pPr>
            <w:r w:rsidRPr="00EA2A25">
              <w:rPr>
                <w:rFonts w:ascii="Arial" w:hAnsi="Arial"/>
                <w:sz w:val="20"/>
              </w:rPr>
              <w:t xml:space="preserve"> </w:t>
            </w:r>
          </w:p>
        </w:tc>
      </w:tr>
      <w:tr w:rsidRPr="00EA2A25" w:rsidR="006F5266" w:rsidTr="00A87C3B" w14:paraId="4197B7F1" w14:textId="77777777">
        <w:trPr>
          <w:trHeight w:val="300"/>
        </w:trPr>
        <w:tc>
          <w:tcPr>
            <w:tcW w:w="6804" w:type="dxa"/>
            <w:tcBorders>
              <w:left w:val="nil"/>
              <w:bottom w:val="nil"/>
              <w:right w:val="nil"/>
            </w:tcBorders>
            <w:noWrap/>
          </w:tcPr>
          <w:p w:rsidRPr="00EA2A25" w:rsidR="006F5266" w:rsidP="00A87C3B" w:rsidRDefault="006F5266" w14:paraId="03AD2269"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EA2A25" w:rsidR="006F5266" w:rsidP="00A87C3B" w:rsidRDefault="006F5266" w14:paraId="240DD456" w14:textId="77777777">
            <w:pPr>
              <w:jc w:val="center"/>
              <w:rPr>
                <w:rFonts w:ascii="Arial" w:hAnsi="Arial" w:eastAsia="Times New Roman" w:cs="Arial"/>
                <w:b/>
                <w:bCs/>
                <w:sz w:val="20"/>
                <w:szCs w:val="20"/>
                <w:lang w:eastAsia="en-GB"/>
              </w:rPr>
            </w:pPr>
          </w:p>
        </w:tc>
      </w:tr>
      <w:tr w:rsidRPr="00EA2A25" w:rsidR="006F5266" w:rsidTr="00A87C3B" w14:paraId="3AED3059" w14:textId="77777777">
        <w:trPr>
          <w:trHeight w:val="300"/>
        </w:trPr>
        <w:tc>
          <w:tcPr>
            <w:tcW w:w="6804" w:type="dxa"/>
            <w:tcBorders>
              <w:top w:val="nil"/>
              <w:left w:val="nil"/>
              <w:bottom w:val="single" w:color="auto" w:sz="4" w:space="0"/>
              <w:right w:val="nil"/>
            </w:tcBorders>
            <w:noWrap/>
            <w:hideMark/>
          </w:tcPr>
          <w:p w:rsidRPr="00EA2A25" w:rsidR="006F5266" w:rsidP="00A87C3B" w:rsidRDefault="006F5266" w14:paraId="74786413" w14:textId="77777777">
            <w:pPr>
              <w:rPr>
                <w:rFonts w:ascii="Arial" w:hAnsi="Arial" w:eastAsia="Times New Roman" w:cs="Arial"/>
                <w:b/>
                <w:bCs/>
                <w:sz w:val="20"/>
                <w:szCs w:val="20"/>
              </w:rPr>
            </w:pPr>
            <w:r w:rsidRPr="00EA2A25">
              <w:rPr>
                <w:rFonts w:ascii="Arial" w:hAnsi="Arial"/>
                <w:b/>
                <w:sz w:val="20"/>
              </w:rPr>
              <w:t>Section 7 - Actifs sous conservation</w:t>
            </w:r>
          </w:p>
        </w:tc>
        <w:tc>
          <w:tcPr>
            <w:tcW w:w="2745" w:type="dxa"/>
            <w:tcBorders>
              <w:top w:val="nil"/>
              <w:left w:val="nil"/>
              <w:bottom w:val="single" w:color="auto" w:sz="4" w:space="0"/>
              <w:right w:val="nil"/>
            </w:tcBorders>
            <w:hideMark/>
          </w:tcPr>
          <w:p w:rsidRPr="00EA2A25" w:rsidR="006F5266" w:rsidP="00A87C3B" w:rsidRDefault="006F5266" w14:paraId="49A430B3" w14:textId="77777777">
            <w:pPr>
              <w:jc w:val="center"/>
              <w:rPr>
                <w:rFonts w:ascii="Arial" w:hAnsi="Arial" w:eastAsia="Times New Roman" w:cs="Arial"/>
                <w:b/>
                <w:bCs/>
                <w:sz w:val="20"/>
                <w:szCs w:val="20"/>
              </w:rPr>
            </w:pPr>
            <w:r w:rsidRPr="00EA2A25">
              <w:rPr>
                <w:rFonts w:ascii="Arial" w:hAnsi="Arial"/>
                <w:b/>
                <w:sz w:val="20"/>
              </w:rPr>
              <w:t>Montant</w:t>
            </w:r>
          </w:p>
        </w:tc>
      </w:tr>
      <w:tr w:rsidRPr="00EA2A25" w:rsidR="006F5266" w:rsidTr="00A87C3B" w14:paraId="47D7B0A8" w14:textId="77777777">
        <w:trPr>
          <w:trHeight w:val="300"/>
        </w:trPr>
        <w:tc>
          <w:tcPr>
            <w:tcW w:w="6804" w:type="dxa"/>
            <w:tcBorders>
              <w:left w:val="nil"/>
              <w:bottom w:val="single" w:color="auto" w:sz="4" w:space="0"/>
              <w:right w:val="nil"/>
            </w:tcBorders>
            <w:noWrap/>
            <w:hideMark/>
          </w:tcPr>
          <w:p w:rsidRPr="00EA2A25" w:rsidR="006F5266" w:rsidP="00A87C3B" w:rsidRDefault="006F5266" w14:paraId="3864A0B2" w14:textId="77777777">
            <w:pPr>
              <w:ind w:firstLine="200" w:firstLineChars="100"/>
              <w:rPr>
                <w:rFonts w:ascii="Arial" w:hAnsi="Arial" w:eastAsia="Times New Roman" w:cs="Arial"/>
                <w:sz w:val="20"/>
                <w:szCs w:val="20"/>
              </w:rPr>
            </w:pPr>
            <w:r w:rsidRPr="00EA2A25">
              <w:rPr>
                <w:rFonts w:ascii="Arial" w:hAnsi="Arial"/>
                <w:sz w:val="20"/>
              </w:rPr>
              <w:t>a. Indicateur d’actifs sous conservation</w:t>
            </w:r>
          </w:p>
        </w:tc>
        <w:tc>
          <w:tcPr>
            <w:tcW w:w="2745" w:type="dxa"/>
            <w:tcBorders>
              <w:left w:val="nil"/>
              <w:bottom w:val="single" w:color="auto" w:sz="4" w:space="0"/>
              <w:right w:val="nil"/>
            </w:tcBorders>
            <w:noWrap/>
            <w:hideMark/>
          </w:tcPr>
          <w:p w:rsidRPr="00EA2A25" w:rsidR="006F5266" w:rsidP="00A87C3B" w:rsidRDefault="006F5266" w14:paraId="0775A8C1" w14:textId="77777777">
            <w:pPr>
              <w:jc w:val="right"/>
              <w:rPr>
                <w:rFonts w:ascii="Arial" w:hAnsi="Arial" w:eastAsia="Times New Roman" w:cs="Arial"/>
                <w:sz w:val="20"/>
                <w:szCs w:val="20"/>
              </w:rPr>
            </w:pPr>
            <w:r w:rsidRPr="00EA2A25">
              <w:rPr>
                <w:rFonts w:ascii="Arial" w:hAnsi="Arial"/>
                <w:sz w:val="20"/>
              </w:rPr>
              <w:t> </w:t>
            </w:r>
          </w:p>
        </w:tc>
      </w:tr>
      <w:tr w:rsidRPr="00EA2A25" w:rsidR="006F5266" w:rsidTr="00A87C3B" w14:paraId="7CD86215" w14:textId="77777777">
        <w:trPr>
          <w:trHeight w:val="300"/>
        </w:trPr>
        <w:tc>
          <w:tcPr>
            <w:tcW w:w="6804" w:type="dxa"/>
            <w:tcBorders>
              <w:left w:val="nil"/>
              <w:bottom w:val="nil"/>
              <w:right w:val="nil"/>
            </w:tcBorders>
            <w:noWrap/>
          </w:tcPr>
          <w:p w:rsidRPr="00EA2A25" w:rsidR="006F5266" w:rsidP="00A87C3B" w:rsidRDefault="006F5266" w14:paraId="38A0EDE1" w14:textId="77777777">
            <w:pPr>
              <w:rPr>
                <w:rFonts w:ascii="Arial" w:hAnsi="Arial" w:eastAsia="Times New Roman" w:cs="Arial"/>
                <w:b/>
                <w:bCs/>
                <w:sz w:val="20"/>
                <w:szCs w:val="20"/>
                <w:lang w:eastAsia="en-GB"/>
              </w:rPr>
            </w:pPr>
          </w:p>
        </w:tc>
        <w:tc>
          <w:tcPr>
            <w:tcW w:w="2745" w:type="dxa"/>
            <w:tcBorders>
              <w:left w:val="nil"/>
              <w:bottom w:val="nil"/>
              <w:right w:val="nil"/>
            </w:tcBorders>
            <w:noWrap/>
          </w:tcPr>
          <w:p w:rsidRPr="00EA2A25" w:rsidR="006F5266" w:rsidP="00A87C3B" w:rsidRDefault="006F5266" w14:paraId="10D2AA35" w14:textId="77777777">
            <w:pPr>
              <w:jc w:val="center"/>
              <w:rPr>
                <w:rFonts w:ascii="Arial" w:hAnsi="Arial" w:eastAsia="Times New Roman" w:cs="Arial"/>
                <w:b/>
                <w:bCs/>
                <w:sz w:val="20"/>
                <w:szCs w:val="20"/>
                <w:lang w:eastAsia="en-GB"/>
              </w:rPr>
            </w:pPr>
          </w:p>
        </w:tc>
      </w:tr>
      <w:tr w:rsidRPr="00EA2A25" w:rsidR="006F5266" w:rsidTr="00A87C3B" w14:paraId="7A4EE8AD" w14:textId="77777777">
        <w:trPr>
          <w:trHeight w:val="300"/>
        </w:trPr>
        <w:tc>
          <w:tcPr>
            <w:tcW w:w="6804" w:type="dxa"/>
            <w:tcBorders>
              <w:top w:val="nil"/>
              <w:left w:val="nil"/>
              <w:bottom w:val="single" w:color="auto" w:sz="4" w:space="0"/>
              <w:right w:val="nil"/>
            </w:tcBorders>
            <w:noWrap/>
          </w:tcPr>
          <w:p w:rsidRPr="00EA2A25" w:rsidR="006F5266" w:rsidP="00A87C3B" w:rsidRDefault="006F5266" w14:paraId="1437ADA0" w14:textId="77777777">
            <w:pPr>
              <w:rPr>
                <w:rFonts w:ascii="Arial" w:hAnsi="Arial" w:eastAsia="Times New Roman" w:cs="Arial"/>
                <w:sz w:val="20"/>
                <w:szCs w:val="20"/>
              </w:rPr>
            </w:pPr>
            <w:r w:rsidRPr="00EA2A25">
              <w:rPr>
                <w:rFonts w:ascii="Arial" w:hAnsi="Arial"/>
                <w:b/>
                <w:sz w:val="20"/>
              </w:rPr>
              <w:t>Section 8 - Opérations de prise ferme sur les marchés obligataires et boursiers</w:t>
            </w:r>
          </w:p>
        </w:tc>
        <w:tc>
          <w:tcPr>
            <w:tcW w:w="2745" w:type="dxa"/>
            <w:tcBorders>
              <w:top w:val="nil"/>
              <w:left w:val="nil"/>
              <w:bottom w:val="single" w:color="auto" w:sz="4" w:space="0"/>
              <w:right w:val="nil"/>
            </w:tcBorders>
            <w:noWrap/>
          </w:tcPr>
          <w:p w:rsidRPr="00EA2A25" w:rsidR="006F5266" w:rsidP="00A87C3B" w:rsidRDefault="006F5266" w14:paraId="370C9F7A" w14:textId="77777777">
            <w:pPr>
              <w:jc w:val="center"/>
              <w:rPr>
                <w:rFonts w:ascii="Arial" w:hAnsi="Arial" w:eastAsia="Times New Roman" w:cs="Arial"/>
                <w:b/>
                <w:bCs/>
                <w:sz w:val="20"/>
                <w:szCs w:val="20"/>
              </w:rPr>
            </w:pPr>
            <w:r w:rsidRPr="00EA2A25">
              <w:rPr>
                <w:rFonts w:ascii="Arial" w:hAnsi="Arial"/>
                <w:b/>
                <w:sz w:val="20"/>
              </w:rPr>
              <w:t>Montant</w:t>
            </w:r>
          </w:p>
        </w:tc>
      </w:tr>
      <w:tr w:rsidRPr="00EA2A25" w:rsidR="006F5266" w:rsidTr="00A87C3B" w14:paraId="449056CD" w14:textId="77777777">
        <w:trPr>
          <w:trHeight w:val="300"/>
        </w:trPr>
        <w:tc>
          <w:tcPr>
            <w:tcW w:w="6804" w:type="dxa"/>
            <w:tcBorders>
              <w:left w:val="nil"/>
              <w:right w:val="nil"/>
            </w:tcBorders>
            <w:noWrap/>
            <w:hideMark/>
          </w:tcPr>
          <w:p w:rsidRPr="00EA2A25" w:rsidR="006F5266" w:rsidP="00A87C3B" w:rsidRDefault="006F5266" w14:paraId="4041417D" w14:textId="77777777">
            <w:pPr>
              <w:ind w:firstLine="200" w:firstLineChars="100"/>
              <w:rPr>
                <w:rFonts w:ascii="Arial" w:hAnsi="Arial" w:eastAsia="Times New Roman" w:cs="Arial"/>
                <w:sz w:val="20"/>
                <w:szCs w:val="20"/>
              </w:rPr>
            </w:pPr>
            <w:r w:rsidRPr="00EA2A25">
              <w:rPr>
                <w:rFonts w:ascii="Arial" w:hAnsi="Arial"/>
                <w:sz w:val="20"/>
              </w:rPr>
              <w:t>a. Activité de prise ferme d’actions</w:t>
            </w:r>
          </w:p>
        </w:tc>
        <w:tc>
          <w:tcPr>
            <w:tcW w:w="2745" w:type="dxa"/>
            <w:tcBorders>
              <w:left w:val="nil"/>
              <w:right w:val="nil"/>
            </w:tcBorders>
            <w:noWrap/>
            <w:hideMark/>
          </w:tcPr>
          <w:p w:rsidRPr="00EA2A25" w:rsidR="006F5266" w:rsidP="00A87C3B" w:rsidRDefault="006F5266" w14:paraId="227A3001" w14:textId="77777777">
            <w:pPr>
              <w:jc w:val="right"/>
              <w:rPr>
                <w:rFonts w:ascii="Arial" w:hAnsi="Arial" w:eastAsia="Times New Roman" w:cs="Arial"/>
                <w:sz w:val="20"/>
                <w:szCs w:val="20"/>
              </w:rPr>
            </w:pPr>
            <w:r w:rsidRPr="00EA2A25">
              <w:rPr>
                <w:rFonts w:ascii="Arial" w:hAnsi="Arial"/>
                <w:sz w:val="20"/>
              </w:rPr>
              <w:t> </w:t>
            </w:r>
          </w:p>
        </w:tc>
      </w:tr>
      <w:tr w:rsidRPr="00EA2A25" w:rsidR="006F5266" w:rsidTr="00A87C3B" w14:paraId="1175D808" w14:textId="77777777">
        <w:trPr>
          <w:trHeight w:val="300"/>
        </w:trPr>
        <w:tc>
          <w:tcPr>
            <w:tcW w:w="6804" w:type="dxa"/>
            <w:tcBorders>
              <w:left w:val="nil"/>
              <w:right w:val="nil"/>
            </w:tcBorders>
            <w:noWrap/>
            <w:hideMark/>
          </w:tcPr>
          <w:p w:rsidRPr="00EA2A25" w:rsidR="006F5266" w:rsidP="00A87C3B" w:rsidRDefault="006F5266" w14:paraId="705ED867" w14:textId="77777777">
            <w:pPr>
              <w:ind w:firstLine="200" w:firstLineChars="100"/>
              <w:rPr>
                <w:rFonts w:ascii="Arial" w:hAnsi="Arial" w:eastAsia="Times New Roman" w:cs="Arial"/>
                <w:sz w:val="20"/>
                <w:szCs w:val="20"/>
              </w:rPr>
            </w:pPr>
            <w:r w:rsidRPr="00EA2A25">
              <w:rPr>
                <w:rFonts w:ascii="Arial" w:hAnsi="Arial"/>
                <w:sz w:val="20"/>
              </w:rPr>
              <w:lastRenderedPageBreak/>
              <w:t>b. Activité de prise ferme de titres de créance</w:t>
            </w:r>
          </w:p>
        </w:tc>
        <w:tc>
          <w:tcPr>
            <w:tcW w:w="2745" w:type="dxa"/>
            <w:tcBorders>
              <w:left w:val="nil"/>
              <w:right w:val="nil"/>
            </w:tcBorders>
            <w:noWrap/>
            <w:hideMark/>
          </w:tcPr>
          <w:p w:rsidRPr="00EA2A25" w:rsidR="006F5266" w:rsidP="00A87C3B" w:rsidRDefault="006F5266" w14:paraId="01A0D0C5" w14:textId="77777777">
            <w:pPr>
              <w:jc w:val="right"/>
              <w:rPr>
                <w:rFonts w:ascii="Arial" w:hAnsi="Arial" w:eastAsia="Times New Roman" w:cs="Arial"/>
                <w:sz w:val="20"/>
                <w:szCs w:val="20"/>
              </w:rPr>
            </w:pPr>
            <w:r w:rsidRPr="00EA2A25">
              <w:rPr>
                <w:rFonts w:ascii="Arial" w:hAnsi="Arial"/>
                <w:sz w:val="20"/>
              </w:rPr>
              <w:t> </w:t>
            </w:r>
          </w:p>
        </w:tc>
      </w:tr>
      <w:tr w:rsidRPr="00EA2A25" w:rsidR="006F5266" w:rsidTr="00A87C3B" w14:paraId="7FF3A5A0" w14:textId="77777777">
        <w:trPr>
          <w:trHeight w:val="300"/>
        </w:trPr>
        <w:tc>
          <w:tcPr>
            <w:tcW w:w="6804" w:type="dxa"/>
            <w:tcBorders>
              <w:left w:val="nil"/>
              <w:bottom w:val="single" w:color="auto" w:sz="4" w:space="0"/>
              <w:right w:val="nil"/>
            </w:tcBorders>
            <w:noWrap/>
            <w:hideMark/>
          </w:tcPr>
          <w:p w:rsidRPr="00EA2A25" w:rsidR="006F5266" w:rsidP="00A87C3B" w:rsidRDefault="006F5266" w14:paraId="70ED62CD" w14:textId="77777777">
            <w:pPr>
              <w:ind w:firstLine="200" w:firstLineChars="100"/>
              <w:rPr>
                <w:rFonts w:ascii="Arial" w:hAnsi="Arial" w:eastAsia="Times New Roman" w:cs="Arial"/>
                <w:sz w:val="20"/>
                <w:szCs w:val="20"/>
              </w:rPr>
            </w:pPr>
            <w:r w:rsidRPr="00EA2A25">
              <w:rPr>
                <w:rFonts w:ascii="Arial" w:hAnsi="Arial"/>
                <w:sz w:val="20"/>
              </w:rPr>
              <w:t>c. Indicateur d’activité de prise ferme (somme des éléments 8.a et 8.b)</w:t>
            </w:r>
          </w:p>
        </w:tc>
        <w:tc>
          <w:tcPr>
            <w:tcW w:w="2745" w:type="dxa"/>
            <w:tcBorders>
              <w:left w:val="nil"/>
              <w:bottom w:val="single" w:color="auto" w:sz="4" w:space="0"/>
              <w:right w:val="nil"/>
            </w:tcBorders>
            <w:noWrap/>
            <w:hideMark/>
          </w:tcPr>
          <w:p w:rsidRPr="00EA2A25" w:rsidR="006F5266" w:rsidP="00A87C3B" w:rsidRDefault="006F5266" w14:paraId="5DF44B25" w14:textId="77777777">
            <w:pPr>
              <w:jc w:val="right"/>
              <w:rPr>
                <w:rFonts w:ascii="Arial" w:hAnsi="Arial" w:eastAsia="Times New Roman" w:cs="Arial"/>
                <w:sz w:val="20"/>
                <w:szCs w:val="20"/>
              </w:rPr>
            </w:pPr>
            <w:r w:rsidRPr="00EA2A25">
              <w:rPr>
                <w:rFonts w:ascii="Arial" w:hAnsi="Arial"/>
                <w:sz w:val="20"/>
              </w:rPr>
              <w:t> </w:t>
            </w:r>
          </w:p>
        </w:tc>
      </w:tr>
      <w:tr w:rsidRPr="00EA2A25" w:rsidR="006F5266" w:rsidTr="00A87C3B" w14:paraId="30FD54A8" w14:textId="77777777">
        <w:trPr>
          <w:trHeight w:val="300"/>
        </w:trPr>
        <w:tc>
          <w:tcPr>
            <w:tcW w:w="6804" w:type="dxa"/>
            <w:tcBorders>
              <w:left w:val="nil"/>
              <w:bottom w:val="nil"/>
              <w:right w:val="nil"/>
            </w:tcBorders>
            <w:noWrap/>
          </w:tcPr>
          <w:p w:rsidRPr="00EA2A25" w:rsidR="006F5266" w:rsidP="00A87C3B" w:rsidRDefault="006F5266" w14:paraId="4125ED80"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EA2A25" w:rsidR="006F5266" w:rsidP="00A87C3B" w:rsidRDefault="006F5266" w14:paraId="6715236F" w14:textId="77777777">
            <w:pPr>
              <w:jc w:val="center"/>
              <w:rPr>
                <w:rFonts w:ascii="Arial" w:hAnsi="Arial" w:eastAsia="Times New Roman" w:cs="Arial"/>
                <w:b/>
                <w:bCs/>
                <w:sz w:val="20"/>
                <w:szCs w:val="20"/>
                <w:lang w:eastAsia="en-GB"/>
              </w:rPr>
            </w:pPr>
          </w:p>
        </w:tc>
      </w:tr>
      <w:tr w:rsidRPr="00EA2A25" w:rsidR="006F5266" w:rsidTr="00A87C3B" w14:paraId="00F61610" w14:textId="77777777">
        <w:trPr>
          <w:trHeight w:val="300"/>
        </w:trPr>
        <w:tc>
          <w:tcPr>
            <w:tcW w:w="6804" w:type="dxa"/>
            <w:tcBorders>
              <w:top w:val="nil"/>
              <w:left w:val="nil"/>
              <w:right w:val="nil"/>
            </w:tcBorders>
            <w:noWrap/>
            <w:hideMark/>
          </w:tcPr>
          <w:p w:rsidRPr="00EA2A25" w:rsidR="006F5266" w:rsidP="00A87C3B" w:rsidRDefault="006F5266" w14:paraId="01A58A20" w14:textId="77777777">
            <w:pPr>
              <w:rPr>
                <w:rFonts w:ascii="Arial" w:hAnsi="Arial" w:eastAsia="Times New Roman" w:cs="Arial"/>
                <w:b/>
                <w:bCs/>
                <w:sz w:val="20"/>
                <w:szCs w:val="20"/>
              </w:rPr>
            </w:pPr>
            <w:r w:rsidRPr="00EA2A25">
              <w:rPr>
                <w:rFonts w:ascii="Arial" w:hAnsi="Arial"/>
                <w:b/>
                <w:sz w:val="20"/>
              </w:rPr>
              <w:t>Section 9 – Volume d’échange</w:t>
            </w:r>
          </w:p>
        </w:tc>
        <w:tc>
          <w:tcPr>
            <w:tcW w:w="2745" w:type="dxa"/>
            <w:tcBorders>
              <w:top w:val="nil"/>
              <w:left w:val="nil"/>
              <w:right w:val="nil"/>
            </w:tcBorders>
            <w:hideMark/>
          </w:tcPr>
          <w:p w:rsidRPr="00EA2A25" w:rsidR="006F5266" w:rsidP="00A87C3B" w:rsidRDefault="006F5266" w14:paraId="46B09FFA" w14:textId="77777777">
            <w:pPr>
              <w:jc w:val="center"/>
              <w:rPr>
                <w:rFonts w:ascii="Arial" w:hAnsi="Arial" w:eastAsia="Times New Roman" w:cs="Arial"/>
                <w:b/>
                <w:bCs/>
                <w:sz w:val="20"/>
                <w:szCs w:val="20"/>
              </w:rPr>
            </w:pPr>
            <w:r w:rsidRPr="00EA2A25">
              <w:rPr>
                <w:rFonts w:ascii="Arial" w:hAnsi="Arial"/>
                <w:b/>
                <w:sz w:val="20"/>
              </w:rPr>
              <w:t>Montant</w:t>
            </w:r>
          </w:p>
        </w:tc>
      </w:tr>
      <w:tr w:rsidRPr="00EA2A25" w:rsidR="006F5266" w:rsidTr="00A87C3B" w14:paraId="0C420134" w14:textId="77777777">
        <w:trPr>
          <w:trHeight w:val="300"/>
        </w:trPr>
        <w:tc>
          <w:tcPr>
            <w:tcW w:w="6804" w:type="dxa"/>
            <w:tcBorders>
              <w:left w:val="nil"/>
              <w:right w:val="nil"/>
            </w:tcBorders>
            <w:noWrap/>
          </w:tcPr>
          <w:p w:rsidRPr="00EA2A25" w:rsidR="006F5266" w:rsidP="00A87C3B" w:rsidRDefault="006F5266" w14:paraId="7BB91363" w14:textId="77777777">
            <w:pPr>
              <w:ind w:left="171" w:firstLine="28" w:firstLineChars="14"/>
              <w:rPr>
                <w:rFonts w:ascii="Arial" w:hAnsi="Arial" w:eastAsia="Times New Roman" w:cs="Arial"/>
                <w:sz w:val="20"/>
                <w:szCs w:val="20"/>
              </w:rPr>
            </w:pPr>
            <w:r w:rsidRPr="00EA2A25">
              <w:rPr>
                <w:rFonts w:ascii="Arial" w:hAnsi="Arial"/>
                <w:sz w:val="20"/>
              </w:rPr>
              <w:t>a. Volume de négociation de titres émis par d’autres entités du secteur public, à l’exclusion des transactions intragroupe</w:t>
            </w:r>
          </w:p>
        </w:tc>
        <w:tc>
          <w:tcPr>
            <w:tcW w:w="2745" w:type="dxa"/>
            <w:tcBorders>
              <w:left w:val="nil"/>
              <w:right w:val="nil"/>
            </w:tcBorders>
            <w:noWrap/>
          </w:tcPr>
          <w:p w:rsidRPr="00EA2A25" w:rsidR="006F5266" w:rsidP="00A87C3B" w:rsidRDefault="006F5266" w14:paraId="0629CA49" w14:textId="77777777">
            <w:pPr>
              <w:jc w:val="right"/>
              <w:rPr>
                <w:rFonts w:ascii="Arial" w:hAnsi="Arial" w:eastAsia="Times New Roman" w:cs="Arial"/>
                <w:sz w:val="20"/>
                <w:szCs w:val="20"/>
                <w:lang w:eastAsia="en-GB"/>
              </w:rPr>
            </w:pPr>
          </w:p>
        </w:tc>
      </w:tr>
      <w:tr w:rsidRPr="00EA2A25" w:rsidR="006F5266" w:rsidTr="00A87C3B" w14:paraId="3A3F849B" w14:textId="77777777">
        <w:trPr>
          <w:trHeight w:val="300"/>
        </w:trPr>
        <w:tc>
          <w:tcPr>
            <w:tcW w:w="6804" w:type="dxa"/>
            <w:tcBorders>
              <w:left w:val="nil"/>
              <w:bottom w:val="single" w:color="auto" w:sz="4" w:space="0"/>
              <w:right w:val="nil"/>
            </w:tcBorders>
            <w:noWrap/>
            <w:hideMark/>
          </w:tcPr>
          <w:p w:rsidRPr="00EA2A25" w:rsidR="006F5266" w:rsidP="00A87C3B" w:rsidRDefault="006F5266" w14:paraId="5B34E196" w14:textId="77777777">
            <w:pPr>
              <w:ind w:left="171" w:firstLine="28" w:firstLineChars="14"/>
              <w:rPr>
                <w:rFonts w:ascii="Arial" w:hAnsi="Arial" w:eastAsia="Times New Roman" w:cs="Arial"/>
                <w:sz w:val="20"/>
                <w:szCs w:val="20"/>
              </w:rPr>
            </w:pPr>
            <w:r w:rsidRPr="00EA2A25">
              <w:rPr>
                <w:rFonts w:ascii="Arial" w:hAnsi="Arial"/>
                <w:sz w:val="20"/>
              </w:rPr>
              <w:t>b. Volume d’échange d’autres titres à revenu fixe, à l’exclusion des transactions intragroupe</w:t>
            </w:r>
          </w:p>
        </w:tc>
        <w:tc>
          <w:tcPr>
            <w:tcW w:w="2745" w:type="dxa"/>
            <w:tcBorders>
              <w:left w:val="nil"/>
              <w:right w:val="nil"/>
            </w:tcBorders>
            <w:noWrap/>
            <w:hideMark/>
          </w:tcPr>
          <w:p w:rsidRPr="00EA2A25" w:rsidR="006F5266" w:rsidP="00A87C3B" w:rsidRDefault="006F5266" w14:paraId="16BF0C17" w14:textId="77777777">
            <w:pPr>
              <w:jc w:val="right"/>
              <w:rPr>
                <w:rFonts w:ascii="Arial" w:hAnsi="Arial" w:eastAsia="Times New Roman" w:cs="Arial"/>
                <w:sz w:val="20"/>
                <w:szCs w:val="20"/>
              </w:rPr>
            </w:pPr>
            <w:r w:rsidRPr="00EA2A25">
              <w:rPr>
                <w:rFonts w:ascii="Arial" w:hAnsi="Arial"/>
                <w:sz w:val="20"/>
              </w:rPr>
              <w:t> </w:t>
            </w:r>
          </w:p>
        </w:tc>
      </w:tr>
      <w:tr w:rsidRPr="00EA2A25" w:rsidR="006F5266" w:rsidTr="00A87C3B" w14:paraId="6BA40C10" w14:textId="77777777">
        <w:trPr>
          <w:gridAfter w:val="1"/>
          <w:wAfter w:w="2745" w:type="dxa"/>
          <w:trHeight w:val="300"/>
        </w:trPr>
        <w:tc>
          <w:tcPr>
            <w:tcW w:w="6804" w:type="dxa"/>
            <w:tcBorders>
              <w:left w:val="nil"/>
              <w:bottom w:val="single" w:color="auto" w:sz="4" w:space="0"/>
              <w:right w:val="nil"/>
            </w:tcBorders>
            <w:noWrap/>
            <w:hideMark/>
          </w:tcPr>
          <w:p w:rsidRPr="00EA2A25" w:rsidR="006F5266" w:rsidP="00A87C3B" w:rsidRDefault="006F5266" w14:paraId="31CEF544" w14:textId="77777777">
            <w:pPr>
              <w:ind w:firstLine="200" w:firstLineChars="100"/>
              <w:rPr>
                <w:rFonts w:ascii="Arial" w:hAnsi="Arial" w:eastAsia="Times New Roman" w:cs="Arial"/>
                <w:sz w:val="20"/>
                <w:szCs w:val="20"/>
              </w:rPr>
            </w:pPr>
            <w:r w:rsidRPr="00EA2A25">
              <w:rPr>
                <w:rFonts w:ascii="Arial" w:hAnsi="Arial"/>
                <w:sz w:val="20"/>
              </w:rPr>
              <w:t>c. Sous-indicateur du volume des transactions à revenu fixe (somme des éléments 9.a. et 9.b.)</w:t>
            </w:r>
          </w:p>
        </w:tc>
      </w:tr>
      <w:tr w:rsidRPr="00EA2A25" w:rsidR="006F5266" w:rsidTr="00A87C3B" w14:paraId="38101E9B" w14:textId="77777777">
        <w:trPr>
          <w:trHeight w:val="300"/>
        </w:trPr>
        <w:tc>
          <w:tcPr>
            <w:tcW w:w="6804" w:type="dxa"/>
            <w:tcBorders>
              <w:left w:val="nil"/>
              <w:right w:val="nil"/>
            </w:tcBorders>
            <w:noWrap/>
            <w:hideMark/>
          </w:tcPr>
          <w:p w:rsidRPr="00EA2A25" w:rsidR="006F5266" w:rsidP="00A87C3B" w:rsidRDefault="006F5266" w14:paraId="0F6FC444" w14:textId="77777777">
            <w:pPr>
              <w:ind w:firstLine="200" w:firstLineChars="100"/>
              <w:rPr>
                <w:rFonts w:ascii="Arial" w:hAnsi="Arial" w:eastAsia="Times New Roman" w:cs="Arial"/>
                <w:sz w:val="20"/>
                <w:szCs w:val="20"/>
              </w:rPr>
            </w:pPr>
            <w:r w:rsidRPr="00EA2A25">
              <w:rPr>
                <w:rFonts w:ascii="Arial" w:hAnsi="Arial"/>
                <w:sz w:val="20"/>
              </w:rPr>
              <w:t>d. Volume de négociation d’actions cotées, à l’exclusion des transactions intragroupe</w:t>
            </w:r>
          </w:p>
        </w:tc>
        <w:tc>
          <w:tcPr>
            <w:tcW w:w="2745" w:type="dxa"/>
            <w:tcBorders>
              <w:left w:val="nil"/>
              <w:right w:val="nil"/>
            </w:tcBorders>
            <w:noWrap/>
            <w:hideMark/>
          </w:tcPr>
          <w:p w:rsidRPr="00EA2A25" w:rsidR="006F5266" w:rsidP="00A87C3B" w:rsidRDefault="006F5266" w14:paraId="4DC92152" w14:textId="77777777">
            <w:pPr>
              <w:jc w:val="right"/>
              <w:rPr>
                <w:rFonts w:ascii="Arial" w:hAnsi="Arial" w:eastAsia="Times New Roman" w:cs="Arial"/>
                <w:sz w:val="20"/>
                <w:szCs w:val="20"/>
              </w:rPr>
            </w:pPr>
            <w:r w:rsidRPr="00EA2A25">
              <w:rPr>
                <w:rFonts w:ascii="Arial" w:hAnsi="Arial"/>
                <w:sz w:val="20"/>
              </w:rPr>
              <w:t> </w:t>
            </w:r>
          </w:p>
        </w:tc>
      </w:tr>
      <w:tr w:rsidRPr="00EA2A25" w:rsidR="006F5266" w:rsidTr="00A87C3B" w14:paraId="1FA23146" w14:textId="77777777">
        <w:trPr>
          <w:trHeight w:val="300"/>
        </w:trPr>
        <w:tc>
          <w:tcPr>
            <w:tcW w:w="6804" w:type="dxa"/>
            <w:tcBorders>
              <w:left w:val="nil"/>
              <w:bottom w:val="single" w:color="auto" w:sz="4" w:space="0"/>
              <w:right w:val="nil"/>
            </w:tcBorders>
            <w:noWrap/>
            <w:hideMark/>
          </w:tcPr>
          <w:p w:rsidRPr="00EA2A25" w:rsidR="006F5266" w:rsidP="00A87C3B" w:rsidRDefault="006F5266" w14:paraId="5D72F5A7" w14:textId="77777777">
            <w:pPr>
              <w:ind w:left="171"/>
              <w:rPr>
                <w:rFonts w:ascii="Arial" w:hAnsi="Arial" w:eastAsia="Times New Roman" w:cs="Arial"/>
                <w:sz w:val="20"/>
                <w:szCs w:val="20"/>
              </w:rPr>
            </w:pPr>
            <w:r w:rsidRPr="00EA2A25">
              <w:rPr>
                <w:rFonts w:ascii="Arial" w:hAnsi="Arial"/>
                <w:sz w:val="20"/>
              </w:rPr>
              <w:t>e. Volume de négociation de tous les autres titres, à l’exclusion des transactions intragroupe</w:t>
            </w:r>
          </w:p>
        </w:tc>
        <w:tc>
          <w:tcPr>
            <w:tcW w:w="2745" w:type="dxa"/>
            <w:tcBorders>
              <w:left w:val="nil"/>
              <w:right w:val="nil"/>
            </w:tcBorders>
            <w:noWrap/>
            <w:hideMark/>
          </w:tcPr>
          <w:p w:rsidRPr="00EA2A25" w:rsidR="006F5266" w:rsidP="00A87C3B" w:rsidRDefault="006F5266" w14:paraId="1E46DD3D" w14:textId="77777777">
            <w:pPr>
              <w:jc w:val="right"/>
              <w:rPr>
                <w:rFonts w:ascii="Arial" w:hAnsi="Arial" w:eastAsia="Times New Roman" w:cs="Arial"/>
                <w:sz w:val="20"/>
                <w:szCs w:val="20"/>
              </w:rPr>
            </w:pPr>
            <w:r w:rsidRPr="00EA2A25">
              <w:rPr>
                <w:rFonts w:ascii="Arial" w:hAnsi="Arial"/>
                <w:sz w:val="20"/>
              </w:rPr>
              <w:t> </w:t>
            </w:r>
          </w:p>
        </w:tc>
      </w:tr>
      <w:tr w:rsidRPr="00EA2A25" w:rsidR="006F5266" w:rsidTr="00A87C3B" w14:paraId="07E55796" w14:textId="77777777">
        <w:trPr>
          <w:gridAfter w:val="1"/>
          <w:wAfter w:w="2745" w:type="dxa"/>
          <w:trHeight w:val="300"/>
        </w:trPr>
        <w:tc>
          <w:tcPr>
            <w:tcW w:w="6804" w:type="dxa"/>
            <w:tcBorders>
              <w:left w:val="nil"/>
              <w:bottom w:val="single" w:color="auto" w:sz="4" w:space="0"/>
              <w:right w:val="nil"/>
            </w:tcBorders>
            <w:noWrap/>
            <w:hideMark/>
          </w:tcPr>
          <w:p w:rsidRPr="00EA2A25" w:rsidR="006F5266" w:rsidP="00A87C3B" w:rsidRDefault="006F5266" w14:paraId="2C49022E" w14:textId="77777777">
            <w:pPr>
              <w:ind w:left="171" w:firstLine="28" w:firstLineChars="14"/>
              <w:rPr>
                <w:rFonts w:ascii="Arial" w:hAnsi="Arial" w:eastAsia="Times New Roman" w:cs="Arial"/>
                <w:sz w:val="20"/>
                <w:szCs w:val="20"/>
              </w:rPr>
            </w:pPr>
            <w:r w:rsidRPr="00EA2A25">
              <w:rPr>
                <w:rFonts w:ascii="Arial" w:hAnsi="Arial"/>
                <w:sz w:val="20"/>
              </w:rPr>
              <w:t>f. Sous-indicateur du volume des transactions sur actions et autres titres (somme des éléments 9.d. et 9.e.)</w:t>
            </w:r>
          </w:p>
        </w:tc>
      </w:tr>
      <w:tr w:rsidRPr="00EA2A25" w:rsidR="006F5266" w:rsidTr="00A87C3B" w14:paraId="10E3E524" w14:textId="77777777">
        <w:trPr>
          <w:trHeight w:val="403"/>
        </w:trPr>
        <w:tc>
          <w:tcPr>
            <w:tcW w:w="6804" w:type="dxa"/>
            <w:tcBorders>
              <w:left w:val="nil"/>
              <w:bottom w:val="nil"/>
              <w:right w:val="nil"/>
            </w:tcBorders>
            <w:noWrap/>
          </w:tcPr>
          <w:p w:rsidRPr="00EA2A25" w:rsidR="006F5266" w:rsidP="00A87C3B" w:rsidRDefault="006F5266" w14:paraId="045DC3CD" w14:textId="77777777">
            <w:pPr>
              <w:keepNext/>
              <w:keepLines/>
              <w:spacing w:before="47"/>
              <w:outlineLvl w:val="5"/>
              <w:rPr>
                <w:rFonts w:ascii="Arial" w:hAnsi="Arial" w:eastAsia="Times New Roman" w:cs="Arial"/>
                <w:i/>
                <w:iCs/>
                <w:caps/>
                <w:color w:val="172B39" w:themeColor="accent1" w:themeShade="80"/>
                <w:sz w:val="20"/>
                <w:szCs w:val="20"/>
                <w:lang w:eastAsia="en-GB"/>
              </w:rPr>
            </w:pPr>
          </w:p>
        </w:tc>
        <w:tc>
          <w:tcPr>
            <w:tcW w:w="2745" w:type="dxa"/>
            <w:tcBorders>
              <w:left w:val="nil"/>
              <w:bottom w:val="nil"/>
              <w:right w:val="nil"/>
            </w:tcBorders>
            <w:noWrap/>
          </w:tcPr>
          <w:p w:rsidRPr="00EA2A25" w:rsidR="006F5266" w:rsidP="00A87C3B" w:rsidRDefault="006F5266" w14:paraId="1C2D4CB1" w14:textId="77777777">
            <w:pPr>
              <w:rPr>
                <w:rFonts w:ascii="Arial" w:hAnsi="Arial" w:eastAsia="Times New Roman" w:cs="Arial"/>
                <w:sz w:val="20"/>
                <w:szCs w:val="20"/>
                <w:lang w:eastAsia="en-GB"/>
              </w:rPr>
            </w:pPr>
          </w:p>
        </w:tc>
      </w:tr>
      <w:tr w:rsidRPr="00EA2A25" w:rsidR="006F5266" w:rsidTr="00A87C3B" w14:paraId="28855DE2" w14:textId="77777777">
        <w:trPr>
          <w:trHeight w:val="403"/>
        </w:trPr>
        <w:tc>
          <w:tcPr>
            <w:tcW w:w="6804" w:type="dxa"/>
            <w:tcBorders>
              <w:top w:val="nil"/>
              <w:left w:val="nil"/>
              <w:bottom w:val="nil"/>
              <w:right w:val="nil"/>
            </w:tcBorders>
            <w:noWrap/>
            <w:hideMark/>
          </w:tcPr>
          <w:p w:rsidRPr="00EA2A25" w:rsidR="006F5266" w:rsidP="00A87C3B" w:rsidRDefault="006F5266" w14:paraId="11DA4A75" w14:textId="77777777">
            <w:pPr>
              <w:keepNext/>
              <w:keepLines/>
              <w:spacing w:before="47"/>
              <w:outlineLvl w:val="5"/>
              <w:rPr>
                <w:rFonts w:asciiTheme="majorHAnsi" w:hAnsiTheme="majorHAnsi" w:eastAsiaTheme="majorEastAsia" w:cstheme="majorBidi"/>
                <w:b/>
                <w:bCs/>
                <w:i/>
                <w:iCs/>
                <w:caps/>
                <w:spacing w:val="-2"/>
              </w:rPr>
            </w:pPr>
            <w:r w:rsidRPr="00EA2A25">
              <w:rPr>
                <w:rFonts w:ascii="Arial" w:hAnsi="Arial"/>
                <w:i/>
                <w:caps/>
                <w:color w:val="172B39" w:themeColor="accent1" w:themeShade="80"/>
                <w:sz w:val="20"/>
              </w:rPr>
              <w:t> </w:t>
            </w:r>
            <w:r w:rsidRPr="00EA2A25">
              <w:rPr>
                <w:rFonts w:asciiTheme="majorHAnsi" w:hAnsiTheme="majorHAnsi"/>
                <w:b/>
                <w:i/>
                <w:caps/>
              </w:rPr>
              <w:t>Indicateurs de complexité</w:t>
            </w:r>
          </w:p>
          <w:p w:rsidRPr="00EA2A25" w:rsidR="006F5266" w:rsidP="00A87C3B" w:rsidRDefault="006F5266" w14:paraId="7E671CB4" w14:textId="77777777">
            <w:pPr>
              <w:ind w:firstLine="200" w:firstLineChars="100"/>
              <w:rPr>
                <w:rFonts w:ascii="Arial" w:hAnsi="Arial" w:eastAsia="Times New Roman" w:cs="Arial"/>
                <w:sz w:val="20"/>
                <w:szCs w:val="20"/>
                <w:lang w:eastAsia="en-GB"/>
              </w:rPr>
            </w:pPr>
          </w:p>
        </w:tc>
        <w:tc>
          <w:tcPr>
            <w:tcW w:w="2745" w:type="dxa"/>
            <w:tcBorders>
              <w:top w:val="nil"/>
              <w:left w:val="nil"/>
              <w:bottom w:val="nil"/>
              <w:right w:val="nil"/>
            </w:tcBorders>
            <w:noWrap/>
            <w:hideMark/>
          </w:tcPr>
          <w:p w:rsidRPr="00EA2A25" w:rsidR="006F5266" w:rsidP="00A87C3B" w:rsidRDefault="006F5266" w14:paraId="54C51A0E" w14:textId="77777777">
            <w:pPr>
              <w:rPr>
                <w:rFonts w:ascii="Arial" w:hAnsi="Arial" w:eastAsia="Times New Roman" w:cs="Arial"/>
                <w:sz w:val="20"/>
                <w:szCs w:val="20"/>
              </w:rPr>
            </w:pPr>
            <w:r w:rsidRPr="00EA2A25">
              <w:rPr>
                <w:rFonts w:ascii="Arial" w:hAnsi="Arial"/>
                <w:sz w:val="20"/>
              </w:rPr>
              <w:t> </w:t>
            </w:r>
          </w:p>
        </w:tc>
      </w:tr>
      <w:tr w:rsidRPr="00EA2A25" w:rsidR="006F5266" w:rsidTr="00A87C3B" w14:paraId="6CF2E92B" w14:textId="77777777">
        <w:trPr>
          <w:trHeight w:val="403"/>
        </w:trPr>
        <w:tc>
          <w:tcPr>
            <w:tcW w:w="6804" w:type="dxa"/>
            <w:tcBorders>
              <w:top w:val="nil"/>
              <w:left w:val="nil"/>
              <w:bottom w:val="single" w:color="auto" w:sz="4" w:space="0"/>
              <w:right w:val="nil"/>
            </w:tcBorders>
            <w:noWrap/>
          </w:tcPr>
          <w:p w:rsidRPr="00EA2A25" w:rsidR="006F5266" w:rsidP="00A87C3B" w:rsidRDefault="006F5266" w14:paraId="1F6F75EE" w14:textId="77777777">
            <w:pPr>
              <w:keepNext/>
              <w:keepLines/>
              <w:spacing w:before="47"/>
              <w:outlineLvl w:val="5"/>
              <w:rPr>
                <w:rFonts w:ascii="Arial" w:hAnsi="Arial" w:eastAsia="Times New Roman" w:cs="Arial"/>
                <w:i/>
                <w:iCs/>
                <w:caps/>
                <w:color w:val="172B39" w:themeColor="accent1" w:themeShade="80"/>
                <w:sz w:val="20"/>
                <w:szCs w:val="20"/>
                <w:lang w:eastAsia="en-GB"/>
              </w:rPr>
            </w:pPr>
          </w:p>
        </w:tc>
        <w:tc>
          <w:tcPr>
            <w:tcW w:w="2745" w:type="dxa"/>
            <w:tcBorders>
              <w:top w:val="nil"/>
              <w:left w:val="nil"/>
              <w:bottom w:val="single" w:color="auto" w:sz="4" w:space="0"/>
              <w:right w:val="nil"/>
            </w:tcBorders>
            <w:noWrap/>
          </w:tcPr>
          <w:p w:rsidRPr="00EA2A25" w:rsidR="006F5266" w:rsidP="00A87C3B" w:rsidRDefault="006F5266" w14:paraId="120BE23D" w14:textId="77777777">
            <w:pPr>
              <w:rPr>
                <w:rFonts w:ascii="Arial" w:hAnsi="Arial" w:eastAsia="Times New Roman" w:cs="Arial"/>
                <w:sz w:val="20"/>
                <w:szCs w:val="20"/>
                <w:lang w:eastAsia="en-GB"/>
              </w:rPr>
            </w:pPr>
          </w:p>
        </w:tc>
      </w:tr>
      <w:tr w:rsidRPr="00EA2A25" w:rsidR="006F5266" w:rsidTr="00A87C3B" w14:paraId="1C5FC4BF" w14:textId="77777777">
        <w:trPr>
          <w:trHeight w:val="300"/>
        </w:trPr>
        <w:tc>
          <w:tcPr>
            <w:tcW w:w="6804" w:type="dxa"/>
            <w:tcBorders>
              <w:left w:val="nil"/>
              <w:right w:val="nil"/>
            </w:tcBorders>
            <w:noWrap/>
          </w:tcPr>
          <w:p w:rsidRPr="00EA2A25" w:rsidR="006F5266" w:rsidP="00A87C3B" w:rsidRDefault="006F5266" w14:paraId="3DE7FA80" w14:textId="77777777">
            <w:pPr>
              <w:ind w:firstLine="201" w:firstLineChars="100"/>
              <w:rPr>
                <w:rFonts w:ascii="Arial" w:hAnsi="Arial" w:eastAsia="Times New Roman" w:cs="Arial"/>
                <w:sz w:val="20"/>
                <w:szCs w:val="20"/>
              </w:rPr>
            </w:pPr>
            <w:r w:rsidRPr="00EA2A25">
              <w:rPr>
                <w:rFonts w:ascii="Arial" w:hAnsi="Arial"/>
                <w:b/>
                <w:sz w:val="20"/>
              </w:rPr>
              <w:t>Section 10 - Montant notionnel des dérivés de gré à gré</w:t>
            </w:r>
          </w:p>
        </w:tc>
        <w:tc>
          <w:tcPr>
            <w:tcW w:w="2745" w:type="dxa"/>
            <w:tcBorders>
              <w:left w:val="nil"/>
              <w:right w:val="nil"/>
            </w:tcBorders>
            <w:noWrap/>
          </w:tcPr>
          <w:p w:rsidRPr="00EA2A25" w:rsidR="006F5266" w:rsidP="00A87C3B" w:rsidRDefault="006F5266" w14:paraId="0781DF4A" w14:textId="77777777">
            <w:pPr>
              <w:jc w:val="center"/>
              <w:rPr>
                <w:rFonts w:ascii="Arial" w:hAnsi="Arial" w:eastAsia="Times New Roman" w:cs="Arial"/>
                <w:b/>
                <w:bCs/>
                <w:sz w:val="20"/>
                <w:szCs w:val="20"/>
              </w:rPr>
            </w:pPr>
            <w:r w:rsidRPr="00EA2A25">
              <w:rPr>
                <w:rFonts w:ascii="Arial" w:hAnsi="Arial"/>
                <w:b/>
                <w:sz w:val="20"/>
              </w:rPr>
              <w:t>Montant</w:t>
            </w:r>
          </w:p>
        </w:tc>
      </w:tr>
      <w:tr w:rsidRPr="00EA2A25" w:rsidR="006F5266" w:rsidTr="00A87C3B" w14:paraId="54081714" w14:textId="77777777">
        <w:trPr>
          <w:trHeight w:val="300"/>
        </w:trPr>
        <w:tc>
          <w:tcPr>
            <w:tcW w:w="6804" w:type="dxa"/>
            <w:tcBorders>
              <w:left w:val="nil"/>
              <w:right w:val="nil"/>
            </w:tcBorders>
            <w:noWrap/>
            <w:hideMark/>
          </w:tcPr>
          <w:p w:rsidRPr="00EA2A25" w:rsidR="006F5266" w:rsidP="00A87C3B" w:rsidRDefault="006F5266" w14:paraId="210B82F8" w14:textId="77777777">
            <w:pPr>
              <w:ind w:firstLine="200" w:firstLineChars="100"/>
              <w:rPr>
                <w:rFonts w:ascii="Arial" w:hAnsi="Arial" w:eastAsia="Times New Roman" w:cs="Arial"/>
                <w:sz w:val="20"/>
                <w:szCs w:val="20"/>
              </w:rPr>
            </w:pPr>
            <w:r w:rsidRPr="00EA2A25">
              <w:rPr>
                <w:rFonts w:ascii="Arial" w:hAnsi="Arial"/>
                <w:sz w:val="20"/>
              </w:rPr>
              <w:t>a. Dérivés de gré à gré faisant l’objet d’une compensation par contrepartie centrale</w:t>
            </w:r>
          </w:p>
        </w:tc>
        <w:tc>
          <w:tcPr>
            <w:tcW w:w="2745" w:type="dxa"/>
            <w:tcBorders>
              <w:left w:val="nil"/>
              <w:right w:val="nil"/>
            </w:tcBorders>
            <w:noWrap/>
            <w:hideMark/>
          </w:tcPr>
          <w:p w:rsidRPr="00EA2A25" w:rsidR="006F5266" w:rsidP="00A87C3B" w:rsidRDefault="006F5266" w14:paraId="51AC24AE" w14:textId="77777777">
            <w:pPr>
              <w:jc w:val="right"/>
              <w:rPr>
                <w:rFonts w:ascii="Arial" w:hAnsi="Arial" w:eastAsia="Times New Roman" w:cs="Arial"/>
                <w:sz w:val="20"/>
                <w:szCs w:val="20"/>
              </w:rPr>
            </w:pPr>
            <w:r w:rsidRPr="00EA2A25">
              <w:rPr>
                <w:rFonts w:ascii="Arial" w:hAnsi="Arial"/>
                <w:sz w:val="20"/>
              </w:rPr>
              <w:t> </w:t>
            </w:r>
          </w:p>
        </w:tc>
      </w:tr>
      <w:tr w:rsidRPr="00EA2A25" w:rsidR="006F5266" w:rsidTr="00A87C3B" w14:paraId="7E828477" w14:textId="77777777">
        <w:trPr>
          <w:trHeight w:val="300"/>
        </w:trPr>
        <w:tc>
          <w:tcPr>
            <w:tcW w:w="6804" w:type="dxa"/>
            <w:tcBorders>
              <w:left w:val="nil"/>
              <w:right w:val="nil"/>
            </w:tcBorders>
            <w:noWrap/>
            <w:hideMark/>
          </w:tcPr>
          <w:p w:rsidRPr="00EA2A25" w:rsidR="006F5266" w:rsidP="00A87C3B" w:rsidRDefault="006F5266" w14:paraId="556A3B5F" w14:textId="77777777">
            <w:pPr>
              <w:ind w:firstLine="200" w:firstLineChars="100"/>
              <w:rPr>
                <w:rFonts w:ascii="Arial" w:hAnsi="Arial" w:eastAsia="Times New Roman" w:cs="Arial"/>
                <w:sz w:val="20"/>
                <w:szCs w:val="20"/>
              </w:rPr>
            </w:pPr>
            <w:r w:rsidRPr="00EA2A25">
              <w:rPr>
                <w:rFonts w:ascii="Arial" w:hAnsi="Arial"/>
                <w:sz w:val="20"/>
              </w:rPr>
              <w:t>b. Dérivés de gré à gré faisant l’objet d’un règlement bilatéral</w:t>
            </w:r>
          </w:p>
        </w:tc>
        <w:tc>
          <w:tcPr>
            <w:tcW w:w="2745" w:type="dxa"/>
            <w:tcBorders>
              <w:left w:val="nil"/>
              <w:right w:val="nil"/>
            </w:tcBorders>
            <w:noWrap/>
            <w:hideMark/>
          </w:tcPr>
          <w:p w:rsidRPr="00EA2A25" w:rsidR="006F5266" w:rsidP="00A87C3B" w:rsidRDefault="006F5266" w14:paraId="677494EF" w14:textId="77777777">
            <w:pPr>
              <w:jc w:val="right"/>
              <w:rPr>
                <w:rFonts w:ascii="Arial" w:hAnsi="Arial" w:eastAsia="Times New Roman" w:cs="Arial"/>
                <w:sz w:val="20"/>
                <w:szCs w:val="20"/>
              </w:rPr>
            </w:pPr>
            <w:r w:rsidRPr="00EA2A25">
              <w:rPr>
                <w:rFonts w:ascii="Arial" w:hAnsi="Arial"/>
                <w:sz w:val="20"/>
              </w:rPr>
              <w:t> </w:t>
            </w:r>
          </w:p>
        </w:tc>
      </w:tr>
      <w:tr w:rsidRPr="00EA2A25" w:rsidR="006F5266" w:rsidTr="00A87C3B" w14:paraId="230E3FE0" w14:textId="77777777">
        <w:trPr>
          <w:trHeight w:val="300"/>
        </w:trPr>
        <w:tc>
          <w:tcPr>
            <w:tcW w:w="6804" w:type="dxa"/>
            <w:tcBorders>
              <w:left w:val="nil"/>
              <w:bottom w:val="single" w:color="auto" w:sz="4" w:space="0"/>
              <w:right w:val="nil"/>
            </w:tcBorders>
            <w:noWrap/>
          </w:tcPr>
          <w:p w:rsidRPr="00EA2A25" w:rsidR="006F5266" w:rsidP="00A87C3B" w:rsidRDefault="006F5266" w14:paraId="7020BBCB" w14:textId="77777777">
            <w:pPr>
              <w:ind w:left="171" w:firstLine="28" w:firstLineChars="14"/>
              <w:rPr>
                <w:rFonts w:ascii="Arial" w:hAnsi="Arial" w:eastAsia="Times New Roman" w:cs="Arial"/>
                <w:sz w:val="20"/>
                <w:szCs w:val="20"/>
              </w:rPr>
            </w:pPr>
            <w:r w:rsidRPr="00EA2A25">
              <w:rPr>
                <w:rFonts w:ascii="Arial" w:hAnsi="Arial"/>
                <w:sz w:val="20"/>
              </w:rPr>
              <w:t>C. Montant notionnel de l’indicateur de dérivés de gré à gré, y compris les filiales d’assurance (somme des éléments 10.a. et 10.b.)</w:t>
            </w:r>
          </w:p>
        </w:tc>
        <w:tc>
          <w:tcPr>
            <w:tcW w:w="2745" w:type="dxa"/>
            <w:tcBorders>
              <w:left w:val="nil"/>
              <w:bottom w:val="single" w:color="auto" w:sz="4" w:space="0"/>
              <w:right w:val="nil"/>
            </w:tcBorders>
            <w:noWrap/>
          </w:tcPr>
          <w:p w:rsidRPr="00EA2A25" w:rsidR="006F5266" w:rsidP="00A87C3B" w:rsidRDefault="006F5266" w14:paraId="32D1509C" w14:textId="77777777">
            <w:pPr>
              <w:jc w:val="right"/>
              <w:rPr>
                <w:rFonts w:ascii="Arial" w:hAnsi="Arial" w:eastAsia="Times New Roman" w:cs="Arial"/>
                <w:sz w:val="20"/>
                <w:szCs w:val="20"/>
                <w:lang w:eastAsia="en-GB"/>
              </w:rPr>
            </w:pPr>
          </w:p>
        </w:tc>
      </w:tr>
      <w:tr w:rsidRPr="00EA2A25" w:rsidR="006F5266" w:rsidTr="00A87C3B" w14:paraId="694F8B70" w14:textId="77777777">
        <w:trPr>
          <w:trHeight w:val="300"/>
        </w:trPr>
        <w:tc>
          <w:tcPr>
            <w:tcW w:w="6804" w:type="dxa"/>
            <w:tcBorders>
              <w:left w:val="nil"/>
              <w:bottom w:val="nil"/>
              <w:right w:val="nil"/>
            </w:tcBorders>
            <w:noWrap/>
          </w:tcPr>
          <w:p w:rsidRPr="00EA2A25" w:rsidR="006F5266" w:rsidP="00A87C3B" w:rsidRDefault="006F5266" w14:paraId="74B527A0"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EA2A25" w:rsidR="006F5266" w:rsidP="00A87C3B" w:rsidRDefault="006F5266" w14:paraId="64BE0841" w14:textId="77777777">
            <w:pPr>
              <w:jc w:val="center"/>
              <w:rPr>
                <w:rFonts w:ascii="Arial" w:hAnsi="Arial" w:eastAsia="Times New Roman" w:cs="Arial"/>
                <w:b/>
                <w:bCs/>
                <w:sz w:val="20"/>
                <w:szCs w:val="20"/>
                <w:lang w:eastAsia="en-GB"/>
              </w:rPr>
            </w:pPr>
          </w:p>
        </w:tc>
      </w:tr>
      <w:tr w:rsidRPr="00EA2A25" w:rsidR="006F5266" w:rsidTr="00A87C3B" w14:paraId="0C9B7950" w14:textId="77777777">
        <w:trPr>
          <w:trHeight w:val="300"/>
        </w:trPr>
        <w:tc>
          <w:tcPr>
            <w:tcW w:w="6804" w:type="dxa"/>
            <w:tcBorders>
              <w:top w:val="nil"/>
              <w:left w:val="nil"/>
              <w:bottom w:val="single" w:color="auto" w:sz="4" w:space="0"/>
              <w:right w:val="nil"/>
            </w:tcBorders>
            <w:noWrap/>
            <w:hideMark/>
          </w:tcPr>
          <w:p w:rsidRPr="00EA2A25" w:rsidR="006F5266" w:rsidP="00A87C3B" w:rsidRDefault="006F5266" w14:paraId="2BA5421F" w14:textId="77777777">
            <w:pPr>
              <w:rPr>
                <w:rFonts w:ascii="Arial" w:hAnsi="Arial" w:eastAsia="Times New Roman" w:cs="Arial"/>
                <w:b/>
                <w:bCs/>
                <w:sz w:val="20"/>
                <w:szCs w:val="20"/>
              </w:rPr>
            </w:pPr>
            <w:r w:rsidRPr="00EA2A25">
              <w:rPr>
                <w:rFonts w:ascii="Arial" w:hAnsi="Arial"/>
                <w:b/>
                <w:sz w:val="20"/>
              </w:rPr>
              <w:t>Section 11 - Titres détenus à des fins de négociation et disponibles à la vente</w:t>
            </w:r>
          </w:p>
        </w:tc>
        <w:tc>
          <w:tcPr>
            <w:tcW w:w="2745" w:type="dxa"/>
            <w:tcBorders>
              <w:top w:val="nil"/>
              <w:left w:val="nil"/>
              <w:bottom w:val="single" w:color="auto" w:sz="4" w:space="0"/>
              <w:right w:val="nil"/>
            </w:tcBorders>
            <w:hideMark/>
          </w:tcPr>
          <w:p w:rsidRPr="00EA2A25" w:rsidR="006F5266" w:rsidP="00A87C3B" w:rsidRDefault="006F5266" w14:paraId="7DE67174" w14:textId="77777777">
            <w:pPr>
              <w:jc w:val="center"/>
              <w:rPr>
                <w:rFonts w:ascii="Arial" w:hAnsi="Arial" w:eastAsia="Times New Roman" w:cs="Arial"/>
                <w:b/>
                <w:bCs/>
                <w:sz w:val="20"/>
                <w:szCs w:val="20"/>
              </w:rPr>
            </w:pPr>
            <w:r w:rsidRPr="00EA2A25">
              <w:rPr>
                <w:rFonts w:ascii="Arial" w:hAnsi="Arial"/>
                <w:b/>
                <w:sz w:val="20"/>
              </w:rPr>
              <w:t>Montant</w:t>
            </w:r>
          </w:p>
        </w:tc>
      </w:tr>
      <w:tr w:rsidRPr="00EA2A25" w:rsidR="006F5266" w:rsidTr="00A87C3B" w14:paraId="2060D34A" w14:textId="77777777">
        <w:trPr>
          <w:trHeight w:val="300"/>
        </w:trPr>
        <w:tc>
          <w:tcPr>
            <w:tcW w:w="6804" w:type="dxa"/>
            <w:tcBorders>
              <w:left w:val="nil"/>
              <w:right w:val="nil"/>
            </w:tcBorders>
            <w:noWrap/>
            <w:hideMark/>
          </w:tcPr>
          <w:p w:rsidRPr="00EA2A25" w:rsidR="006F5266" w:rsidP="00A87C3B" w:rsidRDefault="006F5266" w14:paraId="4389A371" w14:textId="77777777">
            <w:pPr>
              <w:ind w:firstLine="200" w:firstLineChars="100"/>
              <w:rPr>
                <w:rFonts w:ascii="Arial" w:hAnsi="Arial" w:eastAsia="Times New Roman" w:cs="Arial"/>
                <w:sz w:val="20"/>
                <w:szCs w:val="20"/>
              </w:rPr>
            </w:pPr>
            <w:r w:rsidRPr="00EA2A25">
              <w:rPr>
                <w:rFonts w:ascii="Arial" w:hAnsi="Arial"/>
                <w:sz w:val="20"/>
              </w:rPr>
              <w:t>a. Titres détenus à des fins de négociation (HFT)</w:t>
            </w:r>
          </w:p>
        </w:tc>
        <w:tc>
          <w:tcPr>
            <w:tcW w:w="2745" w:type="dxa"/>
            <w:tcBorders>
              <w:left w:val="nil"/>
              <w:right w:val="nil"/>
            </w:tcBorders>
            <w:noWrap/>
            <w:hideMark/>
          </w:tcPr>
          <w:p w:rsidRPr="00EA2A25" w:rsidR="006F5266" w:rsidP="00A87C3B" w:rsidRDefault="006F5266" w14:paraId="124FF46E" w14:textId="77777777">
            <w:pPr>
              <w:jc w:val="right"/>
              <w:rPr>
                <w:rFonts w:ascii="Arial" w:hAnsi="Arial" w:eastAsia="Times New Roman" w:cs="Arial"/>
                <w:sz w:val="20"/>
                <w:szCs w:val="20"/>
              </w:rPr>
            </w:pPr>
            <w:r w:rsidRPr="00EA2A25">
              <w:rPr>
                <w:rFonts w:ascii="Arial" w:hAnsi="Arial"/>
                <w:sz w:val="20"/>
              </w:rPr>
              <w:t> </w:t>
            </w:r>
          </w:p>
        </w:tc>
      </w:tr>
      <w:tr w:rsidRPr="00EA2A25" w:rsidR="006F5266" w:rsidTr="00A87C3B" w14:paraId="1BF83C62" w14:textId="77777777">
        <w:trPr>
          <w:trHeight w:val="300"/>
        </w:trPr>
        <w:tc>
          <w:tcPr>
            <w:tcW w:w="6804" w:type="dxa"/>
            <w:tcBorders>
              <w:left w:val="nil"/>
              <w:bottom w:val="single" w:color="auto" w:sz="4" w:space="0"/>
              <w:right w:val="nil"/>
            </w:tcBorders>
            <w:noWrap/>
            <w:hideMark/>
          </w:tcPr>
          <w:p w:rsidRPr="00EA2A25" w:rsidR="006F5266" w:rsidP="00A87C3B" w:rsidRDefault="006F5266" w14:paraId="3D96819E" w14:textId="77777777">
            <w:pPr>
              <w:ind w:firstLine="200" w:firstLineChars="100"/>
              <w:rPr>
                <w:rFonts w:ascii="Arial" w:hAnsi="Arial" w:eastAsia="Times New Roman" w:cs="Arial"/>
                <w:sz w:val="20"/>
                <w:szCs w:val="20"/>
              </w:rPr>
            </w:pPr>
            <w:r w:rsidRPr="00EA2A25">
              <w:rPr>
                <w:rFonts w:ascii="Arial" w:hAnsi="Arial"/>
                <w:sz w:val="20"/>
              </w:rPr>
              <w:t>b. Titres disponibles à la vente (AFS)</w:t>
            </w:r>
          </w:p>
        </w:tc>
        <w:tc>
          <w:tcPr>
            <w:tcW w:w="2745" w:type="dxa"/>
            <w:tcBorders>
              <w:left w:val="nil"/>
              <w:right w:val="nil"/>
            </w:tcBorders>
            <w:noWrap/>
            <w:hideMark/>
          </w:tcPr>
          <w:p w:rsidRPr="00EA2A25" w:rsidR="006F5266" w:rsidP="00A87C3B" w:rsidRDefault="006F5266" w14:paraId="51F76C07" w14:textId="77777777">
            <w:pPr>
              <w:jc w:val="right"/>
              <w:rPr>
                <w:rFonts w:ascii="Arial" w:hAnsi="Arial" w:eastAsia="Times New Roman" w:cs="Arial"/>
                <w:sz w:val="20"/>
                <w:szCs w:val="20"/>
              </w:rPr>
            </w:pPr>
            <w:r w:rsidRPr="00EA2A25">
              <w:rPr>
                <w:rFonts w:ascii="Arial" w:hAnsi="Arial"/>
                <w:sz w:val="20"/>
              </w:rPr>
              <w:t> </w:t>
            </w:r>
          </w:p>
        </w:tc>
      </w:tr>
      <w:tr w:rsidRPr="00EA2A25" w:rsidR="006F5266" w:rsidTr="00A87C3B" w14:paraId="24192DE0" w14:textId="77777777">
        <w:trPr>
          <w:trHeight w:val="300"/>
        </w:trPr>
        <w:tc>
          <w:tcPr>
            <w:tcW w:w="6804" w:type="dxa"/>
            <w:tcBorders>
              <w:left w:val="nil"/>
              <w:bottom w:val="single" w:color="auto" w:sz="4" w:space="0"/>
              <w:right w:val="nil"/>
            </w:tcBorders>
            <w:noWrap/>
          </w:tcPr>
          <w:p w:rsidRPr="00EA2A25" w:rsidR="006F5266" w:rsidP="00A87C3B" w:rsidRDefault="006F5266" w14:paraId="1D314E66" w14:textId="77777777">
            <w:pPr>
              <w:ind w:firstLine="200" w:firstLineChars="100"/>
              <w:rPr>
                <w:rFonts w:ascii="Arial" w:hAnsi="Arial" w:eastAsia="Times New Roman" w:cs="Arial"/>
                <w:sz w:val="20"/>
                <w:szCs w:val="20"/>
              </w:rPr>
            </w:pPr>
            <w:r w:rsidRPr="00EA2A25">
              <w:rPr>
                <w:rFonts w:ascii="Arial" w:hAnsi="Arial"/>
                <w:sz w:val="20"/>
              </w:rPr>
              <w:t>c. Titres HFT et AFS répondant à la définition des actifs de niveau 1</w:t>
            </w:r>
          </w:p>
        </w:tc>
        <w:tc>
          <w:tcPr>
            <w:tcW w:w="2745" w:type="dxa"/>
            <w:tcBorders>
              <w:left w:val="nil"/>
              <w:right w:val="nil"/>
            </w:tcBorders>
            <w:noWrap/>
          </w:tcPr>
          <w:p w:rsidRPr="00EA2A25" w:rsidR="006F5266" w:rsidP="00A87C3B" w:rsidRDefault="006F5266" w14:paraId="07996DE2" w14:textId="77777777">
            <w:pPr>
              <w:jc w:val="right"/>
              <w:rPr>
                <w:rFonts w:ascii="Arial" w:hAnsi="Arial" w:eastAsia="Times New Roman" w:cs="Arial"/>
                <w:sz w:val="20"/>
                <w:szCs w:val="20"/>
                <w:lang w:eastAsia="en-GB"/>
              </w:rPr>
            </w:pPr>
          </w:p>
        </w:tc>
      </w:tr>
      <w:tr w:rsidRPr="00EA2A25" w:rsidR="006F5266" w:rsidTr="00A87C3B" w14:paraId="4D08797D" w14:textId="77777777">
        <w:trPr>
          <w:trHeight w:val="300"/>
        </w:trPr>
        <w:tc>
          <w:tcPr>
            <w:tcW w:w="6804" w:type="dxa"/>
            <w:tcBorders>
              <w:left w:val="nil"/>
              <w:bottom w:val="single" w:color="auto" w:sz="4" w:space="0"/>
              <w:right w:val="nil"/>
            </w:tcBorders>
            <w:noWrap/>
          </w:tcPr>
          <w:p w:rsidRPr="00EA2A25" w:rsidR="006F5266" w:rsidP="00A87C3B" w:rsidRDefault="006F5266" w14:paraId="7501BBBF" w14:textId="77777777">
            <w:pPr>
              <w:ind w:left="171" w:firstLine="28" w:firstLineChars="14"/>
              <w:rPr>
                <w:rFonts w:ascii="Arial" w:hAnsi="Arial" w:eastAsia="Times New Roman" w:cs="Arial"/>
                <w:sz w:val="20"/>
                <w:szCs w:val="20"/>
              </w:rPr>
            </w:pPr>
            <w:r w:rsidRPr="00EA2A25">
              <w:rPr>
                <w:rFonts w:ascii="Arial" w:hAnsi="Arial"/>
                <w:sz w:val="20"/>
              </w:rPr>
              <w:t>d. Titres HFT et AFS répondant à la définition des actifs de niveau 2, avec décotes</w:t>
            </w:r>
          </w:p>
        </w:tc>
        <w:tc>
          <w:tcPr>
            <w:tcW w:w="2745" w:type="dxa"/>
            <w:tcBorders>
              <w:left w:val="nil"/>
              <w:right w:val="nil"/>
            </w:tcBorders>
            <w:noWrap/>
          </w:tcPr>
          <w:p w:rsidRPr="00EA2A25" w:rsidR="006F5266" w:rsidP="00A87C3B" w:rsidRDefault="006F5266" w14:paraId="5E8C7244" w14:textId="77777777">
            <w:pPr>
              <w:jc w:val="right"/>
              <w:rPr>
                <w:rFonts w:ascii="Arial" w:hAnsi="Arial" w:eastAsia="Times New Roman" w:cs="Arial"/>
                <w:sz w:val="20"/>
                <w:szCs w:val="20"/>
                <w:lang w:eastAsia="en-GB"/>
              </w:rPr>
            </w:pPr>
          </w:p>
        </w:tc>
      </w:tr>
      <w:tr w:rsidRPr="00EA2A25" w:rsidR="006F5266" w:rsidTr="00A87C3B" w14:paraId="5EA1C7B2" w14:textId="77777777">
        <w:trPr>
          <w:trHeight w:val="300"/>
        </w:trPr>
        <w:tc>
          <w:tcPr>
            <w:tcW w:w="6804" w:type="dxa"/>
            <w:tcBorders>
              <w:left w:val="nil"/>
              <w:bottom w:val="single" w:color="auto" w:sz="4" w:space="0"/>
              <w:right w:val="nil"/>
            </w:tcBorders>
            <w:noWrap/>
          </w:tcPr>
          <w:p w:rsidRPr="00EA2A25" w:rsidR="006F5266" w:rsidP="00A87C3B" w:rsidRDefault="006F5266" w14:paraId="592981A2" w14:textId="77777777">
            <w:pPr>
              <w:ind w:left="171" w:firstLine="28" w:firstLineChars="14"/>
              <w:rPr>
                <w:rFonts w:ascii="Arial" w:hAnsi="Arial" w:eastAsia="Times New Roman" w:cs="Arial"/>
                <w:sz w:val="20"/>
                <w:szCs w:val="20"/>
              </w:rPr>
            </w:pPr>
            <w:r w:rsidRPr="00EA2A25">
              <w:rPr>
                <w:rFonts w:ascii="Arial" w:hAnsi="Arial"/>
                <w:sz w:val="20"/>
              </w:rPr>
              <w:t>e. Indicateur de titres HFT et AFS (somme des éléments 11.a. et 11.b., moins la somme des éléments 11.c. et 11.d.)</w:t>
            </w:r>
          </w:p>
        </w:tc>
        <w:tc>
          <w:tcPr>
            <w:tcW w:w="2745" w:type="dxa"/>
            <w:tcBorders>
              <w:left w:val="nil"/>
              <w:bottom w:val="single" w:color="auto" w:sz="4" w:space="0"/>
              <w:right w:val="nil"/>
            </w:tcBorders>
            <w:noWrap/>
          </w:tcPr>
          <w:p w:rsidRPr="00EA2A25" w:rsidR="006F5266" w:rsidP="00A87C3B" w:rsidRDefault="006F5266" w14:paraId="285EF9CC" w14:textId="77777777">
            <w:pPr>
              <w:jc w:val="right"/>
              <w:rPr>
                <w:rFonts w:ascii="Arial" w:hAnsi="Arial" w:eastAsia="Times New Roman" w:cs="Arial"/>
                <w:sz w:val="20"/>
                <w:szCs w:val="20"/>
                <w:lang w:eastAsia="en-GB"/>
              </w:rPr>
            </w:pPr>
          </w:p>
        </w:tc>
      </w:tr>
      <w:tr w:rsidRPr="00EA2A25" w:rsidR="006F5266" w:rsidTr="00A87C3B" w14:paraId="1BE7E404" w14:textId="77777777">
        <w:trPr>
          <w:trHeight w:val="300"/>
        </w:trPr>
        <w:tc>
          <w:tcPr>
            <w:tcW w:w="6804" w:type="dxa"/>
            <w:tcBorders>
              <w:left w:val="nil"/>
              <w:bottom w:val="nil"/>
              <w:right w:val="nil"/>
            </w:tcBorders>
            <w:noWrap/>
          </w:tcPr>
          <w:p w:rsidRPr="00EA2A25" w:rsidR="006F5266" w:rsidP="00A87C3B" w:rsidRDefault="006F5266" w14:paraId="7F76E787"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EA2A25" w:rsidR="006F5266" w:rsidP="00A87C3B" w:rsidRDefault="006F5266" w14:paraId="0F9D2D84" w14:textId="77777777">
            <w:pPr>
              <w:jc w:val="center"/>
              <w:rPr>
                <w:rFonts w:ascii="Arial" w:hAnsi="Arial" w:eastAsia="Times New Roman" w:cs="Arial"/>
                <w:b/>
                <w:bCs/>
                <w:sz w:val="20"/>
                <w:szCs w:val="20"/>
                <w:lang w:eastAsia="en-GB"/>
              </w:rPr>
            </w:pPr>
          </w:p>
        </w:tc>
      </w:tr>
      <w:tr w:rsidRPr="00EA2A25" w:rsidR="006F5266" w:rsidTr="00A87C3B" w14:paraId="6C557BEC" w14:textId="77777777">
        <w:trPr>
          <w:trHeight w:val="300"/>
        </w:trPr>
        <w:tc>
          <w:tcPr>
            <w:tcW w:w="6804" w:type="dxa"/>
            <w:tcBorders>
              <w:top w:val="nil"/>
              <w:left w:val="nil"/>
              <w:bottom w:val="single" w:color="auto" w:sz="4" w:space="0"/>
              <w:right w:val="nil"/>
            </w:tcBorders>
            <w:noWrap/>
            <w:hideMark/>
          </w:tcPr>
          <w:p w:rsidRPr="00EA2A25" w:rsidR="006F5266" w:rsidP="00A87C3B" w:rsidRDefault="006F5266" w14:paraId="2A2336BC" w14:textId="77777777">
            <w:pPr>
              <w:rPr>
                <w:rFonts w:ascii="Arial" w:hAnsi="Arial" w:eastAsia="Times New Roman" w:cs="Arial"/>
                <w:b/>
                <w:bCs/>
                <w:sz w:val="20"/>
                <w:szCs w:val="20"/>
              </w:rPr>
            </w:pPr>
            <w:r w:rsidRPr="00EA2A25">
              <w:rPr>
                <w:rFonts w:ascii="Arial" w:hAnsi="Arial"/>
                <w:b/>
                <w:sz w:val="20"/>
              </w:rPr>
              <w:t>Section 12 - Actifs de niveau 3</w:t>
            </w:r>
          </w:p>
        </w:tc>
        <w:tc>
          <w:tcPr>
            <w:tcW w:w="2745" w:type="dxa"/>
            <w:tcBorders>
              <w:top w:val="nil"/>
              <w:left w:val="nil"/>
              <w:bottom w:val="single" w:color="auto" w:sz="4" w:space="0"/>
              <w:right w:val="nil"/>
            </w:tcBorders>
            <w:hideMark/>
          </w:tcPr>
          <w:p w:rsidRPr="00EA2A25" w:rsidR="006F5266" w:rsidP="00A87C3B" w:rsidRDefault="006F5266" w14:paraId="23F79680" w14:textId="77777777">
            <w:pPr>
              <w:jc w:val="center"/>
              <w:rPr>
                <w:rFonts w:ascii="Arial" w:hAnsi="Arial" w:eastAsia="Times New Roman" w:cs="Arial"/>
                <w:b/>
                <w:bCs/>
                <w:sz w:val="20"/>
                <w:szCs w:val="20"/>
              </w:rPr>
            </w:pPr>
            <w:r w:rsidRPr="00EA2A25">
              <w:rPr>
                <w:rFonts w:ascii="Arial" w:hAnsi="Arial"/>
                <w:b/>
                <w:sz w:val="20"/>
              </w:rPr>
              <w:t>Montant</w:t>
            </w:r>
          </w:p>
        </w:tc>
      </w:tr>
      <w:tr w:rsidRPr="00EA2A25" w:rsidR="006F5266" w:rsidTr="00A87C3B" w14:paraId="481526FC" w14:textId="77777777">
        <w:trPr>
          <w:trHeight w:val="300"/>
        </w:trPr>
        <w:tc>
          <w:tcPr>
            <w:tcW w:w="6804" w:type="dxa"/>
            <w:tcBorders>
              <w:left w:val="nil"/>
              <w:bottom w:val="single" w:color="auto" w:sz="4" w:space="0"/>
              <w:right w:val="nil"/>
            </w:tcBorders>
            <w:noWrap/>
            <w:hideMark/>
          </w:tcPr>
          <w:p w:rsidRPr="00EA2A25" w:rsidR="006F5266" w:rsidP="00A87C3B" w:rsidRDefault="006F5266" w14:paraId="267FFB41" w14:textId="77777777">
            <w:pPr>
              <w:ind w:firstLine="200" w:firstLineChars="100"/>
              <w:rPr>
                <w:rFonts w:ascii="Arial" w:hAnsi="Arial" w:eastAsia="Times New Roman" w:cs="Arial"/>
                <w:sz w:val="20"/>
                <w:szCs w:val="20"/>
              </w:rPr>
            </w:pPr>
            <w:r w:rsidRPr="00EA2A25">
              <w:rPr>
                <w:rFonts w:ascii="Arial" w:hAnsi="Arial"/>
                <w:sz w:val="20"/>
              </w:rPr>
              <w:t xml:space="preserve">A. Indicateur des actifs de niveau 3, y compris les filiales d’assurance </w:t>
            </w:r>
          </w:p>
        </w:tc>
        <w:tc>
          <w:tcPr>
            <w:tcW w:w="2745" w:type="dxa"/>
            <w:tcBorders>
              <w:left w:val="nil"/>
              <w:bottom w:val="single" w:color="auto" w:sz="4" w:space="0"/>
              <w:right w:val="nil"/>
            </w:tcBorders>
            <w:noWrap/>
            <w:hideMark/>
          </w:tcPr>
          <w:p w:rsidRPr="00EA2A25" w:rsidR="006F5266" w:rsidP="00A87C3B" w:rsidRDefault="006F5266" w14:paraId="16D6C375" w14:textId="77777777">
            <w:pPr>
              <w:jc w:val="right"/>
              <w:rPr>
                <w:rFonts w:ascii="Arial" w:hAnsi="Arial" w:eastAsia="Times New Roman" w:cs="Arial"/>
                <w:sz w:val="20"/>
                <w:szCs w:val="20"/>
              </w:rPr>
            </w:pPr>
            <w:r w:rsidRPr="00EA2A25">
              <w:rPr>
                <w:rFonts w:ascii="Arial" w:hAnsi="Arial"/>
                <w:sz w:val="20"/>
              </w:rPr>
              <w:t> </w:t>
            </w:r>
          </w:p>
        </w:tc>
      </w:tr>
      <w:tr w:rsidRPr="00EA2A25" w:rsidR="006F5266" w:rsidTr="00A87C3B" w14:paraId="0EE358A5" w14:textId="77777777">
        <w:trPr>
          <w:trHeight w:val="300"/>
        </w:trPr>
        <w:tc>
          <w:tcPr>
            <w:tcW w:w="6804" w:type="dxa"/>
            <w:tcBorders>
              <w:left w:val="nil"/>
              <w:bottom w:val="nil"/>
              <w:right w:val="nil"/>
            </w:tcBorders>
            <w:noWrap/>
          </w:tcPr>
          <w:p w:rsidRPr="00EA2A25" w:rsidR="006F5266" w:rsidP="00A87C3B" w:rsidRDefault="006F5266" w14:paraId="6E857653" w14:textId="77777777">
            <w:pPr>
              <w:ind w:firstLine="200" w:firstLineChars="100"/>
              <w:rPr>
                <w:rFonts w:ascii="Arial" w:hAnsi="Arial" w:eastAsia="Times New Roman" w:cs="Arial"/>
                <w:sz w:val="20"/>
                <w:szCs w:val="20"/>
                <w:lang w:eastAsia="en-GB"/>
              </w:rPr>
            </w:pPr>
          </w:p>
        </w:tc>
        <w:tc>
          <w:tcPr>
            <w:tcW w:w="2745" w:type="dxa"/>
            <w:tcBorders>
              <w:left w:val="nil"/>
              <w:bottom w:val="nil"/>
              <w:right w:val="nil"/>
            </w:tcBorders>
            <w:noWrap/>
          </w:tcPr>
          <w:p w:rsidRPr="00EA2A25" w:rsidR="006F5266" w:rsidP="00A87C3B" w:rsidRDefault="006F5266" w14:paraId="111933C2" w14:textId="77777777">
            <w:pPr>
              <w:jc w:val="right"/>
              <w:rPr>
                <w:rFonts w:ascii="Arial" w:hAnsi="Arial" w:eastAsia="Times New Roman" w:cs="Arial"/>
                <w:sz w:val="20"/>
                <w:szCs w:val="20"/>
                <w:lang w:eastAsia="en-GB"/>
              </w:rPr>
            </w:pPr>
          </w:p>
        </w:tc>
      </w:tr>
      <w:tr w:rsidRPr="00EA2A25" w:rsidR="006F5266" w:rsidTr="00A87C3B" w14:paraId="14593C00" w14:textId="77777777">
        <w:trPr>
          <w:trHeight w:val="300"/>
        </w:trPr>
        <w:tc>
          <w:tcPr>
            <w:tcW w:w="6804" w:type="dxa"/>
            <w:tcBorders>
              <w:top w:val="nil"/>
              <w:left w:val="nil"/>
              <w:bottom w:val="nil"/>
              <w:right w:val="nil"/>
            </w:tcBorders>
            <w:noWrap/>
          </w:tcPr>
          <w:p w:rsidRPr="00EA2A25" w:rsidR="006F5266" w:rsidP="00A87C3B" w:rsidRDefault="006F5266" w14:paraId="42CC6A23" w14:textId="77777777">
            <w:pPr>
              <w:ind w:firstLine="221" w:firstLineChars="100"/>
              <w:rPr>
                <w:rFonts w:ascii="Arial" w:hAnsi="Arial" w:eastAsia="Times New Roman" w:cs="Arial"/>
                <w:sz w:val="20"/>
                <w:szCs w:val="20"/>
              </w:rPr>
            </w:pPr>
            <w:r w:rsidRPr="00EA2A25">
              <w:rPr>
                <w:rFonts w:asciiTheme="majorHAnsi" w:hAnsiTheme="majorHAnsi"/>
                <w:b/>
                <w:i/>
                <w:caps/>
              </w:rPr>
              <w:t>Indicateurs d’activité interjuridictionnels</w:t>
            </w:r>
          </w:p>
        </w:tc>
        <w:tc>
          <w:tcPr>
            <w:tcW w:w="2745" w:type="dxa"/>
            <w:tcBorders>
              <w:top w:val="nil"/>
              <w:left w:val="nil"/>
              <w:bottom w:val="nil"/>
              <w:right w:val="nil"/>
            </w:tcBorders>
            <w:noWrap/>
          </w:tcPr>
          <w:p w:rsidRPr="00EA2A25" w:rsidR="006F5266" w:rsidP="00A87C3B" w:rsidRDefault="006F5266" w14:paraId="3710A365" w14:textId="77777777">
            <w:pPr>
              <w:jc w:val="right"/>
              <w:rPr>
                <w:rFonts w:ascii="Arial" w:hAnsi="Arial" w:eastAsia="Times New Roman" w:cs="Arial"/>
                <w:sz w:val="20"/>
                <w:szCs w:val="20"/>
                <w:lang w:eastAsia="en-GB"/>
              </w:rPr>
            </w:pPr>
          </w:p>
        </w:tc>
      </w:tr>
      <w:tr w:rsidRPr="00EA2A25" w:rsidR="006F5266" w:rsidTr="00A87C3B" w14:paraId="39F4E42B" w14:textId="77777777">
        <w:trPr>
          <w:trHeight w:val="300"/>
        </w:trPr>
        <w:tc>
          <w:tcPr>
            <w:tcW w:w="6804" w:type="dxa"/>
            <w:tcBorders>
              <w:top w:val="nil"/>
              <w:left w:val="nil"/>
              <w:bottom w:val="single" w:color="auto" w:sz="4" w:space="0"/>
              <w:right w:val="nil"/>
            </w:tcBorders>
            <w:noWrap/>
          </w:tcPr>
          <w:p w:rsidRPr="00EA2A25" w:rsidR="006F5266" w:rsidP="00A87C3B" w:rsidRDefault="006F5266" w14:paraId="3E5F8B77" w14:textId="77777777">
            <w:pPr>
              <w:ind w:firstLine="200" w:firstLineChars="100"/>
              <w:rPr>
                <w:rFonts w:ascii="Arial" w:hAnsi="Arial" w:eastAsia="Times New Roman" w:cs="Arial"/>
                <w:sz w:val="20"/>
                <w:szCs w:val="20"/>
                <w:lang w:eastAsia="en-GB"/>
              </w:rPr>
            </w:pPr>
          </w:p>
        </w:tc>
        <w:tc>
          <w:tcPr>
            <w:tcW w:w="2745" w:type="dxa"/>
            <w:tcBorders>
              <w:top w:val="nil"/>
              <w:left w:val="nil"/>
              <w:bottom w:val="single" w:color="auto" w:sz="4" w:space="0"/>
              <w:right w:val="nil"/>
            </w:tcBorders>
            <w:noWrap/>
          </w:tcPr>
          <w:p w:rsidRPr="00EA2A25" w:rsidR="006F5266" w:rsidP="00A87C3B" w:rsidRDefault="006F5266" w14:paraId="7276284C" w14:textId="77777777">
            <w:pPr>
              <w:jc w:val="right"/>
              <w:rPr>
                <w:rFonts w:ascii="Arial" w:hAnsi="Arial" w:eastAsia="Times New Roman" w:cs="Arial"/>
                <w:sz w:val="20"/>
                <w:szCs w:val="20"/>
                <w:lang w:eastAsia="en-GB"/>
              </w:rPr>
            </w:pPr>
          </w:p>
        </w:tc>
      </w:tr>
      <w:tr w:rsidRPr="00EA2A25" w:rsidR="006F5266" w:rsidTr="00A87C3B" w14:paraId="0A7ECBE1" w14:textId="77777777">
        <w:trPr>
          <w:trHeight w:val="300"/>
        </w:trPr>
        <w:tc>
          <w:tcPr>
            <w:tcW w:w="6804" w:type="dxa"/>
            <w:tcBorders>
              <w:left w:val="nil"/>
              <w:bottom w:val="single" w:color="auto" w:sz="4" w:space="0"/>
              <w:right w:val="nil"/>
            </w:tcBorders>
            <w:noWrap/>
            <w:hideMark/>
          </w:tcPr>
          <w:p w:rsidRPr="00EA2A25" w:rsidR="006F5266" w:rsidP="00A87C3B" w:rsidRDefault="006F5266" w14:paraId="02E22981" w14:textId="77777777">
            <w:pPr>
              <w:rPr>
                <w:rFonts w:ascii="Arial" w:hAnsi="Arial" w:eastAsia="Times New Roman" w:cs="Arial"/>
                <w:b/>
                <w:bCs/>
                <w:sz w:val="20"/>
                <w:szCs w:val="20"/>
              </w:rPr>
            </w:pPr>
            <w:r w:rsidRPr="00EA2A25">
              <w:rPr>
                <w:rFonts w:ascii="Arial" w:hAnsi="Arial"/>
                <w:b/>
                <w:sz w:val="20"/>
              </w:rPr>
              <w:t>Section 13 — Recours interjuridictionnels</w:t>
            </w:r>
          </w:p>
        </w:tc>
        <w:tc>
          <w:tcPr>
            <w:tcW w:w="2745" w:type="dxa"/>
            <w:tcBorders>
              <w:left w:val="nil"/>
              <w:bottom w:val="single" w:color="auto" w:sz="4" w:space="0"/>
              <w:right w:val="nil"/>
            </w:tcBorders>
            <w:hideMark/>
          </w:tcPr>
          <w:p w:rsidRPr="00EA2A25" w:rsidR="006F5266" w:rsidP="00A87C3B" w:rsidRDefault="006F5266" w14:paraId="395EF236" w14:textId="77777777">
            <w:pPr>
              <w:jc w:val="center"/>
              <w:rPr>
                <w:rFonts w:ascii="Arial" w:hAnsi="Arial" w:eastAsia="Times New Roman" w:cs="Arial"/>
                <w:b/>
                <w:bCs/>
                <w:sz w:val="20"/>
                <w:szCs w:val="20"/>
              </w:rPr>
            </w:pPr>
            <w:r w:rsidRPr="00EA2A25">
              <w:rPr>
                <w:rFonts w:ascii="Arial" w:hAnsi="Arial"/>
                <w:b/>
                <w:sz w:val="20"/>
              </w:rPr>
              <w:t>Montant</w:t>
            </w:r>
          </w:p>
        </w:tc>
      </w:tr>
      <w:tr w:rsidRPr="00EA2A25" w:rsidR="006F5266" w:rsidTr="00A87C3B" w14:paraId="13F9BF25" w14:textId="77777777">
        <w:trPr>
          <w:trHeight w:val="300"/>
        </w:trPr>
        <w:tc>
          <w:tcPr>
            <w:tcW w:w="6804" w:type="dxa"/>
            <w:tcBorders>
              <w:left w:val="nil"/>
              <w:right w:val="nil"/>
            </w:tcBorders>
            <w:noWrap/>
            <w:hideMark/>
          </w:tcPr>
          <w:p w:rsidRPr="00EA2A25" w:rsidR="006F5266" w:rsidP="00A87C3B" w:rsidRDefault="006F5266" w14:paraId="3D601B14" w14:textId="77777777">
            <w:pPr>
              <w:ind w:firstLine="200" w:firstLineChars="100"/>
              <w:rPr>
                <w:rFonts w:ascii="Arial" w:hAnsi="Arial" w:eastAsia="Times New Roman" w:cs="Arial"/>
                <w:sz w:val="20"/>
                <w:szCs w:val="20"/>
              </w:rPr>
            </w:pPr>
            <w:r w:rsidRPr="00EA2A25">
              <w:rPr>
                <w:rFonts w:ascii="Arial" w:hAnsi="Arial"/>
                <w:sz w:val="20"/>
              </w:rPr>
              <w:t>a. Total des créances étrangères sur la base du risque ultime</w:t>
            </w:r>
          </w:p>
        </w:tc>
        <w:tc>
          <w:tcPr>
            <w:tcW w:w="2745" w:type="dxa"/>
            <w:tcBorders>
              <w:left w:val="nil"/>
              <w:right w:val="nil"/>
            </w:tcBorders>
            <w:noWrap/>
            <w:hideMark/>
          </w:tcPr>
          <w:p w:rsidRPr="00EA2A25" w:rsidR="006F5266" w:rsidP="00A87C3B" w:rsidRDefault="006F5266" w14:paraId="2AFBABC7" w14:textId="77777777">
            <w:pPr>
              <w:jc w:val="right"/>
              <w:rPr>
                <w:rFonts w:ascii="Arial" w:hAnsi="Arial" w:eastAsia="Times New Roman" w:cs="Arial"/>
                <w:sz w:val="20"/>
                <w:szCs w:val="20"/>
              </w:rPr>
            </w:pPr>
            <w:r w:rsidRPr="00EA2A25">
              <w:rPr>
                <w:rFonts w:ascii="Arial" w:hAnsi="Arial"/>
                <w:sz w:val="20"/>
              </w:rPr>
              <w:t> </w:t>
            </w:r>
          </w:p>
        </w:tc>
      </w:tr>
      <w:tr w:rsidRPr="00EA2A25" w:rsidR="006F5266" w:rsidTr="00A87C3B" w14:paraId="5614A2E5" w14:textId="77777777">
        <w:trPr>
          <w:trHeight w:val="300"/>
        </w:trPr>
        <w:tc>
          <w:tcPr>
            <w:tcW w:w="6804" w:type="dxa"/>
            <w:tcBorders>
              <w:left w:val="nil"/>
              <w:right w:val="nil"/>
            </w:tcBorders>
            <w:noWrap/>
            <w:hideMark/>
          </w:tcPr>
          <w:p w:rsidRPr="00EA2A25" w:rsidR="006F5266" w:rsidP="00A87C3B" w:rsidRDefault="006F5266" w14:paraId="6F26BDB7" w14:textId="77777777">
            <w:pPr>
              <w:ind w:firstLine="200" w:firstLineChars="100"/>
              <w:rPr>
                <w:rFonts w:ascii="Arial" w:hAnsi="Arial" w:eastAsia="Times New Roman" w:cs="Arial"/>
                <w:sz w:val="20"/>
                <w:szCs w:val="20"/>
              </w:rPr>
            </w:pPr>
            <w:r w:rsidRPr="00EA2A25">
              <w:rPr>
                <w:rFonts w:ascii="Arial" w:hAnsi="Arial"/>
                <w:sz w:val="20"/>
              </w:rPr>
              <w:t>a. Créances étrangères sur dérivés sur la base du risque ultime</w:t>
            </w:r>
          </w:p>
        </w:tc>
        <w:tc>
          <w:tcPr>
            <w:tcW w:w="2745" w:type="dxa"/>
            <w:tcBorders>
              <w:left w:val="nil"/>
              <w:right w:val="nil"/>
            </w:tcBorders>
            <w:noWrap/>
            <w:hideMark/>
          </w:tcPr>
          <w:p w:rsidRPr="00EA2A25" w:rsidR="006F5266" w:rsidP="00A87C3B" w:rsidRDefault="006F5266" w14:paraId="3C48F610" w14:textId="77777777">
            <w:pPr>
              <w:jc w:val="right"/>
              <w:rPr>
                <w:rFonts w:ascii="Arial" w:hAnsi="Arial" w:eastAsia="Times New Roman" w:cs="Arial"/>
                <w:sz w:val="20"/>
                <w:szCs w:val="20"/>
              </w:rPr>
            </w:pPr>
            <w:r w:rsidRPr="00EA2A25">
              <w:rPr>
                <w:rFonts w:ascii="Arial" w:hAnsi="Arial"/>
                <w:sz w:val="20"/>
              </w:rPr>
              <w:t> </w:t>
            </w:r>
          </w:p>
        </w:tc>
      </w:tr>
      <w:tr w:rsidRPr="00EA2A25" w:rsidR="006F5266" w:rsidTr="00A87C3B" w14:paraId="2E429458" w14:textId="77777777">
        <w:trPr>
          <w:gridAfter w:val="1"/>
          <w:wAfter w:w="2745" w:type="dxa"/>
          <w:trHeight w:val="300"/>
        </w:trPr>
        <w:tc>
          <w:tcPr>
            <w:tcW w:w="6804" w:type="dxa"/>
            <w:tcBorders>
              <w:left w:val="nil"/>
              <w:bottom w:val="single" w:color="auto" w:sz="4" w:space="0"/>
              <w:right w:val="nil"/>
            </w:tcBorders>
            <w:hideMark/>
          </w:tcPr>
          <w:p w:rsidRPr="00EA2A25" w:rsidR="006F5266" w:rsidP="00A87C3B" w:rsidRDefault="006F5266" w14:paraId="70BA1849" w14:textId="77777777">
            <w:pPr>
              <w:ind w:firstLine="200" w:firstLineChars="100"/>
              <w:rPr>
                <w:rFonts w:ascii="Arial" w:hAnsi="Arial" w:eastAsia="Times New Roman" w:cs="Arial"/>
                <w:sz w:val="20"/>
                <w:szCs w:val="20"/>
              </w:rPr>
            </w:pPr>
            <w:r w:rsidRPr="00EA2A25">
              <w:rPr>
                <w:rFonts w:ascii="Arial" w:hAnsi="Arial"/>
                <w:sz w:val="20"/>
              </w:rPr>
              <w:t>c. Indicateur de créances transfrontières (somme des éléments 13.a. et 13.b.)</w:t>
            </w:r>
          </w:p>
        </w:tc>
      </w:tr>
      <w:tr w:rsidRPr="00EA2A25" w:rsidR="006F5266" w:rsidTr="00A87C3B" w14:paraId="7AF741F3" w14:textId="77777777">
        <w:trPr>
          <w:trHeight w:val="300"/>
        </w:trPr>
        <w:tc>
          <w:tcPr>
            <w:tcW w:w="6804" w:type="dxa"/>
            <w:tcBorders>
              <w:left w:val="nil"/>
              <w:bottom w:val="nil"/>
              <w:right w:val="nil"/>
            </w:tcBorders>
            <w:noWrap/>
          </w:tcPr>
          <w:p w:rsidRPr="00EA2A25" w:rsidR="006F5266" w:rsidP="00A87C3B" w:rsidRDefault="006F5266" w14:paraId="4B41B621"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EA2A25" w:rsidR="006F5266" w:rsidP="00A87C3B" w:rsidRDefault="006F5266" w14:paraId="32F4F8BD" w14:textId="77777777">
            <w:pPr>
              <w:jc w:val="center"/>
              <w:rPr>
                <w:rFonts w:ascii="Arial" w:hAnsi="Arial" w:eastAsia="Times New Roman" w:cs="Arial"/>
                <w:b/>
                <w:bCs/>
                <w:sz w:val="20"/>
                <w:szCs w:val="20"/>
                <w:lang w:eastAsia="en-GB"/>
              </w:rPr>
            </w:pPr>
          </w:p>
        </w:tc>
      </w:tr>
      <w:tr w:rsidRPr="00EA2A25" w:rsidR="006F5266" w:rsidTr="00A87C3B" w14:paraId="6FE2EB47" w14:textId="77777777">
        <w:trPr>
          <w:trHeight w:val="300"/>
        </w:trPr>
        <w:tc>
          <w:tcPr>
            <w:tcW w:w="6804" w:type="dxa"/>
            <w:tcBorders>
              <w:top w:val="nil"/>
              <w:left w:val="nil"/>
              <w:bottom w:val="single" w:color="auto" w:sz="4" w:space="0"/>
              <w:right w:val="nil"/>
            </w:tcBorders>
            <w:noWrap/>
            <w:hideMark/>
          </w:tcPr>
          <w:p w:rsidRPr="00EA2A25" w:rsidR="006F5266" w:rsidP="00A87C3B" w:rsidRDefault="006F5266" w14:paraId="7AA9F891" w14:textId="77777777">
            <w:pPr>
              <w:rPr>
                <w:rFonts w:ascii="Arial" w:hAnsi="Arial" w:eastAsia="Times New Roman" w:cs="Arial"/>
                <w:b/>
                <w:bCs/>
                <w:sz w:val="20"/>
                <w:szCs w:val="20"/>
              </w:rPr>
            </w:pPr>
            <w:r w:rsidRPr="00EA2A25">
              <w:rPr>
                <w:rFonts w:ascii="Arial" w:hAnsi="Arial"/>
                <w:b/>
                <w:sz w:val="20"/>
              </w:rPr>
              <w:lastRenderedPageBreak/>
              <w:t>Section 14 — Passifs transfrontières</w:t>
            </w:r>
          </w:p>
        </w:tc>
        <w:tc>
          <w:tcPr>
            <w:tcW w:w="2745" w:type="dxa"/>
            <w:tcBorders>
              <w:top w:val="nil"/>
              <w:left w:val="nil"/>
              <w:right w:val="nil"/>
            </w:tcBorders>
            <w:hideMark/>
          </w:tcPr>
          <w:p w:rsidRPr="00EA2A25" w:rsidR="006F5266" w:rsidP="00A87C3B" w:rsidRDefault="006F5266" w14:paraId="65B1C517" w14:textId="77777777">
            <w:pPr>
              <w:jc w:val="center"/>
              <w:rPr>
                <w:rFonts w:ascii="Arial" w:hAnsi="Arial" w:eastAsia="Times New Roman" w:cs="Arial"/>
                <w:b/>
                <w:bCs/>
                <w:sz w:val="20"/>
                <w:szCs w:val="20"/>
              </w:rPr>
            </w:pPr>
            <w:r w:rsidRPr="00EA2A25">
              <w:rPr>
                <w:rFonts w:ascii="Arial" w:hAnsi="Arial"/>
                <w:b/>
                <w:sz w:val="20"/>
              </w:rPr>
              <w:t>Montant</w:t>
            </w:r>
          </w:p>
        </w:tc>
      </w:tr>
      <w:tr w:rsidRPr="00EA2A25" w:rsidR="006F5266" w:rsidTr="00A87C3B" w14:paraId="2A45E6BA" w14:textId="77777777">
        <w:trPr>
          <w:gridAfter w:val="1"/>
          <w:wAfter w:w="2745" w:type="dxa"/>
          <w:trHeight w:val="300"/>
        </w:trPr>
        <w:tc>
          <w:tcPr>
            <w:tcW w:w="6804" w:type="dxa"/>
            <w:tcBorders>
              <w:left w:val="nil"/>
              <w:right w:val="nil"/>
            </w:tcBorders>
            <w:noWrap/>
            <w:hideMark/>
          </w:tcPr>
          <w:p w:rsidRPr="00EA2A25" w:rsidR="006F5266" w:rsidP="00A87C3B" w:rsidRDefault="006F5266" w14:paraId="6F690085" w14:textId="77777777">
            <w:pPr>
              <w:ind w:left="171" w:firstLine="28" w:firstLineChars="14"/>
              <w:rPr>
                <w:rFonts w:ascii="Arial" w:hAnsi="Arial" w:eastAsia="Times New Roman" w:cs="Arial"/>
                <w:sz w:val="20"/>
                <w:szCs w:val="20"/>
              </w:rPr>
            </w:pPr>
            <w:r w:rsidRPr="00EA2A25">
              <w:rPr>
                <w:rFonts w:ascii="Arial" w:hAnsi="Arial"/>
                <w:sz w:val="20"/>
              </w:rPr>
              <w:t>a. Passifs étrangers en fonction du risque immédiat, à l’exclusion des produits dérivés et y compris les passifs locaux en monnaie locale</w:t>
            </w:r>
          </w:p>
        </w:tc>
      </w:tr>
      <w:tr w:rsidRPr="00EA2A25" w:rsidR="006F5266" w:rsidTr="00A87C3B" w14:paraId="36C7A100" w14:textId="77777777">
        <w:trPr>
          <w:trHeight w:val="300"/>
        </w:trPr>
        <w:tc>
          <w:tcPr>
            <w:tcW w:w="6804" w:type="dxa"/>
            <w:tcBorders>
              <w:left w:val="nil"/>
              <w:right w:val="nil"/>
            </w:tcBorders>
            <w:noWrap/>
            <w:hideMark/>
          </w:tcPr>
          <w:p w:rsidRPr="00EA2A25" w:rsidR="006F5266" w:rsidP="00A87C3B" w:rsidRDefault="006F5266" w14:paraId="56B14383" w14:textId="77777777">
            <w:pPr>
              <w:ind w:firstLine="200" w:firstLineChars="100"/>
              <w:rPr>
                <w:rFonts w:ascii="Arial" w:hAnsi="Arial" w:eastAsia="Times New Roman" w:cs="Arial"/>
                <w:sz w:val="20"/>
                <w:szCs w:val="20"/>
              </w:rPr>
            </w:pPr>
            <w:r w:rsidRPr="00EA2A25">
              <w:rPr>
                <w:rFonts w:ascii="Arial" w:hAnsi="Arial"/>
                <w:sz w:val="20"/>
              </w:rPr>
              <w:t>b. Passifs étrangers sur dérivés sur la base du risque immédiat</w:t>
            </w:r>
          </w:p>
        </w:tc>
        <w:tc>
          <w:tcPr>
            <w:tcW w:w="2745" w:type="dxa"/>
            <w:tcBorders>
              <w:left w:val="nil"/>
              <w:right w:val="nil"/>
            </w:tcBorders>
            <w:noWrap/>
            <w:hideMark/>
          </w:tcPr>
          <w:p w:rsidRPr="00EA2A25" w:rsidR="006F5266" w:rsidP="00A87C3B" w:rsidRDefault="006F5266" w14:paraId="6977DF8A" w14:textId="77777777">
            <w:pPr>
              <w:jc w:val="right"/>
              <w:rPr>
                <w:rFonts w:ascii="Arial" w:hAnsi="Arial" w:eastAsia="Times New Roman" w:cs="Arial"/>
                <w:sz w:val="20"/>
                <w:szCs w:val="20"/>
              </w:rPr>
            </w:pPr>
            <w:r w:rsidRPr="00EA2A25">
              <w:rPr>
                <w:rFonts w:ascii="Arial" w:hAnsi="Arial"/>
                <w:sz w:val="20"/>
              </w:rPr>
              <w:t> </w:t>
            </w:r>
          </w:p>
        </w:tc>
      </w:tr>
      <w:tr w:rsidRPr="00EA2A25" w:rsidR="006F5266" w:rsidTr="00A87C3B" w14:paraId="5BBF1B3B" w14:textId="77777777">
        <w:trPr>
          <w:gridAfter w:val="1"/>
          <w:wAfter w:w="2745" w:type="dxa"/>
          <w:trHeight w:val="300"/>
        </w:trPr>
        <w:tc>
          <w:tcPr>
            <w:tcW w:w="6804" w:type="dxa"/>
            <w:tcBorders>
              <w:left w:val="nil"/>
              <w:bottom w:val="single" w:color="auto" w:sz="4" w:space="0"/>
              <w:right w:val="nil"/>
            </w:tcBorders>
            <w:hideMark/>
          </w:tcPr>
          <w:p w:rsidRPr="00EA2A25" w:rsidR="006F5266" w:rsidP="00A87C3B" w:rsidRDefault="006F5266" w14:paraId="23785E1C" w14:textId="77777777">
            <w:pPr>
              <w:ind w:firstLine="200" w:firstLineChars="100"/>
              <w:rPr>
                <w:rFonts w:ascii="Arial" w:hAnsi="Arial" w:eastAsia="Times New Roman" w:cs="Arial"/>
                <w:sz w:val="20"/>
                <w:szCs w:val="20"/>
              </w:rPr>
            </w:pPr>
            <w:r w:rsidRPr="00EA2A25">
              <w:rPr>
                <w:rFonts w:ascii="Arial" w:hAnsi="Arial"/>
                <w:sz w:val="20"/>
              </w:rPr>
              <w:t>c. Indicateur de passifs transfrontières (somme des éléments 14.a. et 14.b.)</w:t>
            </w:r>
          </w:p>
        </w:tc>
      </w:tr>
      <w:tr w:rsidRPr="00EA2A25" w:rsidR="006F5266" w:rsidTr="00A87C3B" w14:paraId="71D55004" w14:textId="77777777">
        <w:trPr>
          <w:trHeight w:val="300"/>
        </w:trPr>
        <w:tc>
          <w:tcPr>
            <w:tcW w:w="6804" w:type="dxa"/>
            <w:tcBorders>
              <w:left w:val="nil"/>
              <w:bottom w:val="nil"/>
              <w:right w:val="nil"/>
            </w:tcBorders>
            <w:noWrap/>
          </w:tcPr>
          <w:p w:rsidRPr="00EA2A25" w:rsidR="006F5266" w:rsidP="00A87C3B" w:rsidRDefault="006F5266" w14:paraId="4D849614"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EA2A25" w:rsidR="006F5266" w:rsidP="00A87C3B" w:rsidRDefault="006F5266" w14:paraId="727E4977" w14:textId="77777777">
            <w:pPr>
              <w:jc w:val="center"/>
              <w:rPr>
                <w:rFonts w:ascii="Arial" w:hAnsi="Arial" w:eastAsia="Times New Roman" w:cs="Arial"/>
                <w:b/>
                <w:bCs/>
                <w:sz w:val="20"/>
                <w:szCs w:val="20"/>
                <w:lang w:eastAsia="en-GB"/>
              </w:rPr>
            </w:pPr>
          </w:p>
        </w:tc>
      </w:tr>
      <w:tr w:rsidRPr="00EA2A25" w:rsidR="006F5266" w:rsidTr="00A87C3B" w14:paraId="310F0B75" w14:textId="77777777">
        <w:trPr>
          <w:trHeight w:val="300"/>
        </w:trPr>
        <w:tc>
          <w:tcPr>
            <w:tcW w:w="6804" w:type="dxa"/>
            <w:tcBorders>
              <w:top w:val="nil"/>
              <w:left w:val="nil"/>
              <w:bottom w:val="nil"/>
              <w:right w:val="nil"/>
            </w:tcBorders>
            <w:noWrap/>
          </w:tcPr>
          <w:p w:rsidRPr="00EA2A25" w:rsidR="006F5266" w:rsidP="00A87C3B" w:rsidRDefault="006F5266" w14:paraId="1F6B97FA" w14:textId="77777777">
            <w:pPr>
              <w:keepNext/>
              <w:keepLines/>
              <w:spacing w:before="47"/>
              <w:outlineLvl w:val="5"/>
              <w:rPr>
                <w:rFonts w:ascii="Arial" w:hAnsi="Arial" w:eastAsia="Times New Roman" w:cs="Arial"/>
                <w:b/>
                <w:bCs/>
                <w:i/>
                <w:iCs/>
                <w:caps/>
                <w:color w:val="172B39" w:themeColor="accent1" w:themeShade="80"/>
                <w:sz w:val="20"/>
                <w:szCs w:val="20"/>
              </w:rPr>
            </w:pPr>
            <w:r w:rsidRPr="00EA2A25">
              <w:rPr>
                <w:rFonts w:asciiTheme="majorHAnsi" w:hAnsiTheme="majorHAnsi"/>
                <w:b/>
                <w:i/>
                <w:caps/>
              </w:rPr>
              <w:t>DONNÉES AUXILIAIRES</w:t>
            </w:r>
          </w:p>
        </w:tc>
        <w:tc>
          <w:tcPr>
            <w:tcW w:w="2745" w:type="dxa"/>
            <w:tcBorders>
              <w:top w:val="nil"/>
              <w:left w:val="nil"/>
              <w:bottom w:val="nil"/>
              <w:right w:val="nil"/>
            </w:tcBorders>
          </w:tcPr>
          <w:p w:rsidRPr="00EA2A25" w:rsidR="006F5266" w:rsidP="00A87C3B" w:rsidRDefault="006F5266" w14:paraId="7DB2024C" w14:textId="77777777">
            <w:pPr>
              <w:jc w:val="center"/>
              <w:rPr>
                <w:rFonts w:ascii="Arial" w:hAnsi="Arial" w:eastAsia="Times New Roman" w:cs="Arial"/>
                <w:b/>
                <w:bCs/>
                <w:sz w:val="20"/>
                <w:szCs w:val="20"/>
                <w:lang w:eastAsia="en-GB"/>
              </w:rPr>
            </w:pPr>
          </w:p>
        </w:tc>
      </w:tr>
      <w:tr w:rsidRPr="00EA2A25" w:rsidR="006F5266" w:rsidTr="00A87C3B" w14:paraId="21B762C5" w14:textId="77777777">
        <w:trPr>
          <w:trHeight w:val="300"/>
        </w:trPr>
        <w:tc>
          <w:tcPr>
            <w:tcW w:w="6804" w:type="dxa"/>
            <w:tcBorders>
              <w:top w:val="nil"/>
              <w:left w:val="nil"/>
              <w:bottom w:val="single" w:color="auto" w:sz="4" w:space="0"/>
              <w:right w:val="nil"/>
            </w:tcBorders>
            <w:noWrap/>
          </w:tcPr>
          <w:p w:rsidRPr="00EA2A25" w:rsidR="006F5266" w:rsidP="00A87C3B" w:rsidRDefault="006F5266" w14:paraId="29374612" w14:textId="77777777">
            <w:pPr>
              <w:rPr>
                <w:rFonts w:ascii="Arial" w:hAnsi="Arial" w:eastAsia="Times New Roman" w:cs="Arial"/>
                <w:b/>
                <w:bCs/>
                <w:sz w:val="20"/>
                <w:szCs w:val="20"/>
                <w:lang w:eastAsia="en-GB"/>
              </w:rPr>
            </w:pPr>
          </w:p>
        </w:tc>
        <w:tc>
          <w:tcPr>
            <w:tcW w:w="2745" w:type="dxa"/>
            <w:tcBorders>
              <w:top w:val="nil"/>
              <w:left w:val="nil"/>
              <w:bottom w:val="single" w:color="auto" w:sz="4" w:space="0"/>
              <w:right w:val="nil"/>
            </w:tcBorders>
          </w:tcPr>
          <w:p w:rsidRPr="00EA2A25" w:rsidR="006F5266" w:rsidP="00A87C3B" w:rsidRDefault="006F5266" w14:paraId="4887EDB7" w14:textId="77777777">
            <w:pPr>
              <w:jc w:val="center"/>
              <w:rPr>
                <w:rFonts w:ascii="Arial" w:hAnsi="Arial" w:eastAsia="Times New Roman" w:cs="Arial"/>
                <w:b/>
                <w:bCs/>
                <w:sz w:val="20"/>
                <w:szCs w:val="20"/>
                <w:lang w:eastAsia="en-GB"/>
              </w:rPr>
            </w:pPr>
          </w:p>
        </w:tc>
      </w:tr>
      <w:tr w:rsidRPr="00EA2A25" w:rsidR="006F5266" w:rsidTr="00A87C3B" w14:paraId="41869187" w14:textId="77777777">
        <w:trPr>
          <w:trHeight w:val="300"/>
        </w:trPr>
        <w:tc>
          <w:tcPr>
            <w:tcW w:w="6804" w:type="dxa"/>
            <w:tcBorders>
              <w:left w:val="nil"/>
              <w:bottom w:val="single" w:color="auto" w:sz="4" w:space="0"/>
              <w:right w:val="nil"/>
            </w:tcBorders>
            <w:noWrap/>
            <w:hideMark/>
          </w:tcPr>
          <w:p w:rsidRPr="00EA2A25" w:rsidR="006F5266" w:rsidP="00A87C3B" w:rsidRDefault="006F5266" w14:paraId="1354D884" w14:textId="77777777">
            <w:pPr>
              <w:rPr>
                <w:rFonts w:ascii="Arial" w:hAnsi="Arial" w:eastAsia="Times New Roman" w:cs="Arial"/>
                <w:b/>
                <w:bCs/>
                <w:sz w:val="20"/>
                <w:szCs w:val="20"/>
              </w:rPr>
            </w:pPr>
            <w:r w:rsidRPr="00EA2A25">
              <w:rPr>
                <w:rFonts w:ascii="Arial" w:hAnsi="Arial"/>
                <w:b/>
                <w:sz w:val="20"/>
              </w:rPr>
              <w:t>Section 15 - Indicateurs auxiliaires</w:t>
            </w:r>
          </w:p>
        </w:tc>
        <w:tc>
          <w:tcPr>
            <w:tcW w:w="2745" w:type="dxa"/>
            <w:tcBorders>
              <w:left w:val="nil"/>
              <w:bottom w:val="single" w:color="auto" w:sz="4" w:space="0"/>
              <w:right w:val="nil"/>
            </w:tcBorders>
            <w:hideMark/>
          </w:tcPr>
          <w:p w:rsidRPr="00EA2A25" w:rsidR="006F5266" w:rsidP="00A87C3B" w:rsidRDefault="006F5266" w14:paraId="3902F53A" w14:textId="77777777">
            <w:pPr>
              <w:jc w:val="center"/>
              <w:rPr>
                <w:rFonts w:ascii="Arial" w:hAnsi="Arial" w:eastAsia="Times New Roman" w:cs="Arial"/>
                <w:b/>
                <w:bCs/>
                <w:sz w:val="20"/>
                <w:szCs w:val="20"/>
              </w:rPr>
            </w:pPr>
            <w:r w:rsidRPr="00EA2A25">
              <w:rPr>
                <w:rFonts w:ascii="Arial" w:hAnsi="Arial"/>
                <w:b/>
                <w:sz w:val="20"/>
              </w:rPr>
              <w:t>Montant</w:t>
            </w:r>
          </w:p>
        </w:tc>
      </w:tr>
      <w:tr w:rsidRPr="00EA2A25" w:rsidR="006F5266" w:rsidTr="00A87C3B" w14:paraId="6F827E5B" w14:textId="77777777">
        <w:trPr>
          <w:trHeight w:val="300"/>
        </w:trPr>
        <w:tc>
          <w:tcPr>
            <w:tcW w:w="6804" w:type="dxa"/>
            <w:tcBorders>
              <w:left w:val="nil"/>
              <w:right w:val="nil"/>
            </w:tcBorders>
            <w:noWrap/>
            <w:hideMark/>
          </w:tcPr>
          <w:p w:rsidRPr="00EA2A25" w:rsidR="006F5266" w:rsidP="00A87C3B" w:rsidRDefault="006F5266" w14:paraId="6289D19D" w14:textId="77777777">
            <w:pPr>
              <w:ind w:firstLine="200" w:firstLineChars="100"/>
              <w:rPr>
                <w:rFonts w:ascii="Arial" w:hAnsi="Arial" w:eastAsia="Times New Roman" w:cs="Arial"/>
                <w:sz w:val="20"/>
                <w:szCs w:val="20"/>
              </w:rPr>
            </w:pPr>
            <w:r w:rsidRPr="00EA2A25">
              <w:rPr>
                <w:rFonts w:ascii="Arial" w:hAnsi="Arial"/>
                <w:sz w:val="20"/>
              </w:rPr>
              <w:t>a. Passif total</w:t>
            </w:r>
          </w:p>
        </w:tc>
        <w:tc>
          <w:tcPr>
            <w:tcW w:w="2745" w:type="dxa"/>
            <w:tcBorders>
              <w:left w:val="nil"/>
              <w:right w:val="nil"/>
            </w:tcBorders>
            <w:noWrap/>
            <w:hideMark/>
          </w:tcPr>
          <w:p w:rsidRPr="00EA2A25" w:rsidR="006F5266" w:rsidP="00A87C3B" w:rsidRDefault="006F5266" w14:paraId="5C3B719D" w14:textId="77777777">
            <w:pPr>
              <w:jc w:val="right"/>
              <w:rPr>
                <w:rFonts w:ascii="Arial" w:hAnsi="Arial" w:eastAsia="Times New Roman" w:cs="Arial"/>
                <w:sz w:val="20"/>
                <w:szCs w:val="20"/>
              </w:rPr>
            </w:pPr>
            <w:r w:rsidRPr="00EA2A25">
              <w:rPr>
                <w:rFonts w:ascii="Arial" w:hAnsi="Arial"/>
                <w:sz w:val="20"/>
              </w:rPr>
              <w:t> </w:t>
            </w:r>
          </w:p>
        </w:tc>
      </w:tr>
      <w:tr w:rsidRPr="00EA2A25" w:rsidR="006F5266" w:rsidTr="00A87C3B" w14:paraId="4ECB0D66" w14:textId="77777777">
        <w:trPr>
          <w:trHeight w:val="300"/>
        </w:trPr>
        <w:tc>
          <w:tcPr>
            <w:tcW w:w="6804" w:type="dxa"/>
            <w:tcBorders>
              <w:left w:val="nil"/>
              <w:right w:val="nil"/>
            </w:tcBorders>
            <w:noWrap/>
            <w:hideMark/>
          </w:tcPr>
          <w:p w:rsidRPr="00EA2A25" w:rsidR="006F5266" w:rsidP="00A87C3B" w:rsidRDefault="006F5266" w14:paraId="7C365F98" w14:textId="77777777">
            <w:pPr>
              <w:ind w:firstLine="200" w:firstLineChars="100"/>
              <w:rPr>
                <w:rFonts w:ascii="Arial" w:hAnsi="Arial" w:eastAsia="Times New Roman" w:cs="Arial"/>
                <w:sz w:val="20"/>
                <w:szCs w:val="20"/>
              </w:rPr>
            </w:pPr>
            <w:r w:rsidRPr="00EA2A25">
              <w:rPr>
                <w:rFonts w:ascii="Arial" w:hAnsi="Arial"/>
                <w:sz w:val="20"/>
              </w:rPr>
              <w:t>b. Financement de détail</w:t>
            </w:r>
          </w:p>
        </w:tc>
        <w:tc>
          <w:tcPr>
            <w:tcW w:w="2745" w:type="dxa"/>
            <w:tcBorders>
              <w:left w:val="nil"/>
              <w:right w:val="nil"/>
            </w:tcBorders>
            <w:noWrap/>
            <w:hideMark/>
          </w:tcPr>
          <w:p w:rsidRPr="00EA2A25" w:rsidR="006F5266" w:rsidP="00A87C3B" w:rsidRDefault="006F5266" w14:paraId="4CFE31D8" w14:textId="77777777">
            <w:pPr>
              <w:jc w:val="right"/>
              <w:rPr>
                <w:rFonts w:ascii="Arial" w:hAnsi="Arial" w:eastAsia="Times New Roman" w:cs="Arial"/>
                <w:sz w:val="20"/>
                <w:szCs w:val="20"/>
              </w:rPr>
            </w:pPr>
            <w:r w:rsidRPr="00EA2A25">
              <w:rPr>
                <w:rFonts w:ascii="Arial" w:hAnsi="Arial"/>
                <w:sz w:val="20"/>
              </w:rPr>
              <w:t> </w:t>
            </w:r>
          </w:p>
        </w:tc>
      </w:tr>
      <w:tr w:rsidRPr="00EA2A25" w:rsidR="006F5266" w:rsidTr="00A87C3B" w14:paraId="1CCCB718" w14:textId="77777777">
        <w:trPr>
          <w:gridAfter w:val="1"/>
          <w:wAfter w:w="2745" w:type="dxa"/>
          <w:trHeight w:val="540"/>
        </w:trPr>
        <w:tc>
          <w:tcPr>
            <w:tcW w:w="6804" w:type="dxa"/>
            <w:tcBorders>
              <w:left w:val="nil"/>
              <w:right w:val="nil"/>
            </w:tcBorders>
            <w:noWrap/>
            <w:hideMark/>
          </w:tcPr>
          <w:p w:rsidRPr="00EA2A25" w:rsidR="006F5266" w:rsidP="00A87C3B" w:rsidRDefault="006F5266" w14:paraId="5ECDEB67" w14:textId="77777777">
            <w:pPr>
              <w:ind w:left="171"/>
              <w:rPr>
                <w:rFonts w:ascii="Arial" w:hAnsi="Arial" w:eastAsia="Times New Roman" w:cs="Arial"/>
                <w:sz w:val="20"/>
                <w:szCs w:val="20"/>
              </w:rPr>
            </w:pPr>
            <w:r w:rsidRPr="00EA2A25">
              <w:rPr>
                <w:rFonts w:ascii="Arial" w:hAnsi="Arial"/>
                <w:sz w:val="20"/>
              </w:rPr>
              <w:t>c. Ratio de dépendance au financement de gros (différence entre les éléments 15.a. et 15.b., divisée par 15.a.)</w:t>
            </w:r>
          </w:p>
        </w:tc>
      </w:tr>
      <w:tr w:rsidRPr="00EA2A25" w:rsidR="006F5266" w:rsidTr="00A87C3B" w14:paraId="1D0C1D1D" w14:textId="77777777">
        <w:trPr>
          <w:trHeight w:val="300"/>
        </w:trPr>
        <w:tc>
          <w:tcPr>
            <w:tcW w:w="6804" w:type="dxa"/>
            <w:tcBorders>
              <w:left w:val="nil"/>
              <w:right w:val="nil"/>
            </w:tcBorders>
            <w:noWrap/>
            <w:hideMark/>
          </w:tcPr>
          <w:p w:rsidRPr="00EA2A25" w:rsidR="006F5266" w:rsidP="00A87C3B" w:rsidRDefault="006F5266" w14:paraId="7498E40A" w14:textId="77777777">
            <w:pPr>
              <w:ind w:firstLine="200" w:firstLineChars="100"/>
              <w:rPr>
                <w:rFonts w:ascii="Arial" w:hAnsi="Arial" w:eastAsia="Times New Roman" w:cs="Arial"/>
                <w:sz w:val="20"/>
                <w:szCs w:val="20"/>
              </w:rPr>
            </w:pPr>
            <w:r w:rsidRPr="00EA2A25">
              <w:rPr>
                <w:rFonts w:ascii="Arial" w:hAnsi="Arial"/>
                <w:sz w:val="20"/>
              </w:rPr>
              <w:t>d. Recettes brutes totales</w:t>
            </w:r>
          </w:p>
        </w:tc>
        <w:tc>
          <w:tcPr>
            <w:tcW w:w="2745" w:type="dxa"/>
            <w:tcBorders>
              <w:left w:val="nil"/>
              <w:right w:val="nil"/>
            </w:tcBorders>
            <w:noWrap/>
            <w:hideMark/>
          </w:tcPr>
          <w:p w:rsidRPr="00EA2A25" w:rsidR="006F5266" w:rsidP="00A87C3B" w:rsidRDefault="006F5266" w14:paraId="2871490C" w14:textId="77777777">
            <w:pPr>
              <w:jc w:val="right"/>
              <w:rPr>
                <w:rFonts w:ascii="Arial" w:hAnsi="Arial" w:eastAsia="Times New Roman" w:cs="Arial"/>
                <w:sz w:val="20"/>
                <w:szCs w:val="20"/>
              </w:rPr>
            </w:pPr>
            <w:r w:rsidRPr="00EA2A25">
              <w:rPr>
                <w:rFonts w:ascii="Arial" w:hAnsi="Arial"/>
                <w:sz w:val="20"/>
              </w:rPr>
              <w:t> </w:t>
            </w:r>
          </w:p>
        </w:tc>
      </w:tr>
      <w:tr w:rsidRPr="00EA2A25" w:rsidR="006F5266" w:rsidTr="00A87C3B" w14:paraId="7C28058C" w14:textId="77777777">
        <w:trPr>
          <w:trHeight w:val="300"/>
        </w:trPr>
        <w:tc>
          <w:tcPr>
            <w:tcW w:w="6804" w:type="dxa"/>
            <w:tcBorders>
              <w:left w:val="nil"/>
              <w:right w:val="nil"/>
            </w:tcBorders>
            <w:noWrap/>
            <w:hideMark/>
          </w:tcPr>
          <w:p w:rsidRPr="00EA2A25" w:rsidR="006F5266" w:rsidP="00A87C3B" w:rsidRDefault="006F5266" w14:paraId="74C5AD82" w14:textId="77777777">
            <w:pPr>
              <w:ind w:firstLine="200" w:firstLineChars="100"/>
              <w:rPr>
                <w:rFonts w:ascii="Arial" w:hAnsi="Arial" w:eastAsia="Times New Roman" w:cs="Arial"/>
                <w:sz w:val="20"/>
                <w:szCs w:val="20"/>
              </w:rPr>
            </w:pPr>
            <w:r w:rsidRPr="00EA2A25">
              <w:rPr>
                <w:rFonts w:ascii="Arial" w:hAnsi="Arial"/>
                <w:sz w:val="20"/>
              </w:rPr>
              <w:t>e. Recettes nettes totales</w:t>
            </w:r>
          </w:p>
        </w:tc>
        <w:tc>
          <w:tcPr>
            <w:tcW w:w="2745" w:type="dxa"/>
            <w:tcBorders>
              <w:left w:val="nil"/>
              <w:right w:val="nil"/>
            </w:tcBorders>
            <w:noWrap/>
            <w:hideMark/>
          </w:tcPr>
          <w:p w:rsidRPr="00EA2A25" w:rsidR="006F5266" w:rsidP="00A87C3B" w:rsidRDefault="006F5266" w14:paraId="5E9E5B78" w14:textId="77777777">
            <w:pPr>
              <w:jc w:val="right"/>
              <w:rPr>
                <w:rFonts w:ascii="Arial" w:hAnsi="Arial" w:eastAsia="Times New Roman" w:cs="Arial"/>
                <w:sz w:val="20"/>
                <w:szCs w:val="20"/>
              </w:rPr>
            </w:pPr>
            <w:r w:rsidRPr="00EA2A25">
              <w:rPr>
                <w:rFonts w:ascii="Arial" w:hAnsi="Arial"/>
                <w:sz w:val="20"/>
              </w:rPr>
              <w:t> </w:t>
            </w:r>
          </w:p>
        </w:tc>
      </w:tr>
      <w:tr w:rsidRPr="00EA2A25" w:rsidR="006F5266" w:rsidTr="00A87C3B" w14:paraId="1AAAE365" w14:textId="77777777">
        <w:trPr>
          <w:trHeight w:val="300"/>
        </w:trPr>
        <w:tc>
          <w:tcPr>
            <w:tcW w:w="6804" w:type="dxa"/>
            <w:tcBorders>
              <w:left w:val="nil"/>
              <w:right w:val="nil"/>
            </w:tcBorders>
            <w:noWrap/>
            <w:hideMark/>
          </w:tcPr>
          <w:p w:rsidRPr="00EA2A25" w:rsidR="006F5266" w:rsidP="00A87C3B" w:rsidRDefault="006F5266" w14:paraId="2669CED6" w14:textId="77777777">
            <w:pPr>
              <w:ind w:firstLine="200" w:firstLineChars="100"/>
              <w:rPr>
                <w:rFonts w:ascii="Arial" w:hAnsi="Arial" w:eastAsia="Times New Roman" w:cs="Arial"/>
                <w:sz w:val="20"/>
                <w:szCs w:val="20"/>
              </w:rPr>
            </w:pPr>
            <w:r w:rsidRPr="00EA2A25">
              <w:rPr>
                <w:rFonts w:ascii="Arial" w:hAnsi="Arial"/>
                <w:sz w:val="20"/>
              </w:rPr>
              <w:t>f. Recettes nettes étrangères</w:t>
            </w:r>
          </w:p>
        </w:tc>
        <w:tc>
          <w:tcPr>
            <w:tcW w:w="2745" w:type="dxa"/>
            <w:tcBorders>
              <w:left w:val="nil"/>
              <w:right w:val="nil"/>
            </w:tcBorders>
            <w:noWrap/>
            <w:hideMark/>
          </w:tcPr>
          <w:p w:rsidRPr="00EA2A25" w:rsidR="006F5266" w:rsidP="00A87C3B" w:rsidRDefault="006F5266" w14:paraId="4430AEB3" w14:textId="77777777">
            <w:pPr>
              <w:jc w:val="right"/>
              <w:rPr>
                <w:rFonts w:ascii="Arial" w:hAnsi="Arial" w:eastAsia="Times New Roman" w:cs="Arial"/>
                <w:sz w:val="20"/>
                <w:szCs w:val="20"/>
              </w:rPr>
            </w:pPr>
            <w:r w:rsidRPr="00EA2A25">
              <w:rPr>
                <w:rFonts w:ascii="Arial" w:hAnsi="Arial"/>
                <w:sz w:val="20"/>
              </w:rPr>
              <w:t> </w:t>
            </w:r>
          </w:p>
        </w:tc>
      </w:tr>
      <w:tr w:rsidRPr="00EA2A25" w:rsidR="006F5266" w:rsidTr="00A87C3B" w14:paraId="58D14B5B" w14:textId="77777777">
        <w:trPr>
          <w:trHeight w:val="300"/>
        </w:trPr>
        <w:tc>
          <w:tcPr>
            <w:tcW w:w="6804" w:type="dxa"/>
            <w:tcBorders>
              <w:left w:val="nil"/>
              <w:right w:val="nil"/>
            </w:tcBorders>
            <w:noWrap/>
          </w:tcPr>
          <w:p w:rsidRPr="00EA2A25" w:rsidR="006F5266" w:rsidP="00A87C3B" w:rsidRDefault="006F5266" w14:paraId="28E24F6B" w14:textId="77777777">
            <w:pPr>
              <w:ind w:left="171"/>
              <w:rPr>
                <w:rFonts w:ascii="Arial" w:hAnsi="Arial" w:eastAsia="Times New Roman" w:cs="Arial"/>
                <w:sz w:val="20"/>
                <w:szCs w:val="20"/>
              </w:rPr>
            </w:pPr>
            <w:r w:rsidRPr="00EA2A25">
              <w:rPr>
                <w:rFonts w:ascii="Arial" w:hAnsi="Arial"/>
                <w:sz w:val="20"/>
              </w:rPr>
              <w:t>g. Valeur brute des liquidités fournies et juste valeur brute des titres fournis dans le cadre d’opérations de financement sur titres</w:t>
            </w:r>
          </w:p>
        </w:tc>
        <w:tc>
          <w:tcPr>
            <w:tcW w:w="2745" w:type="dxa"/>
            <w:tcBorders>
              <w:left w:val="nil"/>
              <w:right w:val="nil"/>
            </w:tcBorders>
            <w:noWrap/>
          </w:tcPr>
          <w:p w:rsidRPr="00EA2A25" w:rsidR="006F5266" w:rsidP="00A87C3B" w:rsidRDefault="006F5266" w14:paraId="0D0D786B" w14:textId="77777777">
            <w:pPr>
              <w:jc w:val="right"/>
              <w:rPr>
                <w:rFonts w:ascii="Arial" w:hAnsi="Arial" w:eastAsia="Times New Roman" w:cs="Arial"/>
                <w:sz w:val="20"/>
                <w:szCs w:val="20"/>
                <w:lang w:eastAsia="en-GB"/>
              </w:rPr>
            </w:pPr>
          </w:p>
        </w:tc>
      </w:tr>
      <w:tr w:rsidRPr="00EA2A25" w:rsidR="006F5266" w:rsidTr="00A87C3B" w14:paraId="41BED115" w14:textId="77777777">
        <w:trPr>
          <w:trHeight w:val="300"/>
        </w:trPr>
        <w:tc>
          <w:tcPr>
            <w:tcW w:w="6804" w:type="dxa"/>
            <w:tcBorders>
              <w:left w:val="nil"/>
              <w:right w:val="nil"/>
            </w:tcBorders>
            <w:noWrap/>
          </w:tcPr>
          <w:p w:rsidRPr="00EA2A25" w:rsidR="006F5266" w:rsidP="00A87C3B" w:rsidRDefault="006F5266" w14:paraId="7044BB85" w14:textId="77777777">
            <w:pPr>
              <w:ind w:left="171"/>
              <w:rPr>
                <w:rFonts w:ascii="Arial" w:hAnsi="Arial" w:eastAsia="Times New Roman" w:cs="Arial"/>
                <w:sz w:val="20"/>
                <w:szCs w:val="20"/>
              </w:rPr>
            </w:pPr>
            <w:r w:rsidRPr="00EA2A25">
              <w:rPr>
                <w:rFonts w:ascii="Arial" w:hAnsi="Arial"/>
                <w:sz w:val="20"/>
              </w:rPr>
              <w:t>h. Valeur brute des liquidités empruntées et juste valeur brute des titres empruntés dans le cadre d’opérations de financement sur titres</w:t>
            </w:r>
          </w:p>
        </w:tc>
        <w:tc>
          <w:tcPr>
            <w:tcW w:w="2745" w:type="dxa"/>
            <w:tcBorders>
              <w:left w:val="nil"/>
              <w:right w:val="nil"/>
            </w:tcBorders>
            <w:noWrap/>
          </w:tcPr>
          <w:p w:rsidRPr="00EA2A25" w:rsidR="006F5266" w:rsidP="00A87C3B" w:rsidRDefault="006F5266" w14:paraId="17DAD8E0" w14:textId="77777777">
            <w:pPr>
              <w:jc w:val="right"/>
              <w:rPr>
                <w:rFonts w:ascii="Arial" w:hAnsi="Arial" w:eastAsia="Times New Roman" w:cs="Arial"/>
                <w:sz w:val="20"/>
                <w:szCs w:val="20"/>
                <w:lang w:eastAsia="en-GB"/>
              </w:rPr>
            </w:pPr>
          </w:p>
        </w:tc>
      </w:tr>
      <w:tr w:rsidRPr="00EA2A25" w:rsidR="006F5266" w:rsidTr="00A87C3B" w14:paraId="7C9BD29A" w14:textId="77777777">
        <w:trPr>
          <w:trHeight w:val="300"/>
        </w:trPr>
        <w:tc>
          <w:tcPr>
            <w:tcW w:w="6804" w:type="dxa"/>
            <w:tcBorders>
              <w:left w:val="nil"/>
              <w:right w:val="nil"/>
            </w:tcBorders>
            <w:noWrap/>
          </w:tcPr>
          <w:p w:rsidRPr="00EA2A25" w:rsidR="006F5266" w:rsidP="00A87C3B" w:rsidRDefault="006F5266" w14:paraId="5067E5F3" w14:textId="77777777">
            <w:pPr>
              <w:ind w:left="171"/>
              <w:rPr>
                <w:rFonts w:ascii="Arial" w:hAnsi="Arial" w:eastAsia="Times New Roman" w:cs="Arial"/>
                <w:sz w:val="20"/>
                <w:szCs w:val="20"/>
              </w:rPr>
            </w:pPr>
            <w:r w:rsidRPr="00EA2A25">
              <w:rPr>
                <w:rFonts w:ascii="Arial" w:hAnsi="Arial"/>
                <w:sz w:val="20"/>
              </w:rPr>
              <w:t>i. Juste valeur positive brute des opérations sur dérivés de gré à gré (OTC)</w:t>
            </w:r>
          </w:p>
        </w:tc>
        <w:tc>
          <w:tcPr>
            <w:tcW w:w="2745" w:type="dxa"/>
            <w:tcBorders>
              <w:left w:val="nil"/>
              <w:right w:val="nil"/>
            </w:tcBorders>
            <w:noWrap/>
          </w:tcPr>
          <w:p w:rsidRPr="00EA2A25" w:rsidR="006F5266" w:rsidP="00A87C3B" w:rsidRDefault="006F5266" w14:paraId="3CED7484" w14:textId="77777777">
            <w:pPr>
              <w:jc w:val="right"/>
              <w:rPr>
                <w:rFonts w:ascii="Arial" w:hAnsi="Arial" w:eastAsia="Times New Roman" w:cs="Arial"/>
                <w:sz w:val="20"/>
                <w:szCs w:val="20"/>
                <w:lang w:eastAsia="en-GB"/>
              </w:rPr>
            </w:pPr>
          </w:p>
        </w:tc>
      </w:tr>
      <w:tr w:rsidRPr="00EA2A25" w:rsidR="006F5266" w:rsidTr="00A87C3B" w14:paraId="360C231C" w14:textId="77777777">
        <w:trPr>
          <w:trHeight w:val="300"/>
        </w:trPr>
        <w:tc>
          <w:tcPr>
            <w:tcW w:w="6804" w:type="dxa"/>
            <w:tcBorders>
              <w:left w:val="nil"/>
              <w:bottom w:val="single" w:color="auto" w:sz="4" w:space="0"/>
              <w:right w:val="nil"/>
            </w:tcBorders>
            <w:noWrap/>
          </w:tcPr>
          <w:p w:rsidRPr="00EA2A25" w:rsidR="006F5266" w:rsidP="00A87C3B" w:rsidRDefault="006F5266" w14:paraId="00EB584F" w14:textId="77777777">
            <w:pPr>
              <w:ind w:left="171"/>
              <w:rPr>
                <w:rFonts w:ascii="Arial" w:hAnsi="Arial" w:eastAsia="Times New Roman" w:cs="Arial"/>
                <w:sz w:val="20"/>
                <w:szCs w:val="20"/>
              </w:rPr>
            </w:pPr>
            <w:r w:rsidRPr="00EA2A25">
              <w:rPr>
                <w:rFonts w:ascii="Arial" w:hAnsi="Arial"/>
                <w:sz w:val="20"/>
              </w:rPr>
              <w:t>j. Juste valeur négative brute des opérations sur dérivés de gré à gré (OTC)</w:t>
            </w:r>
          </w:p>
        </w:tc>
        <w:tc>
          <w:tcPr>
            <w:tcW w:w="2745" w:type="dxa"/>
            <w:tcBorders>
              <w:left w:val="nil"/>
              <w:bottom w:val="single" w:color="auto" w:sz="4" w:space="0"/>
              <w:right w:val="nil"/>
            </w:tcBorders>
            <w:noWrap/>
          </w:tcPr>
          <w:p w:rsidRPr="00EA2A25" w:rsidR="006F5266" w:rsidP="00A87C3B" w:rsidRDefault="006F5266" w14:paraId="5FA773A3" w14:textId="77777777">
            <w:pPr>
              <w:jc w:val="right"/>
              <w:rPr>
                <w:rFonts w:ascii="Arial" w:hAnsi="Arial" w:eastAsia="Times New Roman" w:cs="Arial"/>
                <w:sz w:val="20"/>
                <w:szCs w:val="20"/>
                <w:lang w:eastAsia="en-GB"/>
              </w:rPr>
            </w:pPr>
          </w:p>
        </w:tc>
      </w:tr>
      <w:tr w:rsidRPr="00EA2A25" w:rsidR="006F5266" w:rsidTr="00A87C3B" w14:paraId="13C7C420" w14:textId="77777777">
        <w:trPr>
          <w:trHeight w:val="300"/>
        </w:trPr>
        <w:tc>
          <w:tcPr>
            <w:tcW w:w="6804" w:type="dxa"/>
            <w:tcBorders>
              <w:left w:val="nil"/>
              <w:bottom w:val="single" w:color="auto" w:sz="4" w:space="0"/>
              <w:right w:val="nil"/>
            </w:tcBorders>
            <w:noWrap/>
            <w:hideMark/>
          </w:tcPr>
          <w:p w:rsidRPr="00EA2A25" w:rsidR="006F5266" w:rsidP="00A87C3B" w:rsidRDefault="006F5266" w14:paraId="0AABC7E3" w14:textId="77777777">
            <w:pPr>
              <w:rPr>
                <w:rFonts w:ascii="Arial" w:hAnsi="Arial" w:eastAsia="Times New Roman" w:cs="Arial"/>
                <w:sz w:val="20"/>
                <w:szCs w:val="20"/>
              </w:rPr>
            </w:pPr>
            <w:r w:rsidRPr="00EA2A25">
              <w:rPr>
                <w:rFonts w:ascii="Arial" w:hAnsi="Arial"/>
                <w:sz w:val="20"/>
              </w:rPr>
              <w:t> </w:t>
            </w:r>
          </w:p>
        </w:tc>
        <w:tc>
          <w:tcPr>
            <w:tcW w:w="2745" w:type="dxa"/>
            <w:tcBorders>
              <w:left w:val="nil"/>
              <w:bottom w:val="single" w:color="auto" w:sz="4" w:space="0"/>
              <w:right w:val="nil"/>
            </w:tcBorders>
            <w:hideMark/>
          </w:tcPr>
          <w:p w:rsidRPr="00EA2A25" w:rsidR="006F5266" w:rsidP="00A87C3B" w:rsidRDefault="006F5266" w14:paraId="7B1FF35A" w14:textId="77777777">
            <w:pPr>
              <w:jc w:val="center"/>
              <w:rPr>
                <w:rFonts w:ascii="Arial" w:hAnsi="Arial" w:eastAsia="Times New Roman" w:cs="Arial"/>
                <w:b/>
                <w:bCs/>
                <w:sz w:val="20"/>
                <w:szCs w:val="20"/>
              </w:rPr>
            </w:pPr>
            <w:r w:rsidRPr="00EA2A25">
              <w:rPr>
                <w:rFonts w:ascii="Arial" w:hAnsi="Arial"/>
                <w:b/>
                <w:sz w:val="20"/>
              </w:rPr>
              <w:t>Nombre en unités individuelles</w:t>
            </w:r>
          </w:p>
        </w:tc>
      </w:tr>
      <w:tr w:rsidRPr="00EA2A25" w:rsidR="006F5266" w:rsidTr="00A87C3B" w14:paraId="6F2383A1" w14:textId="77777777">
        <w:trPr>
          <w:trHeight w:val="300"/>
        </w:trPr>
        <w:tc>
          <w:tcPr>
            <w:tcW w:w="6804" w:type="dxa"/>
            <w:tcBorders>
              <w:left w:val="nil"/>
              <w:bottom w:val="single" w:color="auto" w:sz="4" w:space="0"/>
              <w:right w:val="nil"/>
            </w:tcBorders>
            <w:noWrap/>
            <w:hideMark/>
          </w:tcPr>
          <w:p w:rsidRPr="00EA2A25" w:rsidR="006F5266" w:rsidP="00A87C3B" w:rsidRDefault="006F5266" w14:paraId="71BBBFFC" w14:textId="77777777">
            <w:pPr>
              <w:ind w:firstLine="200" w:firstLineChars="100"/>
              <w:rPr>
                <w:rFonts w:ascii="Arial" w:hAnsi="Arial" w:eastAsia="Times New Roman" w:cs="Arial"/>
                <w:sz w:val="20"/>
                <w:szCs w:val="20"/>
              </w:rPr>
            </w:pPr>
            <w:r w:rsidRPr="00EA2A25">
              <w:rPr>
                <w:rFonts w:ascii="Arial" w:hAnsi="Arial"/>
                <w:sz w:val="20"/>
              </w:rPr>
              <w:t xml:space="preserve">k. Nombre de juridictions </w:t>
            </w:r>
          </w:p>
        </w:tc>
        <w:tc>
          <w:tcPr>
            <w:tcW w:w="2745" w:type="dxa"/>
            <w:tcBorders>
              <w:left w:val="nil"/>
              <w:bottom w:val="single" w:color="auto" w:sz="4" w:space="0"/>
              <w:right w:val="nil"/>
            </w:tcBorders>
            <w:noWrap/>
            <w:hideMark/>
          </w:tcPr>
          <w:p w:rsidRPr="00EA2A25" w:rsidR="006F5266" w:rsidP="00A87C3B" w:rsidRDefault="006F5266" w14:paraId="4AC127DF" w14:textId="77777777">
            <w:pPr>
              <w:jc w:val="right"/>
              <w:rPr>
                <w:rFonts w:ascii="Arial" w:hAnsi="Arial" w:eastAsia="Times New Roman" w:cs="Arial"/>
                <w:sz w:val="20"/>
                <w:szCs w:val="20"/>
              </w:rPr>
            </w:pPr>
            <w:r w:rsidRPr="00EA2A25">
              <w:rPr>
                <w:rFonts w:ascii="Arial" w:hAnsi="Arial"/>
                <w:sz w:val="20"/>
              </w:rPr>
              <w:t> </w:t>
            </w:r>
          </w:p>
        </w:tc>
      </w:tr>
      <w:tr w:rsidRPr="00EA2A25" w:rsidR="006F5266" w:rsidTr="00A87C3B" w14:paraId="00A73022" w14:textId="77777777">
        <w:trPr>
          <w:trHeight w:val="300"/>
        </w:trPr>
        <w:tc>
          <w:tcPr>
            <w:tcW w:w="6804" w:type="dxa"/>
            <w:tcBorders>
              <w:left w:val="nil"/>
              <w:bottom w:val="nil"/>
              <w:right w:val="nil"/>
            </w:tcBorders>
            <w:noWrap/>
          </w:tcPr>
          <w:p w:rsidRPr="00EA2A25" w:rsidR="006F5266" w:rsidP="00A87C3B" w:rsidRDefault="006F5266" w14:paraId="407DADBA"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EA2A25" w:rsidR="006F5266" w:rsidP="00A87C3B" w:rsidRDefault="006F5266" w14:paraId="307E8453" w14:textId="77777777">
            <w:pPr>
              <w:jc w:val="center"/>
              <w:rPr>
                <w:rFonts w:ascii="Arial" w:hAnsi="Arial" w:eastAsia="Times New Roman" w:cs="Arial"/>
                <w:b/>
                <w:bCs/>
                <w:sz w:val="20"/>
                <w:szCs w:val="20"/>
                <w:lang w:eastAsia="en-GB"/>
              </w:rPr>
            </w:pPr>
          </w:p>
        </w:tc>
      </w:tr>
      <w:tr w:rsidRPr="00EA2A25" w:rsidR="006F5266" w:rsidTr="00A87C3B" w14:paraId="2013F78E" w14:textId="77777777">
        <w:trPr>
          <w:trHeight w:val="300"/>
        </w:trPr>
        <w:tc>
          <w:tcPr>
            <w:tcW w:w="6804" w:type="dxa"/>
            <w:tcBorders>
              <w:top w:val="nil"/>
              <w:left w:val="nil"/>
              <w:bottom w:val="single" w:color="auto" w:sz="4" w:space="0"/>
              <w:right w:val="nil"/>
            </w:tcBorders>
            <w:noWrap/>
            <w:hideMark/>
          </w:tcPr>
          <w:p w:rsidRPr="00EA2A25" w:rsidR="006F5266" w:rsidP="00A87C3B" w:rsidRDefault="006F5266" w14:paraId="28EE42DF" w14:textId="77777777">
            <w:pPr>
              <w:rPr>
                <w:rFonts w:ascii="Arial" w:hAnsi="Arial" w:eastAsia="Times New Roman" w:cs="Arial"/>
                <w:b/>
                <w:bCs/>
                <w:sz w:val="20"/>
                <w:szCs w:val="20"/>
              </w:rPr>
            </w:pPr>
            <w:r w:rsidRPr="00EA2A25">
              <w:rPr>
                <w:rFonts w:ascii="Arial" w:hAnsi="Arial"/>
                <w:b/>
                <w:sz w:val="20"/>
              </w:rPr>
              <w:t>Section 16 - Éléments auxiliaires</w:t>
            </w:r>
          </w:p>
        </w:tc>
        <w:tc>
          <w:tcPr>
            <w:tcW w:w="2745" w:type="dxa"/>
            <w:tcBorders>
              <w:top w:val="nil"/>
              <w:left w:val="nil"/>
              <w:bottom w:val="single" w:color="auto" w:sz="4" w:space="0"/>
              <w:right w:val="nil"/>
            </w:tcBorders>
            <w:hideMark/>
          </w:tcPr>
          <w:p w:rsidRPr="00EA2A25" w:rsidR="006F5266" w:rsidP="00A87C3B" w:rsidRDefault="006F5266" w14:paraId="57883988" w14:textId="77777777">
            <w:pPr>
              <w:jc w:val="center"/>
              <w:rPr>
                <w:rFonts w:ascii="Arial" w:hAnsi="Arial" w:eastAsia="Times New Roman" w:cs="Arial"/>
                <w:b/>
                <w:bCs/>
                <w:sz w:val="20"/>
                <w:szCs w:val="20"/>
              </w:rPr>
            </w:pPr>
            <w:r w:rsidRPr="00EA2A25">
              <w:rPr>
                <w:rFonts w:ascii="Arial" w:hAnsi="Arial"/>
                <w:b/>
                <w:sz w:val="20"/>
              </w:rPr>
              <w:t>Montant</w:t>
            </w:r>
          </w:p>
        </w:tc>
      </w:tr>
      <w:tr w:rsidRPr="00EA2A25" w:rsidR="006F5266" w:rsidTr="00A87C3B" w14:paraId="3AE2E58C" w14:textId="77777777">
        <w:trPr>
          <w:trHeight w:val="300"/>
        </w:trPr>
        <w:tc>
          <w:tcPr>
            <w:tcW w:w="6804" w:type="dxa"/>
            <w:tcBorders>
              <w:left w:val="nil"/>
              <w:right w:val="nil"/>
            </w:tcBorders>
            <w:noWrap/>
            <w:hideMark/>
          </w:tcPr>
          <w:p w:rsidRPr="00EA2A25" w:rsidR="006F5266" w:rsidP="00A87C3B" w:rsidRDefault="006F5266" w14:paraId="390CB5FD" w14:textId="77777777">
            <w:pPr>
              <w:ind w:firstLine="200" w:firstLineChars="100"/>
              <w:rPr>
                <w:rFonts w:ascii="Arial" w:hAnsi="Arial" w:eastAsia="Times New Roman" w:cs="Arial"/>
                <w:sz w:val="20"/>
                <w:szCs w:val="20"/>
              </w:rPr>
            </w:pPr>
            <w:r w:rsidRPr="00EA2A25">
              <w:rPr>
                <w:rFonts w:ascii="Arial" w:hAnsi="Arial"/>
                <w:sz w:val="20"/>
              </w:rPr>
              <w:t>a. Titres détenus jusqu’à l’échéance</w:t>
            </w:r>
          </w:p>
        </w:tc>
        <w:tc>
          <w:tcPr>
            <w:tcW w:w="2745" w:type="dxa"/>
            <w:tcBorders>
              <w:left w:val="nil"/>
              <w:right w:val="nil"/>
            </w:tcBorders>
            <w:noWrap/>
            <w:hideMark/>
          </w:tcPr>
          <w:p w:rsidRPr="00EA2A25" w:rsidR="006F5266" w:rsidP="00A87C3B" w:rsidRDefault="006F5266" w14:paraId="37AE759D" w14:textId="77777777">
            <w:pPr>
              <w:jc w:val="right"/>
              <w:rPr>
                <w:rFonts w:ascii="Arial" w:hAnsi="Arial" w:eastAsia="Times New Roman" w:cs="Arial"/>
                <w:sz w:val="20"/>
                <w:szCs w:val="20"/>
              </w:rPr>
            </w:pPr>
            <w:r w:rsidRPr="00EA2A25">
              <w:rPr>
                <w:rFonts w:ascii="Arial" w:hAnsi="Arial"/>
                <w:sz w:val="20"/>
              </w:rPr>
              <w:t> </w:t>
            </w:r>
          </w:p>
        </w:tc>
      </w:tr>
      <w:tr w:rsidRPr="00EA2A25" w:rsidR="006F5266" w:rsidTr="00A87C3B" w14:paraId="0A4DFEEA" w14:textId="77777777">
        <w:trPr>
          <w:trHeight w:val="300"/>
        </w:trPr>
        <w:tc>
          <w:tcPr>
            <w:tcW w:w="6804" w:type="dxa"/>
            <w:tcBorders>
              <w:left w:val="nil"/>
              <w:right w:val="nil"/>
            </w:tcBorders>
            <w:noWrap/>
            <w:hideMark/>
          </w:tcPr>
          <w:p w:rsidRPr="00EA2A25" w:rsidR="006F5266" w:rsidP="00A87C3B" w:rsidRDefault="006F5266" w14:paraId="2D8CF9B6" w14:textId="77777777">
            <w:pPr>
              <w:ind w:firstLine="200" w:firstLineChars="100"/>
              <w:rPr>
                <w:rFonts w:ascii="Arial" w:hAnsi="Arial" w:eastAsia="Times New Roman" w:cs="Arial"/>
                <w:sz w:val="20"/>
                <w:szCs w:val="20"/>
              </w:rPr>
            </w:pPr>
            <w:r w:rsidRPr="00EA2A25">
              <w:rPr>
                <w:rFonts w:ascii="Arial" w:hAnsi="Arial"/>
                <w:sz w:val="20"/>
              </w:rPr>
              <w:t>b. Paiements effectués durant l’année de l’exercice</w:t>
            </w:r>
          </w:p>
        </w:tc>
        <w:tc>
          <w:tcPr>
            <w:tcW w:w="2745" w:type="dxa"/>
            <w:tcBorders>
              <w:left w:val="nil"/>
              <w:right w:val="nil"/>
            </w:tcBorders>
            <w:noWrap/>
            <w:hideMark/>
          </w:tcPr>
          <w:p w:rsidRPr="00EA2A25" w:rsidR="006F5266" w:rsidP="00A87C3B" w:rsidRDefault="006F5266" w14:paraId="14548A65" w14:textId="77777777">
            <w:pPr>
              <w:ind w:firstLine="200" w:firstLineChars="100"/>
              <w:rPr>
                <w:rFonts w:ascii="Arial" w:hAnsi="Arial" w:eastAsia="Times New Roman" w:cs="Arial"/>
                <w:sz w:val="20"/>
                <w:szCs w:val="20"/>
              </w:rPr>
            </w:pPr>
            <w:r w:rsidRPr="00EA2A25">
              <w:rPr>
                <w:rFonts w:ascii="Arial" w:hAnsi="Arial"/>
                <w:sz w:val="20"/>
              </w:rPr>
              <w:t> </w:t>
            </w:r>
          </w:p>
        </w:tc>
      </w:tr>
      <w:tr w:rsidRPr="00EA2A25" w:rsidR="006F5266" w:rsidTr="00A87C3B" w14:paraId="2BD9DEC4" w14:textId="77777777">
        <w:trPr>
          <w:trHeight w:val="300"/>
        </w:trPr>
        <w:tc>
          <w:tcPr>
            <w:tcW w:w="6804" w:type="dxa"/>
            <w:tcBorders>
              <w:left w:val="nil"/>
              <w:right w:val="nil"/>
            </w:tcBorders>
            <w:noWrap/>
            <w:hideMark/>
          </w:tcPr>
          <w:p w:rsidRPr="00EA2A25" w:rsidR="006F5266" w:rsidP="00A87C3B" w:rsidRDefault="006F5266" w14:paraId="6D390FA7" w14:textId="77777777">
            <w:pPr>
              <w:ind w:firstLine="400" w:firstLineChars="200"/>
              <w:rPr>
                <w:rFonts w:ascii="Arial" w:hAnsi="Arial" w:eastAsia="Times New Roman" w:cs="Arial"/>
                <w:sz w:val="20"/>
                <w:szCs w:val="20"/>
              </w:rPr>
            </w:pPr>
            <w:r w:rsidRPr="00EA2A25">
              <w:rPr>
                <w:rFonts w:ascii="Arial" w:hAnsi="Arial"/>
                <w:sz w:val="20"/>
                <w:lang w:eastAsia="en-GB"/>
              </w:rPr>
              <w:t xml:space="preserve">(1) </w:t>
            </w:r>
            <w:r w:rsidRPr="00EA2A25">
              <w:rPr>
                <w:rFonts w:ascii="Arial" w:hAnsi="Arial"/>
                <w:sz w:val="20"/>
              </w:rPr>
              <w:t>Real brésilien (BRL)</w:t>
            </w:r>
          </w:p>
        </w:tc>
        <w:tc>
          <w:tcPr>
            <w:tcW w:w="2745" w:type="dxa"/>
            <w:tcBorders>
              <w:left w:val="nil"/>
              <w:right w:val="nil"/>
            </w:tcBorders>
            <w:noWrap/>
            <w:hideMark/>
          </w:tcPr>
          <w:p w:rsidRPr="00EA2A25" w:rsidR="006F5266" w:rsidP="00A87C3B" w:rsidRDefault="006F5266" w14:paraId="411A5FCC" w14:textId="77777777">
            <w:pPr>
              <w:jc w:val="right"/>
              <w:rPr>
                <w:rFonts w:ascii="Arial" w:hAnsi="Arial" w:eastAsia="Times New Roman" w:cs="Arial"/>
                <w:sz w:val="20"/>
                <w:szCs w:val="20"/>
              </w:rPr>
            </w:pPr>
            <w:r w:rsidRPr="00EA2A25">
              <w:rPr>
                <w:rFonts w:ascii="Arial" w:hAnsi="Arial"/>
                <w:sz w:val="20"/>
              </w:rPr>
              <w:t> </w:t>
            </w:r>
          </w:p>
        </w:tc>
      </w:tr>
      <w:tr w:rsidRPr="00EA2A25" w:rsidR="006F5266" w:rsidTr="00A87C3B" w14:paraId="0202128E" w14:textId="77777777">
        <w:trPr>
          <w:trHeight w:val="300"/>
        </w:trPr>
        <w:tc>
          <w:tcPr>
            <w:tcW w:w="6804" w:type="dxa"/>
            <w:tcBorders>
              <w:left w:val="nil"/>
              <w:right w:val="nil"/>
            </w:tcBorders>
            <w:noWrap/>
            <w:hideMark/>
          </w:tcPr>
          <w:p w:rsidRPr="00EA2A25" w:rsidR="006F5266" w:rsidP="00A87C3B" w:rsidRDefault="006F5266" w14:paraId="6043CDE2" w14:textId="77777777">
            <w:pPr>
              <w:ind w:firstLine="400" w:firstLineChars="200"/>
              <w:rPr>
                <w:rFonts w:ascii="Arial" w:hAnsi="Arial" w:eastAsia="Times New Roman" w:cs="Arial"/>
                <w:sz w:val="20"/>
                <w:szCs w:val="20"/>
              </w:rPr>
            </w:pPr>
            <w:r w:rsidRPr="00EA2A25">
              <w:rPr>
                <w:rFonts w:ascii="Arial" w:hAnsi="Arial"/>
                <w:sz w:val="20"/>
                <w:lang w:eastAsia="en-GB"/>
              </w:rPr>
              <w:t xml:space="preserve">(2) </w:t>
            </w:r>
            <w:r w:rsidRPr="00EA2A25">
              <w:rPr>
                <w:rFonts w:ascii="Arial" w:hAnsi="Arial"/>
                <w:sz w:val="20"/>
              </w:rPr>
              <w:t>Peso mexicain (MXN)</w:t>
            </w:r>
          </w:p>
        </w:tc>
        <w:tc>
          <w:tcPr>
            <w:tcW w:w="2745" w:type="dxa"/>
            <w:tcBorders>
              <w:left w:val="nil"/>
              <w:right w:val="nil"/>
            </w:tcBorders>
            <w:noWrap/>
            <w:hideMark/>
          </w:tcPr>
          <w:p w:rsidRPr="00EA2A25" w:rsidR="006F5266" w:rsidP="00A87C3B" w:rsidRDefault="006F5266" w14:paraId="243E3849" w14:textId="77777777">
            <w:pPr>
              <w:jc w:val="right"/>
              <w:rPr>
                <w:rFonts w:ascii="Arial" w:hAnsi="Arial" w:eastAsia="Times New Roman" w:cs="Arial"/>
                <w:sz w:val="20"/>
                <w:szCs w:val="20"/>
              </w:rPr>
            </w:pPr>
            <w:r w:rsidRPr="00EA2A25">
              <w:rPr>
                <w:rFonts w:ascii="Arial" w:hAnsi="Arial"/>
                <w:sz w:val="20"/>
              </w:rPr>
              <w:t> </w:t>
            </w:r>
          </w:p>
        </w:tc>
      </w:tr>
      <w:tr w:rsidRPr="00EA2A25" w:rsidR="006F5266" w:rsidTr="00A87C3B" w14:paraId="74FDC39D" w14:textId="77777777">
        <w:trPr>
          <w:trHeight w:val="300"/>
        </w:trPr>
        <w:tc>
          <w:tcPr>
            <w:tcW w:w="6804" w:type="dxa"/>
            <w:tcBorders>
              <w:left w:val="nil"/>
              <w:right w:val="nil"/>
            </w:tcBorders>
            <w:noWrap/>
            <w:hideMark/>
          </w:tcPr>
          <w:p w:rsidRPr="00EA2A25" w:rsidR="006F5266" w:rsidP="00A87C3B" w:rsidRDefault="006F5266" w14:paraId="248E7062" w14:textId="77777777">
            <w:pPr>
              <w:ind w:firstLine="400" w:firstLineChars="200"/>
              <w:rPr>
                <w:rFonts w:ascii="Arial" w:hAnsi="Arial" w:eastAsia="Times New Roman" w:cs="Arial"/>
                <w:sz w:val="20"/>
                <w:szCs w:val="20"/>
              </w:rPr>
            </w:pPr>
            <w:r w:rsidRPr="00EA2A25">
              <w:rPr>
                <w:rFonts w:ascii="Arial" w:hAnsi="Arial"/>
                <w:sz w:val="20"/>
                <w:lang w:eastAsia="en-GB"/>
              </w:rPr>
              <w:t xml:space="preserve">(3) </w:t>
            </w:r>
            <w:r w:rsidRPr="00EA2A25">
              <w:rPr>
                <w:rFonts w:ascii="Arial" w:hAnsi="Arial"/>
                <w:sz w:val="20"/>
              </w:rPr>
              <w:t>Couronne norvégienne (NOK)</w:t>
            </w:r>
          </w:p>
        </w:tc>
        <w:tc>
          <w:tcPr>
            <w:tcW w:w="2745" w:type="dxa"/>
            <w:tcBorders>
              <w:left w:val="nil"/>
              <w:right w:val="nil"/>
            </w:tcBorders>
            <w:noWrap/>
            <w:hideMark/>
          </w:tcPr>
          <w:p w:rsidRPr="00EA2A25" w:rsidR="006F5266" w:rsidP="00A87C3B" w:rsidRDefault="006F5266" w14:paraId="077A2C2F" w14:textId="77777777">
            <w:pPr>
              <w:jc w:val="right"/>
              <w:rPr>
                <w:rFonts w:ascii="Arial" w:hAnsi="Arial" w:eastAsia="Times New Roman" w:cs="Arial"/>
                <w:sz w:val="20"/>
                <w:szCs w:val="20"/>
              </w:rPr>
            </w:pPr>
            <w:r w:rsidRPr="00EA2A25">
              <w:rPr>
                <w:rFonts w:ascii="Arial" w:hAnsi="Arial"/>
                <w:sz w:val="20"/>
              </w:rPr>
              <w:t> </w:t>
            </w:r>
          </w:p>
        </w:tc>
      </w:tr>
      <w:tr w:rsidRPr="00EA2A25" w:rsidR="006F5266" w:rsidTr="00A87C3B" w14:paraId="462BD0C2" w14:textId="77777777">
        <w:trPr>
          <w:trHeight w:val="300"/>
        </w:trPr>
        <w:tc>
          <w:tcPr>
            <w:tcW w:w="6804" w:type="dxa"/>
            <w:tcBorders>
              <w:left w:val="nil"/>
              <w:right w:val="nil"/>
            </w:tcBorders>
            <w:noWrap/>
            <w:hideMark/>
          </w:tcPr>
          <w:p w:rsidRPr="00EA2A25" w:rsidR="006F5266" w:rsidP="00A87C3B" w:rsidRDefault="006F5266" w14:paraId="4646553F" w14:textId="77777777">
            <w:pPr>
              <w:ind w:firstLine="400" w:firstLineChars="200"/>
              <w:rPr>
                <w:rFonts w:ascii="Arial" w:hAnsi="Arial" w:eastAsia="Times New Roman" w:cs="Arial"/>
                <w:sz w:val="20"/>
                <w:szCs w:val="20"/>
              </w:rPr>
            </w:pPr>
            <w:r w:rsidRPr="00EA2A25">
              <w:rPr>
                <w:rFonts w:ascii="Arial" w:hAnsi="Arial"/>
                <w:sz w:val="20"/>
                <w:lang w:eastAsia="en-GB"/>
              </w:rPr>
              <w:t xml:space="preserve">(4) </w:t>
            </w:r>
            <w:r w:rsidRPr="00EA2A25">
              <w:rPr>
                <w:rFonts w:ascii="Arial" w:hAnsi="Arial"/>
                <w:sz w:val="20"/>
              </w:rPr>
              <w:t>Rouble russe (RUB)</w:t>
            </w:r>
          </w:p>
        </w:tc>
        <w:tc>
          <w:tcPr>
            <w:tcW w:w="2745" w:type="dxa"/>
            <w:tcBorders>
              <w:left w:val="nil"/>
              <w:right w:val="nil"/>
            </w:tcBorders>
            <w:noWrap/>
            <w:hideMark/>
          </w:tcPr>
          <w:p w:rsidRPr="00EA2A25" w:rsidR="006F5266" w:rsidP="00A87C3B" w:rsidRDefault="006F5266" w14:paraId="13412B6E" w14:textId="77777777">
            <w:pPr>
              <w:jc w:val="right"/>
              <w:rPr>
                <w:rFonts w:ascii="Arial" w:hAnsi="Arial" w:eastAsia="Times New Roman" w:cs="Arial"/>
                <w:sz w:val="20"/>
                <w:szCs w:val="20"/>
              </w:rPr>
            </w:pPr>
            <w:r w:rsidRPr="00EA2A25">
              <w:rPr>
                <w:rFonts w:ascii="Arial" w:hAnsi="Arial"/>
                <w:sz w:val="20"/>
              </w:rPr>
              <w:t> </w:t>
            </w:r>
          </w:p>
        </w:tc>
      </w:tr>
      <w:tr w:rsidRPr="00EA2A25" w:rsidR="006F5266" w:rsidTr="00A87C3B" w14:paraId="3ADD7A13" w14:textId="77777777">
        <w:trPr>
          <w:trHeight w:val="300"/>
        </w:trPr>
        <w:tc>
          <w:tcPr>
            <w:tcW w:w="6804" w:type="dxa"/>
            <w:tcBorders>
              <w:left w:val="nil"/>
              <w:right w:val="nil"/>
            </w:tcBorders>
            <w:noWrap/>
            <w:hideMark/>
          </w:tcPr>
          <w:p w:rsidRPr="00EA2A25" w:rsidR="006F5266" w:rsidP="00A87C3B" w:rsidRDefault="006F5266" w14:paraId="19F48C5A" w14:textId="77777777">
            <w:pPr>
              <w:ind w:firstLine="400" w:firstLineChars="200"/>
              <w:rPr>
                <w:rFonts w:ascii="Arial" w:hAnsi="Arial" w:eastAsia="Times New Roman" w:cs="Arial"/>
                <w:sz w:val="20"/>
                <w:szCs w:val="20"/>
              </w:rPr>
            </w:pPr>
            <w:r w:rsidRPr="00EA2A25">
              <w:rPr>
                <w:rFonts w:ascii="Arial" w:hAnsi="Arial"/>
                <w:sz w:val="20"/>
                <w:lang w:eastAsia="en-GB"/>
              </w:rPr>
              <w:t xml:space="preserve">(5) </w:t>
            </w:r>
            <w:r w:rsidRPr="00EA2A25">
              <w:rPr>
                <w:rFonts w:ascii="Arial" w:hAnsi="Arial"/>
                <w:sz w:val="20"/>
              </w:rPr>
              <w:t>Dollar de Singapour (SGD)</w:t>
            </w:r>
          </w:p>
        </w:tc>
        <w:tc>
          <w:tcPr>
            <w:tcW w:w="2745" w:type="dxa"/>
            <w:tcBorders>
              <w:left w:val="nil"/>
              <w:right w:val="nil"/>
            </w:tcBorders>
            <w:noWrap/>
            <w:hideMark/>
          </w:tcPr>
          <w:p w:rsidRPr="00EA2A25" w:rsidR="006F5266" w:rsidP="00A87C3B" w:rsidRDefault="006F5266" w14:paraId="55B9256C" w14:textId="77777777">
            <w:pPr>
              <w:jc w:val="right"/>
              <w:rPr>
                <w:rFonts w:ascii="Arial" w:hAnsi="Arial" w:eastAsia="Times New Roman" w:cs="Arial"/>
                <w:sz w:val="20"/>
                <w:szCs w:val="20"/>
              </w:rPr>
            </w:pPr>
            <w:r w:rsidRPr="00EA2A25">
              <w:rPr>
                <w:rFonts w:ascii="Arial" w:hAnsi="Arial"/>
                <w:sz w:val="20"/>
              </w:rPr>
              <w:t> </w:t>
            </w:r>
          </w:p>
        </w:tc>
      </w:tr>
      <w:tr w:rsidRPr="00EA2A25" w:rsidR="006F5266" w:rsidTr="00A87C3B" w14:paraId="058875FA" w14:textId="77777777">
        <w:trPr>
          <w:trHeight w:val="300"/>
        </w:trPr>
        <w:tc>
          <w:tcPr>
            <w:tcW w:w="6804" w:type="dxa"/>
            <w:tcBorders>
              <w:left w:val="nil"/>
              <w:bottom w:val="single" w:color="auto" w:sz="4" w:space="0"/>
              <w:right w:val="nil"/>
            </w:tcBorders>
            <w:noWrap/>
            <w:hideMark/>
          </w:tcPr>
          <w:p w:rsidRPr="00EA2A25" w:rsidR="006F5266" w:rsidP="00A87C3B" w:rsidRDefault="006F5266" w14:paraId="5DA0FC93" w14:textId="77777777">
            <w:pPr>
              <w:ind w:firstLine="400" w:firstLineChars="200"/>
              <w:rPr>
                <w:rFonts w:ascii="Arial" w:hAnsi="Arial" w:eastAsia="Times New Roman" w:cs="Arial"/>
                <w:sz w:val="20"/>
                <w:szCs w:val="20"/>
              </w:rPr>
            </w:pPr>
            <w:r w:rsidRPr="00EA2A25">
              <w:rPr>
                <w:rFonts w:ascii="Arial" w:hAnsi="Arial"/>
                <w:sz w:val="20"/>
                <w:lang w:eastAsia="en-GB"/>
              </w:rPr>
              <w:t xml:space="preserve">(6) </w:t>
            </w:r>
            <w:r w:rsidRPr="00EA2A25">
              <w:rPr>
                <w:rFonts w:ascii="Arial" w:hAnsi="Arial"/>
                <w:sz w:val="20"/>
              </w:rPr>
              <w:t>Won sud-coréen (KRW)</w:t>
            </w:r>
          </w:p>
        </w:tc>
        <w:tc>
          <w:tcPr>
            <w:tcW w:w="2745" w:type="dxa"/>
            <w:tcBorders>
              <w:left w:val="nil"/>
              <w:bottom w:val="single" w:color="auto" w:sz="4" w:space="0"/>
              <w:right w:val="nil"/>
            </w:tcBorders>
            <w:noWrap/>
            <w:hideMark/>
          </w:tcPr>
          <w:p w:rsidRPr="00EA2A25" w:rsidR="006F5266" w:rsidP="00A87C3B" w:rsidRDefault="006F5266" w14:paraId="04066CCC" w14:textId="77777777">
            <w:pPr>
              <w:jc w:val="right"/>
              <w:rPr>
                <w:rFonts w:ascii="Arial" w:hAnsi="Arial" w:eastAsia="Times New Roman" w:cs="Arial"/>
                <w:sz w:val="20"/>
                <w:szCs w:val="20"/>
              </w:rPr>
            </w:pPr>
            <w:r w:rsidRPr="00EA2A25">
              <w:rPr>
                <w:rFonts w:ascii="Arial" w:hAnsi="Arial"/>
                <w:sz w:val="20"/>
              </w:rPr>
              <w:t> </w:t>
            </w:r>
          </w:p>
        </w:tc>
      </w:tr>
      <w:tr w:rsidRPr="00EA2A25" w:rsidR="006F5266" w:rsidTr="00A87C3B" w14:paraId="6E826419" w14:textId="77777777">
        <w:trPr>
          <w:trHeight w:val="403"/>
        </w:trPr>
        <w:tc>
          <w:tcPr>
            <w:tcW w:w="6804" w:type="dxa"/>
            <w:tcBorders>
              <w:left w:val="nil"/>
              <w:bottom w:val="nil"/>
              <w:right w:val="nil"/>
            </w:tcBorders>
            <w:noWrap/>
            <w:hideMark/>
          </w:tcPr>
          <w:p w:rsidRPr="00EA2A25" w:rsidR="006F5266" w:rsidP="00A87C3B" w:rsidRDefault="006F5266" w14:paraId="5F229D35" w14:textId="77777777">
            <w:pPr>
              <w:rPr>
                <w:rFonts w:ascii="Arial" w:hAnsi="Arial" w:eastAsia="Times New Roman" w:cs="Arial"/>
                <w:sz w:val="20"/>
                <w:szCs w:val="20"/>
              </w:rPr>
            </w:pPr>
            <w:r w:rsidRPr="00EA2A25">
              <w:rPr>
                <w:rFonts w:ascii="Arial" w:hAnsi="Arial"/>
                <w:sz w:val="20"/>
              </w:rPr>
              <w:t> </w:t>
            </w:r>
          </w:p>
        </w:tc>
        <w:tc>
          <w:tcPr>
            <w:tcW w:w="2745" w:type="dxa"/>
            <w:tcBorders>
              <w:left w:val="nil"/>
              <w:bottom w:val="nil"/>
              <w:right w:val="nil"/>
            </w:tcBorders>
            <w:noWrap/>
            <w:hideMark/>
          </w:tcPr>
          <w:p w:rsidRPr="00EA2A25" w:rsidR="006F5266" w:rsidP="00A87C3B" w:rsidRDefault="006F5266" w14:paraId="4DF5EC98" w14:textId="77777777">
            <w:pPr>
              <w:rPr>
                <w:rFonts w:ascii="Arial" w:hAnsi="Arial" w:eastAsia="Times New Roman" w:cs="Arial"/>
                <w:sz w:val="20"/>
                <w:szCs w:val="20"/>
              </w:rPr>
            </w:pPr>
            <w:r w:rsidRPr="00EA2A25">
              <w:rPr>
                <w:rFonts w:ascii="Arial" w:hAnsi="Arial"/>
                <w:sz w:val="20"/>
              </w:rPr>
              <w:t> </w:t>
            </w:r>
          </w:p>
        </w:tc>
      </w:tr>
      <w:tr w:rsidRPr="00EA2A25" w:rsidR="006F5266" w:rsidTr="00A87C3B" w14:paraId="74CF37F3" w14:textId="77777777">
        <w:trPr>
          <w:trHeight w:val="403"/>
        </w:trPr>
        <w:tc>
          <w:tcPr>
            <w:tcW w:w="6804" w:type="dxa"/>
            <w:tcBorders>
              <w:top w:val="nil"/>
              <w:left w:val="nil"/>
              <w:bottom w:val="nil"/>
              <w:right w:val="nil"/>
            </w:tcBorders>
            <w:noWrap/>
            <w:hideMark/>
          </w:tcPr>
          <w:p w:rsidRPr="00EA2A25" w:rsidR="006F5266" w:rsidP="00A87C3B" w:rsidRDefault="006F5266" w14:paraId="1B470DF8" w14:textId="77777777">
            <w:pPr>
              <w:rPr>
                <w:rFonts w:asciiTheme="majorHAnsi" w:hAnsiTheme="majorHAnsi" w:eastAsiaTheme="majorEastAsia" w:cstheme="majorBidi"/>
                <w:b/>
                <w:bCs/>
                <w:i/>
                <w:iCs/>
                <w:caps/>
                <w:spacing w:val="-2"/>
              </w:rPr>
            </w:pPr>
            <w:r w:rsidRPr="00EA2A25">
              <w:rPr>
                <w:rFonts w:asciiTheme="majorHAnsi" w:hAnsiTheme="majorHAnsi"/>
                <w:b/>
                <w:i/>
                <w:caps/>
              </w:rPr>
              <w:t> Éléments pour mémoire</w:t>
            </w:r>
          </w:p>
        </w:tc>
        <w:tc>
          <w:tcPr>
            <w:tcW w:w="2745" w:type="dxa"/>
            <w:tcBorders>
              <w:top w:val="nil"/>
              <w:left w:val="nil"/>
              <w:bottom w:val="nil"/>
              <w:right w:val="nil"/>
            </w:tcBorders>
            <w:noWrap/>
            <w:hideMark/>
          </w:tcPr>
          <w:p w:rsidRPr="00EA2A25" w:rsidR="006F5266" w:rsidP="00A87C3B" w:rsidRDefault="006F5266" w14:paraId="0FEF9260" w14:textId="77777777">
            <w:pPr>
              <w:rPr>
                <w:rFonts w:ascii="Arial" w:hAnsi="Arial" w:eastAsia="Times New Roman" w:cs="Arial"/>
                <w:b/>
                <w:bCs/>
                <w:sz w:val="24"/>
                <w:szCs w:val="24"/>
              </w:rPr>
            </w:pPr>
            <w:r w:rsidRPr="00EA2A25">
              <w:rPr>
                <w:rFonts w:ascii="Arial" w:hAnsi="Arial"/>
                <w:b/>
                <w:sz w:val="24"/>
              </w:rPr>
              <w:t> </w:t>
            </w:r>
          </w:p>
        </w:tc>
      </w:tr>
      <w:tr w:rsidRPr="00EA2A25" w:rsidR="006F5266" w:rsidTr="00A87C3B" w14:paraId="6096BD19" w14:textId="77777777">
        <w:trPr>
          <w:trHeight w:val="403"/>
        </w:trPr>
        <w:tc>
          <w:tcPr>
            <w:tcW w:w="6804" w:type="dxa"/>
            <w:tcBorders>
              <w:top w:val="nil"/>
              <w:left w:val="nil"/>
              <w:bottom w:val="single" w:color="auto" w:sz="4" w:space="0"/>
              <w:right w:val="nil"/>
            </w:tcBorders>
            <w:noWrap/>
            <w:hideMark/>
          </w:tcPr>
          <w:p w:rsidRPr="00EA2A25" w:rsidR="006F5266" w:rsidP="00A87C3B" w:rsidRDefault="006F5266" w14:paraId="4CA265A1" w14:textId="77777777">
            <w:pPr>
              <w:ind w:firstLine="241" w:firstLineChars="100"/>
              <w:rPr>
                <w:rFonts w:ascii="Arial" w:hAnsi="Arial" w:eastAsia="Times New Roman" w:cs="Arial"/>
                <w:b/>
                <w:bCs/>
                <w:sz w:val="24"/>
                <w:szCs w:val="24"/>
              </w:rPr>
            </w:pPr>
            <w:r w:rsidRPr="00EA2A25">
              <w:rPr>
                <w:rFonts w:ascii="Arial" w:hAnsi="Arial"/>
                <w:b/>
                <w:sz w:val="24"/>
              </w:rPr>
              <w:t> </w:t>
            </w:r>
          </w:p>
        </w:tc>
        <w:tc>
          <w:tcPr>
            <w:tcW w:w="2745" w:type="dxa"/>
            <w:tcBorders>
              <w:top w:val="nil"/>
              <w:left w:val="nil"/>
              <w:bottom w:val="single" w:color="auto" w:sz="4" w:space="0"/>
              <w:right w:val="nil"/>
            </w:tcBorders>
            <w:noWrap/>
            <w:hideMark/>
          </w:tcPr>
          <w:p w:rsidRPr="00EA2A25" w:rsidR="006F5266" w:rsidP="00A87C3B" w:rsidRDefault="006F5266" w14:paraId="0D21B12D" w14:textId="77777777">
            <w:pPr>
              <w:rPr>
                <w:rFonts w:ascii="Arial" w:hAnsi="Arial" w:eastAsia="Times New Roman" w:cs="Arial"/>
                <w:b/>
                <w:bCs/>
                <w:sz w:val="24"/>
                <w:szCs w:val="24"/>
              </w:rPr>
            </w:pPr>
            <w:r w:rsidRPr="00EA2A25">
              <w:rPr>
                <w:rFonts w:ascii="Arial" w:hAnsi="Arial"/>
                <w:b/>
                <w:sz w:val="24"/>
              </w:rPr>
              <w:t> </w:t>
            </w:r>
          </w:p>
        </w:tc>
      </w:tr>
      <w:tr w:rsidRPr="00EA2A25" w:rsidR="006F5266" w:rsidTr="00A87C3B" w14:paraId="5E41990E" w14:textId="77777777">
        <w:trPr>
          <w:trHeight w:val="300"/>
        </w:trPr>
        <w:tc>
          <w:tcPr>
            <w:tcW w:w="6804" w:type="dxa"/>
            <w:tcBorders>
              <w:left w:val="nil"/>
              <w:right w:val="nil"/>
            </w:tcBorders>
            <w:noWrap/>
            <w:hideMark/>
          </w:tcPr>
          <w:p w:rsidRPr="00EA2A25" w:rsidR="006F5266" w:rsidP="00A87C3B" w:rsidRDefault="006F5266" w14:paraId="11E1594D" w14:textId="77777777">
            <w:pPr>
              <w:rPr>
                <w:rFonts w:ascii="Arial" w:hAnsi="Arial" w:eastAsia="Times New Roman" w:cs="Arial"/>
                <w:b/>
                <w:bCs/>
                <w:sz w:val="20"/>
                <w:szCs w:val="20"/>
              </w:rPr>
            </w:pPr>
            <w:r w:rsidRPr="00EA2A25">
              <w:rPr>
                <w:rFonts w:ascii="Arial" w:hAnsi="Arial"/>
                <w:b/>
                <w:sz w:val="20"/>
              </w:rPr>
              <w:t>Section 17 - Éléments de taille</w:t>
            </w:r>
          </w:p>
        </w:tc>
        <w:tc>
          <w:tcPr>
            <w:tcW w:w="2745" w:type="dxa"/>
            <w:tcBorders>
              <w:left w:val="nil"/>
              <w:right w:val="nil"/>
            </w:tcBorders>
            <w:hideMark/>
          </w:tcPr>
          <w:p w:rsidRPr="00EA2A25" w:rsidR="006F5266" w:rsidP="00A87C3B" w:rsidRDefault="006F5266" w14:paraId="0D2BA40F" w14:textId="77777777">
            <w:pPr>
              <w:jc w:val="center"/>
              <w:rPr>
                <w:rFonts w:ascii="Arial" w:hAnsi="Arial" w:eastAsia="Times New Roman" w:cs="Arial"/>
                <w:b/>
                <w:bCs/>
                <w:sz w:val="20"/>
                <w:szCs w:val="20"/>
              </w:rPr>
            </w:pPr>
            <w:r w:rsidRPr="00EA2A25">
              <w:rPr>
                <w:rFonts w:ascii="Arial" w:hAnsi="Arial"/>
                <w:b/>
                <w:sz w:val="20"/>
              </w:rPr>
              <w:t>Montant</w:t>
            </w:r>
          </w:p>
        </w:tc>
      </w:tr>
      <w:tr w:rsidRPr="00EA2A25" w:rsidR="006F5266" w:rsidTr="00A87C3B" w14:paraId="42478F7F" w14:textId="77777777">
        <w:trPr>
          <w:gridAfter w:val="1"/>
          <w:wAfter w:w="2745" w:type="dxa"/>
          <w:trHeight w:val="300"/>
        </w:trPr>
        <w:tc>
          <w:tcPr>
            <w:tcW w:w="6804" w:type="dxa"/>
            <w:tcBorders>
              <w:left w:val="nil"/>
              <w:right w:val="nil"/>
            </w:tcBorders>
            <w:noWrap/>
            <w:hideMark/>
          </w:tcPr>
          <w:p w:rsidRPr="00EA2A25" w:rsidR="006F5266" w:rsidP="00A87C3B" w:rsidRDefault="006F5266" w14:paraId="1599A47A" w14:textId="77777777">
            <w:pPr>
              <w:ind w:left="171" w:firstLine="28" w:firstLineChars="14"/>
              <w:rPr>
                <w:rFonts w:ascii="Arial" w:hAnsi="Arial" w:eastAsia="Times New Roman" w:cs="Arial"/>
                <w:sz w:val="20"/>
                <w:szCs w:val="20"/>
              </w:rPr>
            </w:pPr>
            <w:r w:rsidRPr="00EA2A25">
              <w:rPr>
                <w:rFonts w:ascii="Arial" w:hAnsi="Arial"/>
                <w:sz w:val="20"/>
              </w:rPr>
              <w:t>f. Exposition des filiales d’assurance déjà incluses dans le périmètre de consolidation réglementaire prudentiel</w:t>
            </w:r>
          </w:p>
        </w:tc>
      </w:tr>
      <w:tr w:rsidRPr="00EA2A25" w:rsidR="006F5266" w:rsidTr="00A87C3B" w14:paraId="11DD29C7" w14:textId="77777777">
        <w:trPr>
          <w:trHeight w:val="300"/>
        </w:trPr>
        <w:tc>
          <w:tcPr>
            <w:tcW w:w="6804" w:type="dxa"/>
            <w:tcBorders>
              <w:left w:val="nil"/>
              <w:right w:val="nil"/>
            </w:tcBorders>
            <w:noWrap/>
            <w:hideMark/>
          </w:tcPr>
          <w:p w:rsidRPr="00EA2A25" w:rsidR="006F5266" w:rsidP="00A87C3B" w:rsidRDefault="006F5266" w14:paraId="4E58D74C" w14:textId="77777777">
            <w:pPr>
              <w:ind w:firstLine="200" w:firstLineChars="100"/>
              <w:rPr>
                <w:rFonts w:ascii="Arial" w:hAnsi="Arial" w:eastAsia="Times New Roman" w:cs="Arial"/>
                <w:sz w:val="20"/>
                <w:szCs w:val="20"/>
              </w:rPr>
            </w:pPr>
            <w:r w:rsidRPr="00EA2A25">
              <w:rPr>
                <w:rFonts w:ascii="Arial" w:hAnsi="Arial"/>
                <w:sz w:val="20"/>
              </w:rPr>
              <w:t xml:space="preserve">b. Valeur trimestrielle moyenne des expositions totales </w:t>
            </w:r>
          </w:p>
        </w:tc>
        <w:tc>
          <w:tcPr>
            <w:tcW w:w="2745" w:type="dxa"/>
            <w:tcBorders>
              <w:left w:val="nil"/>
              <w:right w:val="nil"/>
            </w:tcBorders>
            <w:noWrap/>
            <w:hideMark/>
          </w:tcPr>
          <w:p w:rsidRPr="00EA2A25" w:rsidR="006F5266" w:rsidP="00A87C3B" w:rsidRDefault="006F5266" w14:paraId="4148687C" w14:textId="77777777">
            <w:pPr>
              <w:jc w:val="right"/>
              <w:rPr>
                <w:rFonts w:ascii="Arial" w:hAnsi="Arial" w:eastAsia="Times New Roman" w:cs="Arial"/>
                <w:sz w:val="20"/>
                <w:szCs w:val="20"/>
              </w:rPr>
            </w:pPr>
            <w:r w:rsidRPr="00EA2A25">
              <w:rPr>
                <w:rFonts w:ascii="Arial" w:hAnsi="Arial"/>
                <w:sz w:val="20"/>
              </w:rPr>
              <w:t> </w:t>
            </w:r>
          </w:p>
        </w:tc>
      </w:tr>
      <w:tr w:rsidRPr="00EA2A25" w:rsidR="006F5266" w:rsidTr="00A87C3B" w14:paraId="224ED2B4" w14:textId="77777777">
        <w:trPr>
          <w:trHeight w:val="300"/>
        </w:trPr>
        <w:tc>
          <w:tcPr>
            <w:tcW w:w="6804" w:type="dxa"/>
            <w:tcBorders>
              <w:left w:val="nil"/>
              <w:bottom w:val="single" w:color="auto" w:sz="4" w:space="0"/>
              <w:right w:val="nil"/>
            </w:tcBorders>
            <w:noWrap/>
            <w:hideMark/>
          </w:tcPr>
          <w:p w:rsidRPr="00EA2A25" w:rsidR="006F5266" w:rsidP="00A87C3B" w:rsidRDefault="006F5266" w14:paraId="6C986AC4" w14:textId="77777777">
            <w:pPr>
              <w:ind w:firstLine="200" w:firstLineChars="100"/>
              <w:rPr>
                <w:rFonts w:ascii="Arial" w:hAnsi="Arial" w:eastAsia="Times New Roman" w:cs="Arial"/>
                <w:sz w:val="20"/>
                <w:szCs w:val="20"/>
              </w:rPr>
            </w:pPr>
            <w:r w:rsidRPr="00EA2A25">
              <w:rPr>
                <w:rFonts w:ascii="Arial" w:hAnsi="Arial"/>
                <w:sz w:val="20"/>
              </w:rPr>
              <w:t xml:space="preserve">c. Valeur mensuelle moyenne des expositions totales </w:t>
            </w:r>
          </w:p>
        </w:tc>
        <w:tc>
          <w:tcPr>
            <w:tcW w:w="2745" w:type="dxa"/>
            <w:tcBorders>
              <w:left w:val="nil"/>
              <w:bottom w:val="single" w:color="auto" w:sz="4" w:space="0"/>
              <w:right w:val="nil"/>
            </w:tcBorders>
            <w:noWrap/>
            <w:hideMark/>
          </w:tcPr>
          <w:p w:rsidRPr="00EA2A25" w:rsidR="006F5266" w:rsidP="00A87C3B" w:rsidRDefault="006F5266" w14:paraId="2E44D93D" w14:textId="77777777">
            <w:pPr>
              <w:jc w:val="right"/>
              <w:rPr>
                <w:rFonts w:ascii="Arial" w:hAnsi="Arial" w:eastAsia="Times New Roman" w:cs="Arial"/>
                <w:sz w:val="20"/>
                <w:szCs w:val="20"/>
              </w:rPr>
            </w:pPr>
            <w:r w:rsidRPr="00EA2A25">
              <w:rPr>
                <w:rFonts w:ascii="Arial" w:hAnsi="Arial"/>
                <w:sz w:val="20"/>
              </w:rPr>
              <w:t> </w:t>
            </w:r>
          </w:p>
        </w:tc>
      </w:tr>
      <w:tr w:rsidRPr="00EA2A25" w:rsidR="006F5266" w:rsidTr="00A87C3B" w14:paraId="725E19C9" w14:textId="77777777">
        <w:trPr>
          <w:trHeight w:val="300"/>
        </w:trPr>
        <w:tc>
          <w:tcPr>
            <w:tcW w:w="6804" w:type="dxa"/>
            <w:tcBorders>
              <w:left w:val="nil"/>
              <w:bottom w:val="nil"/>
              <w:right w:val="nil"/>
            </w:tcBorders>
            <w:noWrap/>
          </w:tcPr>
          <w:p w:rsidRPr="00EA2A25" w:rsidR="006F5266" w:rsidP="00A87C3B" w:rsidRDefault="006F5266" w14:paraId="44F5F930"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EA2A25" w:rsidR="006F5266" w:rsidP="00A87C3B" w:rsidRDefault="006F5266" w14:paraId="2B659050" w14:textId="77777777">
            <w:pPr>
              <w:jc w:val="center"/>
              <w:rPr>
                <w:rFonts w:ascii="Arial" w:hAnsi="Arial" w:eastAsia="Times New Roman" w:cs="Arial"/>
                <w:b/>
                <w:bCs/>
                <w:sz w:val="20"/>
                <w:szCs w:val="20"/>
                <w:lang w:eastAsia="en-GB"/>
              </w:rPr>
            </w:pPr>
          </w:p>
        </w:tc>
      </w:tr>
      <w:tr w:rsidRPr="00EA2A25" w:rsidR="006F5266" w:rsidTr="00A87C3B" w14:paraId="43A58280" w14:textId="77777777">
        <w:trPr>
          <w:trHeight w:val="300"/>
        </w:trPr>
        <w:tc>
          <w:tcPr>
            <w:tcW w:w="6804" w:type="dxa"/>
            <w:tcBorders>
              <w:top w:val="nil"/>
              <w:left w:val="nil"/>
              <w:right w:val="nil"/>
            </w:tcBorders>
            <w:noWrap/>
            <w:hideMark/>
          </w:tcPr>
          <w:p w:rsidRPr="00EA2A25" w:rsidR="006F5266" w:rsidP="00A87C3B" w:rsidRDefault="006F5266" w14:paraId="1F103439" w14:textId="77777777">
            <w:pPr>
              <w:rPr>
                <w:rFonts w:ascii="Arial" w:hAnsi="Arial" w:eastAsia="Times New Roman" w:cs="Arial"/>
                <w:b/>
                <w:bCs/>
                <w:sz w:val="20"/>
                <w:szCs w:val="20"/>
              </w:rPr>
            </w:pPr>
            <w:r w:rsidRPr="00EA2A25">
              <w:rPr>
                <w:rFonts w:ascii="Arial" w:hAnsi="Arial"/>
                <w:b/>
                <w:sz w:val="20"/>
              </w:rPr>
              <w:t>Section 18 — Éléments d’interdépendance</w:t>
            </w:r>
          </w:p>
        </w:tc>
        <w:tc>
          <w:tcPr>
            <w:tcW w:w="2745" w:type="dxa"/>
            <w:tcBorders>
              <w:top w:val="nil"/>
              <w:left w:val="nil"/>
              <w:right w:val="nil"/>
            </w:tcBorders>
            <w:hideMark/>
          </w:tcPr>
          <w:p w:rsidRPr="00EA2A25" w:rsidR="006F5266" w:rsidP="00A87C3B" w:rsidRDefault="006F5266" w14:paraId="4BB04074" w14:textId="77777777">
            <w:pPr>
              <w:jc w:val="center"/>
              <w:rPr>
                <w:rFonts w:ascii="Arial" w:hAnsi="Arial" w:eastAsia="Times New Roman" w:cs="Arial"/>
                <w:b/>
                <w:bCs/>
                <w:sz w:val="20"/>
                <w:szCs w:val="20"/>
              </w:rPr>
            </w:pPr>
            <w:r w:rsidRPr="00EA2A25">
              <w:rPr>
                <w:rFonts w:ascii="Arial" w:hAnsi="Arial"/>
                <w:b/>
                <w:sz w:val="20"/>
              </w:rPr>
              <w:t>Montant</w:t>
            </w:r>
          </w:p>
        </w:tc>
      </w:tr>
      <w:tr w:rsidRPr="00EA2A25" w:rsidR="006F5266" w:rsidTr="00A87C3B" w14:paraId="04150126" w14:textId="77777777">
        <w:trPr>
          <w:trHeight w:val="300"/>
        </w:trPr>
        <w:tc>
          <w:tcPr>
            <w:tcW w:w="6804" w:type="dxa"/>
            <w:tcBorders>
              <w:left w:val="nil"/>
              <w:right w:val="nil"/>
            </w:tcBorders>
            <w:noWrap/>
            <w:hideMark/>
          </w:tcPr>
          <w:p w:rsidRPr="00EA2A25" w:rsidR="006F5266" w:rsidP="00A87C3B" w:rsidRDefault="006F5266" w14:paraId="3F8C329B" w14:textId="77777777">
            <w:pPr>
              <w:ind w:firstLine="200" w:firstLineChars="100"/>
              <w:rPr>
                <w:rFonts w:ascii="Arial" w:hAnsi="Arial" w:eastAsia="Times New Roman" w:cs="Arial"/>
                <w:sz w:val="20"/>
                <w:szCs w:val="20"/>
              </w:rPr>
            </w:pPr>
            <w:r w:rsidRPr="00EA2A25">
              <w:rPr>
                <w:rFonts w:ascii="Arial" w:hAnsi="Arial"/>
                <w:sz w:val="20"/>
              </w:rPr>
              <w:t>a. Indicateur des actifs au sein du système financier (ancien indicateur)</w:t>
            </w:r>
          </w:p>
        </w:tc>
        <w:tc>
          <w:tcPr>
            <w:tcW w:w="2745" w:type="dxa"/>
            <w:tcBorders>
              <w:left w:val="nil"/>
              <w:right w:val="nil"/>
            </w:tcBorders>
            <w:noWrap/>
            <w:hideMark/>
          </w:tcPr>
          <w:p w:rsidRPr="00EA2A25" w:rsidR="006F5266" w:rsidP="00A87C3B" w:rsidRDefault="006F5266" w14:paraId="007E3071" w14:textId="77777777">
            <w:pPr>
              <w:jc w:val="right"/>
              <w:rPr>
                <w:rFonts w:ascii="Arial" w:hAnsi="Arial" w:eastAsia="Times New Roman" w:cs="Arial"/>
                <w:sz w:val="20"/>
                <w:szCs w:val="20"/>
              </w:rPr>
            </w:pPr>
            <w:r w:rsidRPr="00EA2A25">
              <w:rPr>
                <w:rFonts w:ascii="Arial" w:hAnsi="Arial"/>
                <w:sz w:val="20"/>
              </w:rPr>
              <w:t> </w:t>
            </w:r>
          </w:p>
        </w:tc>
      </w:tr>
      <w:tr w:rsidRPr="00EA2A25" w:rsidR="006F5266" w:rsidTr="00A87C3B" w14:paraId="7EE56F56" w14:textId="77777777">
        <w:trPr>
          <w:trHeight w:val="300"/>
        </w:trPr>
        <w:tc>
          <w:tcPr>
            <w:tcW w:w="6804" w:type="dxa"/>
            <w:tcBorders>
              <w:left w:val="nil"/>
              <w:right w:val="nil"/>
            </w:tcBorders>
            <w:noWrap/>
            <w:hideMark/>
          </w:tcPr>
          <w:p w:rsidRPr="00EA2A25" w:rsidR="006F5266" w:rsidP="00A87C3B" w:rsidRDefault="006F5266" w14:paraId="34D9B4B8" w14:textId="77777777">
            <w:pPr>
              <w:ind w:firstLine="200" w:firstLineChars="100"/>
              <w:rPr>
                <w:rFonts w:ascii="Arial" w:hAnsi="Arial" w:eastAsia="Times New Roman" w:cs="Arial"/>
                <w:sz w:val="20"/>
                <w:szCs w:val="20"/>
              </w:rPr>
            </w:pPr>
            <w:r w:rsidRPr="00EA2A25">
              <w:rPr>
                <w:rFonts w:ascii="Arial" w:hAnsi="Arial"/>
                <w:sz w:val="20"/>
              </w:rPr>
              <w:t xml:space="preserve">b. Valeur trimestrielle moyenne des actifs au sein du système financier </w:t>
            </w:r>
          </w:p>
        </w:tc>
        <w:tc>
          <w:tcPr>
            <w:tcW w:w="2745" w:type="dxa"/>
            <w:tcBorders>
              <w:left w:val="nil"/>
              <w:right w:val="nil"/>
            </w:tcBorders>
            <w:noWrap/>
            <w:hideMark/>
          </w:tcPr>
          <w:p w:rsidRPr="00EA2A25" w:rsidR="006F5266" w:rsidP="00A87C3B" w:rsidRDefault="006F5266" w14:paraId="1EF6D8BC" w14:textId="77777777">
            <w:pPr>
              <w:jc w:val="right"/>
              <w:rPr>
                <w:rFonts w:ascii="Arial" w:hAnsi="Arial" w:eastAsia="Times New Roman" w:cs="Arial"/>
                <w:sz w:val="20"/>
                <w:szCs w:val="20"/>
              </w:rPr>
            </w:pPr>
            <w:r w:rsidRPr="00EA2A25">
              <w:rPr>
                <w:rFonts w:ascii="Arial" w:hAnsi="Arial"/>
                <w:sz w:val="20"/>
              </w:rPr>
              <w:t> </w:t>
            </w:r>
          </w:p>
        </w:tc>
      </w:tr>
      <w:tr w:rsidRPr="00EA2A25" w:rsidR="006F5266" w:rsidTr="00A87C3B" w14:paraId="6AB17A0B" w14:textId="77777777">
        <w:trPr>
          <w:trHeight w:val="300"/>
        </w:trPr>
        <w:tc>
          <w:tcPr>
            <w:tcW w:w="6804" w:type="dxa"/>
            <w:tcBorders>
              <w:left w:val="nil"/>
              <w:right w:val="nil"/>
            </w:tcBorders>
            <w:noWrap/>
            <w:hideMark/>
          </w:tcPr>
          <w:p w:rsidRPr="00EA2A25" w:rsidR="006F5266" w:rsidP="00A87C3B" w:rsidRDefault="006F5266" w14:paraId="42ED1FEE" w14:textId="77777777">
            <w:pPr>
              <w:ind w:firstLine="200" w:firstLineChars="100"/>
              <w:rPr>
                <w:rFonts w:ascii="Arial" w:hAnsi="Arial" w:eastAsia="Times New Roman" w:cs="Arial"/>
                <w:sz w:val="20"/>
                <w:szCs w:val="20"/>
              </w:rPr>
            </w:pPr>
            <w:r w:rsidRPr="00EA2A25">
              <w:rPr>
                <w:rFonts w:ascii="Arial" w:hAnsi="Arial"/>
                <w:sz w:val="20"/>
              </w:rPr>
              <w:t xml:space="preserve">c. Valeur mensuelle moyenne des actifs au sein du système financier </w:t>
            </w:r>
          </w:p>
        </w:tc>
        <w:tc>
          <w:tcPr>
            <w:tcW w:w="2745" w:type="dxa"/>
            <w:tcBorders>
              <w:left w:val="nil"/>
              <w:right w:val="nil"/>
            </w:tcBorders>
            <w:noWrap/>
            <w:hideMark/>
          </w:tcPr>
          <w:p w:rsidRPr="00EA2A25" w:rsidR="006F5266" w:rsidP="00A87C3B" w:rsidRDefault="006F5266" w14:paraId="1DEEBC10" w14:textId="77777777">
            <w:pPr>
              <w:jc w:val="right"/>
              <w:rPr>
                <w:rFonts w:ascii="Arial" w:hAnsi="Arial" w:eastAsia="Times New Roman" w:cs="Arial"/>
                <w:sz w:val="20"/>
                <w:szCs w:val="20"/>
              </w:rPr>
            </w:pPr>
            <w:r w:rsidRPr="00EA2A25">
              <w:rPr>
                <w:rFonts w:ascii="Arial" w:hAnsi="Arial"/>
                <w:sz w:val="20"/>
              </w:rPr>
              <w:t> </w:t>
            </w:r>
          </w:p>
        </w:tc>
      </w:tr>
      <w:tr w:rsidRPr="00EA2A25" w:rsidR="006F5266" w:rsidTr="00A87C3B" w14:paraId="0856CE37" w14:textId="77777777">
        <w:trPr>
          <w:trHeight w:val="300"/>
        </w:trPr>
        <w:tc>
          <w:tcPr>
            <w:tcW w:w="6804" w:type="dxa"/>
            <w:tcBorders>
              <w:left w:val="nil"/>
              <w:right w:val="nil"/>
            </w:tcBorders>
            <w:noWrap/>
            <w:hideMark/>
          </w:tcPr>
          <w:p w:rsidRPr="00EA2A25" w:rsidR="006F5266" w:rsidP="00A87C3B" w:rsidRDefault="006F5266" w14:paraId="35A3D5BB" w14:textId="77777777">
            <w:pPr>
              <w:ind w:firstLine="200" w:firstLineChars="100"/>
              <w:rPr>
                <w:rFonts w:ascii="Arial" w:hAnsi="Arial" w:eastAsia="Times New Roman" w:cs="Arial"/>
                <w:sz w:val="20"/>
                <w:szCs w:val="20"/>
              </w:rPr>
            </w:pPr>
            <w:r w:rsidRPr="00EA2A25">
              <w:rPr>
                <w:rFonts w:ascii="Arial" w:hAnsi="Arial"/>
                <w:sz w:val="20"/>
              </w:rPr>
              <w:t>d. Indicateur de passifs au sein du système financier (ancien indicateur)</w:t>
            </w:r>
          </w:p>
        </w:tc>
        <w:tc>
          <w:tcPr>
            <w:tcW w:w="2745" w:type="dxa"/>
            <w:tcBorders>
              <w:left w:val="nil"/>
              <w:right w:val="nil"/>
            </w:tcBorders>
            <w:noWrap/>
            <w:hideMark/>
          </w:tcPr>
          <w:p w:rsidRPr="00EA2A25" w:rsidR="006F5266" w:rsidP="00A87C3B" w:rsidRDefault="006F5266" w14:paraId="694B49B0" w14:textId="77777777">
            <w:pPr>
              <w:jc w:val="right"/>
              <w:rPr>
                <w:rFonts w:ascii="Arial" w:hAnsi="Arial" w:eastAsia="Times New Roman" w:cs="Arial"/>
                <w:sz w:val="20"/>
                <w:szCs w:val="20"/>
              </w:rPr>
            </w:pPr>
            <w:r w:rsidRPr="00EA2A25">
              <w:rPr>
                <w:rFonts w:ascii="Arial" w:hAnsi="Arial"/>
                <w:sz w:val="20"/>
              </w:rPr>
              <w:t> </w:t>
            </w:r>
          </w:p>
        </w:tc>
      </w:tr>
      <w:tr w:rsidRPr="00EA2A25" w:rsidR="006F5266" w:rsidTr="00A87C3B" w14:paraId="7E57F741" w14:textId="77777777">
        <w:trPr>
          <w:trHeight w:val="300"/>
        </w:trPr>
        <w:tc>
          <w:tcPr>
            <w:tcW w:w="6804" w:type="dxa"/>
            <w:tcBorders>
              <w:left w:val="nil"/>
              <w:right w:val="nil"/>
            </w:tcBorders>
            <w:noWrap/>
            <w:hideMark/>
          </w:tcPr>
          <w:p w:rsidRPr="00EA2A25" w:rsidR="006F5266" w:rsidP="00A87C3B" w:rsidRDefault="006F5266" w14:paraId="0531CF54" w14:textId="77777777">
            <w:pPr>
              <w:ind w:firstLine="200" w:firstLineChars="100"/>
              <w:rPr>
                <w:rFonts w:ascii="Arial" w:hAnsi="Arial" w:eastAsia="Times New Roman" w:cs="Arial"/>
                <w:sz w:val="20"/>
                <w:szCs w:val="20"/>
              </w:rPr>
            </w:pPr>
            <w:r w:rsidRPr="00EA2A25">
              <w:rPr>
                <w:rFonts w:ascii="Arial" w:hAnsi="Arial"/>
                <w:sz w:val="20"/>
              </w:rPr>
              <w:t xml:space="preserve">e. Valeur trimestrielle moyenne des passifs au sein du système financier </w:t>
            </w:r>
          </w:p>
        </w:tc>
        <w:tc>
          <w:tcPr>
            <w:tcW w:w="2745" w:type="dxa"/>
            <w:tcBorders>
              <w:left w:val="nil"/>
              <w:right w:val="nil"/>
            </w:tcBorders>
            <w:noWrap/>
            <w:hideMark/>
          </w:tcPr>
          <w:p w:rsidRPr="00EA2A25" w:rsidR="006F5266" w:rsidP="00A87C3B" w:rsidRDefault="006F5266" w14:paraId="62EB7798" w14:textId="77777777">
            <w:pPr>
              <w:jc w:val="right"/>
              <w:rPr>
                <w:rFonts w:ascii="Arial" w:hAnsi="Arial" w:eastAsia="Times New Roman" w:cs="Arial"/>
                <w:sz w:val="20"/>
                <w:szCs w:val="20"/>
              </w:rPr>
            </w:pPr>
            <w:r w:rsidRPr="00EA2A25">
              <w:rPr>
                <w:rFonts w:ascii="Arial" w:hAnsi="Arial"/>
                <w:sz w:val="20"/>
              </w:rPr>
              <w:t> </w:t>
            </w:r>
          </w:p>
        </w:tc>
      </w:tr>
      <w:tr w:rsidRPr="00EA2A25" w:rsidR="006F5266" w:rsidTr="00A87C3B" w14:paraId="3365D95E" w14:textId="77777777">
        <w:trPr>
          <w:trHeight w:val="300"/>
        </w:trPr>
        <w:tc>
          <w:tcPr>
            <w:tcW w:w="6804" w:type="dxa"/>
            <w:tcBorders>
              <w:left w:val="nil"/>
              <w:right w:val="nil"/>
            </w:tcBorders>
            <w:noWrap/>
            <w:hideMark/>
          </w:tcPr>
          <w:p w:rsidRPr="00EA2A25" w:rsidR="006F5266" w:rsidP="00A87C3B" w:rsidRDefault="006F5266" w14:paraId="0FB56E2E" w14:textId="77777777">
            <w:pPr>
              <w:ind w:firstLine="200" w:firstLineChars="100"/>
              <w:rPr>
                <w:rFonts w:ascii="Arial" w:hAnsi="Arial" w:eastAsia="Times New Roman" w:cs="Arial"/>
                <w:sz w:val="20"/>
                <w:szCs w:val="20"/>
              </w:rPr>
            </w:pPr>
            <w:r w:rsidRPr="00EA2A25">
              <w:rPr>
                <w:rFonts w:ascii="Arial" w:hAnsi="Arial"/>
                <w:sz w:val="20"/>
              </w:rPr>
              <w:t xml:space="preserve">f. Valeur mensuelle moyenne des passifs au sein du système financier </w:t>
            </w:r>
          </w:p>
        </w:tc>
        <w:tc>
          <w:tcPr>
            <w:tcW w:w="2745" w:type="dxa"/>
            <w:tcBorders>
              <w:left w:val="nil"/>
              <w:right w:val="nil"/>
            </w:tcBorders>
            <w:noWrap/>
            <w:hideMark/>
          </w:tcPr>
          <w:p w:rsidRPr="00EA2A25" w:rsidR="006F5266" w:rsidP="00A87C3B" w:rsidRDefault="006F5266" w14:paraId="3E508E0A" w14:textId="77777777">
            <w:pPr>
              <w:jc w:val="right"/>
              <w:rPr>
                <w:rFonts w:ascii="Arial" w:hAnsi="Arial" w:eastAsia="Times New Roman" w:cs="Arial"/>
                <w:sz w:val="20"/>
                <w:szCs w:val="20"/>
              </w:rPr>
            </w:pPr>
            <w:r w:rsidRPr="00EA2A25">
              <w:rPr>
                <w:rFonts w:ascii="Arial" w:hAnsi="Arial"/>
                <w:sz w:val="20"/>
              </w:rPr>
              <w:t> </w:t>
            </w:r>
          </w:p>
        </w:tc>
      </w:tr>
      <w:tr w:rsidRPr="00EA2A25" w:rsidR="006F5266" w:rsidTr="00A87C3B" w14:paraId="3A0C0526" w14:textId="77777777">
        <w:trPr>
          <w:trHeight w:val="300"/>
        </w:trPr>
        <w:tc>
          <w:tcPr>
            <w:tcW w:w="6804" w:type="dxa"/>
            <w:tcBorders>
              <w:left w:val="nil"/>
              <w:right w:val="nil"/>
            </w:tcBorders>
            <w:noWrap/>
            <w:hideMark/>
          </w:tcPr>
          <w:p w:rsidRPr="00EA2A25" w:rsidR="006F5266" w:rsidP="00A87C3B" w:rsidRDefault="006F5266" w14:paraId="6550CCC7" w14:textId="77777777">
            <w:pPr>
              <w:ind w:firstLine="200" w:firstLineChars="100"/>
              <w:rPr>
                <w:rFonts w:ascii="Arial" w:hAnsi="Arial" w:eastAsia="Times New Roman" w:cs="Arial"/>
                <w:sz w:val="20"/>
                <w:szCs w:val="20"/>
              </w:rPr>
            </w:pPr>
            <w:r w:rsidRPr="00EA2A25">
              <w:rPr>
                <w:rFonts w:ascii="Arial" w:hAnsi="Arial"/>
                <w:sz w:val="20"/>
              </w:rPr>
              <w:t>g. Indicateur d’encours de titres (ancien indicateur)</w:t>
            </w:r>
          </w:p>
        </w:tc>
        <w:tc>
          <w:tcPr>
            <w:tcW w:w="2745" w:type="dxa"/>
            <w:tcBorders>
              <w:left w:val="nil"/>
              <w:right w:val="nil"/>
            </w:tcBorders>
            <w:noWrap/>
            <w:hideMark/>
          </w:tcPr>
          <w:p w:rsidRPr="00EA2A25" w:rsidR="006F5266" w:rsidP="00A87C3B" w:rsidRDefault="006F5266" w14:paraId="67CCE221" w14:textId="77777777">
            <w:pPr>
              <w:jc w:val="right"/>
              <w:rPr>
                <w:rFonts w:ascii="Arial" w:hAnsi="Arial" w:eastAsia="Times New Roman" w:cs="Arial"/>
                <w:sz w:val="20"/>
                <w:szCs w:val="20"/>
              </w:rPr>
            </w:pPr>
            <w:r w:rsidRPr="00EA2A25">
              <w:rPr>
                <w:rFonts w:ascii="Arial" w:hAnsi="Arial"/>
                <w:sz w:val="20"/>
              </w:rPr>
              <w:t> </w:t>
            </w:r>
          </w:p>
        </w:tc>
      </w:tr>
      <w:tr w:rsidRPr="00EA2A25" w:rsidR="006F5266" w:rsidTr="00A87C3B" w14:paraId="044D4D93" w14:textId="77777777">
        <w:trPr>
          <w:trHeight w:val="300"/>
        </w:trPr>
        <w:tc>
          <w:tcPr>
            <w:tcW w:w="6804" w:type="dxa"/>
            <w:tcBorders>
              <w:left w:val="nil"/>
              <w:right w:val="nil"/>
            </w:tcBorders>
            <w:noWrap/>
            <w:hideMark/>
          </w:tcPr>
          <w:p w:rsidRPr="00EA2A25" w:rsidR="006F5266" w:rsidP="00A87C3B" w:rsidRDefault="006F5266" w14:paraId="7A2E51A0" w14:textId="77777777">
            <w:pPr>
              <w:ind w:firstLine="200" w:firstLineChars="100"/>
              <w:rPr>
                <w:rFonts w:ascii="Arial" w:hAnsi="Arial" w:eastAsia="Times New Roman" w:cs="Arial"/>
                <w:sz w:val="20"/>
                <w:szCs w:val="20"/>
              </w:rPr>
            </w:pPr>
            <w:r w:rsidRPr="00EA2A25">
              <w:rPr>
                <w:rFonts w:ascii="Arial" w:hAnsi="Arial"/>
                <w:sz w:val="20"/>
              </w:rPr>
              <w:t xml:space="preserve">h. Valeur trimestrielle moyenne des encours de titres </w:t>
            </w:r>
          </w:p>
        </w:tc>
        <w:tc>
          <w:tcPr>
            <w:tcW w:w="2745" w:type="dxa"/>
            <w:tcBorders>
              <w:left w:val="nil"/>
              <w:right w:val="nil"/>
            </w:tcBorders>
            <w:noWrap/>
            <w:hideMark/>
          </w:tcPr>
          <w:p w:rsidRPr="00EA2A25" w:rsidR="006F5266" w:rsidP="00A87C3B" w:rsidRDefault="006F5266" w14:paraId="5DFE6A9F" w14:textId="77777777">
            <w:pPr>
              <w:jc w:val="right"/>
              <w:rPr>
                <w:rFonts w:ascii="Arial" w:hAnsi="Arial" w:eastAsia="Times New Roman" w:cs="Arial"/>
                <w:sz w:val="20"/>
                <w:szCs w:val="20"/>
              </w:rPr>
            </w:pPr>
            <w:r w:rsidRPr="00EA2A25">
              <w:rPr>
                <w:rFonts w:ascii="Arial" w:hAnsi="Arial"/>
                <w:sz w:val="20"/>
              </w:rPr>
              <w:t> </w:t>
            </w:r>
          </w:p>
        </w:tc>
      </w:tr>
      <w:tr w:rsidRPr="00EA2A25" w:rsidR="006F5266" w:rsidTr="00A87C3B" w14:paraId="540ACAB7" w14:textId="77777777">
        <w:trPr>
          <w:trHeight w:val="300"/>
        </w:trPr>
        <w:tc>
          <w:tcPr>
            <w:tcW w:w="6804" w:type="dxa"/>
            <w:tcBorders>
              <w:left w:val="nil"/>
              <w:bottom w:val="single" w:color="auto" w:sz="4" w:space="0"/>
              <w:right w:val="nil"/>
            </w:tcBorders>
            <w:noWrap/>
            <w:hideMark/>
          </w:tcPr>
          <w:p w:rsidRPr="00EA2A25" w:rsidR="006F5266" w:rsidP="00A87C3B" w:rsidRDefault="006F5266" w14:paraId="24A5C4E4" w14:textId="77777777">
            <w:pPr>
              <w:ind w:firstLine="200" w:firstLineChars="100"/>
              <w:rPr>
                <w:rFonts w:ascii="Arial" w:hAnsi="Arial" w:eastAsia="Times New Roman" w:cs="Arial"/>
                <w:sz w:val="20"/>
                <w:szCs w:val="20"/>
              </w:rPr>
            </w:pPr>
            <w:r w:rsidRPr="00EA2A25">
              <w:rPr>
                <w:rFonts w:ascii="Arial" w:hAnsi="Arial"/>
                <w:sz w:val="20"/>
              </w:rPr>
              <w:t xml:space="preserve">I. Valeur mensuelle moyenne des encours de titres </w:t>
            </w:r>
          </w:p>
        </w:tc>
        <w:tc>
          <w:tcPr>
            <w:tcW w:w="2745" w:type="dxa"/>
            <w:tcBorders>
              <w:left w:val="nil"/>
              <w:bottom w:val="single" w:color="auto" w:sz="4" w:space="0"/>
              <w:right w:val="nil"/>
            </w:tcBorders>
            <w:noWrap/>
            <w:hideMark/>
          </w:tcPr>
          <w:p w:rsidRPr="00EA2A25" w:rsidR="006F5266" w:rsidP="00A87C3B" w:rsidRDefault="006F5266" w14:paraId="067F130F" w14:textId="77777777">
            <w:pPr>
              <w:jc w:val="right"/>
              <w:rPr>
                <w:rFonts w:ascii="Arial" w:hAnsi="Arial" w:eastAsia="Times New Roman" w:cs="Arial"/>
                <w:sz w:val="20"/>
                <w:szCs w:val="20"/>
              </w:rPr>
            </w:pPr>
            <w:r w:rsidRPr="00EA2A25">
              <w:rPr>
                <w:rFonts w:ascii="Arial" w:hAnsi="Arial"/>
                <w:sz w:val="20"/>
              </w:rPr>
              <w:t> </w:t>
            </w:r>
          </w:p>
        </w:tc>
      </w:tr>
      <w:tr w:rsidRPr="00EA2A25" w:rsidR="006F5266" w:rsidTr="00A87C3B" w14:paraId="11780C12" w14:textId="77777777">
        <w:trPr>
          <w:trHeight w:val="300"/>
        </w:trPr>
        <w:tc>
          <w:tcPr>
            <w:tcW w:w="6804" w:type="dxa"/>
            <w:tcBorders>
              <w:left w:val="nil"/>
              <w:bottom w:val="nil"/>
              <w:right w:val="nil"/>
            </w:tcBorders>
            <w:noWrap/>
          </w:tcPr>
          <w:p w:rsidRPr="00EA2A25" w:rsidR="006F5266" w:rsidP="00A87C3B" w:rsidRDefault="006F5266" w14:paraId="3D0FA506"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EA2A25" w:rsidR="006F5266" w:rsidP="00A87C3B" w:rsidRDefault="006F5266" w14:paraId="1C3AA927" w14:textId="77777777">
            <w:pPr>
              <w:jc w:val="center"/>
              <w:rPr>
                <w:rFonts w:ascii="Arial" w:hAnsi="Arial" w:eastAsia="Times New Roman" w:cs="Arial"/>
                <w:b/>
                <w:bCs/>
                <w:sz w:val="20"/>
                <w:szCs w:val="20"/>
                <w:lang w:eastAsia="en-GB"/>
              </w:rPr>
            </w:pPr>
          </w:p>
        </w:tc>
      </w:tr>
      <w:tr w:rsidRPr="00EA2A25" w:rsidR="006F5266" w:rsidTr="00A87C3B" w14:paraId="2C9F8109" w14:textId="77777777">
        <w:trPr>
          <w:trHeight w:val="300"/>
        </w:trPr>
        <w:tc>
          <w:tcPr>
            <w:tcW w:w="6804" w:type="dxa"/>
            <w:tcBorders>
              <w:top w:val="nil"/>
              <w:left w:val="nil"/>
              <w:bottom w:val="single" w:color="auto" w:sz="4" w:space="0"/>
              <w:right w:val="nil"/>
            </w:tcBorders>
            <w:noWrap/>
            <w:hideMark/>
          </w:tcPr>
          <w:p w:rsidRPr="00EA2A25" w:rsidR="006F5266" w:rsidP="00A87C3B" w:rsidRDefault="006F5266" w14:paraId="4573CC48" w14:textId="77777777">
            <w:pPr>
              <w:rPr>
                <w:rFonts w:ascii="Arial" w:hAnsi="Arial" w:eastAsia="Times New Roman" w:cs="Arial"/>
                <w:b/>
                <w:bCs/>
                <w:sz w:val="20"/>
                <w:szCs w:val="20"/>
              </w:rPr>
            </w:pPr>
            <w:r w:rsidRPr="00EA2A25">
              <w:rPr>
                <w:rFonts w:ascii="Arial" w:hAnsi="Arial"/>
                <w:b/>
                <w:sz w:val="20"/>
              </w:rPr>
              <w:t>Section 19 - Faculté de substitution/Infrastructure financière Éléments</w:t>
            </w:r>
          </w:p>
        </w:tc>
        <w:tc>
          <w:tcPr>
            <w:tcW w:w="2745" w:type="dxa"/>
            <w:tcBorders>
              <w:top w:val="nil"/>
              <w:left w:val="nil"/>
              <w:right w:val="nil"/>
            </w:tcBorders>
            <w:hideMark/>
          </w:tcPr>
          <w:p w:rsidRPr="00EA2A25" w:rsidR="006F5266" w:rsidP="00A87C3B" w:rsidRDefault="006F5266" w14:paraId="0670B369" w14:textId="77777777">
            <w:pPr>
              <w:jc w:val="center"/>
              <w:rPr>
                <w:rFonts w:ascii="Arial" w:hAnsi="Arial" w:eastAsia="Times New Roman" w:cs="Arial"/>
                <w:b/>
                <w:bCs/>
                <w:sz w:val="20"/>
                <w:szCs w:val="20"/>
              </w:rPr>
            </w:pPr>
            <w:r w:rsidRPr="00EA2A25">
              <w:rPr>
                <w:rFonts w:ascii="Arial" w:hAnsi="Arial"/>
                <w:b/>
                <w:sz w:val="20"/>
              </w:rPr>
              <w:t>Montant</w:t>
            </w:r>
          </w:p>
        </w:tc>
      </w:tr>
      <w:tr w:rsidRPr="00EA2A25" w:rsidR="006F5266" w:rsidTr="00A87C3B" w14:paraId="4D7350E4" w14:textId="77777777">
        <w:trPr>
          <w:trHeight w:val="300"/>
        </w:trPr>
        <w:tc>
          <w:tcPr>
            <w:tcW w:w="6804" w:type="dxa"/>
            <w:tcBorders>
              <w:left w:val="nil"/>
              <w:right w:val="nil"/>
            </w:tcBorders>
            <w:noWrap/>
          </w:tcPr>
          <w:p w:rsidRPr="00EA2A25" w:rsidR="006F5266" w:rsidP="00A87C3B" w:rsidRDefault="006F5266" w14:paraId="7E261174" w14:textId="77777777">
            <w:pPr>
              <w:ind w:left="171" w:firstLine="28" w:firstLineChars="14"/>
              <w:rPr>
                <w:rFonts w:ascii="Arial" w:hAnsi="Arial" w:eastAsia="Times New Roman" w:cs="Arial"/>
                <w:sz w:val="20"/>
                <w:szCs w:val="20"/>
              </w:rPr>
            </w:pPr>
            <w:r w:rsidRPr="00EA2A25">
              <w:rPr>
                <w:rFonts w:ascii="Arial" w:hAnsi="Arial"/>
                <w:sz w:val="20"/>
              </w:rPr>
              <w:t>a. Volume de négociation de titres émis par des emprunteurs souverains, à l’exclusion des transactions intragroupe</w:t>
            </w:r>
          </w:p>
        </w:tc>
        <w:tc>
          <w:tcPr>
            <w:tcW w:w="2745" w:type="dxa"/>
            <w:tcBorders>
              <w:left w:val="nil"/>
              <w:right w:val="nil"/>
            </w:tcBorders>
            <w:noWrap/>
          </w:tcPr>
          <w:p w:rsidRPr="00EA2A25" w:rsidR="006F5266" w:rsidP="00A87C3B" w:rsidRDefault="006F5266" w14:paraId="15789185" w14:textId="77777777">
            <w:pPr>
              <w:jc w:val="right"/>
              <w:rPr>
                <w:rFonts w:ascii="Arial" w:hAnsi="Arial" w:eastAsia="Times New Roman" w:cs="Arial"/>
                <w:sz w:val="20"/>
                <w:szCs w:val="20"/>
                <w:lang w:eastAsia="en-GB"/>
              </w:rPr>
            </w:pPr>
          </w:p>
        </w:tc>
      </w:tr>
      <w:tr w:rsidRPr="00EA2A25" w:rsidR="006F5266" w:rsidTr="00A87C3B" w14:paraId="40A6233E" w14:textId="77777777">
        <w:trPr>
          <w:trHeight w:val="300"/>
        </w:trPr>
        <w:tc>
          <w:tcPr>
            <w:tcW w:w="6804" w:type="dxa"/>
            <w:tcBorders>
              <w:left w:val="nil"/>
              <w:right w:val="nil"/>
            </w:tcBorders>
            <w:noWrap/>
          </w:tcPr>
          <w:p w:rsidRPr="00EA2A25" w:rsidR="006F5266" w:rsidP="00A87C3B" w:rsidRDefault="006F5266" w14:paraId="5BF30FCC" w14:textId="77777777">
            <w:pPr>
              <w:ind w:left="171"/>
              <w:rPr>
                <w:rFonts w:ascii="Arial" w:hAnsi="Arial" w:eastAsia="Times New Roman" w:cs="Arial"/>
                <w:sz w:val="20"/>
                <w:szCs w:val="20"/>
              </w:rPr>
            </w:pPr>
            <w:r w:rsidRPr="00EA2A25">
              <w:rPr>
                <w:rFonts w:ascii="Arial" w:hAnsi="Arial"/>
                <w:sz w:val="20"/>
              </w:rPr>
              <w:t>b. Marge initiale indiquée aux contreparties centrales pour le compte des clients</w:t>
            </w:r>
          </w:p>
        </w:tc>
        <w:tc>
          <w:tcPr>
            <w:tcW w:w="2745" w:type="dxa"/>
            <w:tcBorders>
              <w:left w:val="nil"/>
              <w:right w:val="nil"/>
            </w:tcBorders>
            <w:noWrap/>
          </w:tcPr>
          <w:p w:rsidRPr="00EA2A25" w:rsidR="006F5266" w:rsidP="00A87C3B" w:rsidRDefault="006F5266" w14:paraId="16B1DE34" w14:textId="77777777">
            <w:pPr>
              <w:jc w:val="right"/>
              <w:rPr>
                <w:rFonts w:ascii="Arial" w:hAnsi="Arial" w:eastAsia="Times New Roman" w:cs="Arial"/>
                <w:sz w:val="20"/>
                <w:szCs w:val="20"/>
                <w:lang w:eastAsia="en-GB"/>
              </w:rPr>
            </w:pPr>
          </w:p>
        </w:tc>
      </w:tr>
      <w:tr w:rsidRPr="00EA2A25" w:rsidR="006F5266" w:rsidTr="00A87C3B" w14:paraId="15D6AE66" w14:textId="77777777">
        <w:trPr>
          <w:trHeight w:val="300"/>
        </w:trPr>
        <w:tc>
          <w:tcPr>
            <w:tcW w:w="6804" w:type="dxa"/>
            <w:tcBorders>
              <w:left w:val="nil"/>
              <w:right w:val="nil"/>
            </w:tcBorders>
            <w:noWrap/>
          </w:tcPr>
          <w:p w:rsidRPr="00EA2A25" w:rsidR="006F5266" w:rsidP="00A87C3B" w:rsidRDefault="006F5266" w14:paraId="40A2DDC3" w14:textId="77777777">
            <w:pPr>
              <w:ind w:firstLine="200" w:firstLineChars="100"/>
              <w:rPr>
                <w:rFonts w:ascii="Arial" w:hAnsi="Arial" w:eastAsia="Times New Roman" w:cs="Arial"/>
                <w:sz w:val="20"/>
                <w:szCs w:val="20"/>
              </w:rPr>
            </w:pPr>
            <w:r w:rsidRPr="00EA2A25">
              <w:rPr>
                <w:rFonts w:ascii="Arial" w:hAnsi="Arial"/>
                <w:sz w:val="20"/>
              </w:rPr>
              <w:t>c. Marge initiale indiquée aux contreparties centrales pour le compte propre du groupe déclarant</w:t>
            </w:r>
          </w:p>
        </w:tc>
        <w:tc>
          <w:tcPr>
            <w:tcW w:w="2745" w:type="dxa"/>
            <w:tcBorders>
              <w:left w:val="nil"/>
              <w:right w:val="nil"/>
            </w:tcBorders>
            <w:noWrap/>
          </w:tcPr>
          <w:p w:rsidRPr="00EA2A25" w:rsidR="006F5266" w:rsidP="00A87C3B" w:rsidRDefault="006F5266" w14:paraId="43224C52" w14:textId="77777777">
            <w:pPr>
              <w:jc w:val="right"/>
              <w:rPr>
                <w:rFonts w:ascii="Arial" w:hAnsi="Arial" w:eastAsia="Times New Roman" w:cs="Arial"/>
                <w:sz w:val="20"/>
                <w:szCs w:val="20"/>
                <w:lang w:eastAsia="en-GB"/>
              </w:rPr>
            </w:pPr>
          </w:p>
        </w:tc>
      </w:tr>
      <w:tr w:rsidRPr="00EA2A25" w:rsidR="006F5266" w:rsidTr="00A87C3B" w14:paraId="1037B31D" w14:textId="77777777">
        <w:trPr>
          <w:trHeight w:val="300"/>
        </w:trPr>
        <w:tc>
          <w:tcPr>
            <w:tcW w:w="6804" w:type="dxa"/>
            <w:tcBorders>
              <w:left w:val="nil"/>
              <w:right w:val="nil"/>
            </w:tcBorders>
            <w:noWrap/>
            <w:hideMark/>
          </w:tcPr>
          <w:p w:rsidRPr="00EA2A25" w:rsidR="006F5266" w:rsidP="00A87C3B" w:rsidRDefault="006F5266" w14:paraId="67ED32E7" w14:textId="77777777">
            <w:pPr>
              <w:ind w:firstLine="200" w:firstLineChars="100"/>
              <w:rPr>
                <w:rFonts w:ascii="Arial" w:hAnsi="Arial" w:eastAsia="Times New Roman" w:cs="Arial"/>
                <w:sz w:val="20"/>
                <w:szCs w:val="20"/>
              </w:rPr>
            </w:pPr>
            <w:r w:rsidRPr="00EA2A25">
              <w:rPr>
                <w:rFonts w:ascii="Arial" w:hAnsi="Arial"/>
                <w:sz w:val="20"/>
              </w:rPr>
              <w:t>d. Contributions du fonds de défaillance en faveur des contreparties centrales</w:t>
            </w:r>
          </w:p>
        </w:tc>
        <w:tc>
          <w:tcPr>
            <w:tcW w:w="2745" w:type="dxa"/>
            <w:tcBorders>
              <w:left w:val="nil"/>
              <w:right w:val="nil"/>
            </w:tcBorders>
            <w:noWrap/>
            <w:hideMark/>
          </w:tcPr>
          <w:p w:rsidRPr="00EA2A25" w:rsidR="006F5266" w:rsidP="00A87C3B" w:rsidRDefault="006F5266" w14:paraId="11C6BC6F" w14:textId="77777777">
            <w:pPr>
              <w:jc w:val="right"/>
              <w:rPr>
                <w:rFonts w:ascii="Arial" w:hAnsi="Arial" w:eastAsia="Times New Roman" w:cs="Arial"/>
                <w:sz w:val="20"/>
                <w:szCs w:val="20"/>
              </w:rPr>
            </w:pPr>
            <w:r w:rsidRPr="00EA2A25">
              <w:rPr>
                <w:rFonts w:ascii="Arial" w:hAnsi="Arial"/>
                <w:sz w:val="20"/>
              </w:rPr>
              <w:t> </w:t>
            </w:r>
          </w:p>
        </w:tc>
      </w:tr>
      <w:tr w:rsidRPr="00EA2A25" w:rsidR="006F5266" w:rsidTr="00A87C3B" w14:paraId="0F7EEB72" w14:textId="77777777">
        <w:trPr>
          <w:trHeight w:val="300"/>
        </w:trPr>
        <w:tc>
          <w:tcPr>
            <w:tcW w:w="6804" w:type="dxa"/>
            <w:tcBorders>
              <w:left w:val="nil"/>
              <w:right w:val="nil"/>
            </w:tcBorders>
            <w:noWrap/>
            <w:hideMark/>
          </w:tcPr>
          <w:p w:rsidRPr="00EA2A25" w:rsidR="006F5266" w:rsidP="00A87C3B" w:rsidRDefault="006F5266" w14:paraId="43DF0945" w14:textId="77777777">
            <w:pPr>
              <w:ind w:firstLine="200" w:firstLineChars="100"/>
              <w:rPr>
                <w:rFonts w:ascii="Arial" w:hAnsi="Arial" w:eastAsia="Times New Roman" w:cs="Arial"/>
                <w:sz w:val="20"/>
                <w:szCs w:val="20"/>
              </w:rPr>
            </w:pPr>
            <w:r w:rsidRPr="00EA2A25">
              <w:rPr>
                <w:rFonts w:ascii="Arial" w:hAnsi="Arial"/>
                <w:sz w:val="20"/>
              </w:rPr>
              <w:t>e. Autres facilités accordées aux contreparties centrales</w:t>
            </w:r>
          </w:p>
        </w:tc>
        <w:tc>
          <w:tcPr>
            <w:tcW w:w="2745" w:type="dxa"/>
            <w:tcBorders>
              <w:left w:val="nil"/>
              <w:right w:val="nil"/>
            </w:tcBorders>
            <w:noWrap/>
            <w:hideMark/>
          </w:tcPr>
          <w:p w:rsidRPr="00EA2A25" w:rsidR="006F5266" w:rsidP="00A87C3B" w:rsidRDefault="006F5266" w14:paraId="5E737C93" w14:textId="77777777">
            <w:pPr>
              <w:jc w:val="right"/>
              <w:rPr>
                <w:rFonts w:ascii="Arial" w:hAnsi="Arial" w:eastAsia="Times New Roman" w:cs="Arial"/>
                <w:sz w:val="20"/>
                <w:szCs w:val="20"/>
              </w:rPr>
            </w:pPr>
            <w:r w:rsidRPr="00EA2A25">
              <w:rPr>
                <w:rFonts w:ascii="Arial" w:hAnsi="Arial"/>
                <w:sz w:val="20"/>
              </w:rPr>
              <w:t> </w:t>
            </w:r>
          </w:p>
        </w:tc>
      </w:tr>
      <w:tr w:rsidRPr="00EA2A25" w:rsidR="006F5266" w:rsidTr="00A87C3B" w14:paraId="164BAB2E" w14:textId="77777777">
        <w:trPr>
          <w:gridAfter w:val="1"/>
          <w:wAfter w:w="2745" w:type="dxa"/>
          <w:trHeight w:val="300"/>
        </w:trPr>
        <w:tc>
          <w:tcPr>
            <w:tcW w:w="6804" w:type="dxa"/>
            <w:tcBorders>
              <w:left w:val="nil"/>
              <w:right w:val="nil"/>
            </w:tcBorders>
            <w:noWrap/>
            <w:hideMark/>
          </w:tcPr>
          <w:p w:rsidRPr="00EA2A25" w:rsidR="006F5266" w:rsidP="00A87C3B" w:rsidRDefault="006F5266" w14:paraId="131B384D" w14:textId="77777777">
            <w:pPr>
              <w:ind w:left="171"/>
              <w:rPr>
                <w:rFonts w:ascii="Arial" w:hAnsi="Arial" w:eastAsia="Times New Roman" w:cs="Arial"/>
                <w:sz w:val="20"/>
                <w:szCs w:val="20"/>
              </w:rPr>
            </w:pPr>
            <w:r w:rsidRPr="00EA2A25">
              <w:rPr>
                <w:rFonts w:ascii="Arial" w:hAnsi="Arial"/>
                <w:sz w:val="20"/>
              </w:rPr>
              <w:t>F. Fourniture de services de règlement liés à des transactions à compensation centrale</w:t>
            </w:r>
          </w:p>
        </w:tc>
      </w:tr>
      <w:tr w:rsidRPr="00EA2A25" w:rsidR="006F5266" w:rsidTr="00A87C3B" w14:paraId="20A4D9BA" w14:textId="77777777">
        <w:trPr>
          <w:trHeight w:val="300"/>
        </w:trPr>
        <w:tc>
          <w:tcPr>
            <w:tcW w:w="6804" w:type="dxa"/>
            <w:tcBorders>
              <w:left w:val="nil"/>
              <w:right w:val="nil"/>
            </w:tcBorders>
            <w:noWrap/>
            <w:hideMark/>
          </w:tcPr>
          <w:p w:rsidRPr="00EA2A25" w:rsidR="006F5266" w:rsidP="00A87C3B" w:rsidRDefault="006F5266" w14:paraId="6FF2C8F1" w14:textId="77777777">
            <w:pPr>
              <w:ind w:firstLine="200" w:firstLineChars="100"/>
              <w:rPr>
                <w:rFonts w:ascii="Arial" w:hAnsi="Arial" w:eastAsia="Times New Roman" w:cs="Arial"/>
                <w:sz w:val="20"/>
                <w:szCs w:val="20"/>
              </w:rPr>
            </w:pPr>
            <w:r w:rsidRPr="00EA2A25">
              <w:rPr>
                <w:rFonts w:ascii="Arial" w:hAnsi="Arial"/>
                <w:sz w:val="20"/>
              </w:rPr>
              <w:t xml:space="preserve">g. Valeur trimestrielle moyenne des actifs sous conservation </w:t>
            </w:r>
          </w:p>
        </w:tc>
        <w:tc>
          <w:tcPr>
            <w:tcW w:w="2745" w:type="dxa"/>
            <w:tcBorders>
              <w:left w:val="nil"/>
              <w:right w:val="nil"/>
            </w:tcBorders>
            <w:noWrap/>
            <w:hideMark/>
          </w:tcPr>
          <w:p w:rsidRPr="00EA2A25" w:rsidR="006F5266" w:rsidP="00A87C3B" w:rsidRDefault="006F5266" w14:paraId="5013BF75" w14:textId="77777777">
            <w:pPr>
              <w:jc w:val="right"/>
              <w:rPr>
                <w:rFonts w:ascii="Arial" w:hAnsi="Arial" w:eastAsia="Times New Roman" w:cs="Arial"/>
                <w:sz w:val="20"/>
                <w:szCs w:val="20"/>
              </w:rPr>
            </w:pPr>
            <w:r w:rsidRPr="00EA2A25">
              <w:rPr>
                <w:rFonts w:ascii="Arial" w:hAnsi="Arial"/>
                <w:sz w:val="20"/>
              </w:rPr>
              <w:t> </w:t>
            </w:r>
          </w:p>
        </w:tc>
      </w:tr>
      <w:tr w:rsidRPr="00EA2A25" w:rsidR="006F5266" w:rsidTr="00A87C3B" w14:paraId="7C2F0D8B" w14:textId="77777777">
        <w:trPr>
          <w:trHeight w:val="300"/>
        </w:trPr>
        <w:tc>
          <w:tcPr>
            <w:tcW w:w="6804" w:type="dxa"/>
            <w:tcBorders>
              <w:left w:val="nil"/>
              <w:bottom w:val="single" w:color="auto" w:sz="4" w:space="0"/>
              <w:right w:val="nil"/>
            </w:tcBorders>
            <w:noWrap/>
            <w:hideMark/>
          </w:tcPr>
          <w:p w:rsidRPr="00EA2A25" w:rsidR="006F5266" w:rsidP="00A87C3B" w:rsidRDefault="006F5266" w14:paraId="6F416F76" w14:textId="77777777">
            <w:pPr>
              <w:ind w:firstLine="200" w:firstLineChars="100"/>
              <w:rPr>
                <w:rFonts w:ascii="Arial" w:hAnsi="Arial" w:eastAsia="Times New Roman" w:cs="Arial"/>
                <w:sz w:val="20"/>
                <w:szCs w:val="20"/>
              </w:rPr>
            </w:pPr>
            <w:r w:rsidRPr="00EA2A25">
              <w:rPr>
                <w:rFonts w:ascii="Arial" w:hAnsi="Arial"/>
                <w:sz w:val="20"/>
              </w:rPr>
              <w:t xml:space="preserve">h. Valeur mensuelle moyenne des actifs sous conservation </w:t>
            </w:r>
          </w:p>
        </w:tc>
        <w:tc>
          <w:tcPr>
            <w:tcW w:w="2745" w:type="dxa"/>
            <w:tcBorders>
              <w:left w:val="nil"/>
              <w:bottom w:val="single" w:color="auto" w:sz="4" w:space="0"/>
              <w:right w:val="nil"/>
            </w:tcBorders>
            <w:noWrap/>
            <w:hideMark/>
          </w:tcPr>
          <w:p w:rsidRPr="00EA2A25" w:rsidR="006F5266" w:rsidP="00A87C3B" w:rsidRDefault="006F5266" w14:paraId="3C5DF93A" w14:textId="77777777">
            <w:pPr>
              <w:jc w:val="right"/>
              <w:rPr>
                <w:rFonts w:ascii="Arial" w:hAnsi="Arial" w:eastAsia="Times New Roman" w:cs="Arial"/>
                <w:sz w:val="20"/>
                <w:szCs w:val="20"/>
              </w:rPr>
            </w:pPr>
            <w:r w:rsidRPr="00EA2A25">
              <w:rPr>
                <w:rFonts w:ascii="Arial" w:hAnsi="Arial"/>
                <w:sz w:val="20"/>
              </w:rPr>
              <w:t> </w:t>
            </w:r>
          </w:p>
        </w:tc>
      </w:tr>
      <w:tr w:rsidRPr="00EA2A25" w:rsidR="006F5266" w:rsidTr="00A87C3B" w14:paraId="2C52480E" w14:textId="77777777">
        <w:trPr>
          <w:trHeight w:val="300"/>
        </w:trPr>
        <w:tc>
          <w:tcPr>
            <w:tcW w:w="6804" w:type="dxa"/>
            <w:tcBorders>
              <w:left w:val="nil"/>
              <w:bottom w:val="nil"/>
              <w:right w:val="nil"/>
            </w:tcBorders>
            <w:noWrap/>
          </w:tcPr>
          <w:p w:rsidRPr="00EA2A25" w:rsidR="006F5266" w:rsidP="00A87C3B" w:rsidRDefault="006F5266" w14:paraId="342787C8"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EA2A25" w:rsidR="006F5266" w:rsidP="00A87C3B" w:rsidRDefault="006F5266" w14:paraId="6B90C7EA" w14:textId="77777777">
            <w:pPr>
              <w:jc w:val="center"/>
              <w:rPr>
                <w:rFonts w:ascii="Arial" w:hAnsi="Arial" w:eastAsia="Times New Roman" w:cs="Arial"/>
                <w:b/>
                <w:bCs/>
                <w:sz w:val="20"/>
                <w:szCs w:val="20"/>
                <w:lang w:eastAsia="en-GB"/>
              </w:rPr>
            </w:pPr>
          </w:p>
        </w:tc>
      </w:tr>
      <w:tr w:rsidRPr="00EA2A25" w:rsidR="006F5266" w:rsidTr="00A87C3B" w14:paraId="79B1C60A" w14:textId="77777777">
        <w:trPr>
          <w:trHeight w:val="300"/>
        </w:trPr>
        <w:tc>
          <w:tcPr>
            <w:tcW w:w="6804" w:type="dxa"/>
            <w:tcBorders>
              <w:top w:val="nil"/>
              <w:left w:val="nil"/>
              <w:right w:val="nil"/>
            </w:tcBorders>
            <w:noWrap/>
            <w:hideMark/>
          </w:tcPr>
          <w:p w:rsidRPr="00EA2A25" w:rsidR="006F5266" w:rsidP="00A87C3B" w:rsidRDefault="006F5266" w14:paraId="6BA3183A" w14:textId="77777777">
            <w:pPr>
              <w:rPr>
                <w:rFonts w:ascii="Arial" w:hAnsi="Arial" w:eastAsia="Times New Roman" w:cs="Arial"/>
                <w:b/>
                <w:bCs/>
                <w:sz w:val="20"/>
                <w:szCs w:val="20"/>
              </w:rPr>
            </w:pPr>
            <w:r w:rsidRPr="00EA2A25">
              <w:rPr>
                <w:rFonts w:ascii="Arial" w:hAnsi="Arial"/>
                <w:b/>
                <w:sz w:val="20"/>
              </w:rPr>
              <w:t>Section 20 - Éléments de complexité</w:t>
            </w:r>
          </w:p>
        </w:tc>
        <w:tc>
          <w:tcPr>
            <w:tcW w:w="2745" w:type="dxa"/>
            <w:tcBorders>
              <w:top w:val="nil"/>
              <w:left w:val="nil"/>
              <w:right w:val="nil"/>
            </w:tcBorders>
            <w:hideMark/>
          </w:tcPr>
          <w:p w:rsidRPr="00EA2A25" w:rsidR="006F5266" w:rsidP="00A87C3B" w:rsidRDefault="006F5266" w14:paraId="6AE54C6C" w14:textId="77777777">
            <w:pPr>
              <w:jc w:val="center"/>
              <w:rPr>
                <w:rFonts w:ascii="Arial" w:hAnsi="Arial" w:eastAsia="Times New Roman" w:cs="Arial"/>
                <w:b/>
                <w:bCs/>
                <w:sz w:val="20"/>
                <w:szCs w:val="20"/>
              </w:rPr>
            </w:pPr>
            <w:r w:rsidRPr="00EA2A25">
              <w:rPr>
                <w:rFonts w:ascii="Arial" w:hAnsi="Arial"/>
                <w:b/>
                <w:sz w:val="20"/>
              </w:rPr>
              <w:t>Montant</w:t>
            </w:r>
          </w:p>
        </w:tc>
      </w:tr>
      <w:tr w:rsidRPr="00EA2A25" w:rsidR="006F5266" w:rsidTr="00A87C3B" w14:paraId="0BB86FF4" w14:textId="77777777">
        <w:trPr>
          <w:trHeight w:val="300"/>
        </w:trPr>
        <w:tc>
          <w:tcPr>
            <w:tcW w:w="6804" w:type="dxa"/>
            <w:tcBorders>
              <w:left w:val="nil"/>
              <w:right w:val="nil"/>
            </w:tcBorders>
            <w:noWrap/>
            <w:hideMark/>
          </w:tcPr>
          <w:p w:rsidRPr="00EA2A25" w:rsidR="006F5266" w:rsidP="00A87C3B" w:rsidRDefault="006F5266" w14:paraId="340762BF" w14:textId="77777777">
            <w:pPr>
              <w:ind w:firstLine="200" w:firstLineChars="100"/>
              <w:rPr>
                <w:rFonts w:ascii="Arial" w:hAnsi="Arial" w:eastAsia="Times New Roman" w:cs="Arial"/>
                <w:sz w:val="20"/>
                <w:szCs w:val="20"/>
              </w:rPr>
            </w:pPr>
            <w:r w:rsidRPr="00EA2A25">
              <w:rPr>
                <w:rFonts w:ascii="Arial" w:hAnsi="Arial"/>
                <w:sz w:val="20"/>
              </w:rPr>
              <w:t>A. Indicateur de dérivés de gré à gré (ancien indicateur)</w:t>
            </w:r>
          </w:p>
        </w:tc>
        <w:tc>
          <w:tcPr>
            <w:tcW w:w="2745" w:type="dxa"/>
            <w:tcBorders>
              <w:left w:val="nil"/>
              <w:right w:val="nil"/>
            </w:tcBorders>
            <w:noWrap/>
            <w:hideMark/>
          </w:tcPr>
          <w:p w:rsidRPr="00EA2A25" w:rsidR="006F5266" w:rsidP="00A87C3B" w:rsidRDefault="006F5266" w14:paraId="1A640FA2" w14:textId="77777777">
            <w:pPr>
              <w:jc w:val="right"/>
              <w:rPr>
                <w:rFonts w:ascii="Arial" w:hAnsi="Arial" w:eastAsia="Times New Roman" w:cs="Arial"/>
                <w:sz w:val="20"/>
                <w:szCs w:val="20"/>
              </w:rPr>
            </w:pPr>
            <w:r w:rsidRPr="00EA2A25">
              <w:rPr>
                <w:rFonts w:ascii="Arial" w:hAnsi="Arial"/>
                <w:sz w:val="20"/>
              </w:rPr>
              <w:t> </w:t>
            </w:r>
          </w:p>
        </w:tc>
      </w:tr>
      <w:tr w:rsidRPr="00EA2A25" w:rsidR="006F5266" w:rsidTr="00A87C3B" w14:paraId="25DBF557" w14:textId="77777777">
        <w:trPr>
          <w:trHeight w:val="300"/>
        </w:trPr>
        <w:tc>
          <w:tcPr>
            <w:tcW w:w="6804" w:type="dxa"/>
            <w:tcBorders>
              <w:left w:val="nil"/>
              <w:right w:val="nil"/>
            </w:tcBorders>
            <w:noWrap/>
          </w:tcPr>
          <w:p w:rsidRPr="00EA2A25" w:rsidR="006F5266" w:rsidP="00A87C3B" w:rsidRDefault="006F5266" w14:paraId="3DAB9CA9" w14:textId="77777777">
            <w:pPr>
              <w:ind w:left="171" w:firstLine="28" w:firstLineChars="14"/>
              <w:rPr>
                <w:rFonts w:ascii="Arial" w:hAnsi="Arial" w:eastAsia="Times New Roman" w:cs="Arial"/>
                <w:sz w:val="20"/>
                <w:szCs w:val="20"/>
              </w:rPr>
            </w:pPr>
            <w:r w:rsidRPr="00EA2A25">
              <w:rPr>
                <w:rFonts w:ascii="Arial" w:hAnsi="Arial"/>
                <w:sz w:val="20"/>
              </w:rPr>
              <w:t>b. Montant notionnel des dérivés de gré à gré, y compris les filiales d’assurance:</w:t>
            </w:r>
          </w:p>
        </w:tc>
        <w:tc>
          <w:tcPr>
            <w:tcW w:w="2745" w:type="dxa"/>
            <w:tcBorders>
              <w:left w:val="nil"/>
              <w:right w:val="nil"/>
            </w:tcBorders>
            <w:noWrap/>
          </w:tcPr>
          <w:p w:rsidRPr="00EA2A25" w:rsidR="006F5266" w:rsidP="00A87C3B" w:rsidRDefault="006F5266" w14:paraId="7BA5E1FF" w14:textId="77777777">
            <w:pPr>
              <w:jc w:val="right"/>
              <w:rPr>
                <w:rFonts w:ascii="Arial" w:hAnsi="Arial" w:eastAsia="Times New Roman" w:cs="Arial"/>
                <w:sz w:val="20"/>
                <w:szCs w:val="20"/>
                <w:lang w:eastAsia="en-GB"/>
              </w:rPr>
            </w:pPr>
          </w:p>
        </w:tc>
      </w:tr>
      <w:tr w:rsidRPr="00EA2A25" w:rsidR="006F5266" w:rsidTr="00A87C3B" w14:paraId="286AA4C0" w14:textId="77777777">
        <w:trPr>
          <w:trHeight w:val="300"/>
        </w:trPr>
        <w:tc>
          <w:tcPr>
            <w:tcW w:w="6804" w:type="dxa"/>
            <w:tcBorders>
              <w:left w:val="nil"/>
              <w:right w:val="nil"/>
            </w:tcBorders>
            <w:noWrap/>
          </w:tcPr>
          <w:p w:rsidRPr="00EA2A25" w:rsidR="006F5266" w:rsidP="00A87C3B" w:rsidRDefault="006F5266" w14:paraId="025FCE45" w14:textId="77777777">
            <w:pPr>
              <w:ind w:left="313"/>
              <w:rPr>
                <w:rFonts w:ascii="Arial" w:hAnsi="Arial" w:eastAsia="Times New Roman" w:cs="Arial"/>
                <w:sz w:val="20"/>
                <w:szCs w:val="20"/>
              </w:rPr>
            </w:pPr>
            <w:r w:rsidRPr="00EA2A25">
              <w:rPr>
                <w:rFonts w:ascii="Arial" w:hAnsi="Arial"/>
                <w:sz w:val="20"/>
                <w:lang w:eastAsia="en-GB"/>
              </w:rPr>
              <w:t xml:space="preserve">(1) </w:t>
            </w:r>
            <w:r w:rsidRPr="00EA2A25">
              <w:rPr>
                <w:rFonts w:ascii="Arial" w:hAnsi="Arial"/>
                <w:sz w:val="20"/>
              </w:rPr>
              <w:t>Compensés par une contrepartie centrale lorsque le groupe (y compris les filiales d’assurance) agit en tant qu’intermédiaire financier (jambe contrepartie centrale)</w:t>
            </w:r>
          </w:p>
        </w:tc>
        <w:tc>
          <w:tcPr>
            <w:tcW w:w="2745" w:type="dxa"/>
            <w:tcBorders>
              <w:left w:val="nil"/>
              <w:right w:val="nil"/>
            </w:tcBorders>
            <w:noWrap/>
          </w:tcPr>
          <w:p w:rsidRPr="00EA2A25" w:rsidR="006F5266" w:rsidP="00A87C3B" w:rsidRDefault="006F5266" w14:paraId="3078E15E" w14:textId="77777777">
            <w:pPr>
              <w:jc w:val="right"/>
              <w:rPr>
                <w:rFonts w:ascii="Arial" w:hAnsi="Arial" w:eastAsia="Times New Roman" w:cs="Arial"/>
                <w:sz w:val="20"/>
                <w:szCs w:val="20"/>
                <w:lang w:eastAsia="en-GB"/>
              </w:rPr>
            </w:pPr>
          </w:p>
        </w:tc>
      </w:tr>
      <w:tr w:rsidRPr="00EA2A25" w:rsidR="006F5266" w:rsidTr="00A87C3B" w14:paraId="3B95CAAC" w14:textId="77777777">
        <w:trPr>
          <w:trHeight w:val="300"/>
        </w:trPr>
        <w:tc>
          <w:tcPr>
            <w:tcW w:w="6804" w:type="dxa"/>
            <w:tcBorders>
              <w:left w:val="nil"/>
              <w:right w:val="nil"/>
            </w:tcBorders>
            <w:noWrap/>
          </w:tcPr>
          <w:p w:rsidRPr="00EA2A25" w:rsidR="006F5266" w:rsidP="00A87C3B" w:rsidRDefault="006F5266" w14:paraId="1E3F1CD0" w14:textId="77777777">
            <w:pPr>
              <w:ind w:left="313" w:firstLine="58" w:firstLineChars="29"/>
              <w:rPr>
                <w:rFonts w:ascii="Arial" w:hAnsi="Arial" w:eastAsia="Times New Roman" w:cs="Arial"/>
                <w:sz w:val="20"/>
                <w:szCs w:val="20"/>
              </w:rPr>
            </w:pPr>
            <w:r w:rsidRPr="00EA2A25">
              <w:rPr>
                <w:rFonts w:ascii="Arial" w:hAnsi="Arial"/>
                <w:sz w:val="20"/>
                <w:lang w:eastAsia="en-GB"/>
              </w:rPr>
              <w:t xml:space="preserve">(2) </w:t>
            </w:r>
            <w:r w:rsidRPr="00EA2A25">
              <w:rPr>
                <w:rFonts w:ascii="Arial" w:hAnsi="Arial"/>
                <w:sz w:val="20"/>
              </w:rPr>
              <w:t xml:space="preserve">Compensées par une contrepartie centrale lorsque le groupe (y compris les filiales d’assurance) agit en tant qu’intermédiaire financier (jambe client) </w:t>
            </w:r>
          </w:p>
        </w:tc>
        <w:tc>
          <w:tcPr>
            <w:tcW w:w="2745" w:type="dxa"/>
            <w:tcBorders>
              <w:left w:val="nil"/>
              <w:right w:val="nil"/>
            </w:tcBorders>
            <w:noWrap/>
          </w:tcPr>
          <w:p w:rsidRPr="00EA2A25" w:rsidR="006F5266" w:rsidP="00A87C3B" w:rsidRDefault="006F5266" w14:paraId="764120D7" w14:textId="77777777">
            <w:pPr>
              <w:jc w:val="right"/>
              <w:rPr>
                <w:rFonts w:ascii="Arial" w:hAnsi="Arial" w:eastAsia="Times New Roman" w:cs="Arial"/>
                <w:sz w:val="20"/>
                <w:szCs w:val="20"/>
                <w:lang w:eastAsia="en-GB"/>
              </w:rPr>
            </w:pPr>
          </w:p>
        </w:tc>
      </w:tr>
      <w:tr w:rsidRPr="00EA2A25" w:rsidR="006F5266" w:rsidTr="00A87C3B" w14:paraId="243A9222" w14:textId="77777777">
        <w:trPr>
          <w:trHeight w:val="300"/>
        </w:trPr>
        <w:tc>
          <w:tcPr>
            <w:tcW w:w="6804" w:type="dxa"/>
            <w:tcBorders>
              <w:left w:val="nil"/>
              <w:right w:val="nil"/>
            </w:tcBorders>
            <w:noWrap/>
          </w:tcPr>
          <w:p w:rsidRPr="00EA2A25" w:rsidR="006F5266" w:rsidP="00A87C3B" w:rsidRDefault="006F5266" w14:paraId="7C8CF7FB" w14:textId="77777777">
            <w:pPr>
              <w:ind w:left="313"/>
              <w:rPr>
                <w:rFonts w:ascii="Arial" w:hAnsi="Arial" w:eastAsia="Times New Roman" w:cs="Arial"/>
                <w:sz w:val="20"/>
                <w:szCs w:val="20"/>
              </w:rPr>
            </w:pPr>
            <w:r w:rsidRPr="00EA2A25">
              <w:rPr>
                <w:rFonts w:ascii="Arial" w:hAnsi="Arial"/>
                <w:sz w:val="20"/>
                <w:lang w:eastAsia="en-GB"/>
              </w:rPr>
              <w:t xml:space="preserve">(3) </w:t>
            </w:r>
            <w:r w:rsidRPr="00EA2A25">
              <w:rPr>
                <w:rFonts w:ascii="Arial" w:hAnsi="Arial"/>
                <w:sz w:val="20"/>
              </w:rPr>
              <w:t xml:space="preserve">Compensés par une contrepartie centrale lorsque le groupe (y compris les filiales d’assurance) agit en qualité d’agent </w:t>
            </w:r>
          </w:p>
        </w:tc>
        <w:tc>
          <w:tcPr>
            <w:tcW w:w="2745" w:type="dxa"/>
            <w:tcBorders>
              <w:left w:val="nil"/>
              <w:right w:val="nil"/>
            </w:tcBorders>
            <w:noWrap/>
          </w:tcPr>
          <w:p w:rsidRPr="00EA2A25" w:rsidR="006F5266" w:rsidP="00A87C3B" w:rsidRDefault="006F5266" w14:paraId="47124DAC" w14:textId="77777777">
            <w:pPr>
              <w:jc w:val="right"/>
              <w:rPr>
                <w:rFonts w:ascii="Arial" w:hAnsi="Arial" w:eastAsia="Times New Roman" w:cs="Arial"/>
                <w:sz w:val="20"/>
                <w:szCs w:val="20"/>
                <w:lang w:eastAsia="en-GB"/>
              </w:rPr>
            </w:pPr>
          </w:p>
        </w:tc>
      </w:tr>
      <w:tr w:rsidRPr="00EA2A25" w:rsidR="006F5266" w:rsidTr="00A87C3B" w14:paraId="59E5FED4" w14:textId="77777777">
        <w:trPr>
          <w:trHeight w:val="300"/>
        </w:trPr>
        <w:tc>
          <w:tcPr>
            <w:tcW w:w="6804" w:type="dxa"/>
            <w:tcBorders>
              <w:left w:val="nil"/>
              <w:right w:val="nil"/>
            </w:tcBorders>
            <w:noWrap/>
          </w:tcPr>
          <w:p w:rsidRPr="00EA2A25" w:rsidR="006F5266" w:rsidP="00A87C3B" w:rsidRDefault="006F5266" w14:paraId="7604E33D" w14:textId="77777777">
            <w:pPr>
              <w:ind w:left="313" w:hanging="1"/>
              <w:rPr>
                <w:rFonts w:ascii="Arial" w:hAnsi="Arial" w:eastAsia="Times New Roman" w:cs="Arial"/>
                <w:sz w:val="20"/>
                <w:szCs w:val="20"/>
              </w:rPr>
            </w:pPr>
            <w:r w:rsidRPr="00EA2A25">
              <w:rPr>
                <w:rFonts w:ascii="Arial" w:hAnsi="Arial"/>
                <w:sz w:val="20"/>
                <w:lang w:eastAsia="en-GB"/>
              </w:rPr>
              <w:t xml:space="preserve">(4) </w:t>
            </w:r>
            <w:r w:rsidRPr="00EA2A25">
              <w:rPr>
                <w:rFonts w:ascii="Arial" w:hAnsi="Arial"/>
                <w:sz w:val="20"/>
              </w:rPr>
              <w:t>Compensés par une contrepartie centrale lorsque le groupe (y compris les filiales d’assurance) négocie pour compte propre</w:t>
            </w:r>
          </w:p>
        </w:tc>
        <w:tc>
          <w:tcPr>
            <w:tcW w:w="2745" w:type="dxa"/>
            <w:tcBorders>
              <w:left w:val="nil"/>
              <w:right w:val="nil"/>
            </w:tcBorders>
            <w:noWrap/>
          </w:tcPr>
          <w:p w:rsidRPr="00EA2A25" w:rsidR="006F5266" w:rsidP="00A87C3B" w:rsidRDefault="006F5266" w14:paraId="348E808A" w14:textId="77777777">
            <w:pPr>
              <w:jc w:val="right"/>
              <w:rPr>
                <w:rFonts w:ascii="Arial" w:hAnsi="Arial" w:eastAsia="Times New Roman" w:cs="Arial"/>
                <w:sz w:val="20"/>
                <w:szCs w:val="20"/>
                <w:lang w:eastAsia="en-GB"/>
              </w:rPr>
            </w:pPr>
          </w:p>
        </w:tc>
      </w:tr>
      <w:tr w:rsidRPr="00EA2A25" w:rsidR="006F5266" w:rsidTr="00A87C3B" w14:paraId="79C2B2B9" w14:textId="77777777">
        <w:trPr>
          <w:trHeight w:val="300"/>
        </w:trPr>
        <w:tc>
          <w:tcPr>
            <w:tcW w:w="6804" w:type="dxa"/>
            <w:tcBorders>
              <w:left w:val="nil"/>
              <w:right w:val="nil"/>
            </w:tcBorders>
            <w:noWrap/>
          </w:tcPr>
          <w:p w:rsidRPr="00EA2A25" w:rsidR="006F5266" w:rsidP="00A87C3B" w:rsidRDefault="006F5266" w14:paraId="676DFCE8" w14:textId="77777777">
            <w:pPr>
              <w:ind w:left="171" w:firstLine="28" w:firstLineChars="14"/>
              <w:rPr>
                <w:rFonts w:ascii="Arial" w:hAnsi="Arial" w:eastAsia="Times New Roman" w:cs="Arial"/>
                <w:sz w:val="20"/>
                <w:szCs w:val="20"/>
              </w:rPr>
            </w:pPr>
            <w:r w:rsidRPr="00EA2A25">
              <w:rPr>
                <w:rFonts w:ascii="Arial" w:hAnsi="Arial"/>
                <w:sz w:val="20"/>
              </w:rPr>
              <w:t>c. Dérivés de gré à gré faisant l’objet d’une compensation par contrepartie centrale (exclusion de la transition du LIBOR)</w:t>
            </w:r>
          </w:p>
        </w:tc>
        <w:tc>
          <w:tcPr>
            <w:tcW w:w="2745" w:type="dxa"/>
            <w:tcBorders>
              <w:left w:val="nil"/>
              <w:right w:val="nil"/>
            </w:tcBorders>
            <w:noWrap/>
          </w:tcPr>
          <w:p w:rsidRPr="00EA2A25" w:rsidR="006F5266" w:rsidP="00A87C3B" w:rsidRDefault="006F5266" w14:paraId="018C2DB9" w14:textId="77777777">
            <w:pPr>
              <w:jc w:val="right"/>
              <w:rPr>
                <w:rFonts w:ascii="Arial" w:hAnsi="Arial" w:eastAsia="Times New Roman" w:cs="Arial"/>
                <w:sz w:val="20"/>
                <w:szCs w:val="20"/>
                <w:lang w:eastAsia="en-GB"/>
              </w:rPr>
            </w:pPr>
          </w:p>
        </w:tc>
      </w:tr>
      <w:tr w:rsidRPr="00EA2A25" w:rsidR="006F5266" w:rsidTr="00A87C3B" w14:paraId="43FB18AC" w14:textId="77777777">
        <w:trPr>
          <w:trHeight w:val="300"/>
        </w:trPr>
        <w:tc>
          <w:tcPr>
            <w:tcW w:w="6804" w:type="dxa"/>
            <w:tcBorders>
              <w:left w:val="nil"/>
              <w:right w:val="nil"/>
            </w:tcBorders>
            <w:noWrap/>
          </w:tcPr>
          <w:p w:rsidRPr="00EA2A25" w:rsidR="006F5266" w:rsidP="00A87C3B" w:rsidRDefault="006F5266" w14:paraId="3D4F5CF8" w14:textId="77777777">
            <w:pPr>
              <w:ind w:left="171" w:firstLine="28" w:firstLineChars="14"/>
              <w:rPr>
                <w:rFonts w:ascii="Arial" w:hAnsi="Arial" w:eastAsia="Times New Roman" w:cs="Arial"/>
                <w:sz w:val="20"/>
                <w:szCs w:val="20"/>
              </w:rPr>
            </w:pPr>
            <w:r w:rsidRPr="00EA2A25">
              <w:rPr>
                <w:rFonts w:ascii="Arial" w:hAnsi="Arial"/>
                <w:sz w:val="20"/>
              </w:rPr>
              <w:t xml:space="preserve">d. Valeur trimestrielle moyenne du montant notionnel des dérivés de gré à gré </w:t>
            </w:r>
          </w:p>
        </w:tc>
        <w:tc>
          <w:tcPr>
            <w:tcW w:w="2745" w:type="dxa"/>
            <w:tcBorders>
              <w:left w:val="nil"/>
              <w:right w:val="nil"/>
            </w:tcBorders>
            <w:noWrap/>
          </w:tcPr>
          <w:p w:rsidRPr="00EA2A25" w:rsidR="006F5266" w:rsidP="00A87C3B" w:rsidRDefault="006F5266" w14:paraId="28AE5B8E" w14:textId="77777777">
            <w:pPr>
              <w:jc w:val="right"/>
              <w:rPr>
                <w:rFonts w:ascii="Arial" w:hAnsi="Arial" w:eastAsia="Times New Roman" w:cs="Arial"/>
                <w:sz w:val="20"/>
                <w:szCs w:val="20"/>
                <w:lang w:eastAsia="en-GB"/>
              </w:rPr>
            </w:pPr>
          </w:p>
        </w:tc>
      </w:tr>
      <w:tr w:rsidRPr="00EA2A25" w:rsidR="006F5266" w:rsidTr="00A87C3B" w14:paraId="58420573" w14:textId="77777777">
        <w:trPr>
          <w:trHeight w:val="300"/>
        </w:trPr>
        <w:tc>
          <w:tcPr>
            <w:tcW w:w="6804" w:type="dxa"/>
            <w:tcBorders>
              <w:left w:val="nil"/>
              <w:right w:val="nil"/>
            </w:tcBorders>
            <w:noWrap/>
          </w:tcPr>
          <w:p w:rsidRPr="00EA2A25" w:rsidR="006F5266" w:rsidP="00A87C3B" w:rsidRDefault="006F5266" w14:paraId="12EE6045" w14:textId="77777777">
            <w:pPr>
              <w:ind w:left="171" w:firstLine="28" w:firstLineChars="14"/>
              <w:rPr>
                <w:rFonts w:ascii="Arial" w:hAnsi="Arial" w:eastAsia="Times New Roman" w:cs="Arial"/>
                <w:sz w:val="20"/>
                <w:szCs w:val="20"/>
              </w:rPr>
            </w:pPr>
            <w:r w:rsidRPr="00EA2A25">
              <w:rPr>
                <w:rFonts w:ascii="Arial" w:hAnsi="Arial"/>
                <w:sz w:val="20"/>
              </w:rPr>
              <w:t xml:space="preserve">e. Valeur mensuelle moyenne du montant notionnel des dérivés de gré à gré </w:t>
            </w:r>
          </w:p>
        </w:tc>
        <w:tc>
          <w:tcPr>
            <w:tcW w:w="2745" w:type="dxa"/>
            <w:tcBorders>
              <w:left w:val="nil"/>
              <w:right w:val="nil"/>
            </w:tcBorders>
            <w:noWrap/>
          </w:tcPr>
          <w:p w:rsidRPr="00EA2A25" w:rsidR="006F5266" w:rsidP="00A87C3B" w:rsidRDefault="006F5266" w14:paraId="5DEFEC1D" w14:textId="77777777">
            <w:pPr>
              <w:jc w:val="right"/>
              <w:rPr>
                <w:rFonts w:ascii="Arial" w:hAnsi="Arial" w:eastAsia="Times New Roman" w:cs="Arial"/>
                <w:sz w:val="20"/>
                <w:szCs w:val="20"/>
                <w:lang w:eastAsia="en-GB"/>
              </w:rPr>
            </w:pPr>
          </w:p>
        </w:tc>
      </w:tr>
      <w:tr w:rsidRPr="00EA2A25" w:rsidR="006F5266" w:rsidTr="00A87C3B" w14:paraId="02A26202" w14:textId="77777777">
        <w:trPr>
          <w:trHeight w:val="300"/>
        </w:trPr>
        <w:tc>
          <w:tcPr>
            <w:tcW w:w="6804" w:type="dxa"/>
            <w:tcBorders>
              <w:left w:val="nil"/>
              <w:right w:val="nil"/>
            </w:tcBorders>
            <w:noWrap/>
          </w:tcPr>
          <w:p w:rsidRPr="00EA2A25" w:rsidR="006F5266" w:rsidP="00A87C3B" w:rsidRDefault="006F5266" w14:paraId="77D802B6" w14:textId="77777777">
            <w:pPr>
              <w:ind w:firstLine="200" w:firstLineChars="100"/>
              <w:rPr>
                <w:rFonts w:ascii="Arial" w:hAnsi="Arial" w:eastAsia="Times New Roman" w:cs="Arial"/>
                <w:sz w:val="20"/>
                <w:szCs w:val="20"/>
              </w:rPr>
            </w:pPr>
            <w:r w:rsidRPr="00EA2A25">
              <w:rPr>
                <w:rFonts w:ascii="Arial" w:hAnsi="Arial"/>
                <w:sz w:val="20"/>
              </w:rPr>
              <w:t xml:space="preserve">f. Valeur trimestrielle moyenne des titres détenus à des fins de négociation et disponibles à la vente </w:t>
            </w:r>
          </w:p>
        </w:tc>
        <w:tc>
          <w:tcPr>
            <w:tcW w:w="2745" w:type="dxa"/>
            <w:tcBorders>
              <w:left w:val="nil"/>
              <w:right w:val="nil"/>
            </w:tcBorders>
            <w:noWrap/>
          </w:tcPr>
          <w:p w:rsidRPr="00EA2A25" w:rsidR="006F5266" w:rsidP="00A87C3B" w:rsidRDefault="006F5266" w14:paraId="34ECFC93" w14:textId="77777777">
            <w:pPr>
              <w:jc w:val="right"/>
              <w:rPr>
                <w:rFonts w:ascii="Arial" w:hAnsi="Arial" w:eastAsia="Times New Roman" w:cs="Arial"/>
                <w:sz w:val="20"/>
                <w:szCs w:val="20"/>
                <w:lang w:eastAsia="en-GB"/>
              </w:rPr>
            </w:pPr>
          </w:p>
        </w:tc>
      </w:tr>
      <w:tr w:rsidRPr="00EA2A25" w:rsidR="006F5266" w:rsidTr="00A87C3B" w14:paraId="4C14E666" w14:textId="77777777">
        <w:trPr>
          <w:trHeight w:val="300"/>
        </w:trPr>
        <w:tc>
          <w:tcPr>
            <w:tcW w:w="6804" w:type="dxa"/>
            <w:tcBorders>
              <w:left w:val="nil"/>
              <w:right w:val="nil"/>
            </w:tcBorders>
            <w:noWrap/>
          </w:tcPr>
          <w:p w:rsidRPr="00EA2A25" w:rsidR="006F5266" w:rsidP="00A87C3B" w:rsidRDefault="006F5266" w14:paraId="2A968899" w14:textId="77777777">
            <w:pPr>
              <w:ind w:firstLine="200" w:firstLineChars="100"/>
              <w:rPr>
                <w:rFonts w:ascii="Arial" w:hAnsi="Arial" w:eastAsia="Times New Roman" w:cs="Arial"/>
                <w:sz w:val="20"/>
                <w:szCs w:val="20"/>
              </w:rPr>
            </w:pPr>
            <w:r w:rsidRPr="00EA2A25">
              <w:rPr>
                <w:rFonts w:ascii="Arial" w:hAnsi="Arial"/>
                <w:sz w:val="20"/>
              </w:rPr>
              <w:lastRenderedPageBreak/>
              <w:t xml:space="preserve">g. Valeur mensuelle moyenne des titres détenus à des fins de négociation et disponibles à la vente </w:t>
            </w:r>
          </w:p>
        </w:tc>
        <w:tc>
          <w:tcPr>
            <w:tcW w:w="2745" w:type="dxa"/>
            <w:tcBorders>
              <w:left w:val="nil"/>
              <w:right w:val="nil"/>
            </w:tcBorders>
            <w:noWrap/>
          </w:tcPr>
          <w:p w:rsidRPr="00EA2A25" w:rsidR="006F5266" w:rsidP="00A87C3B" w:rsidRDefault="006F5266" w14:paraId="6C030CF4" w14:textId="77777777">
            <w:pPr>
              <w:jc w:val="right"/>
              <w:rPr>
                <w:rFonts w:ascii="Arial" w:hAnsi="Arial" w:eastAsia="Times New Roman" w:cs="Arial"/>
                <w:sz w:val="20"/>
                <w:szCs w:val="20"/>
                <w:lang w:eastAsia="en-GB"/>
              </w:rPr>
            </w:pPr>
          </w:p>
        </w:tc>
      </w:tr>
      <w:tr w:rsidRPr="00EA2A25" w:rsidR="006F5266" w:rsidTr="00A87C3B" w14:paraId="544A1445" w14:textId="77777777">
        <w:trPr>
          <w:trHeight w:val="300"/>
        </w:trPr>
        <w:tc>
          <w:tcPr>
            <w:tcW w:w="6804" w:type="dxa"/>
            <w:tcBorders>
              <w:left w:val="nil"/>
              <w:right w:val="nil"/>
            </w:tcBorders>
            <w:noWrap/>
          </w:tcPr>
          <w:p w:rsidRPr="00EA2A25" w:rsidR="006F5266" w:rsidP="00A87C3B" w:rsidRDefault="006F5266" w14:paraId="58D7B756" w14:textId="77777777">
            <w:pPr>
              <w:ind w:firstLine="200" w:firstLineChars="100"/>
              <w:rPr>
                <w:rFonts w:ascii="Arial" w:hAnsi="Arial" w:eastAsia="Times New Roman" w:cs="Arial"/>
                <w:sz w:val="20"/>
                <w:szCs w:val="20"/>
              </w:rPr>
            </w:pPr>
            <w:r w:rsidRPr="00EA2A25">
              <w:rPr>
                <w:rFonts w:ascii="Arial" w:hAnsi="Arial"/>
                <w:sz w:val="20"/>
              </w:rPr>
              <w:t>h. Indicateur d’actifs de niveau 3 (ancien indicateur)</w:t>
            </w:r>
          </w:p>
        </w:tc>
        <w:tc>
          <w:tcPr>
            <w:tcW w:w="2745" w:type="dxa"/>
            <w:tcBorders>
              <w:left w:val="nil"/>
              <w:right w:val="nil"/>
            </w:tcBorders>
            <w:noWrap/>
          </w:tcPr>
          <w:p w:rsidRPr="00EA2A25" w:rsidR="006F5266" w:rsidP="00A87C3B" w:rsidRDefault="006F5266" w14:paraId="66A147BD" w14:textId="77777777">
            <w:pPr>
              <w:jc w:val="right"/>
              <w:rPr>
                <w:rFonts w:ascii="Arial" w:hAnsi="Arial" w:eastAsia="Times New Roman" w:cs="Arial"/>
                <w:sz w:val="20"/>
                <w:szCs w:val="20"/>
                <w:lang w:eastAsia="en-GB"/>
              </w:rPr>
            </w:pPr>
          </w:p>
        </w:tc>
      </w:tr>
      <w:tr w:rsidRPr="00EA2A25" w:rsidR="006F5266" w:rsidTr="00A87C3B" w14:paraId="35F35EF7" w14:textId="77777777">
        <w:trPr>
          <w:trHeight w:val="300"/>
        </w:trPr>
        <w:tc>
          <w:tcPr>
            <w:tcW w:w="6804" w:type="dxa"/>
            <w:tcBorders>
              <w:left w:val="nil"/>
              <w:right w:val="nil"/>
            </w:tcBorders>
            <w:noWrap/>
          </w:tcPr>
          <w:p w:rsidRPr="00EA2A25" w:rsidR="006F5266" w:rsidP="00A87C3B" w:rsidRDefault="006F5266" w14:paraId="38F88983" w14:textId="77777777">
            <w:pPr>
              <w:ind w:firstLine="200" w:firstLineChars="100"/>
              <w:rPr>
                <w:rFonts w:ascii="Arial" w:hAnsi="Arial" w:eastAsia="Times New Roman" w:cs="Arial"/>
                <w:sz w:val="20"/>
                <w:szCs w:val="20"/>
              </w:rPr>
            </w:pPr>
            <w:r w:rsidRPr="00EA2A25">
              <w:rPr>
                <w:rFonts w:ascii="Arial" w:hAnsi="Arial"/>
                <w:sz w:val="20"/>
              </w:rPr>
              <w:t xml:space="preserve">i. Valeur trimestrielle moyenne des actifs de niveau 3 </w:t>
            </w:r>
          </w:p>
        </w:tc>
        <w:tc>
          <w:tcPr>
            <w:tcW w:w="2745" w:type="dxa"/>
            <w:tcBorders>
              <w:left w:val="nil"/>
              <w:right w:val="nil"/>
            </w:tcBorders>
            <w:noWrap/>
          </w:tcPr>
          <w:p w:rsidRPr="00EA2A25" w:rsidR="006F5266" w:rsidP="00A87C3B" w:rsidRDefault="006F5266" w14:paraId="31C03664" w14:textId="77777777">
            <w:pPr>
              <w:jc w:val="right"/>
              <w:rPr>
                <w:rFonts w:ascii="Arial" w:hAnsi="Arial" w:eastAsia="Times New Roman" w:cs="Arial"/>
                <w:sz w:val="20"/>
                <w:szCs w:val="20"/>
                <w:lang w:eastAsia="en-GB"/>
              </w:rPr>
            </w:pPr>
          </w:p>
        </w:tc>
      </w:tr>
      <w:tr w:rsidRPr="00EA2A25" w:rsidR="006F5266" w:rsidTr="00A87C3B" w14:paraId="34C46F0F" w14:textId="77777777">
        <w:trPr>
          <w:trHeight w:val="300"/>
        </w:trPr>
        <w:tc>
          <w:tcPr>
            <w:tcW w:w="6804" w:type="dxa"/>
            <w:tcBorders>
              <w:left w:val="nil"/>
              <w:right w:val="nil"/>
            </w:tcBorders>
            <w:noWrap/>
          </w:tcPr>
          <w:p w:rsidRPr="00EA2A25" w:rsidR="006F5266" w:rsidP="00A87C3B" w:rsidRDefault="006F5266" w14:paraId="548EEBE4" w14:textId="77777777">
            <w:pPr>
              <w:ind w:firstLine="200" w:firstLineChars="100"/>
              <w:rPr>
                <w:rFonts w:ascii="Arial" w:hAnsi="Arial" w:eastAsia="Times New Roman" w:cs="Arial"/>
                <w:sz w:val="20"/>
                <w:szCs w:val="20"/>
              </w:rPr>
            </w:pPr>
            <w:r w:rsidRPr="00EA2A25">
              <w:rPr>
                <w:rFonts w:ascii="Arial" w:hAnsi="Arial"/>
                <w:sz w:val="20"/>
              </w:rPr>
              <w:t xml:space="preserve">j. Valeur mensuelle moyenne des actifs de niveau 3  </w:t>
            </w:r>
          </w:p>
        </w:tc>
        <w:tc>
          <w:tcPr>
            <w:tcW w:w="2745" w:type="dxa"/>
            <w:tcBorders>
              <w:left w:val="nil"/>
              <w:right w:val="nil"/>
            </w:tcBorders>
            <w:noWrap/>
          </w:tcPr>
          <w:p w:rsidRPr="00EA2A25" w:rsidR="006F5266" w:rsidP="00A87C3B" w:rsidRDefault="006F5266" w14:paraId="09FC7295" w14:textId="77777777">
            <w:pPr>
              <w:jc w:val="right"/>
              <w:rPr>
                <w:rFonts w:ascii="Arial" w:hAnsi="Arial" w:eastAsia="Times New Roman" w:cs="Arial"/>
                <w:sz w:val="20"/>
                <w:szCs w:val="20"/>
                <w:lang w:eastAsia="en-GB"/>
              </w:rPr>
            </w:pPr>
          </w:p>
        </w:tc>
      </w:tr>
      <w:tr w:rsidRPr="00EA2A25" w:rsidR="006F5266" w:rsidTr="00A87C3B" w14:paraId="4D62E4CF" w14:textId="77777777">
        <w:trPr>
          <w:trHeight w:val="300"/>
        </w:trPr>
        <w:tc>
          <w:tcPr>
            <w:tcW w:w="6804" w:type="dxa"/>
            <w:tcBorders>
              <w:left w:val="nil"/>
              <w:right w:val="nil"/>
            </w:tcBorders>
            <w:noWrap/>
          </w:tcPr>
          <w:p w:rsidRPr="00EA2A25" w:rsidR="006F5266" w:rsidP="00A87C3B" w:rsidRDefault="006F5266" w14:paraId="6EE55D60" w14:textId="77777777">
            <w:pPr>
              <w:ind w:firstLine="200" w:firstLineChars="100"/>
              <w:rPr>
                <w:rFonts w:ascii="Arial" w:hAnsi="Arial" w:eastAsia="Times New Roman" w:cs="Arial"/>
                <w:sz w:val="20"/>
                <w:szCs w:val="20"/>
              </w:rPr>
            </w:pPr>
            <w:r w:rsidRPr="00EA2A25">
              <w:rPr>
                <w:rFonts w:ascii="Arial" w:hAnsi="Arial"/>
                <w:sz w:val="20"/>
              </w:rPr>
              <w:t>k. Actifs de niveau 2, y compris les filiales d’assurance</w:t>
            </w:r>
          </w:p>
        </w:tc>
        <w:tc>
          <w:tcPr>
            <w:tcW w:w="2745" w:type="dxa"/>
            <w:tcBorders>
              <w:left w:val="nil"/>
              <w:right w:val="nil"/>
            </w:tcBorders>
            <w:noWrap/>
          </w:tcPr>
          <w:p w:rsidRPr="00EA2A25" w:rsidR="006F5266" w:rsidP="00A87C3B" w:rsidRDefault="006F5266" w14:paraId="703C1E4A" w14:textId="77777777">
            <w:pPr>
              <w:jc w:val="right"/>
              <w:rPr>
                <w:rFonts w:ascii="Arial" w:hAnsi="Arial" w:eastAsia="Times New Roman" w:cs="Arial"/>
                <w:sz w:val="20"/>
                <w:szCs w:val="20"/>
                <w:lang w:eastAsia="en-GB"/>
              </w:rPr>
            </w:pPr>
          </w:p>
        </w:tc>
      </w:tr>
      <w:tr w:rsidRPr="00EA2A25" w:rsidR="006F5266" w:rsidTr="00A87C3B" w14:paraId="11A8453A" w14:textId="77777777">
        <w:trPr>
          <w:trHeight w:val="300"/>
        </w:trPr>
        <w:tc>
          <w:tcPr>
            <w:tcW w:w="6804" w:type="dxa"/>
            <w:tcBorders>
              <w:left w:val="nil"/>
              <w:right w:val="nil"/>
            </w:tcBorders>
            <w:noWrap/>
          </w:tcPr>
          <w:p w:rsidRPr="00EA2A25" w:rsidR="006F5266" w:rsidP="00A87C3B" w:rsidRDefault="006F5266" w14:paraId="65F0B0A3" w14:textId="77777777">
            <w:pPr>
              <w:ind w:left="454" w:hanging="141"/>
              <w:rPr>
                <w:rFonts w:ascii="Arial" w:hAnsi="Arial" w:eastAsia="Times New Roman" w:cs="Arial"/>
                <w:sz w:val="20"/>
                <w:szCs w:val="20"/>
              </w:rPr>
            </w:pPr>
            <w:r w:rsidRPr="00EA2A25">
              <w:rPr>
                <w:rFonts w:ascii="Arial" w:hAnsi="Arial"/>
                <w:sz w:val="20"/>
                <w:lang w:eastAsia="en-GB"/>
              </w:rPr>
              <w:t xml:space="preserve">(1) </w:t>
            </w:r>
            <w:r w:rsidRPr="00EA2A25">
              <w:rPr>
                <w:rFonts w:ascii="Arial" w:hAnsi="Arial"/>
                <w:sz w:val="20"/>
              </w:rPr>
              <w:t>Actifs de niveau 2, y compris les filiales d’assurance, compensés par une contrepartie centrale</w:t>
            </w:r>
          </w:p>
        </w:tc>
        <w:tc>
          <w:tcPr>
            <w:tcW w:w="2745" w:type="dxa"/>
            <w:tcBorders>
              <w:left w:val="nil"/>
              <w:right w:val="nil"/>
            </w:tcBorders>
            <w:noWrap/>
          </w:tcPr>
          <w:p w:rsidRPr="00EA2A25" w:rsidR="006F5266" w:rsidP="00A87C3B" w:rsidRDefault="006F5266" w14:paraId="5DB55C71" w14:textId="77777777">
            <w:pPr>
              <w:jc w:val="right"/>
              <w:rPr>
                <w:rFonts w:ascii="Arial" w:hAnsi="Arial" w:eastAsia="Times New Roman" w:cs="Arial"/>
                <w:sz w:val="20"/>
                <w:szCs w:val="20"/>
                <w:lang w:eastAsia="en-GB"/>
              </w:rPr>
            </w:pPr>
          </w:p>
        </w:tc>
      </w:tr>
      <w:tr w:rsidRPr="00EA2A25" w:rsidR="006F5266" w:rsidTr="00A87C3B" w14:paraId="2EB0B055" w14:textId="77777777">
        <w:trPr>
          <w:trHeight w:val="300"/>
        </w:trPr>
        <w:tc>
          <w:tcPr>
            <w:tcW w:w="6804" w:type="dxa"/>
            <w:tcBorders>
              <w:left w:val="nil"/>
              <w:right w:val="nil"/>
            </w:tcBorders>
            <w:noWrap/>
          </w:tcPr>
          <w:p w:rsidRPr="00EA2A25" w:rsidR="006F5266" w:rsidP="00A87C3B" w:rsidRDefault="006F5266" w14:paraId="7F74844E" w14:textId="77777777">
            <w:pPr>
              <w:ind w:left="454" w:hanging="141"/>
              <w:rPr>
                <w:rFonts w:ascii="Arial" w:hAnsi="Arial" w:eastAsia="Times New Roman" w:cs="Arial"/>
                <w:sz w:val="20"/>
                <w:szCs w:val="20"/>
              </w:rPr>
            </w:pPr>
            <w:r w:rsidRPr="00EA2A25">
              <w:rPr>
                <w:rFonts w:ascii="Arial" w:hAnsi="Arial"/>
                <w:sz w:val="20"/>
                <w:lang w:eastAsia="en-GB"/>
              </w:rPr>
              <w:t xml:space="preserve">(2) </w:t>
            </w:r>
            <w:r w:rsidRPr="00EA2A25">
              <w:rPr>
                <w:rFonts w:ascii="Arial" w:hAnsi="Arial"/>
                <w:sz w:val="20"/>
              </w:rPr>
              <w:t xml:space="preserve"> Actifs de niveau 2, y compris les filiales d’assurance, faisant l’objet d’un règlement bilatéral</w:t>
            </w:r>
          </w:p>
        </w:tc>
        <w:tc>
          <w:tcPr>
            <w:tcW w:w="2745" w:type="dxa"/>
            <w:tcBorders>
              <w:left w:val="nil"/>
              <w:right w:val="nil"/>
            </w:tcBorders>
            <w:noWrap/>
          </w:tcPr>
          <w:p w:rsidRPr="00EA2A25" w:rsidR="006F5266" w:rsidP="00A87C3B" w:rsidRDefault="006F5266" w14:paraId="3404940E" w14:textId="77777777">
            <w:pPr>
              <w:jc w:val="right"/>
              <w:rPr>
                <w:rFonts w:ascii="Arial" w:hAnsi="Arial" w:eastAsia="Times New Roman" w:cs="Arial"/>
                <w:sz w:val="20"/>
                <w:szCs w:val="20"/>
                <w:lang w:eastAsia="en-GB"/>
              </w:rPr>
            </w:pPr>
          </w:p>
        </w:tc>
      </w:tr>
      <w:tr w:rsidRPr="00EA2A25" w:rsidR="006F5266" w:rsidTr="00A87C3B" w14:paraId="0DA56464" w14:textId="77777777">
        <w:trPr>
          <w:trHeight w:val="300"/>
        </w:trPr>
        <w:tc>
          <w:tcPr>
            <w:tcW w:w="6804" w:type="dxa"/>
            <w:tcBorders>
              <w:left w:val="nil"/>
              <w:right w:val="nil"/>
            </w:tcBorders>
            <w:noWrap/>
          </w:tcPr>
          <w:p w:rsidRPr="00EA2A25" w:rsidR="006F5266" w:rsidP="00A87C3B" w:rsidRDefault="006F5266" w14:paraId="4B697F26" w14:textId="77777777">
            <w:pPr>
              <w:ind w:firstLine="313"/>
              <w:rPr>
                <w:rFonts w:ascii="Arial" w:hAnsi="Arial" w:eastAsia="Times New Roman" w:cs="Arial"/>
                <w:sz w:val="20"/>
                <w:szCs w:val="20"/>
              </w:rPr>
            </w:pPr>
            <w:r w:rsidRPr="00EA2A25">
              <w:rPr>
                <w:rFonts w:ascii="Arial" w:hAnsi="Arial"/>
                <w:sz w:val="20"/>
                <w:lang w:eastAsia="en-GB"/>
              </w:rPr>
              <w:t xml:space="preserve">(3) </w:t>
            </w:r>
            <w:r w:rsidRPr="00EA2A25">
              <w:rPr>
                <w:rFonts w:ascii="Arial" w:hAnsi="Arial"/>
                <w:sz w:val="20"/>
              </w:rPr>
              <w:t>Autres actifs de niveau 2, y compris les filiales d’assurance</w:t>
            </w:r>
          </w:p>
        </w:tc>
        <w:tc>
          <w:tcPr>
            <w:tcW w:w="2745" w:type="dxa"/>
            <w:tcBorders>
              <w:left w:val="nil"/>
              <w:right w:val="nil"/>
            </w:tcBorders>
            <w:noWrap/>
          </w:tcPr>
          <w:p w:rsidRPr="00EA2A25" w:rsidR="006F5266" w:rsidP="00A87C3B" w:rsidRDefault="006F5266" w14:paraId="293FBF94" w14:textId="77777777">
            <w:pPr>
              <w:jc w:val="right"/>
              <w:rPr>
                <w:rFonts w:ascii="Arial" w:hAnsi="Arial" w:eastAsia="Times New Roman" w:cs="Arial"/>
                <w:sz w:val="20"/>
                <w:szCs w:val="20"/>
                <w:lang w:eastAsia="en-GB"/>
              </w:rPr>
            </w:pPr>
          </w:p>
        </w:tc>
      </w:tr>
      <w:tr w:rsidRPr="00EA2A25" w:rsidR="006F5266" w:rsidTr="00A87C3B" w14:paraId="65B467CC" w14:textId="77777777">
        <w:trPr>
          <w:trHeight w:val="300"/>
        </w:trPr>
        <w:tc>
          <w:tcPr>
            <w:tcW w:w="6804" w:type="dxa"/>
            <w:tcBorders>
              <w:left w:val="nil"/>
              <w:bottom w:val="single" w:color="auto" w:sz="4" w:space="0"/>
              <w:right w:val="nil"/>
            </w:tcBorders>
            <w:noWrap/>
          </w:tcPr>
          <w:p w:rsidRPr="00EA2A25" w:rsidR="006F5266" w:rsidP="00A87C3B" w:rsidRDefault="006F5266" w14:paraId="1D08F8B8" w14:textId="77777777">
            <w:pPr>
              <w:ind w:firstLine="200" w:firstLineChars="100"/>
              <w:rPr>
                <w:rFonts w:ascii="Arial" w:hAnsi="Arial" w:eastAsia="Times New Roman" w:cs="Arial"/>
                <w:sz w:val="20"/>
                <w:szCs w:val="20"/>
              </w:rPr>
            </w:pPr>
            <w:r w:rsidRPr="00EA2A25">
              <w:rPr>
                <w:rFonts w:ascii="Arial" w:hAnsi="Arial"/>
                <w:sz w:val="20"/>
              </w:rPr>
              <w:t>l. Valeur moyenne des actifs de niveau 2, y compris les filiales d’assurance</w:t>
            </w:r>
          </w:p>
        </w:tc>
        <w:tc>
          <w:tcPr>
            <w:tcW w:w="2745" w:type="dxa"/>
            <w:tcBorders>
              <w:left w:val="nil"/>
              <w:bottom w:val="single" w:color="auto" w:sz="4" w:space="0"/>
              <w:right w:val="nil"/>
            </w:tcBorders>
            <w:noWrap/>
          </w:tcPr>
          <w:p w:rsidRPr="00EA2A25" w:rsidR="006F5266" w:rsidP="00A87C3B" w:rsidRDefault="006F5266" w14:paraId="7C3A5AA5" w14:textId="77777777">
            <w:pPr>
              <w:jc w:val="right"/>
              <w:rPr>
                <w:rFonts w:ascii="Arial" w:hAnsi="Arial" w:eastAsia="Times New Roman" w:cs="Arial"/>
                <w:sz w:val="20"/>
                <w:szCs w:val="20"/>
                <w:lang w:eastAsia="en-GB"/>
              </w:rPr>
            </w:pPr>
          </w:p>
        </w:tc>
      </w:tr>
      <w:tr w:rsidRPr="00EA2A25" w:rsidR="006F5266" w:rsidTr="00A87C3B" w14:paraId="54AB7E74" w14:textId="77777777">
        <w:trPr>
          <w:trHeight w:val="300"/>
        </w:trPr>
        <w:tc>
          <w:tcPr>
            <w:tcW w:w="6804" w:type="dxa"/>
            <w:tcBorders>
              <w:left w:val="nil"/>
              <w:bottom w:val="nil"/>
              <w:right w:val="nil"/>
            </w:tcBorders>
            <w:noWrap/>
          </w:tcPr>
          <w:p w:rsidRPr="00EA2A25" w:rsidR="006F5266" w:rsidP="00A87C3B" w:rsidRDefault="006F5266" w14:paraId="54FEE0B0" w14:textId="77777777">
            <w:pPr>
              <w:rPr>
                <w:rFonts w:ascii="Arial" w:hAnsi="Arial" w:eastAsia="Times New Roman" w:cs="Arial"/>
                <w:b/>
                <w:bCs/>
                <w:sz w:val="20"/>
                <w:szCs w:val="20"/>
                <w:lang w:eastAsia="en-GB"/>
              </w:rPr>
            </w:pPr>
          </w:p>
        </w:tc>
        <w:tc>
          <w:tcPr>
            <w:tcW w:w="2745" w:type="dxa"/>
            <w:tcBorders>
              <w:left w:val="nil"/>
              <w:bottom w:val="nil"/>
              <w:right w:val="nil"/>
            </w:tcBorders>
            <w:noWrap/>
          </w:tcPr>
          <w:p w:rsidRPr="00EA2A25" w:rsidR="006F5266" w:rsidP="00A87C3B" w:rsidRDefault="006F5266" w14:paraId="50FEA923" w14:textId="77777777">
            <w:pPr>
              <w:jc w:val="center"/>
              <w:rPr>
                <w:rFonts w:ascii="Arial" w:hAnsi="Arial" w:eastAsia="Times New Roman" w:cs="Arial"/>
                <w:b/>
                <w:bCs/>
                <w:sz w:val="20"/>
                <w:szCs w:val="20"/>
                <w:lang w:eastAsia="en-GB"/>
              </w:rPr>
            </w:pPr>
          </w:p>
        </w:tc>
      </w:tr>
      <w:tr w:rsidRPr="00EA2A25" w:rsidR="006F5266" w:rsidTr="00A87C3B" w14:paraId="433B61CF" w14:textId="77777777">
        <w:trPr>
          <w:trHeight w:val="300"/>
        </w:trPr>
        <w:tc>
          <w:tcPr>
            <w:tcW w:w="6804" w:type="dxa"/>
            <w:tcBorders>
              <w:top w:val="nil"/>
              <w:left w:val="nil"/>
              <w:right w:val="nil"/>
            </w:tcBorders>
            <w:noWrap/>
          </w:tcPr>
          <w:p w:rsidRPr="00EA2A25" w:rsidR="006F5266" w:rsidP="00A87C3B" w:rsidRDefault="006F5266" w14:paraId="521F00B5" w14:textId="77777777">
            <w:pPr>
              <w:rPr>
                <w:rFonts w:ascii="Arial" w:hAnsi="Arial" w:eastAsia="Times New Roman" w:cs="Arial"/>
                <w:sz w:val="20"/>
                <w:szCs w:val="20"/>
              </w:rPr>
            </w:pPr>
            <w:r w:rsidRPr="00EA2A25">
              <w:rPr>
                <w:rFonts w:ascii="Arial" w:hAnsi="Arial"/>
                <w:b/>
                <w:sz w:val="20"/>
              </w:rPr>
              <w:t>Section 21 — Éléments d’activité transfrontières</w:t>
            </w:r>
          </w:p>
        </w:tc>
        <w:tc>
          <w:tcPr>
            <w:tcW w:w="2745" w:type="dxa"/>
            <w:tcBorders>
              <w:top w:val="nil"/>
              <w:left w:val="nil"/>
              <w:right w:val="nil"/>
            </w:tcBorders>
            <w:noWrap/>
          </w:tcPr>
          <w:p w:rsidRPr="00EA2A25" w:rsidR="006F5266" w:rsidP="00A87C3B" w:rsidRDefault="006F5266" w14:paraId="0A6AEE0F" w14:textId="77777777">
            <w:pPr>
              <w:jc w:val="center"/>
              <w:rPr>
                <w:rFonts w:ascii="Arial" w:hAnsi="Arial" w:eastAsia="Times New Roman" w:cs="Arial"/>
                <w:b/>
                <w:bCs/>
                <w:sz w:val="20"/>
                <w:szCs w:val="20"/>
              </w:rPr>
            </w:pPr>
            <w:r w:rsidRPr="00EA2A25">
              <w:rPr>
                <w:rFonts w:ascii="Arial" w:hAnsi="Arial"/>
                <w:b/>
                <w:sz w:val="20"/>
              </w:rPr>
              <w:t>Montant</w:t>
            </w:r>
          </w:p>
        </w:tc>
      </w:tr>
      <w:tr w:rsidRPr="00EA2A25" w:rsidR="006F5266" w:rsidTr="00A87C3B" w14:paraId="6E54ACF7" w14:textId="77777777">
        <w:trPr>
          <w:trHeight w:val="300"/>
        </w:trPr>
        <w:tc>
          <w:tcPr>
            <w:tcW w:w="6804" w:type="dxa"/>
            <w:tcBorders>
              <w:left w:val="nil"/>
              <w:right w:val="nil"/>
            </w:tcBorders>
            <w:noWrap/>
          </w:tcPr>
          <w:p w:rsidRPr="00EA2A25" w:rsidR="006F5266" w:rsidP="00A87C3B" w:rsidRDefault="006F5266" w14:paraId="58240A0E" w14:textId="77777777">
            <w:pPr>
              <w:rPr>
                <w:rFonts w:ascii="Arial" w:hAnsi="Arial" w:eastAsia="Times New Roman" w:cs="Arial"/>
                <w:sz w:val="20"/>
                <w:szCs w:val="20"/>
              </w:rPr>
            </w:pPr>
            <w:r w:rsidRPr="00EA2A25">
              <w:rPr>
                <w:rFonts w:ascii="Arial" w:hAnsi="Arial"/>
                <w:sz w:val="20"/>
              </w:rPr>
              <w:t>a. Indicateur de passifs transfrontières (ancien indicateur)</w:t>
            </w:r>
          </w:p>
        </w:tc>
        <w:tc>
          <w:tcPr>
            <w:tcW w:w="2745" w:type="dxa"/>
            <w:tcBorders>
              <w:left w:val="nil"/>
              <w:right w:val="nil"/>
            </w:tcBorders>
            <w:noWrap/>
          </w:tcPr>
          <w:p w:rsidRPr="00EA2A25" w:rsidR="006F5266" w:rsidP="00A87C3B" w:rsidRDefault="006F5266" w14:paraId="79A29C57" w14:textId="77777777">
            <w:pPr>
              <w:jc w:val="right"/>
              <w:rPr>
                <w:rFonts w:ascii="Arial" w:hAnsi="Arial" w:eastAsia="Times New Roman" w:cs="Arial"/>
                <w:sz w:val="20"/>
                <w:szCs w:val="20"/>
                <w:lang w:eastAsia="en-GB"/>
              </w:rPr>
            </w:pPr>
          </w:p>
        </w:tc>
      </w:tr>
      <w:tr w:rsidRPr="00EA2A25" w:rsidR="006F5266" w:rsidTr="00A87C3B" w14:paraId="2297D27B" w14:textId="77777777">
        <w:trPr>
          <w:trHeight w:val="300"/>
        </w:trPr>
        <w:tc>
          <w:tcPr>
            <w:tcW w:w="6804" w:type="dxa"/>
            <w:tcBorders>
              <w:left w:val="nil"/>
              <w:right w:val="nil"/>
            </w:tcBorders>
            <w:noWrap/>
          </w:tcPr>
          <w:p w:rsidRPr="00EA2A25" w:rsidR="006F5266" w:rsidP="00A87C3B" w:rsidRDefault="006F5266" w14:paraId="417C6735" w14:textId="77777777">
            <w:pPr>
              <w:ind w:left="313"/>
              <w:rPr>
                <w:rFonts w:ascii="Arial" w:hAnsi="Arial" w:eastAsia="Times New Roman" w:cs="Arial"/>
                <w:sz w:val="20"/>
                <w:szCs w:val="20"/>
              </w:rPr>
            </w:pPr>
            <w:r w:rsidRPr="00EA2A25">
              <w:rPr>
                <w:rFonts w:ascii="Arial" w:hAnsi="Arial"/>
                <w:sz w:val="20"/>
                <w:lang w:eastAsia="en-GB"/>
              </w:rPr>
              <w:t xml:space="preserve">(1) </w:t>
            </w:r>
            <w:r w:rsidRPr="00EA2A25">
              <w:rPr>
                <w:rFonts w:ascii="Arial" w:hAnsi="Arial"/>
                <w:sz w:val="20"/>
              </w:rPr>
              <w:t>Passifs étrangers (à l’exclusion des dérivés et des passifs locaux en monnaie locale)</w:t>
            </w:r>
          </w:p>
        </w:tc>
        <w:tc>
          <w:tcPr>
            <w:tcW w:w="2745" w:type="dxa"/>
            <w:tcBorders>
              <w:left w:val="nil"/>
              <w:right w:val="nil"/>
            </w:tcBorders>
            <w:noWrap/>
          </w:tcPr>
          <w:p w:rsidRPr="00EA2A25" w:rsidR="006F5266" w:rsidP="00A87C3B" w:rsidRDefault="006F5266" w14:paraId="5C90303F" w14:textId="77777777">
            <w:pPr>
              <w:jc w:val="right"/>
              <w:rPr>
                <w:rFonts w:ascii="Arial" w:hAnsi="Arial" w:eastAsia="Times New Roman" w:cs="Arial"/>
                <w:sz w:val="20"/>
                <w:szCs w:val="20"/>
                <w:lang w:eastAsia="en-GB"/>
              </w:rPr>
            </w:pPr>
          </w:p>
        </w:tc>
      </w:tr>
      <w:tr w:rsidRPr="00EA2A25" w:rsidR="006F5266" w:rsidTr="00A87C3B" w14:paraId="41D28183" w14:textId="77777777">
        <w:trPr>
          <w:trHeight w:val="300"/>
        </w:trPr>
        <w:tc>
          <w:tcPr>
            <w:tcW w:w="6804" w:type="dxa"/>
            <w:tcBorders>
              <w:left w:val="nil"/>
              <w:right w:val="nil"/>
            </w:tcBorders>
            <w:noWrap/>
          </w:tcPr>
          <w:p w:rsidRPr="00EA2A25" w:rsidR="006F5266" w:rsidP="00A87C3B" w:rsidRDefault="006F5266" w14:paraId="35727A3F" w14:textId="77777777">
            <w:pPr>
              <w:ind w:left="-2" w:leftChars="-1" w:firstLine="312" w:firstLineChars="156"/>
              <w:rPr>
                <w:rFonts w:ascii="Arial" w:hAnsi="Arial" w:eastAsia="Times New Roman" w:cs="Arial"/>
                <w:sz w:val="20"/>
                <w:szCs w:val="20"/>
              </w:rPr>
            </w:pPr>
            <w:r w:rsidRPr="00EA2A25">
              <w:rPr>
                <w:rFonts w:ascii="Arial" w:hAnsi="Arial"/>
                <w:sz w:val="20"/>
                <w:lang w:eastAsia="en-GB"/>
              </w:rPr>
              <w:t xml:space="preserve">(2) </w:t>
            </w:r>
            <w:r w:rsidRPr="00EA2A25">
              <w:rPr>
                <w:rFonts w:ascii="Arial" w:hAnsi="Arial"/>
                <w:sz w:val="20"/>
              </w:rPr>
              <w:t>Passifs étrangers envers les bureaux liés inclus dans l’élément 21.a.(1)</w:t>
            </w:r>
          </w:p>
        </w:tc>
        <w:tc>
          <w:tcPr>
            <w:tcW w:w="2745" w:type="dxa"/>
            <w:tcBorders>
              <w:left w:val="nil"/>
              <w:right w:val="nil"/>
            </w:tcBorders>
            <w:noWrap/>
          </w:tcPr>
          <w:p w:rsidRPr="00EA2A25" w:rsidR="006F5266" w:rsidP="00A87C3B" w:rsidRDefault="006F5266" w14:paraId="03C89A42" w14:textId="77777777">
            <w:pPr>
              <w:jc w:val="right"/>
              <w:rPr>
                <w:rFonts w:ascii="Arial" w:hAnsi="Arial" w:eastAsia="Times New Roman" w:cs="Arial"/>
                <w:sz w:val="20"/>
                <w:szCs w:val="20"/>
                <w:lang w:eastAsia="en-GB"/>
              </w:rPr>
            </w:pPr>
          </w:p>
        </w:tc>
      </w:tr>
      <w:tr w:rsidRPr="00EA2A25" w:rsidR="006F5266" w:rsidTr="00A87C3B" w14:paraId="77AF555F" w14:textId="77777777">
        <w:trPr>
          <w:trHeight w:val="300"/>
        </w:trPr>
        <w:tc>
          <w:tcPr>
            <w:tcW w:w="6804" w:type="dxa"/>
            <w:tcBorders>
              <w:left w:val="nil"/>
              <w:right w:val="nil"/>
            </w:tcBorders>
            <w:noWrap/>
          </w:tcPr>
          <w:p w:rsidRPr="00EA2A25" w:rsidR="006F5266" w:rsidP="00A87C3B" w:rsidRDefault="006F5266" w14:paraId="43BF4685" w14:textId="77777777">
            <w:pPr>
              <w:ind w:left="-2" w:leftChars="-1" w:firstLine="312" w:firstLineChars="156"/>
              <w:rPr>
                <w:rFonts w:ascii="Arial" w:hAnsi="Arial" w:eastAsia="Times New Roman" w:cs="Arial"/>
                <w:sz w:val="20"/>
                <w:szCs w:val="20"/>
              </w:rPr>
            </w:pPr>
            <w:r w:rsidRPr="00EA2A25">
              <w:rPr>
                <w:rFonts w:ascii="Arial" w:hAnsi="Arial"/>
                <w:sz w:val="20"/>
                <w:lang w:eastAsia="en-GB"/>
              </w:rPr>
              <w:t xml:space="preserve">(3) </w:t>
            </w:r>
            <w:r w:rsidRPr="00EA2A25">
              <w:rPr>
                <w:rFonts w:ascii="Arial" w:hAnsi="Arial"/>
                <w:sz w:val="20"/>
              </w:rPr>
              <w:t>Passifs locaux en monnaie locale (hors activité relative aux dérivés)</w:t>
            </w:r>
          </w:p>
        </w:tc>
        <w:tc>
          <w:tcPr>
            <w:tcW w:w="2745" w:type="dxa"/>
            <w:tcBorders>
              <w:left w:val="nil"/>
              <w:right w:val="nil"/>
            </w:tcBorders>
            <w:noWrap/>
          </w:tcPr>
          <w:p w:rsidRPr="00EA2A25" w:rsidR="006F5266" w:rsidP="00A87C3B" w:rsidRDefault="006F5266" w14:paraId="1C01448B" w14:textId="77777777">
            <w:pPr>
              <w:jc w:val="right"/>
              <w:rPr>
                <w:rFonts w:ascii="Arial" w:hAnsi="Arial" w:eastAsia="Times New Roman" w:cs="Arial"/>
                <w:sz w:val="20"/>
                <w:szCs w:val="20"/>
                <w:lang w:eastAsia="en-GB"/>
              </w:rPr>
            </w:pPr>
          </w:p>
        </w:tc>
      </w:tr>
      <w:tr w:rsidRPr="00EA2A25" w:rsidR="006F5266" w:rsidTr="00A87C3B" w14:paraId="0BC00413" w14:textId="77777777">
        <w:trPr>
          <w:trHeight w:val="300"/>
        </w:trPr>
        <w:tc>
          <w:tcPr>
            <w:tcW w:w="6804" w:type="dxa"/>
            <w:tcBorders>
              <w:left w:val="nil"/>
              <w:right w:val="nil"/>
            </w:tcBorders>
            <w:noWrap/>
          </w:tcPr>
          <w:p w:rsidRPr="00EA2A25" w:rsidR="006F5266" w:rsidP="00A87C3B" w:rsidRDefault="006F5266" w14:paraId="1C6B054A" w14:textId="77777777">
            <w:pPr>
              <w:ind w:firstLine="200" w:firstLineChars="100"/>
              <w:rPr>
                <w:rFonts w:ascii="Arial" w:hAnsi="Arial" w:eastAsia="Times New Roman" w:cs="Arial"/>
                <w:sz w:val="20"/>
                <w:szCs w:val="20"/>
              </w:rPr>
            </w:pPr>
            <w:r w:rsidRPr="00EA2A25">
              <w:rPr>
                <w:rFonts w:ascii="Arial" w:hAnsi="Arial"/>
                <w:sz w:val="20"/>
              </w:rPr>
              <w:t>b. Passifs locaux en monnaie locale (y compris activité relative aux dérivés)</w:t>
            </w:r>
          </w:p>
        </w:tc>
        <w:tc>
          <w:tcPr>
            <w:tcW w:w="2745" w:type="dxa"/>
            <w:tcBorders>
              <w:left w:val="nil"/>
              <w:right w:val="nil"/>
            </w:tcBorders>
            <w:noWrap/>
          </w:tcPr>
          <w:p w:rsidRPr="00EA2A25" w:rsidR="006F5266" w:rsidP="00A87C3B" w:rsidRDefault="006F5266" w14:paraId="50B6B163" w14:textId="77777777">
            <w:pPr>
              <w:jc w:val="right"/>
              <w:rPr>
                <w:rFonts w:ascii="Arial" w:hAnsi="Arial" w:eastAsia="Times New Roman" w:cs="Arial"/>
                <w:sz w:val="20"/>
                <w:szCs w:val="20"/>
                <w:lang w:eastAsia="en-GB"/>
              </w:rPr>
            </w:pPr>
          </w:p>
        </w:tc>
      </w:tr>
      <w:tr w:rsidRPr="00EA2A25" w:rsidR="006F5266" w:rsidTr="00A87C3B" w14:paraId="54227F4A" w14:textId="77777777">
        <w:trPr>
          <w:trHeight w:val="300"/>
        </w:trPr>
        <w:tc>
          <w:tcPr>
            <w:tcW w:w="6804" w:type="dxa"/>
            <w:tcBorders>
              <w:left w:val="nil"/>
              <w:right w:val="nil"/>
            </w:tcBorders>
            <w:noWrap/>
          </w:tcPr>
          <w:p w:rsidRPr="00EA2A25" w:rsidR="006F5266" w:rsidP="00A87C3B" w:rsidRDefault="006F5266" w14:paraId="60690FF6" w14:textId="77777777">
            <w:pPr>
              <w:ind w:left="171" w:firstLine="28" w:firstLineChars="14"/>
              <w:rPr>
                <w:rFonts w:ascii="Arial" w:hAnsi="Arial" w:eastAsia="Times New Roman" w:cs="Arial"/>
                <w:sz w:val="20"/>
                <w:szCs w:val="20"/>
              </w:rPr>
            </w:pPr>
            <w:r w:rsidRPr="00EA2A25">
              <w:rPr>
                <w:rFonts w:ascii="Arial" w:hAnsi="Arial"/>
                <w:sz w:val="20"/>
              </w:rPr>
              <w:t>d. Créances transfrontières locales en monnaie locale (hors activité relative aux dérivés)</w:t>
            </w:r>
          </w:p>
        </w:tc>
        <w:tc>
          <w:tcPr>
            <w:tcW w:w="2745" w:type="dxa"/>
            <w:tcBorders>
              <w:left w:val="nil"/>
              <w:right w:val="nil"/>
            </w:tcBorders>
            <w:noWrap/>
          </w:tcPr>
          <w:p w:rsidRPr="00EA2A25" w:rsidR="006F5266" w:rsidP="00A87C3B" w:rsidRDefault="006F5266" w14:paraId="39964003" w14:textId="77777777">
            <w:pPr>
              <w:jc w:val="right"/>
              <w:rPr>
                <w:rFonts w:ascii="Arial" w:hAnsi="Arial" w:eastAsia="Times New Roman" w:cs="Arial"/>
                <w:sz w:val="20"/>
                <w:szCs w:val="20"/>
                <w:lang w:eastAsia="en-GB"/>
              </w:rPr>
            </w:pPr>
          </w:p>
        </w:tc>
      </w:tr>
      <w:tr w:rsidRPr="00EA2A25" w:rsidR="006F5266" w:rsidTr="00A87C3B" w14:paraId="70DCE758" w14:textId="77777777">
        <w:trPr>
          <w:trHeight w:val="300"/>
        </w:trPr>
        <w:tc>
          <w:tcPr>
            <w:tcW w:w="6804" w:type="dxa"/>
            <w:tcBorders>
              <w:left w:val="nil"/>
              <w:right w:val="nil"/>
            </w:tcBorders>
            <w:noWrap/>
          </w:tcPr>
          <w:p w:rsidRPr="00EA2A25" w:rsidR="006F5266" w:rsidP="00A87C3B" w:rsidRDefault="006F5266" w14:paraId="4A7A2FAB" w14:textId="77777777">
            <w:pPr>
              <w:ind w:left="171" w:firstLine="28" w:firstLineChars="14"/>
              <w:rPr>
                <w:rFonts w:ascii="Arial" w:hAnsi="Arial" w:eastAsia="Times New Roman" w:cs="Arial"/>
                <w:sz w:val="20"/>
                <w:szCs w:val="20"/>
              </w:rPr>
            </w:pPr>
            <w:r w:rsidRPr="00EA2A25">
              <w:rPr>
                <w:rFonts w:ascii="Arial" w:hAnsi="Arial"/>
                <w:sz w:val="20"/>
              </w:rPr>
              <w:t>d. Créances transfrontières locales en monnaie locale (y compris activité relative aux dérivés)</w:t>
            </w:r>
          </w:p>
        </w:tc>
        <w:tc>
          <w:tcPr>
            <w:tcW w:w="2745" w:type="dxa"/>
            <w:tcBorders>
              <w:left w:val="nil"/>
              <w:right w:val="nil"/>
            </w:tcBorders>
            <w:noWrap/>
          </w:tcPr>
          <w:p w:rsidRPr="00EA2A25" w:rsidR="006F5266" w:rsidP="00A87C3B" w:rsidRDefault="006F5266" w14:paraId="4C83A1A4" w14:textId="77777777">
            <w:pPr>
              <w:jc w:val="right"/>
              <w:rPr>
                <w:rFonts w:ascii="Arial" w:hAnsi="Arial" w:eastAsia="Times New Roman" w:cs="Arial"/>
                <w:sz w:val="20"/>
                <w:szCs w:val="20"/>
                <w:lang w:eastAsia="en-GB"/>
              </w:rPr>
            </w:pPr>
          </w:p>
        </w:tc>
      </w:tr>
      <w:tr w:rsidRPr="00EA2A25" w:rsidR="006F5266" w:rsidTr="00A87C3B" w14:paraId="549C6F3F" w14:textId="77777777">
        <w:trPr>
          <w:trHeight w:val="300"/>
        </w:trPr>
        <w:tc>
          <w:tcPr>
            <w:tcW w:w="6804" w:type="dxa"/>
            <w:tcBorders>
              <w:left w:val="nil"/>
              <w:right w:val="nil"/>
            </w:tcBorders>
            <w:noWrap/>
          </w:tcPr>
          <w:p w:rsidRPr="00EA2A25" w:rsidR="006F5266" w:rsidP="00A87C3B" w:rsidRDefault="006F5266" w14:paraId="65A401D8" w14:textId="77777777">
            <w:pPr>
              <w:ind w:left="171" w:firstLine="28" w:firstLineChars="14"/>
              <w:rPr>
                <w:rFonts w:ascii="Arial" w:hAnsi="Arial" w:eastAsia="Times New Roman" w:cs="Arial"/>
                <w:sz w:val="20"/>
                <w:szCs w:val="20"/>
              </w:rPr>
            </w:pPr>
            <w:r w:rsidRPr="00EA2A25">
              <w:rPr>
                <w:rFonts w:ascii="Arial" w:hAnsi="Arial"/>
                <w:sz w:val="20"/>
              </w:rPr>
              <w:t>e. Total des créances étrangères sur la base du risque ultime (en considérant le MRU comme une juridiction unique)</w:t>
            </w:r>
          </w:p>
        </w:tc>
        <w:tc>
          <w:tcPr>
            <w:tcW w:w="2745" w:type="dxa"/>
            <w:tcBorders>
              <w:left w:val="nil"/>
              <w:right w:val="nil"/>
            </w:tcBorders>
            <w:noWrap/>
          </w:tcPr>
          <w:p w:rsidRPr="00EA2A25" w:rsidR="006F5266" w:rsidP="00A87C3B" w:rsidRDefault="006F5266" w14:paraId="5FE7A471" w14:textId="77777777">
            <w:pPr>
              <w:jc w:val="right"/>
              <w:rPr>
                <w:rFonts w:ascii="Arial" w:hAnsi="Arial" w:eastAsia="Times New Roman" w:cs="Arial"/>
                <w:sz w:val="20"/>
                <w:szCs w:val="20"/>
                <w:lang w:eastAsia="en-GB"/>
              </w:rPr>
            </w:pPr>
          </w:p>
        </w:tc>
      </w:tr>
      <w:tr w:rsidRPr="00EA2A25" w:rsidR="006F5266" w:rsidTr="00A87C3B" w14:paraId="0DC1EDBC" w14:textId="77777777">
        <w:trPr>
          <w:trHeight w:val="300"/>
        </w:trPr>
        <w:tc>
          <w:tcPr>
            <w:tcW w:w="6804" w:type="dxa"/>
            <w:tcBorders>
              <w:left w:val="nil"/>
              <w:right w:val="nil"/>
            </w:tcBorders>
            <w:noWrap/>
          </w:tcPr>
          <w:p w:rsidRPr="00EA2A25" w:rsidR="006F5266" w:rsidP="00A87C3B" w:rsidRDefault="006F5266" w14:paraId="1064A8D1" w14:textId="77777777">
            <w:pPr>
              <w:ind w:left="171" w:firstLine="28" w:firstLineChars="14"/>
              <w:rPr>
                <w:rFonts w:ascii="Arial" w:hAnsi="Arial" w:eastAsia="Times New Roman" w:cs="Arial"/>
                <w:sz w:val="20"/>
                <w:szCs w:val="20"/>
              </w:rPr>
            </w:pPr>
            <w:r w:rsidRPr="00EA2A25">
              <w:rPr>
                <w:rFonts w:ascii="Arial" w:hAnsi="Arial"/>
                <w:sz w:val="20"/>
              </w:rPr>
              <w:t>f. Créances étrangères sur des produits dérivés sur la base du risque ultime (en considérant le MRU comme une juridiction unique)</w:t>
            </w:r>
          </w:p>
        </w:tc>
        <w:tc>
          <w:tcPr>
            <w:tcW w:w="2745" w:type="dxa"/>
            <w:tcBorders>
              <w:left w:val="nil"/>
              <w:right w:val="nil"/>
            </w:tcBorders>
            <w:noWrap/>
          </w:tcPr>
          <w:p w:rsidRPr="00EA2A25" w:rsidR="006F5266" w:rsidP="00A87C3B" w:rsidRDefault="006F5266" w14:paraId="00AD271B" w14:textId="77777777">
            <w:pPr>
              <w:jc w:val="right"/>
              <w:rPr>
                <w:rFonts w:ascii="Arial" w:hAnsi="Arial" w:eastAsia="Times New Roman" w:cs="Arial"/>
                <w:sz w:val="20"/>
                <w:szCs w:val="20"/>
                <w:lang w:eastAsia="en-GB"/>
              </w:rPr>
            </w:pPr>
          </w:p>
        </w:tc>
      </w:tr>
      <w:tr w:rsidRPr="00EA2A25" w:rsidR="006F5266" w:rsidTr="00A87C3B" w14:paraId="399A7C8A" w14:textId="77777777">
        <w:trPr>
          <w:trHeight w:val="300"/>
        </w:trPr>
        <w:tc>
          <w:tcPr>
            <w:tcW w:w="6804" w:type="dxa"/>
            <w:tcBorders>
              <w:left w:val="nil"/>
              <w:right w:val="nil"/>
            </w:tcBorders>
            <w:noWrap/>
          </w:tcPr>
          <w:p w:rsidRPr="00EA2A25" w:rsidR="006F5266" w:rsidP="00A87C3B" w:rsidRDefault="006F5266" w14:paraId="63C9FE3E" w14:textId="77777777">
            <w:pPr>
              <w:ind w:left="171" w:firstLine="28" w:firstLineChars="14"/>
              <w:rPr>
                <w:rFonts w:ascii="Arial" w:hAnsi="Arial" w:eastAsia="Times New Roman" w:cs="Arial"/>
                <w:sz w:val="20"/>
                <w:szCs w:val="20"/>
              </w:rPr>
            </w:pPr>
            <w:r w:rsidRPr="00EA2A25">
              <w:rPr>
                <w:rFonts w:ascii="Arial" w:hAnsi="Arial"/>
                <w:sz w:val="20"/>
              </w:rPr>
              <w:t>g. Engagements étrangers sur la base du risque immédiat, y compris les produits dérivés (en considérant le MRU comme une juridiction unique)</w:t>
            </w:r>
          </w:p>
        </w:tc>
        <w:tc>
          <w:tcPr>
            <w:tcW w:w="2745" w:type="dxa"/>
            <w:tcBorders>
              <w:left w:val="nil"/>
              <w:right w:val="nil"/>
            </w:tcBorders>
            <w:noWrap/>
          </w:tcPr>
          <w:p w:rsidRPr="00EA2A25" w:rsidR="006F5266" w:rsidP="00A87C3B" w:rsidRDefault="006F5266" w14:paraId="572B77A9" w14:textId="77777777">
            <w:pPr>
              <w:jc w:val="right"/>
              <w:rPr>
                <w:rFonts w:ascii="Arial" w:hAnsi="Arial" w:eastAsia="Times New Roman" w:cs="Arial"/>
                <w:sz w:val="20"/>
                <w:szCs w:val="20"/>
                <w:lang w:eastAsia="en-GB"/>
              </w:rPr>
            </w:pPr>
          </w:p>
        </w:tc>
      </w:tr>
      <w:tr w:rsidRPr="00EA2A25" w:rsidR="006F5266" w:rsidTr="00A87C3B" w14:paraId="4EDD0BB9" w14:textId="77777777">
        <w:trPr>
          <w:trHeight w:val="300"/>
        </w:trPr>
        <w:tc>
          <w:tcPr>
            <w:tcW w:w="6804" w:type="dxa"/>
            <w:tcBorders>
              <w:left w:val="nil"/>
              <w:right w:val="nil"/>
            </w:tcBorders>
            <w:noWrap/>
          </w:tcPr>
          <w:p w:rsidRPr="00EA2A25" w:rsidR="006F5266" w:rsidP="00A87C3B" w:rsidRDefault="006F5266" w14:paraId="76A8946B" w14:textId="77777777">
            <w:pPr>
              <w:ind w:left="171" w:firstLine="28" w:firstLineChars="14"/>
              <w:rPr>
                <w:rFonts w:ascii="Arial" w:hAnsi="Arial" w:eastAsia="Times New Roman" w:cs="Arial"/>
                <w:sz w:val="20"/>
                <w:szCs w:val="20"/>
              </w:rPr>
            </w:pPr>
            <w:r w:rsidRPr="00EA2A25">
              <w:rPr>
                <w:rFonts w:ascii="Arial" w:hAnsi="Arial"/>
                <w:sz w:val="20"/>
                <w:lang w:eastAsia="en-GB"/>
              </w:rPr>
              <w:t xml:space="preserve">(1) </w:t>
            </w:r>
            <w:r w:rsidRPr="00EA2A25">
              <w:rPr>
                <w:rFonts w:ascii="Arial" w:hAnsi="Arial"/>
                <w:sz w:val="20"/>
              </w:rPr>
              <w:t>Passifs étrangers sur dérivés sur la base du risque immédiat (en considérant le MRU comme une juridiction unique)</w:t>
            </w:r>
          </w:p>
        </w:tc>
        <w:tc>
          <w:tcPr>
            <w:tcW w:w="2745" w:type="dxa"/>
            <w:tcBorders>
              <w:left w:val="nil"/>
              <w:right w:val="nil"/>
            </w:tcBorders>
            <w:noWrap/>
          </w:tcPr>
          <w:p w:rsidRPr="00EA2A25" w:rsidR="006F5266" w:rsidP="00A87C3B" w:rsidRDefault="006F5266" w14:paraId="3C52C85A" w14:textId="77777777">
            <w:pPr>
              <w:jc w:val="right"/>
              <w:rPr>
                <w:rFonts w:ascii="Arial" w:hAnsi="Arial" w:eastAsia="Times New Roman" w:cs="Arial"/>
                <w:sz w:val="20"/>
                <w:szCs w:val="20"/>
                <w:lang w:eastAsia="en-GB"/>
              </w:rPr>
            </w:pPr>
          </w:p>
        </w:tc>
      </w:tr>
      <w:tr w:rsidRPr="00EA2A25" w:rsidR="006F5266" w:rsidTr="00A87C3B" w14:paraId="02BB5FF8" w14:textId="77777777">
        <w:trPr>
          <w:trHeight w:val="300"/>
        </w:trPr>
        <w:tc>
          <w:tcPr>
            <w:tcW w:w="6804" w:type="dxa"/>
            <w:tcBorders>
              <w:left w:val="nil"/>
              <w:right w:val="nil"/>
            </w:tcBorders>
            <w:noWrap/>
          </w:tcPr>
          <w:p w:rsidRPr="00EA2A25" w:rsidR="006F5266" w:rsidP="00A87C3B" w:rsidRDefault="006F5266" w14:paraId="111788AF" w14:textId="77777777">
            <w:pPr>
              <w:ind w:firstLine="200" w:firstLineChars="100"/>
              <w:rPr>
                <w:rFonts w:ascii="Arial" w:hAnsi="Arial" w:eastAsia="Times New Roman" w:cs="Arial"/>
                <w:sz w:val="20"/>
                <w:szCs w:val="20"/>
              </w:rPr>
            </w:pPr>
            <w:r w:rsidRPr="00EA2A25">
              <w:rPr>
                <w:rFonts w:ascii="Arial" w:hAnsi="Arial"/>
                <w:sz w:val="20"/>
              </w:rPr>
              <w:t>h. Créances locales transfrontières en monnaie locale, hors activité liée aux produits dérivés (en considérant le MRU comme une juridiction unique)</w:t>
            </w:r>
          </w:p>
        </w:tc>
        <w:tc>
          <w:tcPr>
            <w:tcW w:w="2745" w:type="dxa"/>
            <w:tcBorders>
              <w:left w:val="nil"/>
              <w:right w:val="nil"/>
            </w:tcBorders>
            <w:noWrap/>
          </w:tcPr>
          <w:p w:rsidRPr="00EA2A25" w:rsidR="006F5266" w:rsidP="00A87C3B" w:rsidRDefault="006F5266" w14:paraId="4EE35832" w14:textId="77777777">
            <w:pPr>
              <w:jc w:val="right"/>
              <w:rPr>
                <w:rFonts w:ascii="Arial" w:hAnsi="Arial" w:eastAsia="Times New Roman" w:cs="Arial"/>
                <w:sz w:val="20"/>
                <w:szCs w:val="20"/>
                <w:lang w:eastAsia="en-GB"/>
              </w:rPr>
            </w:pPr>
          </w:p>
        </w:tc>
      </w:tr>
      <w:tr w:rsidRPr="00EA2A25" w:rsidR="006F5266" w:rsidTr="00A87C3B" w14:paraId="75A865CF" w14:textId="77777777">
        <w:trPr>
          <w:trHeight w:val="300"/>
        </w:trPr>
        <w:tc>
          <w:tcPr>
            <w:tcW w:w="6804" w:type="dxa"/>
            <w:tcBorders>
              <w:left w:val="nil"/>
              <w:right w:val="nil"/>
            </w:tcBorders>
            <w:noWrap/>
          </w:tcPr>
          <w:p w:rsidRPr="00EA2A25" w:rsidR="006F5266" w:rsidP="00A87C3B" w:rsidRDefault="006F5266" w14:paraId="695D4C7D" w14:textId="77777777">
            <w:pPr>
              <w:ind w:left="171" w:firstLine="28" w:firstLineChars="14"/>
              <w:rPr>
                <w:rFonts w:ascii="Arial" w:hAnsi="Arial" w:eastAsia="Times New Roman" w:cs="Arial"/>
                <w:sz w:val="20"/>
                <w:szCs w:val="20"/>
              </w:rPr>
            </w:pPr>
            <w:r w:rsidRPr="00EA2A25">
              <w:rPr>
                <w:rFonts w:ascii="Arial" w:hAnsi="Arial"/>
                <w:sz w:val="20"/>
              </w:rPr>
              <w:t>I. Créances locales transfrontières en monnaie locale, y compris activité liée aux produits dérivés (en considérant le MRU comme une juridiction unique)</w:t>
            </w:r>
          </w:p>
        </w:tc>
        <w:tc>
          <w:tcPr>
            <w:tcW w:w="2745" w:type="dxa"/>
            <w:tcBorders>
              <w:left w:val="nil"/>
              <w:right w:val="nil"/>
            </w:tcBorders>
            <w:noWrap/>
          </w:tcPr>
          <w:p w:rsidRPr="00EA2A25" w:rsidR="006F5266" w:rsidP="00A87C3B" w:rsidRDefault="006F5266" w14:paraId="3B4C3560" w14:textId="77777777">
            <w:pPr>
              <w:jc w:val="right"/>
              <w:rPr>
                <w:rFonts w:ascii="Arial" w:hAnsi="Arial" w:eastAsia="Times New Roman" w:cs="Arial"/>
                <w:sz w:val="20"/>
                <w:szCs w:val="20"/>
                <w:lang w:eastAsia="en-GB"/>
              </w:rPr>
            </w:pPr>
          </w:p>
        </w:tc>
      </w:tr>
      <w:tr w:rsidRPr="00EA2A25" w:rsidR="006F5266" w:rsidTr="00A87C3B" w14:paraId="5A6E975C" w14:textId="77777777">
        <w:trPr>
          <w:trHeight w:val="300"/>
        </w:trPr>
        <w:tc>
          <w:tcPr>
            <w:tcW w:w="6804" w:type="dxa"/>
            <w:tcBorders>
              <w:left w:val="nil"/>
              <w:right w:val="nil"/>
            </w:tcBorders>
            <w:noWrap/>
          </w:tcPr>
          <w:p w:rsidRPr="00EA2A25" w:rsidR="006F5266" w:rsidP="00A87C3B" w:rsidRDefault="006F5266" w14:paraId="5856B068" w14:textId="77777777">
            <w:pPr>
              <w:ind w:left="171" w:firstLine="28" w:firstLineChars="14"/>
              <w:rPr>
                <w:rFonts w:ascii="Arial" w:hAnsi="Arial" w:eastAsia="Times New Roman" w:cs="Arial"/>
                <w:sz w:val="20"/>
                <w:szCs w:val="20"/>
              </w:rPr>
            </w:pPr>
            <w:r w:rsidRPr="00EA2A25">
              <w:rPr>
                <w:rFonts w:ascii="Arial" w:hAnsi="Arial"/>
                <w:sz w:val="20"/>
              </w:rPr>
              <w:t>j. Passifs étrangers, hors produits dérivés et passifs locaux en monnaie locale (en considérant le MRU comme une juridiction unique)</w:t>
            </w:r>
          </w:p>
        </w:tc>
        <w:tc>
          <w:tcPr>
            <w:tcW w:w="2745" w:type="dxa"/>
            <w:tcBorders>
              <w:left w:val="nil"/>
              <w:right w:val="nil"/>
            </w:tcBorders>
            <w:noWrap/>
          </w:tcPr>
          <w:p w:rsidRPr="00EA2A25" w:rsidR="006F5266" w:rsidP="00A87C3B" w:rsidRDefault="006F5266" w14:paraId="10BA6984" w14:textId="77777777">
            <w:pPr>
              <w:jc w:val="right"/>
              <w:rPr>
                <w:rFonts w:ascii="Arial" w:hAnsi="Arial" w:eastAsia="Times New Roman" w:cs="Arial"/>
                <w:sz w:val="20"/>
                <w:szCs w:val="20"/>
                <w:lang w:eastAsia="en-GB"/>
              </w:rPr>
            </w:pPr>
          </w:p>
        </w:tc>
      </w:tr>
      <w:tr w:rsidRPr="00EA2A25" w:rsidR="006F5266" w:rsidTr="00A87C3B" w14:paraId="5B446536" w14:textId="77777777">
        <w:trPr>
          <w:trHeight w:val="300"/>
        </w:trPr>
        <w:tc>
          <w:tcPr>
            <w:tcW w:w="6804" w:type="dxa"/>
            <w:tcBorders>
              <w:left w:val="nil"/>
              <w:right w:val="nil"/>
            </w:tcBorders>
            <w:noWrap/>
          </w:tcPr>
          <w:p w:rsidRPr="00EA2A25" w:rsidR="006F5266" w:rsidP="00A87C3B" w:rsidRDefault="006F5266" w14:paraId="5FB19D48" w14:textId="77777777">
            <w:pPr>
              <w:ind w:left="171" w:firstLine="28" w:firstLineChars="14"/>
              <w:rPr>
                <w:rFonts w:ascii="Arial" w:hAnsi="Arial" w:eastAsia="Times New Roman" w:cs="Arial"/>
                <w:sz w:val="20"/>
                <w:szCs w:val="20"/>
              </w:rPr>
            </w:pPr>
            <w:r w:rsidRPr="00EA2A25">
              <w:rPr>
                <w:rFonts w:ascii="Arial" w:hAnsi="Arial"/>
                <w:sz w:val="20"/>
                <w:lang w:eastAsia="en-GB"/>
              </w:rPr>
              <w:t xml:space="preserve">(1) </w:t>
            </w:r>
            <w:r w:rsidRPr="00EA2A25">
              <w:rPr>
                <w:rFonts w:ascii="Arial" w:hAnsi="Arial"/>
                <w:sz w:val="20"/>
              </w:rPr>
              <w:t>Passifs étrangers envers des bureaux liés inclus dans l’élément 20.j. (en considérant le MRU comme une juridiction unique)</w:t>
            </w:r>
          </w:p>
        </w:tc>
        <w:tc>
          <w:tcPr>
            <w:tcW w:w="2745" w:type="dxa"/>
            <w:tcBorders>
              <w:left w:val="nil"/>
              <w:right w:val="nil"/>
            </w:tcBorders>
            <w:noWrap/>
          </w:tcPr>
          <w:p w:rsidRPr="00EA2A25" w:rsidR="006F5266" w:rsidP="00A87C3B" w:rsidRDefault="006F5266" w14:paraId="3BEBAC79" w14:textId="77777777">
            <w:pPr>
              <w:jc w:val="right"/>
              <w:rPr>
                <w:rFonts w:ascii="Arial" w:hAnsi="Arial" w:eastAsia="Times New Roman" w:cs="Arial"/>
                <w:sz w:val="20"/>
                <w:szCs w:val="20"/>
                <w:lang w:eastAsia="en-GB"/>
              </w:rPr>
            </w:pPr>
          </w:p>
        </w:tc>
      </w:tr>
      <w:tr w:rsidRPr="00EA2A25" w:rsidR="006F5266" w:rsidTr="00A87C3B" w14:paraId="3751404D" w14:textId="77777777">
        <w:trPr>
          <w:trHeight w:val="300"/>
        </w:trPr>
        <w:tc>
          <w:tcPr>
            <w:tcW w:w="6804" w:type="dxa"/>
            <w:tcBorders>
              <w:left w:val="nil"/>
              <w:right w:val="nil"/>
            </w:tcBorders>
            <w:noWrap/>
          </w:tcPr>
          <w:p w:rsidRPr="00EA2A25" w:rsidR="006F5266" w:rsidP="00A87C3B" w:rsidRDefault="006F5266" w14:paraId="69EBBEDA" w14:textId="77777777">
            <w:pPr>
              <w:ind w:left="171" w:firstLine="28" w:firstLineChars="14"/>
              <w:rPr>
                <w:rFonts w:ascii="Arial" w:hAnsi="Arial" w:eastAsia="Times New Roman" w:cs="Arial"/>
                <w:sz w:val="20"/>
                <w:szCs w:val="20"/>
              </w:rPr>
            </w:pPr>
            <w:r w:rsidRPr="00EA2A25">
              <w:rPr>
                <w:rFonts w:ascii="Arial" w:hAnsi="Arial"/>
                <w:sz w:val="20"/>
              </w:rPr>
              <w:t>k. Passifs locaux en monnaie locale, hors produits dérivés (en considérant le MRU comme une juridiction unique)</w:t>
            </w:r>
          </w:p>
        </w:tc>
        <w:tc>
          <w:tcPr>
            <w:tcW w:w="2745" w:type="dxa"/>
            <w:tcBorders>
              <w:left w:val="nil"/>
              <w:right w:val="nil"/>
            </w:tcBorders>
            <w:noWrap/>
          </w:tcPr>
          <w:p w:rsidRPr="00EA2A25" w:rsidR="006F5266" w:rsidP="00A87C3B" w:rsidRDefault="006F5266" w14:paraId="1405A32A" w14:textId="77777777">
            <w:pPr>
              <w:jc w:val="right"/>
              <w:rPr>
                <w:rFonts w:ascii="Arial" w:hAnsi="Arial" w:eastAsia="Times New Roman" w:cs="Arial"/>
                <w:sz w:val="20"/>
                <w:szCs w:val="20"/>
                <w:lang w:eastAsia="en-GB"/>
              </w:rPr>
            </w:pPr>
          </w:p>
        </w:tc>
      </w:tr>
      <w:tr w:rsidRPr="00EA2A25" w:rsidR="006F5266" w:rsidTr="00A87C3B" w14:paraId="47BA54DD" w14:textId="77777777">
        <w:trPr>
          <w:trHeight w:val="300"/>
        </w:trPr>
        <w:tc>
          <w:tcPr>
            <w:tcW w:w="6804" w:type="dxa"/>
            <w:tcBorders>
              <w:left w:val="nil"/>
              <w:right w:val="nil"/>
            </w:tcBorders>
            <w:noWrap/>
          </w:tcPr>
          <w:p w:rsidRPr="00EA2A25" w:rsidR="006F5266" w:rsidP="00A87C3B" w:rsidRDefault="006F5266" w14:paraId="431C8CBC" w14:textId="77777777">
            <w:pPr>
              <w:ind w:left="171" w:firstLine="28" w:firstLineChars="14"/>
              <w:rPr>
                <w:rFonts w:ascii="Arial" w:hAnsi="Arial" w:eastAsia="Times New Roman" w:cs="Arial"/>
                <w:sz w:val="20"/>
                <w:szCs w:val="20"/>
              </w:rPr>
            </w:pPr>
            <w:r w:rsidRPr="00EA2A25">
              <w:rPr>
                <w:rFonts w:ascii="Arial" w:hAnsi="Arial"/>
                <w:sz w:val="20"/>
              </w:rPr>
              <w:t>l. Passifs locaux en monnaie locale, y compris les produits dérivés (en considérant le MRU comme une juridiction unique)</w:t>
            </w:r>
          </w:p>
        </w:tc>
        <w:tc>
          <w:tcPr>
            <w:tcW w:w="2745" w:type="dxa"/>
            <w:tcBorders>
              <w:left w:val="nil"/>
              <w:right w:val="nil"/>
            </w:tcBorders>
            <w:noWrap/>
          </w:tcPr>
          <w:p w:rsidRPr="00EA2A25" w:rsidR="006F5266" w:rsidP="00A87C3B" w:rsidRDefault="006F5266" w14:paraId="394FDC11" w14:textId="77777777">
            <w:pPr>
              <w:jc w:val="right"/>
              <w:rPr>
                <w:rFonts w:ascii="Arial" w:hAnsi="Arial" w:eastAsia="Times New Roman" w:cs="Arial"/>
                <w:sz w:val="20"/>
                <w:szCs w:val="20"/>
                <w:lang w:eastAsia="en-GB"/>
              </w:rPr>
            </w:pPr>
          </w:p>
        </w:tc>
      </w:tr>
      <w:tr w:rsidRPr="00EA2A25" w:rsidR="006F5266" w:rsidTr="00A87C3B" w14:paraId="1383DD63" w14:textId="77777777">
        <w:trPr>
          <w:trHeight w:val="300"/>
        </w:trPr>
        <w:tc>
          <w:tcPr>
            <w:tcW w:w="6804" w:type="dxa"/>
            <w:tcBorders>
              <w:left w:val="nil"/>
              <w:right w:val="nil"/>
            </w:tcBorders>
            <w:noWrap/>
          </w:tcPr>
          <w:p w:rsidRPr="00EA2A25" w:rsidR="006F5266" w:rsidP="00A87C3B" w:rsidRDefault="006F5266" w14:paraId="52567036" w14:textId="77777777">
            <w:pPr>
              <w:ind w:left="171" w:firstLine="28" w:firstLineChars="14"/>
              <w:rPr>
                <w:rFonts w:ascii="Arial" w:hAnsi="Arial" w:eastAsia="Times New Roman" w:cs="Arial"/>
                <w:sz w:val="20"/>
                <w:szCs w:val="20"/>
              </w:rPr>
            </w:pPr>
            <w:r w:rsidRPr="00EA2A25">
              <w:rPr>
                <w:rFonts w:ascii="Arial" w:hAnsi="Arial"/>
                <w:sz w:val="20"/>
              </w:rPr>
              <w:t>m. Total des positions locales nettes en monnaie locale, y compris dérivés, s’il s’agit d’un total net positif</w:t>
            </w:r>
          </w:p>
        </w:tc>
        <w:tc>
          <w:tcPr>
            <w:tcW w:w="2745" w:type="dxa"/>
            <w:tcBorders>
              <w:left w:val="nil"/>
              <w:right w:val="nil"/>
            </w:tcBorders>
            <w:noWrap/>
          </w:tcPr>
          <w:p w:rsidRPr="00EA2A25" w:rsidR="006F5266" w:rsidP="00A87C3B" w:rsidRDefault="006F5266" w14:paraId="591B9DDC" w14:textId="77777777">
            <w:pPr>
              <w:jc w:val="right"/>
              <w:rPr>
                <w:rFonts w:ascii="Arial" w:hAnsi="Arial" w:eastAsia="Times New Roman" w:cs="Arial"/>
                <w:sz w:val="20"/>
                <w:szCs w:val="20"/>
                <w:lang w:eastAsia="en-GB"/>
              </w:rPr>
            </w:pPr>
          </w:p>
        </w:tc>
      </w:tr>
      <w:tr w:rsidRPr="00EA2A25" w:rsidR="006F5266" w:rsidTr="00A87C3B" w14:paraId="20D0D082" w14:textId="77777777">
        <w:trPr>
          <w:trHeight w:val="300"/>
        </w:trPr>
        <w:tc>
          <w:tcPr>
            <w:tcW w:w="6804" w:type="dxa"/>
            <w:tcBorders>
              <w:left w:val="nil"/>
              <w:right w:val="nil"/>
            </w:tcBorders>
            <w:noWrap/>
          </w:tcPr>
          <w:p w:rsidRPr="00EA2A25" w:rsidR="006F5266" w:rsidP="00A87C3B" w:rsidRDefault="006F5266" w14:paraId="44D0D7FC" w14:textId="77777777">
            <w:pPr>
              <w:ind w:left="171" w:firstLine="28" w:firstLineChars="14"/>
              <w:rPr>
                <w:rFonts w:ascii="Arial" w:hAnsi="Arial" w:eastAsia="Times New Roman" w:cs="Arial"/>
                <w:sz w:val="20"/>
                <w:szCs w:val="20"/>
              </w:rPr>
            </w:pPr>
            <w:r w:rsidRPr="00EA2A25">
              <w:rPr>
                <w:rFonts w:ascii="Arial" w:hAnsi="Arial"/>
                <w:sz w:val="20"/>
              </w:rPr>
              <w:lastRenderedPageBreak/>
              <w:t>n. Total des positions locales nettes en monnaie locale, y compris dérivés, s’il s’agit d’un total net négatif</w:t>
            </w:r>
          </w:p>
        </w:tc>
        <w:tc>
          <w:tcPr>
            <w:tcW w:w="2745" w:type="dxa"/>
            <w:tcBorders>
              <w:left w:val="nil"/>
              <w:right w:val="nil"/>
            </w:tcBorders>
            <w:noWrap/>
          </w:tcPr>
          <w:p w:rsidRPr="00EA2A25" w:rsidR="006F5266" w:rsidP="00A87C3B" w:rsidRDefault="006F5266" w14:paraId="1AFAC128" w14:textId="77777777">
            <w:pPr>
              <w:jc w:val="right"/>
              <w:rPr>
                <w:rFonts w:ascii="Arial" w:hAnsi="Arial" w:eastAsia="Times New Roman" w:cs="Arial"/>
                <w:sz w:val="20"/>
                <w:szCs w:val="20"/>
                <w:lang w:eastAsia="en-GB"/>
              </w:rPr>
            </w:pPr>
          </w:p>
        </w:tc>
      </w:tr>
      <w:tr w:rsidRPr="00EA2A25" w:rsidR="006F5266" w:rsidTr="00A87C3B" w14:paraId="14971AB3" w14:textId="77777777">
        <w:trPr>
          <w:trHeight w:val="300"/>
        </w:trPr>
        <w:tc>
          <w:tcPr>
            <w:tcW w:w="6804" w:type="dxa"/>
            <w:tcBorders>
              <w:left w:val="nil"/>
              <w:right w:val="nil"/>
            </w:tcBorders>
            <w:noWrap/>
          </w:tcPr>
          <w:p w:rsidRPr="00EA2A25" w:rsidR="006F5266" w:rsidP="00A87C3B" w:rsidRDefault="006F5266" w14:paraId="05DBCED1" w14:textId="77777777">
            <w:pPr>
              <w:ind w:left="171" w:firstLine="28" w:firstLineChars="14"/>
              <w:rPr>
                <w:rFonts w:ascii="Arial" w:hAnsi="Arial" w:eastAsia="Times New Roman" w:cs="Arial"/>
                <w:sz w:val="20"/>
                <w:szCs w:val="20"/>
              </w:rPr>
            </w:pPr>
            <w:r w:rsidRPr="00EA2A25">
              <w:rPr>
                <w:rFonts w:ascii="Arial" w:hAnsi="Arial"/>
                <w:sz w:val="20"/>
              </w:rPr>
              <w:t>o. Total des positions locales nettes en monnaie locale dans les pays extérieurs au MRU, y compris dérivés, s’il s’agit d’un total net positif (en considérant le MRU comme une juridiction unique)</w:t>
            </w:r>
          </w:p>
        </w:tc>
        <w:tc>
          <w:tcPr>
            <w:tcW w:w="2745" w:type="dxa"/>
            <w:tcBorders>
              <w:left w:val="nil"/>
              <w:right w:val="nil"/>
            </w:tcBorders>
            <w:noWrap/>
          </w:tcPr>
          <w:p w:rsidRPr="00EA2A25" w:rsidR="006F5266" w:rsidP="00A87C3B" w:rsidRDefault="006F5266" w14:paraId="5C99D542" w14:textId="77777777">
            <w:pPr>
              <w:jc w:val="right"/>
              <w:rPr>
                <w:rFonts w:ascii="Arial" w:hAnsi="Arial" w:eastAsia="Times New Roman" w:cs="Arial"/>
                <w:sz w:val="20"/>
                <w:szCs w:val="20"/>
                <w:lang w:eastAsia="en-GB"/>
              </w:rPr>
            </w:pPr>
          </w:p>
        </w:tc>
      </w:tr>
      <w:tr w:rsidRPr="00EA2A25" w:rsidR="006F5266" w:rsidTr="00A87C3B" w14:paraId="4A11E288" w14:textId="77777777">
        <w:trPr>
          <w:trHeight w:val="300"/>
        </w:trPr>
        <w:tc>
          <w:tcPr>
            <w:tcW w:w="6804" w:type="dxa"/>
            <w:tcBorders>
              <w:left w:val="nil"/>
              <w:right w:val="nil"/>
            </w:tcBorders>
            <w:noWrap/>
          </w:tcPr>
          <w:p w:rsidRPr="00EA2A25" w:rsidR="006F5266" w:rsidP="00A87C3B" w:rsidRDefault="006F5266" w14:paraId="03E7F0B7" w14:textId="77777777">
            <w:pPr>
              <w:ind w:left="171" w:firstLine="28" w:firstLineChars="14"/>
              <w:rPr>
                <w:rFonts w:ascii="Arial" w:hAnsi="Arial" w:eastAsia="Times New Roman" w:cs="Arial"/>
                <w:sz w:val="20"/>
                <w:szCs w:val="20"/>
              </w:rPr>
            </w:pPr>
            <w:r w:rsidRPr="00EA2A25">
              <w:rPr>
                <w:rFonts w:ascii="Arial" w:hAnsi="Arial"/>
                <w:sz w:val="20"/>
              </w:rPr>
              <w:t>p. Total des positions locales nettes en monnaie locale dans les pays extérieurs au MRU, y compris dérivés, s’il s’agit d’un total net négatif (en considérant le MRU comme une juridiction unique)</w:t>
            </w:r>
          </w:p>
        </w:tc>
        <w:tc>
          <w:tcPr>
            <w:tcW w:w="2745" w:type="dxa"/>
            <w:tcBorders>
              <w:left w:val="nil"/>
              <w:right w:val="nil"/>
            </w:tcBorders>
            <w:noWrap/>
          </w:tcPr>
          <w:p w:rsidRPr="00EA2A25" w:rsidR="006F5266" w:rsidP="00A87C3B" w:rsidRDefault="006F5266" w14:paraId="740A4BFB" w14:textId="77777777">
            <w:pPr>
              <w:jc w:val="right"/>
              <w:rPr>
                <w:rFonts w:ascii="Arial" w:hAnsi="Arial" w:eastAsia="Times New Roman" w:cs="Arial"/>
                <w:sz w:val="20"/>
                <w:szCs w:val="20"/>
                <w:lang w:eastAsia="en-GB"/>
              </w:rPr>
            </w:pPr>
          </w:p>
        </w:tc>
      </w:tr>
      <w:tr w:rsidRPr="00EA2A25" w:rsidR="006F5266" w:rsidTr="00A87C3B" w14:paraId="0304FC0E" w14:textId="77777777">
        <w:trPr>
          <w:trHeight w:val="300"/>
        </w:trPr>
        <w:tc>
          <w:tcPr>
            <w:tcW w:w="6804" w:type="dxa"/>
            <w:tcBorders>
              <w:left w:val="nil"/>
              <w:right w:val="nil"/>
            </w:tcBorders>
            <w:noWrap/>
          </w:tcPr>
          <w:p w:rsidRPr="00EA2A25" w:rsidR="006F5266" w:rsidP="00A87C3B" w:rsidRDefault="006F5266" w14:paraId="2B2C491C" w14:textId="77777777">
            <w:pPr>
              <w:ind w:left="171" w:firstLine="28" w:firstLineChars="14"/>
              <w:rPr>
                <w:rFonts w:ascii="Arial" w:hAnsi="Arial" w:eastAsia="Times New Roman" w:cs="Arial"/>
                <w:sz w:val="20"/>
                <w:szCs w:val="20"/>
              </w:rPr>
            </w:pPr>
            <w:r w:rsidRPr="00EA2A25">
              <w:rPr>
                <w:rFonts w:ascii="Arial" w:hAnsi="Arial"/>
                <w:sz w:val="20"/>
              </w:rPr>
              <w:t>q. Total des positions locales nettes en monnaie locale dans les pays relevant du MRU, y compris dérivés (en considérant le MRU comme une juridiction unique)</w:t>
            </w:r>
          </w:p>
        </w:tc>
        <w:tc>
          <w:tcPr>
            <w:tcW w:w="2745" w:type="dxa"/>
            <w:tcBorders>
              <w:left w:val="nil"/>
              <w:right w:val="nil"/>
            </w:tcBorders>
            <w:noWrap/>
          </w:tcPr>
          <w:p w:rsidRPr="00EA2A25" w:rsidR="006F5266" w:rsidP="00A87C3B" w:rsidRDefault="006F5266" w14:paraId="5CFD7882" w14:textId="77777777">
            <w:pPr>
              <w:jc w:val="right"/>
              <w:rPr>
                <w:rFonts w:ascii="Arial" w:hAnsi="Arial" w:eastAsia="Times New Roman" w:cs="Arial"/>
                <w:sz w:val="20"/>
                <w:szCs w:val="20"/>
                <w:lang w:eastAsia="en-GB"/>
              </w:rPr>
            </w:pPr>
          </w:p>
        </w:tc>
      </w:tr>
      <w:tr w:rsidRPr="00EA2A25" w:rsidR="006F5266" w:rsidTr="00A87C3B" w14:paraId="031CE47E" w14:textId="77777777">
        <w:trPr>
          <w:trHeight w:val="300"/>
        </w:trPr>
        <w:tc>
          <w:tcPr>
            <w:tcW w:w="6804" w:type="dxa"/>
            <w:tcBorders>
              <w:left w:val="nil"/>
              <w:right w:val="nil"/>
            </w:tcBorders>
            <w:noWrap/>
          </w:tcPr>
          <w:p w:rsidRPr="00EA2A25" w:rsidR="006F5266" w:rsidP="00A87C3B" w:rsidRDefault="006F5266" w14:paraId="71465CFB" w14:textId="77777777">
            <w:pPr>
              <w:ind w:firstLine="200" w:firstLineChars="100"/>
              <w:rPr>
                <w:rFonts w:ascii="Arial" w:hAnsi="Arial" w:eastAsia="Times New Roman" w:cs="Arial"/>
                <w:sz w:val="20"/>
                <w:szCs w:val="20"/>
              </w:rPr>
            </w:pPr>
            <w:r w:rsidRPr="00EA2A25">
              <w:rPr>
                <w:rFonts w:ascii="Arial" w:hAnsi="Arial"/>
                <w:sz w:val="20"/>
              </w:rPr>
              <w:t xml:space="preserve">r. Créances propres à un bureau enregistrées par des filiales étrangères </w:t>
            </w:r>
          </w:p>
        </w:tc>
        <w:tc>
          <w:tcPr>
            <w:tcW w:w="2745" w:type="dxa"/>
            <w:tcBorders>
              <w:left w:val="nil"/>
              <w:right w:val="nil"/>
            </w:tcBorders>
            <w:noWrap/>
          </w:tcPr>
          <w:p w:rsidRPr="00EA2A25" w:rsidR="006F5266" w:rsidP="00A87C3B" w:rsidRDefault="006F5266" w14:paraId="3369F65C" w14:textId="77777777">
            <w:pPr>
              <w:jc w:val="right"/>
              <w:rPr>
                <w:rFonts w:ascii="Arial" w:hAnsi="Arial" w:eastAsia="Times New Roman" w:cs="Arial"/>
                <w:sz w:val="20"/>
                <w:szCs w:val="20"/>
                <w:lang w:eastAsia="en-GB"/>
              </w:rPr>
            </w:pPr>
          </w:p>
        </w:tc>
      </w:tr>
      <w:tr w:rsidRPr="00EA2A25" w:rsidR="006F5266" w:rsidTr="00A87C3B" w14:paraId="4A7B630A" w14:textId="77777777">
        <w:trPr>
          <w:trHeight w:val="300"/>
        </w:trPr>
        <w:tc>
          <w:tcPr>
            <w:tcW w:w="6804" w:type="dxa"/>
            <w:tcBorders>
              <w:left w:val="nil"/>
              <w:right w:val="nil"/>
            </w:tcBorders>
            <w:noWrap/>
          </w:tcPr>
          <w:p w:rsidRPr="00EA2A25" w:rsidR="006F5266" w:rsidP="00A87C3B" w:rsidRDefault="006F5266" w14:paraId="06766AAD" w14:textId="77777777">
            <w:pPr>
              <w:ind w:firstLine="200" w:firstLineChars="100"/>
              <w:rPr>
                <w:rFonts w:ascii="Arial" w:hAnsi="Arial" w:eastAsia="Times New Roman" w:cs="Arial"/>
                <w:sz w:val="20"/>
                <w:szCs w:val="20"/>
              </w:rPr>
            </w:pPr>
            <w:r w:rsidRPr="00EA2A25">
              <w:rPr>
                <w:rFonts w:ascii="Arial" w:hAnsi="Arial"/>
                <w:sz w:val="20"/>
              </w:rPr>
              <w:t xml:space="preserve">s. Créances propres à un bureau enregistrées par des succursales étrangères </w:t>
            </w:r>
          </w:p>
        </w:tc>
        <w:tc>
          <w:tcPr>
            <w:tcW w:w="2745" w:type="dxa"/>
            <w:tcBorders>
              <w:left w:val="nil"/>
              <w:right w:val="nil"/>
            </w:tcBorders>
            <w:noWrap/>
          </w:tcPr>
          <w:p w:rsidRPr="00EA2A25" w:rsidR="006F5266" w:rsidP="00A87C3B" w:rsidRDefault="006F5266" w14:paraId="07E72B79" w14:textId="77777777">
            <w:pPr>
              <w:jc w:val="right"/>
              <w:rPr>
                <w:rFonts w:ascii="Arial" w:hAnsi="Arial" w:eastAsia="Times New Roman" w:cs="Arial"/>
                <w:sz w:val="20"/>
                <w:szCs w:val="20"/>
                <w:lang w:eastAsia="en-GB"/>
              </w:rPr>
            </w:pPr>
          </w:p>
        </w:tc>
      </w:tr>
      <w:tr w:rsidRPr="00EA2A25" w:rsidR="006F5266" w:rsidTr="00A87C3B" w14:paraId="1B785CB0" w14:textId="77777777">
        <w:trPr>
          <w:trHeight w:val="300"/>
        </w:trPr>
        <w:tc>
          <w:tcPr>
            <w:tcW w:w="6804" w:type="dxa"/>
            <w:tcBorders>
              <w:left w:val="nil"/>
              <w:right w:val="nil"/>
            </w:tcBorders>
            <w:noWrap/>
          </w:tcPr>
          <w:p w:rsidRPr="00EA2A25" w:rsidR="006F5266" w:rsidP="00A87C3B" w:rsidRDefault="006F5266" w14:paraId="7A935A03" w14:textId="77777777">
            <w:pPr>
              <w:ind w:firstLine="200" w:firstLineChars="100"/>
              <w:rPr>
                <w:rFonts w:ascii="Arial" w:hAnsi="Arial" w:eastAsia="Times New Roman" w:cs="Arial"/>
                <w:sz w:val="20"/>
                <w:szCs w:val="20"/>
              </w:rPr>
            </w:pPr>
            <w:r w:rsidRPr="00EA2A25">
              <w:rPr>
                <w:rFonts w:ascii="Arial" w:hAnsi="Arial"/>
                <w:sz w:val="20"/>
              </w:rPr>
              <w:t>t. Passifs propres à un bureau enregistrés par des filiales étrangères</w:t>
            </w:r>
          </w:p>
        </w:tc>
        <w:tc>
          <w:tcPr>
            <w:tcW w:w="2745" w:type="dxa"/>
            <w:tcBorders>
              <w:left w:val="nil"/>
              <w:right w:val="nil"/>
            </w:tcBorders>
            <w:noWrap/>
          </w:tcPr>
          <w:p w:rsidRPr="00EA2A25" w:rsidR="006F5266" w:rsidP="00A87C3B" w:rsidRDefault="006F5266" w14:paraId="01F1272B" w14:textId="77777777">
            <w:pPr>
              <w:jc w:val="right"/>
              <w:rPr>
                <w:rFonts w:ascii="Arial" w:hAnsi="Arial" w:eastAsia="Times New Roman" w:cs="Arial"/>
                <w:sz w:val="20"/>
                <w:szCs w:val="20"/>
                <w:lang w:eastAsia="en-GB"/>
              </w:rPr>
            </w:pPr>
          </w:p>
        </w:tc>
      </w:tr>
      <w:tr w:rsidRPr="00EA2A25" w:rsidR="006F5266" w:rsidTr="00A87C3B" w14:paraId="3C3C6E73" w14:textId="77777777">
        <w:trPr>
          <w:trHeight w:val="300"/>
        </w:trPr>
        <w:tc>
          <w:tcPr>
            <w:tcW w:w="6804" w:type="dxa"/>
            <w:tcBorders>
              <w:left w:val="nil"/>
              <w:right w:val="nil"/>
            </w:tcBorders>
            <w:noWrap/>
          </w:tcPr>
          <w:p w:rsidRPr="00EA2A25" w:rsidR="006F5266" w:rsidP="00A87C3B" w:rsidRDefault="006F5266" w14:paraId="73888B07" w14:textId="77777777">
            <w:pPr>
              <w:ind w:firstLine="200" w:firstLineChars="100"/>
              <w:rPr>
                <w:rFonts w:ascii="Arial" w:hAnsi="Arial" w:eastAsia="Times New Roman" w:cs="Arial"/>
                <w:sz w:val="20"/>
                <w:szCs w:val="20"/>
              </w:rPr>
            </w:pPr>
            <w:r w:rsidRPr="00EA2A25">
              <w:rPr>
                <w:rFonts w:ascii="Arial" w:hAnsi="Arial"/>
                <w:sz w:val="20"/>
              </w:rPr>
              <w:t xml:space="preserve">u. Passifs propres à un bureau enregistrés par des succursales étrangères </w:t>
            </w:r>
          </w:p>
        </w:tc>
        <w:tc>
          <w:tcPr>
            <w:tcW w:w="2745" w:type="dxa"/>
            <w:tcBorders>
              <w:left w:val="nil"/>
              <w:right w:val="nil"/>
            </w:tcBorders>
            <w:noWrap/>
          </w:tcPr>
          <w:p w:rsidRPr="00EA2A25" w:rsidR="006F5266" w:rsidP="00A87C3B" w:rsidRDefault="006F5266" w14:paraId="584A7A23" w14:textId="77777777">
            <w:pPr>
              <w:jc w:val="right"/>
              <w:rPr>
                <w:rFonts w:ascii="Arial" w:hAnsi="Arial" w:eastAsia="Times New Roman" w:cs="Arial"/>
                <w:sz w:val="20"/>
                <w:szCs w:val="20"/>
                <w:lang w:eastAsia="en-GB"/>
              </w:rPr>
            </w:pPr>
          </w:p>
        </w:tc>
      </w:tr>
      <w:tr w:rsidRPr="00EA2A25" w:rsidR="006F5266" w:rsidTr="00A87C3B" w14:paraId="5D248AFE" w14:textId="77777777">
        <w:trPr>
          <w:trHeight w:val="300"/>
        </w:trPr>
        <w:tc>
          <w:tcPr>
            <w:tcW w:w="6804" w:type="dxa"/>
            <w:tcBorders>
              <w:left w:val="nil"/>
              <w:right w:val="nil"/>
            </w:tcBorders>
            <w:noWrap/>
          </w:tcPr>
          <w:p w:rsidRPr="00EA2A25" w:rsidR="006F5266" w:rsidP="00A87C3B" w:rsidRDefault="006F5266" w14:paraId="75661488" w14:textId="77777777">
            <w:pPr>
              <w:ind w:firstLine="200" w:firstLineChars="100"/>
              <w:rPr>
                <w:rFonts w:ascii="Arial" w:hAnsi="Arial" w:eastAsia="Times New Roman" w:cs="Arial"/>
                <w:sz w:val="20"/>
                <w:szCs w:val="20"/>
              </w:rPr>
            </w:pPr>
            <w:r w:rsidRPr="00EA2A25">
              <w:rPr>
                <w:rFonts w:ascii="Arial" w:hAnsi="Arial"/>
                <w:sz w:val="20"/>
              </w:rPr>
              <w:t xml:space="preserve">v. Valeur trimestrielle moyenne des créances transfrontières </w:t>
            </w:r>
          </w:p>
        </w:tc>
        <w:tc>
          <w:tcPr>
            <w:tcW w:w="2745" w:type="dxa"/>
            <w:tcBorders>
              <w:left w:val="nil"/>
              <w:right w:val="nil"/>
            </w:tcBorders>
            <w:noWrap/>
          </w:tcPr>
          <w:p w:rsidRPr="00EA2A25" w:rsidR="006F5266" w:rsidP="00A87C3B" w:rsidRDefault="006F5266" w14:paraId="682E8EAE" w14:textId="77777777">
            <w:pPr>
              <w:jc w:val="right"/>
              <w:rPr>
                <w:rFonts w:ascii="Arial" w:hAnsi="Arial" w:eastAsia="Times New Roman" w:cs="Arial"/>
                <w:sz w:val="20"/>
                <w:szCs w:val="20"/>
                <w:lang w:eastAsia="en-GB"/>
              </w:rPr>
            </w:pPr>
          </w:p>
        </w:tc>
      </w:tr>
      <w:tr w:rsidRPr="00EA2A25" w:rsidR="006F5266" w:rsidTr="00A87C3B" w14:paraId="2B962859" w14:textId="77777777">
        <w:trPr>
          <w:trHeight w:val="300"/>
        </w:trPr>
        <w:tc>
          <w:tcPr>
            <w:tcW w:w="6804" w:type="dxa"/>
            <w:tcBorders>
              <w:left w:val="nil"/>
              <w:right w:val="nil"/>
            </w:tcBorders>
            <w:noWrap/>
          </w:tcPr>
          <w:p w:rsidRPr="00EA2A25" w:rsidR="006F5266" w:rsidP="00A87C3B" w:rsidRDefault="006F5266" w14:paraId="5DF50DAF" w14:textId="77777777">
            <w:pPr>
              <w:ind w:firstLine="200" w:firstLineChars="100"/>
              <w:rPr>
                <w:rFonts w:ascii="Arial" w:hAnsi="Arial" w:eastAsia="Times New Roman" w:cs="Arial"/>
                <w:sz w:val="20"/>
                <w:szCs w:val="20"/>
              </w:rPr>
            </w:pPr>
            <w:r w:rsidRPr="00EA2A25">
              <w:rPr>
                <w:rFonts w:ascii="Arial" w:hAnsi="Arial"/>
                <w:sz w:val="20"/>
              </w:rPr>
              <w:t xml:space="preserve">w. Valeur mensuelle moyenne des créances </w:t>
            </w:r>
          </w:p>
        </w:tc>
        <w:tc>
          <w:tcPr>
            <w:tcW w:w="2745" w:type="dxa"/>
            <w:tcBorders>
              <w:left w:val="nil"/>
              <w:right w:val="nil"/>
            </w:tcBorders>
            <w:noWrap/>
          </w:tcPr>
          <w:p w:rsidRPr="00EA2A25" w:rsidR="006F5266" w:rsidP="00A87C3B" w:rsidRDefault="006F5266" w14:paraId="1D1AE37E" w14:textId="77777777">
            <w:pPr>
              <w:jc w:val="right"/>
              <w:rPr>
                <w:rFonts w:ascii="Arial" w:hAnsi="Arial" w:eastAsia="Times New Roman" w:cs="Arial"/>
                <w:sz w:val="20"/>
                <w:szCs w:val="20"/>
                <w:lang w:eastAsia="en-GB"/>
              </w:rPr>
            </w:pPr>
          </w:p>
        </w:tc>
      </w:tr>
      <w:tr w:rsidRPr="00EA2A25" w:rsidR="006F5266" w:rsidTr="00A87C3B" w14:paraId="5736F4E3" w14:textId="77777777">
        <w:trPr>
          <w:trHeight w:val="300"/>
        </w:trPr>
        <w:tc>
          <w:tcPr>
            <w:tcW w:w="6804" w:type="dxa"/>
            <w:tcBorders>
              <w:left w:val="nil"/>
              <w:right w:val="nil"/>
            </w:tcBorders>
            <w:noWrap/>
          </w:tcPr>
          <w:p w:rsidRPr="00EA2A25" w:rsidR="006F5266" w:rsidP="00A87C3B" w:rsidRDefault="006F5266" w14:paraId="3A96B46D" w14:textId="77777777">
            <w:pPr>
              <w:ind w:firstLine="200" w:firstLineChars="100"/>
              <w:rPr>
                <w:rFonts w:ascii="Arial" w:hAnsi="Arial" w:eastAsia="Times New Roman" w:cs="Arial"/>
                <w:sz w:val="20"/>
                <w:szCs w:val="20"/>
              </w:rPr>
            </w:pPr>
            <w:r w:rsidRPr="00EA2A25">
              <w:rPr>
                <w:rFonts w:ascii="Arial" w:hAnsi="Arial"/>
                <w:sz w:val="20"/>
              </w:rPr>
              <w:t xml:space="preserve">x. Valeur trimestrielle moyenne des passifs transfrontières </w:t>
            </w:r>
          </w:p>
        </w:tc>
        <w:tc>
          <w:tcPr>
            <w:tcW w:w="2745" w:type="dxa"/>
            <w:tcBorders>
              <w:left w:val="nil"/>
              <w:right w:val="nil"/>
            </w:tcBorders>
            <w:noWrap/>
          </w:tcPr>
          <w:p w:rsidRPr="00EA2A25" w:rsidR="006F5266" w:rsidP="00A87C3B" w:rsidRDefault="006F5266" w14:paraId="4294881F" w14:textId="77777777">
            <w:pPr>
              <w:jc w:val="right"/>
              <w:rPr>
                <w:rFonts w:ascii="Arial" w:hAnsi="Arial" w:eastAsia="Times New Roman" w:cs="Arial"/>
                <w:sz w:val="20"/>
                <w:szCs w:val="20"/>
                <w:lang w:eastAsia="en-GB"/>
              </w:rPr>
            </w:pPr>
          </w:p>
        </w:tc>
      </w:tr>
      <w:tr w:rsidRPr="00EA2A25" w:rsidR="006F5266" w:rsidTr="00A87C3B" w14:paraId="0013B47F" w14:textId="77777777">
        <w:trPr>
          <w:trHeight w:val="300"/>
        </w:trPr>
        <w:tc>
          <w:tcPr>
            <w:tcW w:w="6804" w:type="dxa"/>
            <w:tcBorders>
              <w:left w:val="nil"/>
              <w:bottom w:val="single" w:color="auto" w:sz="4" w:space="0"/>
              <w:right w:val="nil"/>
            </w:tcBorders>
            <w:noWrap/>
          </w:tcPr>
          <w:p w:rsidRPr="00EA2A25" w:rsidR="006F5266" w:rsidP="00A87C3B" w:rsidRDefault="006F5266" w14:paraId="725D8A52" w14:textId="77777777">
            <w:pPr>
              <w:ind w:firstLine="200" w:firstLineChars="100"/>
              <w:rPr>
                <w:rFonts w:ascii="Arial" w:hAnsi="Arial" w:eastAsia="Times New Roman" w:cs="Arial"/>
                <w:sz w:val="20"/>
                <w:szCs w:val="20"/>
              </w:rPr>
            </w:pPr>
            <w:r w:rsidRPr="00EA2A25">
              <w:rPr>
                <w:rFonts w:ascii="Arial" w:hAnsi="Arial"/>
                <w:sz w:val="20"/>
              </w:rPr>
              <w:t xml:space="preserve">y. Valeur mensuelle moyenne des passifs transfrontières </w:t>
            </w:r>
          </w:p>
        </w:tc>
        <w:tc>
          <w:tcPr>
            <w:tcW w:w="2745" w:type="dxa"/>
            <w:tcBorders>
              <w:left w:val="nil"/>
              <w:bottom w:val="single" w:color="auto" w:sz="4" w:space="0"/>
              <w:right w:val="nil"/>
            </w:tcBorders>
            <w:noWrap/>
          </w:tcPr>
          <w:p w:rsidRPr="00EA2A25" w:rsidR="006F5266" w:rsidP="00A87C3B" w:rsidRDefault="006F5266" w14:paraId="09904E2C" w14:textId="77777777">
            <w:pPr>
              <w:jc w:val="right"/>
              <w:rPr>
                <w:rFonts w:ascii="Arial" w:hAnsi="Arial" w:eastAsia="Times New Roman" w:cs="Arial"/>
                <w:sz w:val="20"/>
                <w:szCs w:val="20"/>
                <w:lang w:eastAsia="en-GB"/>
              </w:rPr>
            </w:pPr>
          </w:p>
        </w:tc>
      </w:tr>
      <w:tr w:rsidRPr="00EA2A25" w:rsidR="006F5266" w:rsidTr="00A87C3B" w14:paraId="0EAD3411" w14:textId="77777777">
        <w:trPr>
          <w:trHeight w:val="300"/>
        </w:trPr>
        <w:tc>
          <w:tcPr>
            <w:tcW w:w="6804" w:type="dxa"/>
            <w:tcBorders>
              <w:left w:val="nil"/>
              <w:bottom w:val="nil"/>
              <w:right w:val="nil"/>
            </w:tcBorders>
            <w:noWrap/>
          </w:tcPr>
          <w:p w:rsidRPr="00EA2A25" w:rsidR="006F5266" w:rsidP="00A87C3B" w:rsidRDefault="006F5266" w14:paraId="0F001CB2" w14:textId="77777777">
            <w:pPr>
              <w:rPr>
                <w:rFonts w:ascii="Arial" w:hAnsi="Arial" w:eastAsia="Times New Roman" w:cs="Arial"/>
                <w:b/>
                <w:bCs/>
                <w:sz w:val="20"/>
                <w:szCs w:val="20"/>
                <w:lang w:eastAsia="en-GB"/>
              </w:rPr>
            </w:pPr>
          </w:p>
        </w:tc>
        <w:tc>
          <w:tcPr>
            <w:tcW w:w="2745" w:type="dxa"/>
            <w:tcBorders>
              <w:left w:val="nil"/>
              <w:bottom w:val="nil"/>
              <w:right w:val="nil"/>
            </w:tcBorders>
            <w:noWrap/>
          </w:tcPr>
          <w:p w:rsidRPr="00EA2A25" w:rsidR="006F5266" w:rsidP="00A87C3B" w:rsidRDefault="006F5266" w14:paraId="125980C1" w14:textId="77777777">
            <w:pPr>
              <w:jc w:val="right"/>
              <w:rPr>
                <w:rFonts w:ascii="Arial" w:hAnsi="Arial" w:eastAsia="Times New Roman" w:cs="Arial"/>
                <w:sz w:val="20"/>
                <w:szCs w:val="20"/>
                <w:lang w:eastAsia="en-GB"/>
              </w:rPr>
            </w:pPr>
          </w:p>
        </w:tc>
      </w:tr>
      <w:tr w:rsidRPr="00EA2A25" w:rsidR="006F5266" w:rsidTr="00A87C3B" w14:paraId="22E66CF0" w14:textId="77777777">
        <w:trPr>
          <w:trHeight w:val="300"/>
        </w:trPr>
        <w:tc>
          <w:tcPr>
            <w:tcW w:w="6804" w:type="dxa"/>
            <w:tcBorders>
              <w:top w:val="nil"/>
              <w:left w:val="nil"/>
              <w:right w:val="nil"/>
            </w:tcBorders>
            <w:noWrap/>
          </w:tcPr>
          <w:p w:rsidRPr="00EA2A25" w:rsidR="006F5266" w:rsidP="00A87C3B" w:rsidRDefault="006F5266" w14:paraId="25B32A31" w14:textId="77777777">
            <w:pPr>
              <w:rPr>
                <w:rFonts w:ascii="Arial" w:hAnsi="Arial" w:eastAsia="Times New Roman" w:cs="Arial"/>
                <w:sz w:val="20"/>
                <w:szCs w:val="20"/>
              </w:rPr>
            </w:pPr>
            <w:r w:rsidRPr="00EA2A25">
              <w:rPr>
                <w:rFonts w:ascii="Arial" w:hAnsi="Arial"/>
                <w:b/>
                <w:sz w:val="20"/>
              </w:rPr>
              <w:t>Section 22 - Indicateurs auxiliaires</w:t>
            </w:r>
          </w:p>
        </w:tc>
        <w:tc>
          <w:tcPr>
            <w:tcW w:w="2745" w:type="dxa"/>
            <w:tcBorders>
              <w:top w:val="nil"/>
              <w:left w:val="nil"/>
              <w:right w:val="nil"/>
            </w:tcBorders>
            <w:noWrap/>
          </w:tcPr>
          <w:p w:rsidRPr="00EA2A25" w:rsidR="006F5266" w:rsidP="00A87C3B" w:rsidRDefault="006F5266" w14:paraId="65665C0E" w14:textId="77777777">
            <w:pPr>
              <w:jc w:val="right"/>
              <w:rPr>
                <w:rFonts w:ascii="Arial" w:hAnsi="Arial" w:eastAsia="Times New Roman" w:cs="Arial"/>
                <w:sz w:val="20"/>
                <w:szCs w:val="20"/>
                <w:lang w:eastAsia="en-GB"/>
              </w:rPr>
            </w:pPr>
          </w:p>
        </w:tc>
      </w:tr>
      <w:tr w:rsidRPr="00EA2A25" w:rsidR="006F5266" w:rsidTr="00A87C3B" w14:paraId="40EBD426" w14:textId="77777777">
        <w:trPr>
          <w:trHeight w:val="300"/>
        </w:trPr>
        <w:tc>
          <w:tcPr>
            <w:tcW w:w="6804" w:type="dxa"/>
            <w:tcBorders>
              <w:left w:val="nil"/>
              <w:right w:val="nil"/>
            </w:tcBorders>
            <w:noWrap/>
          </w:tcPr>
          <w:p w:rsidRPr="00EA2A25" w:rsidR="006F5266" w:rsidP="00A87C3B" w:rsidRDefault="006F5266" w14:paraId="7CEE0395" w14:textId="77777777">
            <w:pPr>
              <w:ind w:firstLine="200" w:firstLineChars="100"/>
              <w:rPr>
                <w:rFonts w:ascii="Arial" w:hAnsi="Arial" w:eastAsia="Times New Roman" w:cs="Arial"/>
                <w:sz w:val="20"/>
                <w:szCs w:val="20"/>
              </w:rPr>
            </w:pPr>
            <w:r w:rsidRPr="00EA2A25">
              <w:rPr>
                <w:rFonts w:ascii="Arial" w:hAnsi="Arial"/>
                <w:sz w:val="20"/>
              </w:rPr>
              <w:t>a. Recettes nettes étrangères (en considérant le MRU comme une juridiction unique)</w:t>
            </w:r>
          </w:p>
        </w:tc>
        <w:tc>
          <w:tcPr>
            <w:tcW w:w="2745" w:type="dxa"/>
            <w:tcBorders>
              <w:left w:val="nil"/>
              <w:right w:val="nil"/>
            </w:tcBorders>
            <w:noWrap/>
          </w:tcPr>
          <w:p w:rsidRPr="00EA2A25" w:rsidR="006F5266" w:rsidP="00A87C3B" w:rsidRDefault="006F5266" w14:paraId="520C6782" w14:textId="77777777">
            <w:pPr>
              <w:jc w:val="right"/>
              <w:rPr>
                <w:rFonts w:ascii="Arial" w:hAnsi="Arial" w:eastAsia="Times New Roman" w:cs="Arial"/>
                <w:sz w:val="20"/>
                <w:szCs w:val="20"/>
                <w:lang w:eastAsia="en-GB"/>
              </w:rPr>
            </w:pPr>
          </w:p>
        </w:tc>
      </w:tr>
      <w:tr w:rsidRPr="00EA2A25" w:rsidR="006F5266" w:rsidTr="00A87C3B" w14:paraId="56BC3A46" w14:textId="77777777">
        <w:trPr>
          <w:trHeight w:val="300"/>
        </w:trPr>
        <w:tc>
          <w:tcPr>
            <w:tcW w:w="6804" w:type="dxa"/>
            <w:tcBorders>
              <w:left w:val="nil"/>
              <w:bottom w:val="single" w:color="auto" w:sz="4" w:space="0"/>
              <w:right w:val="nil"/>
            </w:tcBorders>
            <w:noWrap/>
          </w:tcPr>
          <w:p w:rsidRPr="00EA2A25" w:rsidR="006F5266" w:rsidP="00A87C3B" w:rsidRDefault="006F5266" w14:paraId="32367B31" w14:textId="77777777">
            <w:pPr>
              <w:ind w:firstLine="200" w:firstLineChars="100"/>
              <w:rPr>
                <w:rFonts w:ascii="Arial" w:hAnsi="Arial" w:eastAsia="Times New Roman" w:cs="Arial"/>
                <w:sz w:val="20"/>
                <w:szCs w:val="20"/>
              </w:rPr>
            </w:pPr>
            <w:r w:rsidRPr="00EA2A25">
              <w:rPr>
                <w:rFonts w:ascii="Arial" w:hAnsi="Arial"/>
                <w:sz w:val="20"/>
              </w:rPr>
              <w:t>b. Nombre de juridictions (en considérant le MRU comme une juridiction unique)</w:t>
            </w:r>
          </w:p>
        </w:tc>
        <w:tc>
          <w:tcPr>
            <w:tcW w:w="2745" w:type="dxa"/>
            <w:tcBorders>
              <w:left w:val="nil"/>
              <w:right w:val="nil"/>
            </w:tcBorders>
            <w:noWrap/>
          </w:tcPr>
          <w:p w:rsidRPr="00EA2A25" w:rsidR="006F5266" w:rsidP="00A87C3B" w:rsidRDefault="006F5266" w14:paraId="6F20C1EB" w14:textId="77777777">
            <w:pPr>
              <w:jc w:val="right"/>
              <w:rPr>
                <w:rFonts w:ascii="Arial" w:hAnsi="Arial" w:eastAsia="Times New Roman" w:cs="Arial"/>
                <w:sz w:val="20"/>
                <w:szCs w:val="20"/>
                <w:lang w:eastAsia="en-GB"/>
              </w:rPr>
            </w:pPr>
          </w:p>
        </w:tc>
      </w:tr>
      <w:tr w:rsidRPr="00EA2A25" w:rsidR="006F5266" w:rsidTr="00A87C3B" w14:paraId="3D74C34D" w14:textId="77777777">
        <w:trPr>
          <w:trHeight w:val="300"/>
        </w:trPr>
        <w:tc>
          <w:tcPr>
            <w:tcW w:w="6804" w:type="dxa"/>
            <w:tcBorders>
              <w:left w:val="nil"/>
              <w:bottom w:val="nil"/>
              <w:right w:val="nil"/>
            </w:tcBorders>
            <w:noWrap/>
          </w:tcPr>
          <w:p w:rsidRPr="00EA2A25" w:rsidR="006F5266" w:rsidP="00A87C3B" w:rsidRDefault="006F5266" w14:paraId="0E146A79" w14:textId="77777777">
            <w:pPr>
              <w:ind w:firstLine="200" w:firstLineChars="100"/>
              <w:rPr>
                <w:rFonts w:ascii="Arial" w:hAnsi="Arial" w:eastAsia="Times New Roman" w:cs="Arial"/>
                <w:sz w:val="20"/>
                <w:szCs w:val="20"/>
                <w:lang w:eastAsia="en-GB"/>
              </w:rPr>
            </w:pPr>
          </w:p>
        </w:tc>
        <w:tc>
          <w:tcPr>
            <w:tcW w:w="2745" w:type="dxa"/>
            <w:tcBorders>
              <w:left w:val="nil"/>
              <w:bottom w:val="nil"/>
              <w:right w:val="nil"/>
            </w:tcBorders>
            <w:noWrap/>
          </w:tcPr>
          <w:p w:rsidRPr="00EA2A25" w:rsidR="006F5266" w:rsidP="00A87C3B" w:rsidRDefault="006F5266" w14:paraId="40454BAB" w14:textId="77777777">
            <w:pPr>
              <w:jc w:val="right"/>
              <w:rPr>
                <w:rFonts w:ascii="Arial" w:hAnsi="Arial" w:eastAsia="Times New Roman" w:cs="Arial"/>
                <w:sz w:val="20"/>
                <w:szCs w:val="20"/>
                <w:lang w:eastAsia="en-GB"/>
              </w:rPr>
            </w:pPr>
          </w:p>
        </w:tc>
      </w:tr>
      <w:tr w:rsidRPr="00EA2A25" w:rsidR="006F5266" w:rsidTr="00A87C3B" w14:paraId="7BDA4462" w14:textId="77777777">
        <w:trPr>
          <w:trHeight w:val="300"/>
        </w:trPr>
        <w:tc>
          <w:tcPr>
            <w:tcW w:w="6804" w:type="dxa"/>
            <w:tcBorders>
              <w:top w:val="nil"/>
              <w:left w:val="nil"/>
              <w:bottom w:val="nil"/>
              <w:right w:val="nil"/>
            </w:tcBorders>
            <w:noWrap/>
          </w:tcPr>
          <w:p w:rsidRPr="00EA2A25" w:rsidR="006F5266" w:rsidP="00A87C3B" w:rsidRDefault="006F5266" w14:paraId="43753531" w14:textId="77777777">
            <w:pPr>
              <w:ind w:firstLine="221" w:firstLineChars="100"/>
              <w:rPr>
                <w:rFonts w:ascii="Arial" w:hAnsi="Arial" w:eastAsia="Times New Roman" w:cs="Arial"/>
                <w:sz w:val="20"/>
                <w:szCs w:val="20"/>
              </w:rPr>
            </w:pPr>
            <w:r w:rsidRPr="00EA2A25">
              <w:rPr>
                <w:rFonts w:asciiTheme="majorHAnsi" w:hAnsiTheme="majorHAnsi"/>
                <w:b/>
                <w:i/>
                <w:caps/>
              </w:rPr>
              <w:t>Résumé des vérifications</w:t>
            </w:r>
          </w:p>
        </w:tc>
        <w:tc>
          <w:tcPr>
            <w:tcW w:w="2745" w:type="dxa"/>
            <w:tcBorders>
              <w:top w:val="nil"/>
              <w:left w:val="nil"/>
              <w:bottom w:val="nil"/>
              <w:right w:val="nil"/>
            </w:tcBorders>
            <w:noWrap/>
          </w:tcPr>
          <w:p w:rsidRPr="00EA2A25" w:rsidR="006F5266" w:rsidP="00A87C3B" w:rsidRDefault="006F5266" w14:paraId="028678F0" w14:textId="77777777">
            <w:pPr>
              <w:jc w:val="right"/>
              <w:rPr>
                <w:rFonts w:ascii="Arial" w:hAnsi="Arial" w:eastAsia="Times New Roman" w:cs="Arial"/>
                <w:sz w:val="20"/>
                <w:szCs w:val="20"/>
                <w:lang w:eastAsia="en-GB"/>
              </w:rPr>
            </w:pPr>
          </w:p>
        </w:tc>
      </w:tr>
      <w:tr w:rsidRPr="00EA2A25" w:rsidR="006F5266" w:rsidTr="00A87C3B" w14:paraId="7EF105F4" w14:textId="77777777">
        <w:trPr>
          <w:trHeight w:val="300"/>
        </w:trPr>
        <w:tc>
          <w:tcPr>
            <w:tcW w:w="6804" w:type="dxa"/>
            <w:tcBorders>
              <w:top w:val="nil"/>
              <w:left w:val="nil"/>
              <w:bottom w:val="single" w:color="auto" w:sz="4" w:space="0"/>
              <w:right w:val="nil"/>
            </w:tcBorders>
            <w:noWrap/>
          </w:tcPr>
          <w:p w:rsidRPr="00EA2A25" w:rsidR="006F5266" w:rsidP="00A87C3B" w:rsidRDefault="006F5266" w14:paraId="7F7E6274" w14:textId="77777777">
            <w:pPr>
              <w:ind w:firstLine="200" w:firstLineChars="100"/>
              <w:rPr>
                <w:rFonts w:ascii="Arial" w:hAnsi="Arial" w:eastAsia="Times New Roman" w:cs="Arial"/>
                <w:sz w:val="20"/>
                <w:szCs w:val="20"/>
                <w:lang w:eastAsia="en-GB"/>
              </w:rPr>
            </w:pPr>
          </w:p>
        </w:tc>
        <w:tc>
          <w:tcPr>
            <w:tcW w:w="2745" w:type="dxa"/>
            <w:tcBorders>
              <w:top w:val="nil"/>
              <w:left w:val="nil"/>
              <w:right w:val="nil"/>
            </w:tcBorders>
            <w:noWrap/>
          </w:tcPr>
          <w:p w:rsidRPr="00EA2A25" w:rsidR="006F5266" w:rsidP="00A87C3B" w:rsidRDefault="006F5266" w14:paraId="2E9400D7" w14:textId="77777777">
            <w:pPr>
              <w:jc w:val="right"/>
              <w:rPr>
                <w:rFonts w:ascii="Arial" w:hAnsi="Arial" w:eastAsia="Times New Roman" w:cs="Arial"/>
                <w:sz w:val="20"/>
                <w:szCs w:val="20"/>
                <w:lang w:eastAsia="en-GB"/>
              </w:rPr>
            </w:pPr>
          </w:p>
        </w:tc>
      </w:tr>
      <w:tr w:rsidRPr="00EA2A25" w:rsidR="006F5266" w:rsidTr="00A87C3B" w14:paraId="39B144B3" w14:textId="77777777">
        <w:trPr>
          <w:trHeight w:val="300"/>
        </w:trPr>
        <w:tc>
          <w:tcPr>
            <w:tcW w:w="6804" w:type="dxa"/>
            <w:tcBorders>
              <w:left w:val="nil"/>
              <w:bottom w:val="single" w:color="auto" w:sz="4" w:space="0"/>
              <w:right w:val="nil"/>
            </w:tcBorders>
            <w:noWrap/>
          </w:tcPr>
          <w:p w:rsidRPr="00EA2A25" w:rsidR="006F5266" w:rsidP="00A87C3B" w:rsidRDefault="006F5266" w14:paraId="7F7E5746" w14:textId="77777777">
            <w:pPr>
              <w:rPr>
                <w:rFonts w:ascii="Arial" w:hAnsi="Arial" w:eastAsia="Times New Roman" w:cs="Arial"/>
                <w:sz w:val="20"/>
                <w:szCs w:val="20"/>
              </w:rPr>
            </w:pPr>
            <w:r w:rsidRPr="00EA2A25">
              <w:rPr>
                <w:b/>
              </w:rPr>
              <w:t>Section 23 – Valeurs des indicateurs (méthodologie révisée)</w:t>
            </w:r>
          </w:p>
        </w:tc>
        <w:tc>
          <w:tcPr>
            <w:tcW w:w="2745" w:type="dxa"/>
            <w:tcBorders>
              <w:left w:val="nil"/>
              <w:right w:val="nil"/>
            </w:tcBorders>
            <w:noWrap/>
          </w:tcPr>
          <w:p w:rsidRPr="00EA2A25" w:rsidR="006F5266" w:rsidP="00A87C3B" w:rsidRDefault="006F5266" w14:paraId="2CE71F87" w14:textId="77777777">
            <w:pPr>
              <w:jc w:val="center"/>
              <w:rPr>
                <w:rFonts w:ascii="Arial" w:hAnsi="Arial" w:eastAsia="Times New Roman" w:cs="Arial"/>
                <w:sz w:val="20"/>
                <w:szCs w:val="20"/>
              </w:rPr>
            </w:pPr>
            <w:r w:rsidRPr="00EA2A25">
              <w:rPr>
                <w:b/>
              </w:rPr>
              <w:t>Valeur de l’indicateur dans la monnaie de déclaration</w:t>
            </w:r>
          </w:p>
        </w:tc>
      </w:tr>
      <w:tr w:rsidRPr="00EA2A25" w:rsidR="006F5266" w:rsidTr="00A87C3B" w14:paraId="3E424F1B" w14:textId="77777777">
        <w:trPr>
          <w:trHeight w:val="300"/>
        </w:trPr>
        <w:tc>
          <w:tcPr>
            <w:tcW w:w="6804" w:type="dxa"/>
            <w:tcBorders>
              <w:left w:val="nil"/>
              <w:bottom w:val="single" w:color="auto" w:sz="4" w:space="0"/>
              <w:right w:val="nil"/>
            </w:tcBorders>
            <w:noWrap/>
          </w:tcPr>
          <w:p w:rsidRPr="00EA2A25" w:rsidR="006F5266" w:rsidP="00A87C3B" w:rsidRDefault="006F5266" w14:paraId="60A56BE1" w14:textId="77777777">
            <w:pPr>
              <w:ind w:left="171" w:firstLine="48" w:firstLineChars="22"/>
              <w:rPr>
                <w:rFonts w:ascii="Arial" w:hAnsi="Arial" w:eastAsia="Times New Roman" w:cs="Arial"/>
                <w:sz w:val="20"/>
                <w:szCs w:val="20"/>
              </w:rPr>
            </w:pPr>
            <w:r w:rsidRPr="00EA2A25">
              <w:t>a. Section 2 - Indicateur d’expositions totales, y compris les filiales d’assurance</w:t>
            </w:r>
          </w:p>
        </w:tc>
        <w:tc>
          <w:tcPr>
            <w:tcW w:w="2745" w:type="dxa"/>
            <w:tcBorders>
              <w:left w:val="nil"/>
              <w:right w:val="nil"/>
            </w:tcBorders>
            <w:noWrap/>
          </w:tcPr>
          <w:p w:rsidRPr="00EA2A25" w:rsidR="006F5266" w:rsidP="00A87C3B" w:rsidRDefault="006F5266" w14:paraId="4528834F" w14:textId="77777777">
            <w:pPr>
              <w:jc w:val="right"/>
              <w:rPr>
                <w:rFonts w:ascii="Arial" w:hAnsi="Arial" w:eastAsia="Times New Roman" w:cs="Arial"/>
                <w:sz w:val="20"/>
                <w:szCs w:val="20"/>
                <w:lang w:eastAsia="en-GB"/>
              </w:rPr>
            </w:pPr>
          </w:p>
        </w:tc>
      </w:tr>
      <w:tr w:rsidRPr="00EA2A25" w:rsidR="006F5266" w:rsidTr="00A87C3B" w14:paraId="113615C7" w14:textId="77777777">
        <w:trPr>
          <w:trHeight w:val="300"/>
        </w:trPr>
        <w:tc>
          <w:tcPr>
            <w:tcW w:w="6804" w:type="dxa"/>
            <w:tcBorders>
              <w:left w:val="nil"/>
              <w:bottom w:val="single" w:color="auto" w:sz="4" w:space="0"/>
              <w:right w:val="nil"/>
            </w:tcBorders>
            <w:noWrap/>
          </w:tcPr>
          <w:p w:rsidRPr="00EA2A25" w:rsidR="006F5266" w:rsidP="00A87C3B" w:rsidRDefault="006F5266" w14:paraId="10E19DBF" w14:textId="77777777">
            <w:pPr>
              <w:ind w:left="171" w:firstLine="48" w:firstLineChars="22"/>
              <w:rPr>
                <w:rFonts w:ascii="Arial" w:hAnsi="Arial" w:eastAsia="Times New Roman" w:cs="Arial"/>
                <w:sz w:val="20"/>
                <w:szCs w:val="20"/>
              </w:rPr>
            </w:pPr>
            <w:r w:rsidRPr="00EA2A25">
              <w:t>b. Section 3 — Indicateur des actifs du système financier, y compris les filiales d’assurance</w:t>
            </w:r>
          </w:p>
        </w:tc>
        <w:tc>
          <w:tcPr>
            <w:tcW w:w="2745" w:type="dxa"/>
            <w:tcBorders>
              <w:left w:val="nil"/>
              <w:right w:val="nil"/>
            </w:tcBorders>
            <w:noWrap/>
          </w:tcPr>
          <w:p w:rsidRPr="00EA2A25" w:rsidR="006F5266" w:rsidP="00A87C3B" w:rsidRDefault="006F5266" w14:paraId="3A6D612F" w14:textId="77777777">
            <w:pPr>
              <w:jc w:val="right"/>
              <w:rPr>
                <w:rFonts w:ascii="Arial" w:hAnsi="Arial" w:eastAsia="Times New Roman" w:cs="Arial"/>
                <w:sz w:val="20"/>
                <w:szCs w:val="20"/>
                <w:lang w:eastAsia="en-GB"/>
              </w:rPr>
            </w:pPr>
          </w:p>
        </w:tc>
      </w:tr>
      <w:tr w:rsidRPr="00EA2A25" w:rsidR="006F5266" w:rsidTr="00A87C3B" w14:paraId="4C4DF452" w14:textId="77777777">
        <w:trPr>
          <w:trHeight w:val="300"/>
        </w:trPr>
        <w:tc>
          <w:tcPr>
            <w:tcW w:w="6804" w:type="dxa"/>
            <w:tcBorders>
              <w:left w:val="nil"/>
              <w:bottom w:val="single" w:color="auto" w:sz="4" w:space="0"/>
              <w:right w:val="nil"/>
            </w:tcBorders>
            <w:noWrap/>
          </w:tcPr>
          <w:p w:rsidRPr="00EA2A25" w:rsidR="006F5266" w:rsidP="00A87C3B" w:rsidRDefault="006F5266" w14:paraId="62EE34A1" w14:textId="77777777">
            <w:pPr>
              <w:ind w:left="171" w:firstLine="48" w:firstLineChars="22"/>
              <w:rPr>
                <w:rFonts w:ascii="Arial" w:hAnsi="Arial" w:eastAsia="Times New Roman" w:cs="Arial"/>
                <w:sz w:val="20"/>
                <w:szCs w:val="20"/>
              </w:rPr>
            </w:pPr>
            <w:r w:rsidRPr="00EA2A25">
              <w:t>c. Section 4 - Indicateur de passifs au sein du système financier, y compris les filiales d’assurance</w:t>
            </w:r>
          </w:p>
        </w:tc>
        <w:tc>
          <w:tcPr>
            <w:tcW w:w="2745" w:type="dxa"/>
            <w:tcBorders>
              <w:left w:val="nil"/>
              <w:right w:val="nil"/>
            </w:tcBorders>
            <w:noWrap/>
          </w:tcPr>
          <w:p w:rsidRPr="00EA2A25" w:rsidR="006F5266" w:rsidP="00A87C3B" w:rsidRDefault="006F5266" w14:paraId="6765ED50" w14:textId="77777777">
            <w:pPr>
              <w:jc w:val="right"/>
              <w:rPr>
                <w:rFonts w:ascii="Arial" w:hAnsi="Arial" w:eastAsia="Times New Roman" w:cs="Arial"/>
                <w:sz w:val="20"/>
                <w:szCs w:val="20"/>
                <w:lang w:eastAsia="en-GB"/>
              </w:rPr>
            </w:pPr>
          </w:p>
        </w:tc>
      </w:tr>
      <w:tr w:rsidRPr="00EA2A25" w:rsidR="006F5266" w:rsidTr="00A87C3B" w14:paraId="091ADF14" w14:textId="77777777">
        <w:trPr>
          <w:trHeight w:val="300"/>
        </w:trPr>
        <w:tc>
          <w:tcPr>
            <w:tcW w:w="6804" w:type="dxa"/>
            <w:tcBorders>
              <w:left w:val="nil"/>
              <w:bottom w:val="single" w:color="auto" w:sz="4" w:space="0"/>
              <w:right w:val="nil"/>
            </w:tcBorders>
            <w:noWrap/>
          </w:tcPr>
          <w:p w:rsidRPr="00EA2A25" w:rsidR="006F5266" w:rsidP="00A87C3B" w:rsidRDefault="006F5266" w14:paraId="65A2DAF5" w14:textId="77777777">
            <w:pPr>
              <w:ind w:left="171" w:firstLine="48" w:firstLineChars="22"/>
              <w:rPr>
                <w:rFonts w:ascii="Arial" w:hAnsi="Arial" w:eastAsia="Times New Roman" w:cs="Arial"/>
                <w:sz w:val="20"/>
                <w:szCs w:val="20"/>
              </w:rPr>
            </w:pPr>
            <w:r w:rsidRPr="00EA2A25">
              <w:t>d. Section 5 - Indicateur d’encours de titres, y compris les filiales d’assurance</w:t>
            </w:r>
          </w:p>
        </w:tc>
        <w:tc>
          <w:tcPr>
            <w:tcW w:w="2745" w:type="dxa"/>
            <w:tcBorders>
              <w:left w:val="nil"/>
              <w:right w:val="nil"/>
            </w:tcBorders>
            <w:noWrap/>
          </w:tcPr>
          <w:p w:rsidRPr="00EA2A25" w:rsidR="006F5266" w:rsidP="00A87C3B" w:rsidRDefault="006F5266" w14:paraId="33B6DBCC" w14:textId="77777777">
            <w:pPr>
              <w:jc w:val="right"/>
              <w:rPr>
                <w:rFonts w:ascii="Arial" w:hAnsi="Arial" w:eastAsia="Times New Roman" w:cs="Arial"/>
                <w:sz w:val="20"/>
                <w:szCs w:val="20"/>
                <w:lang w:eastAsia="en-GB"/>
              </w:rPr>
            </w:pPr>
          </w:p>
        </w:tc>
      </w:tr>
      <w:tr w:rsidRPr="00EA2A25" w:rsidR="006F5266" w:rsidTr="00A87C3B" w14:paraId="07266EEC" w14:textId="77777777">
        <w:trPr>
          <w:trHeight w:val="300"/>
        </w:trPr>
        <w:tc>
          <w:tcPr>
            <w:tcW w:w="6804" w:type="dxa"/>
            <w:tcBorders>
              <w:left w:val="nil"/>
              <w:bottom w:val="single" w:color="auto" w:sz="4" w:space="0"/>
              <w:right w:val="nil"/>
            </w:tcBorders>
            <w:noWrap/>
          </w:tcPr>
          <w:p w:rsidRPr="00EA2A25" w:rsidR="006F5266" w:rsidP="00A87C3B" w:rsidRDefault="006F5266" w14:paraId="66ECBE0E" w14:textId="77777777">
            <w:pPr>
              <w:ind w:firstLine="220" w:firstLineChars="100"/>
              <w:rPr>
                <w:rFonts w:ascii="Arial" w:hAnsi="Arial" w:eastAsia="Times New Roman" w:cs="Arial"/>
                <w:sz w:val="20"/>
                <w:szCs w:val="20"/>
              </w:rPr>
            </w:pPr>
            <w:r w:rsidRPr="00EA2A25">
              <w:t>e. Section 6 – Indicateur d’activité de paiement</w:t>
            </w:r>
          </w:p>
        </w:tc>
        <w:tc>
          <w:tcPr>
            <w:tcW w:w="2745" w:type="dxa"/>
            <w:tcBorders>
              <w:left w:val="nil"/>
              <w:right w:val="nil"/>
            </w:tcBorders>
            <w:noWrap/>
          </w:tcPr>
          <w:p w:rsidRPr="00EA2A25" w:rsidR="006F5266" w:rsidP="00A87C3B" w:rsidRDefault="006F5266" w14:paraId="23441D58" w14:textId="77777777">
            <w:pPr>
              <w:jc w:val="right"/>
              <w:rPr>
                <w:rFonts w:ascii="Arial" w:hAnsi="Arial" w:eastAsia="Times New Roman" w:cs="Arial"/>
                <w:sz w:val="20"/>
                <w:szCs w:val="20"/>
                <w:lang w:eastAsia="en-GB"/>
              </w:rPr>
            </w:pPr>
          </w:p>
        </w:tc>
      </w:tr>
      <w:tr w:rsidRPr="00EA2A25" w:rsidR="006F5266" w:rsidTr="00A87C3B" w14:paraId="2572C085" w14:textId="77777777">
        <w:trPr>
          <w:trHeight w:val="300"/>
        </w:trPr>
        <w:tc>
          <w:tcPr>
            <w:tcW w:w="6804" w:type="dxa"/>
            <w:tcBorders>
              <w:left w:val="nil"/>
              <w:bottom w:val="single" w:color="auto" w:sz="4" w:space="0"/>
              <w:right w:val="nil"/>
            </w:tcBorders>
            <w:noWrap/>
          </w:tcPr>
          <w:p w:rsidRPr="00EA2A25" w:rsidR="006F5266" w:rsidP="00A87C3B" w:rsidRDefault="006F5266" w14:paraId="6879FED1" w14:textId="77777777">
            <w:pPr>
              <w:ind w:firstLine="220" w:firstLineChars="100"/>
              <w:rPr>
                <w:rFonts w:ascii="Arial" w:hAnsi="Arial" w:eastAsia="Times New Roman" w:cs="Arial"/>
                <w:sz w:val="20"/>
                <w:szCs w:val="20"/>
              </w:rPr>
            </w:pPr>
            <w:r w:rsidRPr="00EA2A25">
              <w:t>f. Section 7 – Indicateur d’actifs sous conservation</w:t>
            </w:r>
          </w:p>
        </w:tc>
        <w:tc>
          <w:tcPr>
            <w:tcW w:w="2745" w:type="dxa"/>
            <w:tcBorders>
              <w:left w:val="nil"/>
              <w:right w:val="nil"/>
            </w:tcBorders>
            <w:noWrap/>
          </w:tcPr>
          <w:p w:rsidRPr="00EA2A25" w:rsidR="006F5266" w:rsidP="00A87C3B" w:rsidRDefault="006F5266" w14:paraId="2B3182C6" w14:textId="77777777">
            <w:pPr>
              <w:jc w:val="right"/>
              <w:rPr>
                <w:rFonts w:ascii="Arial" w:hAnsi="Arial" w:eastAsia="Times New Roman" w:cs="Arial"/>
                <w:sz w:val="20"/>
                <w:szCs w:val="20"/>
                <w:lang w:eastAsia="en-GB"/>
              </w:rPr>
            </w:pPr>
          </w:p>
        </w:tc>
      </w:tr>
      <w:tr w:rsidRPr="00EA2A25" w:rsidR="006F5266" w:rsidTr="00A87C3B" w14:paraId="2397047A" w14:textId="77777777">
        <w:trPr>
          <w:trHeight w:val="300"/>
        </w:trPr>
        <w:tc>
          <w:tcPr>
            <w:tcW w:w="6804" w:type="dxa"/>
            <w:tcBorders>
              <w:left w:val="nil"/>
              <w:bottom w:val="single" w:color="auto" w:sz="4" w:space="0"/>
              <w:right w:val="nil"/>
            </w:tcBorders>
            <w:noWrap/>
          </w:tcPr>
          <w:p w:rsidRPr="00EA2A25" w:rsidR="006F5266" w:rsidP="00A87C3B" w:rsidRDefault="006F5266" w14:paraId="3E5078F2" w14:textId="77777777">
            <w:pPr>
              <w:ind w:firstLine="220" w:firstLineChars="100"/>
              <w:rPr>
                <w:rFonts w:ascii="Arial" w:hAnsi="Arial" w:eastAsia="Times New Roman" w:cs="Arial"/>
                <w:sz w:val="20"/>
                <w:szCs w:val="20"/>
              </w:rPr>
            </w:pPr>
            <w:r w:rsidRPr="00EA2A25">
              <w:t>g. Section 8 – Indicateur d’activité de prise ferme</w:t>
            </w:r>
          </w:p>
        </w:tc>
        <w:tc>
          <w:tcPr>
            <w:tcW w:w="2745" w:type="dxa"/>
            <w:tcBorders>
              <w:left w:val="nil"/>
              <w:right w:val="nil"/>
            </w:tcBorders>
            <w:noWrap/>
          </w:tcPr>
          <w:p w:rsidRPr="00EA2A25" w:rsidR="006F5266" w:rsidP="00A87C3B" w:rsidRDefault="006F5266" w14:paraId="303CB275" w14:textId="77777777">
            <w:pPr>
              <w:jc w:val="right"/>
              <w:rPr>
                <w:rFonts w:ascii="Arial" w:hAnsi="Arial" w:eastAsia="Times New Roman" w:cs="Arial"/>
                <w:sz w:val="20"/>
                <w:szCs w:val="20"/>
                <w:lang w:eastAsia="en-GB"/>
              </w:rPr>
            </w:pPr>
          </w:p>
        </w:tc>
      </w:tr>
      <w:tr w:rsidRPr="00EA2A25" w:rsidR="006F5266" w:rsidTr="00A87C3B" w14:paraId="7C005406" w14:textId="77777777">
        <w:trPr>
          <w:trHeight w:val="300"/>
        </w:trPr>
        <w:tc>
          <w:tcPr>
            <w:tcW w:w="6804" w:type="dxa"/>
            <w:tcBorders>
              <w:left w:val="nil"/>
              <w:bottom w:val="single" w:color="auto" w:sz="4" w:space="0"/>
              <w:right w:val="nil"/>
            </w:tcBorders>
            <w:noWrap/>
          </w:tcPr>
          <w:p w:rsidRPr="00EA2A25" w:rsidR="006F5266" w:rsidP="00A87C3B" w:rsidRDefault="006F5266" w14:paraId="73938B38" w14:textId="77777777">
            <w:pPr>
              <w:ind w:firstLine="220" w:firstLineChars="100"/>
              <w:rPr>
                <w:rFonts w:ascii="Arial" w:hAnsi="Arial" w:eastAsia="Times New Roman" w:cs="Arial"/>
                <w:sz w:val="20"/>
                <w:szCs w:val="20"/>
              </w:rPr>
            </w:pPr>
            <w:r w:rsidRPr="00EA2A25">
              <w:t>h. Section 9.c — Sous-indicateur du volume des transactions à revenu fixe</w:t>
            </w:r>
          </w:p>
        </w:tc>
        <w:tc>
          <w:tcPr>
            <w:tcW w:w="2745" w:type="dxa"/>
            <w:tcBorders>
              <w:left w:val="nil"/>
              <w:right w:val="nil"/>
            </w:tcBorders>
            <w:noWrap/>
          </w:tcPr>
          <w:p w:rsidRPr="00EA2A25" w:rsidR="006F5266" w:rsidP="00A87C3B" w:rsidRDefault="006F5266" w14:paraId="7E50C772" w14:textId="77777777">
            <w:pPr>
              <w:jc w:val="right"/>
              <w:rPr>
                <w:rFonts w:ascii="Arial" w:hAnsi="Arial" w:eastAsia="Times New Roman" w:cs="Arial"/>
                <w:sz w:val="20"/>
                <w:szCs w:val="20"/>
                <w:lang w:eastAsia="en-GB"/>
              </w:rPr>
            </w:pPr>
          </w:p>
        </w:tc>
      </w:tr>
      <w:tr w:rsidRPr="00EA2A25" w:rsidR="006F5266" w:rsidTr="00A87C3B" w14:paraId="5C193662" w14:textId="77777777">
        <w:trPr>
          <w:trHeight w:val="300"/>
        </w:trPr>
        <w:tc>
          <w:tcPr>
            <w:tcW w:w="6804" w:type="dxa"/>
            <w:tcBorders>
              <w:left w:val="nil"/>
              <w:bottom w:val="single" w:color="auto" w:sz="4" w:space="0"/>
              <w:right w:val="nil"/>
            </w:tcBorders>
            <w:noWrap/>
          </w:tcPr>
          <w:p w:rsidRPr="00EA2A25" w:rsidR="006F5266" w:rsidP="00A87C3B" w:rsidRDefault="006F5266" w14:paraId="33A474DF" w14:textId="77777777">
            <w:pPr>
              <w:ind w:left="171" w:firstLine="77" w:firstLineChars="35"/>
              <w:rPr>
                <w:rFonts w:ascii="Arial" w:hAnsi="Arial" w:eastAsia="Times New Roman" w:cs="Arial"/>
                <w:sz w:val="20"/>
                <w:szCs w:val="20"/>
              </w:rPr>
            </w:pPr>
            <w:r w:rsidRPr="00EA2A25">
              <w:t>I. Section 9.f — Sous-indicateur du volume des transactions sur actions et autres titres</w:t>
            </w:r>
          </w:p>
        </w:tc>
        <w:tc>
          <w:tcPr>
            <w:tcW w:w="2745" w:type="dxa"/>
            <w:tcBorders>
              <w:left w:val="nil"/>
              <w:right w:val="nil"/>
            </w:tcBorders>
            <w:noWrap/>
          </w:tcPr>
          <w:p w:rsidRPr="00EA2A25" w:rsidR="006F5266" w:rsidP="00A87C3B" w:rsidRDefault="006F5266" w14:paraId="4724713E" w14:textId="77777777">
            <w:pPr>
              <w:jc w:val="right"/>
              <w:rPr>
                <w:rFonts w:ascii="Arial" w:hAnsi="Arial" w:eastAsia="Times New Roman" w:cs="Arial"/>
                <w:sz w:val="20"/>
                <w:szCs w:val="20"/>
                <w:lang w:eastAsia="en-GB"/>
              </w:rPr>
            </w:pPr>
          </w:p>
        </w:tc>
      </w:tr>
      <w:tr w:rsidRPr="00EA2A25" w:rsidR="006F5266" w:rsidTr="00A87C3B" w14:paraId="39DBD801" w14:textId="77777777">
        <w:trPr>
          <w:trHeight w:val="300"/>
        </w:trPr>
        <w:tc>
          <w:tcPr>
            <w:tcW w:w="6804" w:type="dxa"/>
            <w:tcBorders>
              <w:left w:val="nil"/>
              <w:bottom w:val="single" w:color="auto" w:sz="4" w:space="0"/>
              <w:right w:val="nil"/>
            </w:tcBorders>
            <w:noWrap/>
          </w:tcPr>
          <w:p w:rsidRPr="00EA2A25" w:rsidR="006F5266" w:rsidP="00A87C3B" w:rsidRDefault="006F5266" w14:paraId="4E4825CB" w14:textId="77777777">
            <w:pPr>
              <w:ind w:left="171" w:firstLine="77" w:firstLineChars="35"/>
              <w:rPr>
                <w:rFonts w:ascii="Arial" w:hAnsi="Arial" w:eastAsia="Times New Roman" w:cs="Arial"/>
                <w:sz w:val="20"/>
                <w:szCs w:val="20"/>
              </w:rPr>
            </w:pPr>
            <w:r w:rsidRPr="00EA2A25">
              <w:t>j. Section 10 — Indicateur des dérivés de gré à gré, y compris les filiales d’assurance</w:t>
            </w:r>
          </w:p>
        </w:tc>
        <w:tc>
          <w:tcPr>
            <w:tcW w:w="2745" w:type="dxa"/>
            <w:tcBorders>
              <w:left w:val="nil"/>
              <w:right w:val="nil"/>
            </w:tcBorders>
            <w:noWrap/>
          </w:tcPr>
          <w:p w:rsidRPr="00EA2A25" w:rsidR="006F5266" w:rsidP="00A87C3B" w:rsidRDefault="006F5266" w14:paraId="40DEAE91" w14:textId="77777777">
            <w:pPr>
              <w:jc w:val="right"/>
              <w:rPr>
                <w:rFonts w:ascii="Arial" w:hAnsi="Arial" w:eastAsia="Times New Roman" w:cs="Arial"/>
                <w:sz w:val="20"/>
                <w:szCs w:val="20"/>
                <w:lang w:eastAsia="en-GB"/>
              </w:rPr>
            </w:pPr>
          </w:p>
        </w:tc>
      </w:tr>
      <w:tr w:rsidRPr="00EA2A25" w:rsidR="006F5266" w:rsidTr="00A87C3B" w14:paraId="1A23B4AE" w14:textId="77777777">
        <w:trPr>
          <w:trHeight w:val="300"/>
        </w:trPr>
        <w:tc>
          <w:tcPr>
            <w:tcW w:w="6804" w:type="dxa"/>
            <w:tcBorders>
              <w:left w:val="nil"/>
              <w:bottom w:val="single" w:color="auto" w:sz="4" w:space="0"/>
              <w:right w:val="nil"/>
            </w:tcBorders>
            <w:noWrap/>
          </w:tcPr>
          <w:p w:rsidRPr="00EA2A25" w:rsidR="006F5266" w:rsidP="00A87C3B" w:rsidRDefault="006F5266" w14:paraId="41FA6459" w14:textId="77777777">
            <w:pPr>
              <w:ind w:firstLine="220" w:firstLineChars="100"/>
              <w:rPr>
                <w:rFonts w:ascii="Arial" w:hAnsi="Arial" w:eastAsia="Times New Roman" w:cs="Arial"/>
                <w:sz w:val="20"/>
                <w:szCs w:val="20"/>
              </w:rPr>
            </w:pPr>
            <w:r w:rsidRPr="00EA2A25">
              <w:lastRenderedPageBreak/>
              <w:t>k. Section 11 — Indicateur des titres HFT et AFS</w:t>
            </w:r>
          </w:p>
        </w:tc>
        <w:tc>
          <w:tcPr>
            <w:tcW w:w="2745" w:type="dxa"/>
            <w:tcBorders>
              <w:left w:val="nil"/>
              <w:right w:val="nil"/>
            </w:tcBorders>
            <w:noWrap/>
          </w:tcPr>
          <w:p w:rsidRPr="00EA2A25" w:rsidR="006F5266" w:rsidP="00A87C3B" w:rsidRDefault="006F5266" w14:paraId="3DE876D6" w14:textId="77777777">
            <w:pPr>
              <w:jc w:val="right"/>
              <w:rPr>
                <w:rFonts w:ascii="Arial" w:hAnsi="Arial" w:eastAsia="Times New Roman" w:cs="Arial"/>
                <w:sz w:val="20"/>
                <w:szCs w:val="20"/>
                <w:lang w:eastAsia="en-GB"/>
              </w:rPr>
            </w:pPr>
          </w:p>
        </w:tc>
      </w:tr>
      <w:tr w:rsidRPr="00EA2A25" w:rsidR="006F5266" w:rsidTr="00A87C3B" w14:paraId="58002AF0" w14:textId="77777777">
        <w:trPr>
          <w:trHeight w:val="300"/>
        </w:trPr>
        <w:tc>
          <w:tcPr>
            <w:tcW w:w="6804" w:type="dxa"/>
            <w:tcBorders>
              <w:left w:val="nil"/>
              <w:bottom w:val="single" w:color="auto" w:sz="4" w:space="0"/>
              <w:right w:val="nil"/>
            </w:tcBorders>
            <w:noWrap/>
          </w:tcPr>
          <w:p w:rsidRPr="00EA2A25" w:rsidR="006F5266" w:rsidP="00A87C3B" w:rsidRDefault="006F5266" w14:paraId="66D72EE1" w14:textId="77777777">
            <w:pPr>
              <w:ind w:firstLine="220" w:firstLineChars="100"/>
              <w:rPr>
                <w:rFonts w:ascii="Arial" w:hAnsi="Arial" w:eastAsia="Times New Roman" w:cs="Arial"/>
                <w:sz w:val="20"/>
                <w:szCs w:val="20"/>
              </w:rPr>
            </w:pPr>
            <w:r w:rsidRPr="00EA2A25">
              <w:t>l. Section 12 - Indicateur d’actifs de niveau 3, y compris les filiales d’assurance</w:t>
            </w:r>
          </w:p>
        </w:tc>
        <w:tc>
          <w:tcPr>
            <w:tcW w:w="2745" w:type="dxa"/>
            <w:tcBorders>
              <w:left w:val="nil"/>
              <w:right w:val="nil"/>
            </w:tcBorders>
            <w:noWrap/>
          </w:tcPr>
          <w:p w:rsidRPr="00EA2A25" w:rsidR="006F5266" w:rsidP="00A87C3B" w:rsidRDefault="006F5266" w14:paraId="682E6C5D" w14:textId="77777777">
            <w:pPr>
              <w:jc w:val="right"/>
              <w:rPr>
                <w:rFonts w:ascii="Arial" w:hAnsi="Arial" w:eastAsia="Times New Roman" w:cs="Arial"/>
                <w:sz w:val="20"/>
                <w:szCs w:val="20"/>
                <w:lang w:eastAsia="en-GB"/>
              </w:rPr>
            </w:pPr>
          </w:p>
        </w:tc>
      </w:tr>
      <w:tr w:rsidRPr="00EA2A25" w:rsidR="006F5266" w:rsidTr="00A87C3B" w14:paraId="1FE65CB5" w14:textId="77777777">
        <w:trPr>
          <w:trHeight w:val="300"/>
        </w:trPr>
        <w:tc>
          <w:tcPr>
            <w:tcW w:w="6804" w:type="dxa"/>
            <w:tcBorders>
              <w:left w:val="nil"/>
              <w:bottom w:val="single" w:color="auto" w:sz="4" w:space="0"/>
              <w:right w:val="nil"/>
            </w:tcBorders>
            <w:noWrap/>
          </w:tcPr>
          <w:p w:rsidRPr="00EA2A25" w:rsidR="006F5266" w:rsidP="00A87C3B" w:rsidRDefault="006F5266" w14:paraId="197C1C65" w14:textId="77777777">
            <w:pPr>
              <w:ind w:firstLine="220" w:firstLineChars="100"/>
              <w:rPr>
                <w:rFonts w:ascii="Arial" w:hAnsi="Arial" w:eastAsia="Times New Roman" w:cs="Arial"/>
                <w:sz w:val="20"/>
                <w:szCs w:val="20"/>
              </w:rPr>
            </w:pPr>
            <w:r w:rsidRPr="00EA2A25">
              <w:t>m. Section 13 - Indicateur de créances transfrontières</w:t>
            </w:r>
          </w:p>
        </w:tc>
        <w:tc>
          <w:tcPr>
            <w:tcW w:w="2745" w:type="dxa"/>
            <w:tcBorders>
              <w:left w:val="nil"/>
              <w:right w:val="nil"/>
            </w:tcBorders>
            <w:noWrap/>
          </w:tcPr>
          <w:p w:rsidRPr="00EA2A25" w:rsidR="006F5266" w:rsidP="00A87C3B" w:rsidRDefault="006F5266" w14:paraId="495A150D" w14:textId="77777777">
            <w:pPr>
              <w:jc w:val="right"/>
              <w:rPr>
                <w:rFonts w:ascii="Arial" w:hAnsi="Arial" w:eastAsia="Times New Roman" w:cs="Arial"/>
                <w:sz w:val="20"/>
                <w:szCs w:val="20"/>
                <w:lang w:eastAsia="en-GB"/>
              </w:rPr>
            </w:pPr>
          </w:p>
        </w:tc>
      </w:tr>
      <w:tr w:rsidRPr="00EA2A25" w:rsidR="006F5266" w:rsidTr="00A87C3B" w14:paraId="22E361CB" w14:textId="77777777">
        <w:trPr>
          <w:trHeight w:val="300"/>
        </w:trPr>
        <w:tc>
          <w:tcPr>
            <w:tcW w:w="6804" w:type="dxa"/>
            <w:tcBorders>
              <w:left w:val="nil"/>
              <w:bottom w:val="single" w:color="auto" w:sz="4" w:space="0"/>
              <w:right w:val="nil"/>
            </w:tcBorders>
            <w:noWrap/>
          </w:tcPr>
          <w:p w:rsidRPr="00EA2A25" w:rsidR="006F5266" w:rsidP="00A87C3B" w:rsidRDefault="006F5266" w14:paraId="637F3C15" w14:textId="77777777">
            <w:pPr>
              <w:ind w:firstLine="220" w:firstLineChars="100"/>
              <w:rPr>
                <w:rFonts w:ascii="Arial" w:hAnsi="Arial" w:eastAsia="Times New Roman" w:cs="Arial"/>
                <w:sz w:val="20"/>
                <w:szCs w:val="20"/>
              </w:rPr>
            </w:pPr>
            <w:r w:rsidRPr="00EA2A25">
              <w:t>n. Section 14 - Indicateur de passifs transfrontières</w:t>
            </w:r>
          </w:p>
        </w:tc>
        <w:tc>
          <w:tcPr>
            <w:tcW w:w="2745" w:type="dxa"/>
            <w:tcBorders>
              <w:left w:val="nil"/>
              <w:right w:val="nil"/>
            </w:tcBorders>
            <w:noWrap/>
          </w:tcPr>
          <w:p w:rsidRPr="00EA2A25" w:rsidR="006F5266" w:rsidP="00A87C3B" w:rsidRDefault="006F5266" w14:paraId="2330D18A" w14:textId="77777777">
            <w:pPr>
              <w:jc w:val="right"/>
              <w:rPr>
                <w:rFonts w:ascii="Arial" w:hAnsi="Arial" w:eastAsia="Times New Roman" w:cs="Arial"/>
                <w:sz w:val="20"/>
                <w:szCs w:val="20"/>
                <w:lang w:eastAsia="en-GB"/>
              </w:rPr>
            </w:pPr>
          </w:p>
        </w:tc>
      </w:tr>
      <w:tr w:rsidRPr="00EA2A25" w:rsidR="006F5266" w:rsidTr="00A87C3B" w14:paraId="00EBD88F" w14:textId="77777777">
        <w:trPr>
          <w:trHeight w:val="300"/>
        </w:trPr>
        <w:tc>
          <w:tcPr>
            <w:tcW w:w="6804" w:type="dxa"/>
            <w:tcBorders>
              <w:left w:val="nil"/>
              <w:bottom w:val="single" w:color="auto" w:sz="4" w:space="0"/>
              <w:right w:val="nil"/>
            </w:tcBorders>
            <w:noWrap/>
          </w:tcPr>
          <w:p w:rsidRPr="00EA2A25" w:rsidR="006F5266" w:rsidP="00A87C3B" w:rsidRDefault="006F5266" w14:paraId="082B673D" w14:textId="77777777">
            <w:pPr>
              <w:ind w:firstLine="220" w:firstLineChars="100"/>
              <w:rPr>
                <w:rFonts w:ascii="Arial" w:hAnsi="Arial" w:eastAsia="Times New Roman" w:cs="Arial"/>
                <w:sz w:val="20"/>
                <w:szCs w:val="20"/>
              </w:rPr>
            </w:pPr>
            <w:r w:rsidRPr="00EA2A25">
              <w:t>o. Autres sections</w:t>
            </w:r>
          </w:p>
        </w:tc>
        <w:tc>
          <w:tcPr>
            <w:tcW w:w="2745" w:type="dxa"/>
            <w:tcBorders>
              <w:left w:val="nil"/>
              <w:right w:val="nil"/>
            </w:tcBorders>
            <w:noWrap/>
          </w:tcPr>
          <w:p w:rsidRPr="00EA2A25" w:rsidR="006F5266" w:rsidP="00A87C3B" w:rsidRDefault="006F5266" w14:paraId="0424555F" w14:textId="77777777">
            <w:pPr>
              <w:jc w:val="right"/>
              <w:rPr>
                <w:rFonts w:ascii="Arial" w:hAnsi="Arial" w:eastAsia="Times New Roman" w:cs="Arial"/>
                <w:sz w:val="20"/>
                <w:szCs w:val="20"/>
                <w:lang w:eastAsia="en-GB"/>
              </w:rPr>
            </w:pPr>
          </w:p>
        </w:tc>
      </w:tr>
      <w:tr w:rsidRPr="00EA2A25" w:rsidR="006F5266" w:rsidTr="00A87C3B" w14:paraId="7FB0A88E" w14:textId="77777777">
        <w:trPr>
          <w:trHeight w:val="300"/>
        </w:trPr>
        <w:tc>
          <w:tcPr>
            <w:tcW w:w="6804" w:type="dxa"/>
            <w:tcBorders>
              <w:left w:val="nil"/>
              <w:bottom w:val="single" w:color="auto" w:sz="4" w:space="0"/>
              <w:right w:val="nil"/>
            </w:tcBorders>
            <w:noWrap/>
          </w:tcPr>
          <w:p w:rsidRPr="00EA2A25" w:rsidR="006F5266" w:rsidP="00A87C3B" w:rsidRDefault="006F5266" w14:paraId="72DF9E84" w14:textId="77777777">
            <w:pPr>
              <w:ind w:firstLine="220" w:firstLineChars="100"/>
              <w:rPr>
                <w:rFonts w:ascii="Arial" w:hAnsi="Arial" w:eastAsia="Times New Roman" w:cs="Arial"/>
                <w:sz w:val="20"/>
                <w:szCs w:val="20"/>
              </w:rPr>
            </w:pPr>
            <w:r w:rsidRPr="00EA2A25">
              <w:t>(1)  Élément 1.a – Informations générales fournies par l’autorité de surveillance</w:t>
            </w:r>
          </w:p>
        </w:tc>
        <w:tc>
          <w:tcPr>
            <w:tcW w:w="2745" w:type="dxa"/>
            <w:tcBorders>
              <w:left w:val="nil"/>
              <w:right w:val="nil"/>
            </w:tcBorders>
            <w:noWrap/>
          </w:tcPr>
          <w:p w:rsidRPr="00EA2A25" w:rsidR="006F5266" w:rsidP="00A87C3B" w:rsidRDefault="006F5266" w14:paraId="07D1337B" w14:textId="77777777">
            <w:pPr>
              <w:jc w:val="right"/>
              <w:rPr>
                <w:rFonts w:ascii="Arial" w:hAnsi="Arial" w:eastAsia="Times New Roman" w:cs="Arial"/>
                <w:sz w:val="20"/>
                <w:szCs w:val="20"/>
                <w:lang w:eastAsia="en-GB"/>
              </w:rPr>
            </w:pPr>
          </w:p>
        </w:tc>
      </w:tr>
      <w:tr w:rsidRPr="00EA2A25" w:rsidR="006F5266" w:rsidTr="00A87C3B" w14:paraId="1736CF86" w14:textId="77777777">
        <w:trPr>
          <w:trHeight w:val="300"/>
        </w:trPr>
        <w:tc>
          <w:tcPr>
            <w:tcW w:w="6804" w:type="dxa"/>
            <w:tcBorders>
              <w:left w:val="nil"/>
              <w:bottom w:val="single" w:color="auto" w:sz="4" w:space="0"/>
              <w:right w:val="nil"/>
            </w:tcBorders>
            <w:noWrap/>
          </w:tcPr>
          <w:p w:rsidRPr="00EA2A25" w:rsidR="006F5266" w:rsidP="00A87C3B" w:rsidRDefault="006F5266" w14:paraId="373F5C9A" w14:textId="77777777">
            <w:pPr>
              <w:ind w:firstLine="220" w:firstLineChars="100"/>
              <w:rPr>
                <w:rFonts w:ascii="Arial" w:hAnsi="Arial" w:eastAsia="Times New Roman" w:cs="Arial"/>
                <w:sz w:val="20"/>
                <w:szCs w:val="20"/>
              </w:rPr>
            </w:pPr>
            <w:r w:rsidRPr="00EA2A25">
              <w:t>(2) Élément 1.b – Informations générales fournies par l’établissement déclarant</w:t>
            </w:r>
          </w:p>
        </w:tc>
        <w:tc>
          <w:tcPr>
            <w:tcW w:w="2745" w:type="dxa"/>
            <w:tcBorders>
              <w:left w:val="nil"/>
              <w:right w:val="nil"/>
            </w:tcBorders>
            <w:noWrap/>
          </w:tcPr>
          <w:p w:rsidRPr="00EA2A25" w:rsidR="006F5266" w:rsidP="00A87C3B" w:rsidRDefault="006F5266" w14:paraId="14D05418" w14:textId="77777777">
            <w:pPr>
              <w:jc w:val="right"/>
              <w:rPr>
                <w:rFonts w:ascii="Arial" w:hAnsi="Arial" w:eastAsia="Times New Roman" w:cs="Arial"/>
                <w:sz w:val="20"/>
                <w:szCs w:val="20"/>
                <w:lang w:eastAsia="en-GB"/>
              </w:rPr>
            </w:pPr>
          </w:p>
        </w:tc>
      </w:tr>
      <w:tr w:rsidRPr="00EA2A25" w:rsidR="006F5266" w:rsidTr="00A87C3B" w14:paraId="706D8AC0" w14:textId="77777777">
        <w:trPr>
          <w:trHeight w:val="300"/>
        </w:trPr>
        <w:tc>
          <w:tcPr>
            <w:tcW w:w="6804" w:type="dxa"/>
            <w:tcBorders>
              <w:left w:val="nil"/>
              <w:bottom w:val="single" w:color="auto" w:sz="4" w:space="0"/>
              <w:right w:val="nil"/>
            </w:tcBorders>
            <w:noWrap/>
          </w:tcPr>
          <w:p w:rsidRPr="00EA2A25" w:rsidR="006F5266" w:rsidP="00A87C3B" w:rsidRDefault="006F5266" w14:paraId="2CC40100" w14:textId="77777777">
            <w:pPr>
              <w:ind w:firstLine="220" w:firstLineChars="100"/>
              <w:rPr>
                <w:rFonts w:ascii="Arial" w:hAnsi="Arial" w:eastAsia="Times New Roman" w:cs="Arial"/>
                <w:sz w:val="20"/>
                <w:szCs w:val="20"/>
              </w:rPr>
            </w:pPr>
            <w:r w:rsidRPr="00EA2A25">
              <w:t>(3) Section 15 - Indicateurs auxiliaires</w:t>
            </w:r>
          </w:p>
        </w:tc>
        <w:tc>
          <w:tcPr>
            <w:tcW w:w="2745" w:type="dxa"/>
            <w:tcBorders>
              <w:left w:val="nil"/>
              <w:right w:val="nil"/>
            </w:tcBorders>
            <w:noWrap/>
          </w:tcPr>
          <w:p w:rsidRPr="00EA2A25" w:rsidR="006F5266" w:rsidP="00A87C3B" w:rsidRDefault="006F5266" w14:paraId="7667351D" w14:textId="77777777">
            <w:pPr>
              <w:jc w:val="right"/>
              <w:rPr>
                <w:rFonts w:ascii="Arial" w:hAnsi="Arial" w:eastAsia="Times New Roman" w:cs="Arial"/>
                <w:sz w:val="20"/>
                <w:szCs w:val="20"/>
                <w:lang w:eastAsia="en-GB"/>
              </w:rPr>
            </w:pPr>
          </w:p>
        </w:tc>
      </w:tr>
      <w:tr w:rsidRPr="00EA2A25" w:rsidR="006F5266" w:rsidTr="00A87C3B" w14:paraId="15DE8581" w14:textId="77777777">
        <w:trPr>
          <w:trHeight w:val="300"/>
        </w:trPr>
        <w:tc>
          <w:tcPr>
            <w:tcW w:w="6804" w:type="dxa"/>
            <w:tcBorders>
              <w:left w:val="nil"/>
              <w:bottom w:val="single" w:color="auto" w:sz="4" w:space="0"/>
              <w:right w:val="nil"/>
            </w:tcBorders>
            <w:noWrap/>
          </w:tcPr>
          <w:p w:rsidRPr="00EA2A25" w:rsidR="006F5266" w:rsidP="00A87C3B" w:rsidRDefault="006F5266" w14:paraId="3570D346" w14:textId="77777777">
            <w:pPr>
              <w:ind w:firstLine="220" w:firstLineChars="100"/>
              <w:rPr>
                <w:rFonts w:ascii="Arial" w:hAnsi="Arial" w:eastAsia="Times New Roman" w:cs="Arial"/>
                <w:sz w:val="20"/>
                <w:szCs w:val="20"/>
              </w:rPr>
            </w:pPr>
            <w:r w:rsidRPr="00EA2A25">
              <w:t>(4) Section 16 - Éléments auxiliaires</w:t>
            </w:r>
          </w:p>
        </w:tc>
        <w:tc>
          <w:tcPr>
            <w:tcW w:w="2745" w:type="dxa"/>
            <w:tcBorders>
              <w:left w:val="nil"/>
              <w:right w:val="nil"/>
            </w:tcBorders>
            <w:noWrap/>
          </w:tcPr>
          <w:p w:rsidRPr="00EA2A25" w:rsidR="006F5266" w:rsidP="00A87C3B" w:rsidRDefault="006F5266" w14:paraId="4465F115" w14:textId="77777777">
            <w:pPr>
              <w:jc w:val="right"/>
              <w:rPr>
                <w:rFonts w:ascii="Arial" w:hAnsi="Arial" w:eastAsia="Times New Roman" w:cs="Arial"/>
                <w:sz w:val="20"/>
                <w:szCs w:val="20"/>
                <w:lang w:eastAsia="en-GB"/>
              </w:rPr>
            </w:pPr>
          </w:p>
        </w:tc>
      </w:tr>
      <w:tr w:rsidRPr="00EA2A25" w:rsidR="006F5266" w:rsidTr="00A87C3B" w14:paraId="55729716" w14:textId="77777777">
        <w:trPr>
          <w:trHeight w:val="300"/>
        </w:trPr>
        <w:tc>
          <w:tcPr>
            <w:tcW w:w="6804" w:type="dxa"/>
            <w:tcBorders>
              <w:left w:val="nil"/>
              <w:bottom w:val="single" w:color="auto" w:sz="4" w:space="0"/>
              <w:right w:val="nil"/>
            </w:tcBorders>
            <w:noWrap/>
          </w:tcPr>
          <w:p w:rsidRPr="00EA2A25" w:rsidR="006F5266" w:rsidP="00A87C3B" w:rsidRDefault="006F5266" w14:paraId="14B4554C" w14:textId="77777777">
            <w:pPr>
              <w:ind w:firstLine="220" w:firstLineChars="100"/>
              <w:rPr>
                <w:rFonts w:ascii="Arial" w:hAnsi="Arial" w:eastAsia="Times New Roman" w:cs="Arial"/>
                <w:sz w:val="20"/>
                <w:szCs w:val="20"/>
              </w:rPr>
            </w:pPr>
            <w:r w:rsidRPr="00EA2A25">
              <w:t>(5) Section 17 - Éléments de taille</w:t>
            </w:r>
          </w:p>
        </w:tc>
        <w:tc>
          <w:tcPr>
            <w:tcW w:w="2745" w:type="dxa"/>
            <w:tcBorders>
              <w:left w:val="nil"/>
              <w:right w:val="nil"/>
            </w:tcBorders>
            <w:noWrap/>
          </w:tcPr>
          <w:p w:rsidRPr="00EA2A25" w:rsidR="006F5266" w:rsidP="00A87C3B" w:rsidRDefault="006F5266" w14:paraId="6538F742" w14:textId="77777777">
            <w:pPr>
              <w:jc w:val="right"/>
              <w:rPr>
                <w:rFonts w:ascii="Arial" w:hAnsi="Arial" w:eastAsia="Times New Roman" w:cs="Arial"/>
                <w:sz w:val="20"/>
                <w:szCs w:val="20"/>
                <w:lang w:eastAsia="en-GB"/>
              </w:rPr>
            </w:pPr>
          </w:p>
        </w:tc>
      </w:tr>
      <w:tr w:rsidRPr="00EA2A25" w:rsidR="006F5266" w:rsidTr="00A87C3B" w14:paraId="047E719B" w14:textId="77777777">
        <w:trPr>
          <w:trHeight w:val="300"/>
        </w:trPr>
        <w:tc>
          <w:tcPr>
            <w:tcW w:w="6804" w:type="dxa"/>
            <w:tcBorders>
              <w:left w:val="nil"/>
              <w:bottom w:val="single" w:color="auto" w:sz="4" w:space="0"/>
              <w:right w:val="nil"/>
            </w:tcBorders>
            <w:noWrap/>
          </w:tcPr>
          <w:p w:rsidRPr="00EA2A25" w:rsidR="006F5266" w:rsidP="00A87C3B" w:rsidRDefault="006F5266" w14:paraId="281B075A" w14:textId="77777777">
            <w:pPr>
              <w:ind w:firstLine="220" w:firstLineChars="100"/>
              <w:rPr>
                <w:rFonts w:ascii="Arial" w:hAnsi="Arial" w:eastAsia="Times New Roman" w:cs="Arial"/>
                <w:sz w:val="20"/>
                <w:szCs w:val="20"/>
              </w:rPr>
            </w:pPr>
            <w:r w:rsidRPr="00EA2A25">
              <w:t>(6) Section 18 - Éléments d’interdépendance</w:t>
            </w:r>
          </w:p>
        </w:tc>
        <w:tc>
          <w:tcPr>
            <w:tcW w:w="2745" w:type="dxa"/>
            <w:tcBorders>
              <w:left w:val="nil"/>
              <w:right w:val="nil"/>
            </w:tcBorders>
            <w:noWrap/>
          </w:tcPr>
          <w:p w:rsidRPr="00EA2A25" w:rsidR="006F5266" w:rsidP="00A87C3B" w:rsidRDefault="006F5266" w14:paraId="2FF5D1CD" w14:textId="77777777">
            <w:pPr>
              <w:jc w:val="right"/>
              <w:rPr>
                <w:rFonts w:ascii="Arial" w:hAnsi="Arial" w:eastAsia="Times New Roman" w:cs="Arial"/>
                <w:sz w:val="20"/>
                <w:szCs w:val="20"/>
                <w:lang w:eastAsia="en-GB"/>
              </w:rPr>
            </w:pPr>
          </w:p>
        </w:tc>
      </w:tr>
      <w:tr w:rsidRPr="00EA2A25" w:rsidR="006F5266" w:rsidTr="00A87C3B" w14:paraId="137EE310" w14:textId="77777777">
        <w:trPr>
          <w:trHeight w:val="300"/>
        </w:trPr>
        <w:tc>
          <w:tcPr>
            <w:tcW w:w="6804" w:type="dxa"/>
            <w:tcBorders>
              <w:left w:val="nil"/>
              <w:bottom w:val="single" w:color="auto" w:sz="4" w:space="0"/>
              <w:right w:val="nil"/>
            </w:tcBorders>
            <w:noWrap/>
          </w:tcPr>
          <w:p w:rsidRPr="00EA2A25" w:rsidR="006F5266" w:rsidP="00A87C3B" w:rsidRDefault="006F5266" w14:paraId="01D8E968" w14:textId="77777777">
            <w:pPr>
              <w:ind w:firstLine="220" w:firstLineChars="100"/>
              <w:rPr>
                <w:rFonts w:ascii="Arial" w:hAnsi="Arial" w:eastAsia="Times New Roman" w:cs="Arial"/>
                <w:sz w:val="20"/>
                <w:szCs w:val="20"/>
              </w:rPr>
            </w:pPr>
            <w:r w:rsidRPr="00EA2A25">
              <w:t>(7) Section 19 - Faculté de substitution/Infrastructure financière Éléments</w:t>
            </w:r>
          </w:p>
        </w:tc>
        <w:tc>
          <w:tcPr>
            <w:tcW w:w="2745" w:type="dxa"/>
            <w:tcBorders>
              <w:left w:val="nil"/>
              <w:right w:val="nil"/>
            </w:tcBorders>
            <w:noWrap/>
          </w:tcPr>
          <w:p w:rsidRPr="00EA2A25" w:rsidR="006F5266" w:rsidP="00A87C3B" w:rsidRDefault="006F5266" w14:paraId="797EE0B1" w14:textId="77777777">
            <w:pPr>
              <w:jc w:val="right"/>
              <w:rPr>
                <w:rFonts w:ascii="Arial" w:hAnsi="Arial" w:eastAsia="Times New Roman" w:cs="Arial"/>
                <w:sz w:val="20"/>
                <w:szCs w:val="20"/>
                <w:lang w:eastAsia="en-GB"/>
              </w:rPr>
            </w:pPr>
          </w:p>
        </w:tc>
      </w:tr>
      <w:tr w:rsidRPr="00EA2A25" w:rsidR="006F5266" w:rsidTr="00A87C3B" w14:paraId="0ACA173B" w14:textId="77777777">
        <w:trPr>
          <w:trHeight w:val="300"/>
        </w:trPr>
        <w:tc>
          <w:tcPr>
            <w:tcW w:w="6804" w:type="dxa"/>
            <w:tcBorders>
              <w:left w:val="nil"/>
              <w:bottom w:val="single" w:color="auto" w:sz="4" w:space="0"/>
              <w:right w:val="nil"/>
            </w:tcBorders>
            <w:noWrap/>
          </w:tcPr>
          <w:p w:rsidRPr="00EA2A25" w:rsidR="006F5266" w:rsidP="00A87C3B" w:rsidRDefault="006F5266" w14:paraId="05D9917E" w14:textId="77777777">
            <w:pPr>
              <w:ind w:firstLine="220" w:firstLineChars="100"/>
              <w:rPr>
                <w:rFonts w:ascii="Arial" w:hAnsi="Arial" w:eastAsia="Times New Roman" w:cs="Arial"/>
                <w:sz w:val="20"/>
                <w:szCs w:val="20"/>
              </w:rPr>
            </w:pPr>
            <w:r w:rsidRPr="00EA2A25">
              <w:t>(8) Section 20 - Éléments de complexité</w:t>
            </w:r>
          </w:p>
        </w:tc>
        <w:tc>
          <w:tcPr>
            <w:tcW w:w="2745" w:type="dxa"/>
            <w:tcBorders>
              <w:left w:val="nil"/>
              <w:right w:val="nil"/>
            </w:tcBorders>
            <w:noWrap/>
          </w:tcPr>
          <w:p w:rsidRPr="00EA2A25" w:rsidR="006F5266" w:rsidP="00A87C3B" w:rsidRDefault="006F5266" w14:paraId="06AF367D" w14:textId="77777777">
            <w:pPr>
              <w:jc w:val="right"/>
              <w:rPr>
                <w:rFonts w:ascii="Arial" w:hAnsi="Arial" w:eastAsia="Times New Roman" w:cs="Arial"/>
                <w:sz w:val="20"/>
                <w:szCs w:val="20"/>
                <w:lang w:eastAsia="en-GB"/>
              </w:rPr>
            </w:pPr>
          </w:p>
        </w:tc>
      </w:tr>
      <w:tr w:rsidRPr="00EA2A25" w:rsidR="006F5266" w:rsidTr="00A87C3B" w14:paraId="706D1003" w14:textId="77777777">
        <w:trPr>
          <w:trHeight w:val="300"/>
        </w:trPr>
        <w:tc>
          <w:tcPr>
            <w:tcW w:w="6804" w:type="dxa"/>
            <w:tcBorders>
              <w:left w:val="nil"/>
              <w:bottom w:val="single" w:color="auto" w:sz="4" w:space="0"/>
              <w:right w:val="nil"/>
            </w:tcBorders>
            <w:noWrap/>
          </w:tcPr>
          <w:p w:rsidRPr="00EA2A25" w:rsidR="006F5266" w:rsidP="00A87C3B" w:rsidRDefault="006F5266" w14:paraId="05E9E04B" w14:textId="77777777">
            <w:pPr>
              <w:ind w:firstLine="220" w:firstLineChars="100"/>
              <w:rPr>
                <w:rFonts w:ascii="Arial" w:hAnsi="Arial" w:eastAsia="Times New Roman" w:cs="Arial"/>
                <w:sz w:val="20"/>
                <w:szCs w:val="20"/>
              </w:rPr>
            </w:pPr>
            <w:r w:rsidRPr="00EA2A25">
              <w:t>(9) Section 21 - Éléments d’activité transfrontières</w:t>
            </w:r>
          </w:p>
        </w:tc>
        <w:tc>
          <w:tcPr>
            <w:tcW w:w="2745" w:type="dxa"/>
            <w:tcBorders>
              <w:left w:val="nil"/>
              <w:right w:val="nil"/>
            </w:tcBorders>
            <w:noWrap/>
          </w:tcPr>
          <w:p w:rsidRPr="00EA2A25" w:rsidR="006F5266" w:rsidP="00A87C3B" w:rsidRDefault="006F5266" w14:paraId="784E5703" w14:textId="77777777">
            <w:pPr>
              <w:jc w:val="right"/>
              <w:rPr>
                <w:rFonts w:ascii="Arial" w:hAnsi="Arial" w:eastAsia="Times New Roman" w:cs="Arial"/>
                <w:sz w:val="20"/>
                <w:szCs w:val="20"/>
                <w:lang w:eastAsia="en-GB"/>
              </w:rPr>
            </w:pPr>
          </w:p>
        </w:tc>
      </w:tr>
      <w:tr w:rsidRPr="00EA2A25" w:rsidR="006F5266" w:rsidTr="00A87C3B" w14:paraId="2FB50362" w14:textId="77777777">
        <w:trPr>
          <w:trHeight w:val="300"/>
        </w:trPr>
        <w:tc>
          <w:tcPr>
            <w:tcW w:w="6804" w:type="dxa"/>
            <w:tcBorders>
              <w:left w:val="nil"/>
              <w:bottom w:val="single" w:color="auto" w:sz="4" w:space="0"/>
              <w:right w:val="nil"/>
            </w:tcBorders>
            <w:noWrap/>
          </w:tcPr>
          <w:p w:rsidRPr="00EA2A25" w:rsidR="006F5266" w:rsidP="00A87C3B" w:rsidRDefault="006F5266" w14:paraId="230C4218" w14:textId="77777777">
            <w:pPr>
              <w:ind w:firstLine="220" w:firstLineChars="100"/>
              <w:rPr>
                <w:rFonts w:ascii="Arial" w:hAnsi="Arial" w:eastAsia="Times New Roman" w:cs="Arial"/>
                <w:sz w:val="20"/>
                <w:szCs w:val="20"/>
              </w:rPr>
            </w:pPr>
            <w:r w:rsidRPr="00EA2A25">
              <w:t>(10) Section 22 - Indicateurs auxiliaires</w:t>
            </w:r>
          </w:p>
        </w:tc>
        <w:tc>
          <w:tcPr>
            <w:tcW w:w="2745" w:type="dxa"/>
            <w:tcBorders>
              <w:left w:val="nil"/>
              <w:right w:val="nil"/>
            </w:tcBorders>
            <w:noWrap/>
          </w:tcPr>
          <w:p w:rsidRPr="00EA2A25" w:rsidR="006F5266" w:rsidP="00A87C3B" w:rsidRDefault="006F5266" w14:paraId="28506810" w14:textId="77777777">
            <w:pPr>
              <w:jc w:val="right"/>
              <w:rPr>
                <w:rFonts w:ascii="Arial" w:hAnsi="Arial" w:eastAsia="Times New Roman" w:cs="Arial"/>
                <w:sz w:val="20"/>
                <w:szCs w:val="20"/>
                <w:lang w:eastAsia="en-GB"/>
              </w:rPr>
            </w:pPr>
          </w:p>
        </w:tc>
      </w:tr>
      <w:tr w:rsidRPr="00EA2A25" w:rsidR="006F5266" w:rsidTr="00A87C3B" w14:paraId="1957FE4F" w14:textId="77777777">
        <w:trPr>
          <w:trHeight w:val="300"/>
        </w:trPr>
        <w:tc>
          <w:tcPr>
            <w:tcW w:w="6804" w:type="dxa"/>
            <w:tcBorders>
              <w:left w:val="nil"/>
              <w:bottom w:val="single" w:color="auto" w:sz="4" w:space="0"/>
              <w:right w:val="nil"/>
            </w:tcBorders>
            <w:noWrap/>
          </w:tcPr>
          <w:p w:rsidRPr="00EA2A25" w:rsidR="006F5266" w:rsidP="00A87C3B" w:rsidRDefault="006F5266" w14:paraId="4E4F8AB6" w14:textId="77777777">
            <w:pPr>
              <w:rPr>
                <w:b/>
                <w:bCs/>
              </w:rPr>
            </w:pPr>
          </w:p>
        </w:tc>
        <w:tc>
          <w:tcPr>
            <w:tcW w:w="2745" w:type="dxa"/>
            <w:tcBorders>
              <w:left w:val="nil"/>
              <w:right w:val="nil"/>
            </w:tcBorders>
            <w:noWrap/>
          </w:tcPr>
          <w:p w:rsidRPr="00EA2A25" w:rsidR="006F5266" w:rsidP="00A87C3B" w:rsidRDefault="006F5266" w14:paraId="5C89463A" w14:textId="77777777">
            <w:pPr>
              <w:jc w:val="center"/>
              <w:rPr>
                <w:b/>
                <w:bCs/>
              </w:rPr>
            </w:pPr>
          </w:p>
        </w:tc>
      </w:tr>
      <w:tr w:rsidRPr="00EA2A25" w:rsidR="006F5266" w:rsidTr="00A87C3B" w14:paraId="10DCAEC1" w14:textId="77777777">
        <w:trPr>
          <w:trHeight w:val="300"/>
        </w:trPr>
        <w:tc>
          <w:tcPr>
            <w:tcW w:w="6804" w:type="dxa"/>
            <w:tcBorders>
              <w:left w:val="nil"/>
              <w:bottom w:val="single" w:color="auto" w:sz="4" w:space="0"/>
              <w:right w:val="nil"/>
            </w:tcBorders>
            <w:noWrap/>
          </w:tcPr>
          <w:p w:rsidRPr="00EA2A25" w:rsidR="006F5266" w:rsidP="00A87C3B" w:rsidRDefault="006F5266" w14:paraId="5FC3CB01" w14:textId="77777777">
            <w:pPr>
              <w:rPr>
                <w:rFonts w:ascii="Arial" w:hAnsi="Arial" w:eastAsia="Times New Roman" w:cs="Arial"/>
                <w:sz w:val="20"/>
                <w:szCs w:val="20"/>
              </w:rPr>
            </w:pPr>
            <w:r w:rsidRPr="00EA2A25">
              <w:rPr>
                <w:b/>
              </w:rPr>
              <w:t>Section 24 – Valeurs des indicateurs (ancienne méthodologie)</w:t>
            </w:r>
          </w:p>
        </w:tc>
        <w:tc>
          <w:tcPr>
            <w:tcW w:w="2745" w:type="dxa"/>
            <w:tcBorders>
              <w:left w:val="nil"/>
              <w:right w:val="nil"/>
            </w:tcBorders>
            <w:noWrap/>
          </w:tcPr>
          <w:p w:rsidRPr="00EA2A25" w:rsidR="006F5266" w:rsidP="00A87C3B" w:rsidRDefault="006F5266" w14:paraId="754FC8F1" w14:textId="77777777">
            <w:pPr>
              <w:jc w:val="center"/>
              <w:rPr>
                <w:rFonts w:ascii="Arial" w:hAnsi="Arial" w:eastAsia="Times New Roman" w:cs="Arial"/>
                <w:sz w:val="20"/>
                <w:szCs w:val="20"/>
              </w:rPr>
            </w:pPr>
            <w:r w:rsidRPr="00EA2A25">
              <w:rPr>
                <w:b/>
              </w:rPr>
              <w:t>Valeur de l’indicateur dans la monnaie de déclaration</w:t>
            </w:r>
          </w:p>
        </w:tc>
      </w:tr>
      <w:tr w:rsidRPr="00EA2A25" w:rsidR="006F5266" w:rsidTr="00A87C3B" w14:paraId="3A8AB245" w14:textId="77777777">
        <w:trPr>
          <w:trHeight w:val="300"/>
        </w:trPr>
        <w:tc>
          <w:tcPr>
            <w:tcW w:w="6804" w:type="dxa"/>
            <w:tcBorders>
              <w:left w:val="nil"/>
              <w:bottom w:val="single" w:color="auto" w:sz="4" w:space="0"/>
              <w:right w:val="nil"/>
            </w:tcBorders>
            <w:noWrap/>
          </w:tcPr>
          <w:p w:rsidRPr="00EA2A25" w:rsidR="006F5266" w:rsidP="00A87C3B" w:rsidRDefault="006F5266" w14:paraId="7D28D67C" w14:textId="77777777">
            <w:pPr>
              <w:ind w:firstLine="220" w:firstLineChars="100"/>
              <w:rPr>
                <w:rFonts w:ascii="Arial" w:hAnsi="Arial" w:eastAsia="Times New Roman" w:cs="Arial"/>
                <w:sz w:val="20"/>
                <w:szCs w:val="20"/>
              </w:rPr>
            </w:pPr>
            <w:r w:rsidRPr="00EA2A25">
              <w:t>a. Section 2 – Indicateur d’expositions totales</w:t>
            </w:r>
          </w:p>
        </w:tc>
        <w:tc>
          <w:tcPr>
            <w:tcW w:w="2745" w:type="dxa"/>
            <w:tcBorders>
              <w:left w:val="nil"/>
              <w:right w:val="nil"/>
            </w:tcBorders>
            <w:noWrap/>
          </w:tcPr>
          <w:p w:rsidRPr="00EA2A25" w:rsidR="006F5266" w:rsidP="00A87C3B" w:rsidRDefault="006F5266" w14:paraId="22B951FA" w14:textId="77777777">
            <w:pPr>
              <w:jc w:val="right"/>
              <w:rPr>
                <w:rFonts w:ascii="Arial" w:hAnsi="Arial" w:eastAsia="Times New Roman" w:cs="Arial"/>
                <w:sz w:val="20"/>
                <w:szCs w:val="20"/>
                <w:lang w:eastAsia="en-GB"/>
              </w:rPr>
            </w:pPr>
          </w:p>
        </w:tc>
      </w:tr>
      <w:tr w:rsidRPr="00EA2A25" w:rsidR="006F5266" w:rsidTr="00A87C3B" w14:paraId="280A5928" w14:textId="77777777">
        <w:trPr>
          <w:trHeight w:val="300"/>
        </w:trPr>
        <w:tc>
          <w:tcPr>
            <w:tcW w:w="6804" w:type="dxa"/>
            <w:tcBorders>
              <w:left w:val="nil"/>
              <w:bottom w:val="single" w:color="auto" w:sz="4" w:space="0"/>
              <w:right w:val="nil"/>
            </w:tcBorders>
            <w:noWrap/>
          </w:tcPr>
          <w:p w:rsidRPr="00EA2A25" w:rsidR="006F5266" w:rsidP="00A87C3B" w:rsidRDefault="006F5266" w14:paraId="75E5E1B9" w14:textId="77777777">
            <w:pPr>
              <w:ind w:firstLine="220" w:firstLineChars="100"/>
              <w:rPr>
                <w:rFonts w:ascii="Arial" w:hAnsi="Arial" w:eastAsia="Times New Roman" w:cs="Arial"/>
                <w:sz w:val="20"/>
                <w:szCs w:val="20"/>
              </w:rPr>
            </w:pPr>
            <w:r w:rsidRPr="00EA2A25">
              <w:t>b. Section 18 — Indicateur d’actifs au sein du système financier</w:t>
            </w:r>
          </w:p>
        </w:tc>
        <w:tc>
          <w:tcPr>
            <w:tcW w:w="2745" w:type="dxa"/>
            <w:tcBorders>
              <w:left w:val="nil"/>
              <w:right w:val="nil"/>
            </w:tcBorders>
            <w:noWrap/>
          </w:tcPr>
          <w:p w:rsidRPr="00EA2A25" w:rsidR="006F5266" w:rsidP="00A87C3B" w:rsidRDefault="006F5266" w14:paraId="0F115C30" w14:textId="77777777">
            <w:pPr>
              <w:jc w:val="right"/>
              <w:rPr>
                <w:rFonts w:ascii="Arial" w:hAnsi="Arial" w:eastAsia="Times New Roman" w:cs="Arial"/>
                <w:sz w:val="20"/>
                <w:szCs w:val="20"/>
                <w:lang w:eastAsia="en-GB"/>
              </w:rPr>
            </w:pPr>
          </w:p>
        </w:tc>
      </w:tr>
      <w:tr w:rsidRPr="00EA2A25" w:rsidR="006F5266" w:rsidTr="00A87C3B" w14:paraId="4140167A" w14:textId="77777777">
        <w:trPr>
          <w:trHeight w:val="300"/>
        </w:trPr>
        <w:tc>
          <w:tcPr>
            <w:tcW w:w="6804" w:type="dxa"/>
            <w:tcBorders>
              <w:left w:val="nil"/>
              <w:bottom w:val="single" w:color="auto" w:sz="4" w:space="0"/>
              <w:right w:val="nil"/>
            </w:tcBorders>
            <w:noWrap/>
          </w:tcPr>
          <w:p w:rsidRPr="00EA2A25" w:rsidR="006F5266" w:rsidP="00A87C3B" w:rsidRDefault="006F5266" w14:paraId="300B2475" w14:textId="77777777">
            <w:pPr>
              <w:ind w:firstLine="220" w:firstLineChars="100"/>
              <w:rPr>
                <w:rFonts w:ascii="Arial" w:hAnsi="Arial" w:eastAsia="Times New Roman" w:cs="Arial"/>
                <w:sz w:val="20"/>
                <w:szCs w:val="20"/>
              </w:rPr>
            </w:pPr>
            <w:r w:rsidRPr="00EA2A25">
              <w:t>c. Section 18 - Indicateur de passifs au sein du système financier</w:t>
            </w:r>
          </w:p>
        </w:tc>
        <w:tc>
          <w:tcPr>
            <w:tcW w:w="2745" w:type="dxa"/>
            <w:tcBorders>
              <w:left w:val="nil"/>
              <w:right w:val="nil"/>
            </w:tcBorders>
            <w:noWrap/>
          </w:tcPr>
          <w:p w:rsidRPr="00EA2A25" w:rsidR="006F5266" w:rsidP="00A87C3B" w:rsidRDefault="006F5266" w14:paraId="36825693" w14:textId="77777777">
            <w:pPr>
              <w:jc w:val="right"/>
              <w:rPr>
                <w:rFonts w:ascii="Arial" w:hAnsi="Arial" w:eastAsia="Times New Roman" w:cs="Arial"/>
                <w:sz w:val="20"/>
                <w:szCs w:val="20"/>
                <w:lang w:eastAsia="en-GB"/>
              </w:rPr>
            </w:pPr>
          </w:p>
        </w:tc>
      </w:tr>
      <w:tr w:rsidRPr="00EA2A25" w:rsidR="006F5266" w:rsidTr="00A87C3B" w14:paraId="5B0FA016" w14:textId="77777777">
        <w:trPr>
          <w:trHeight w:val="300"/>
        </w:trPr>
        <w:tc>
          <w:tcPr>
            <w:tcW w:w="6804" w:type="dxa"/>
            <w:tcBorders>
              <w:left w:val="nil"/>
              <w:bottom w:val="single" w:color="auto" w:sz="4" w:space="0"/>
              <w:right w:val="nil"/>
            </w:tcBorders>
            <w:noWrap/>
          </w:tcPr>
          <w:p w:rsidRPr="00EA2A25" w:rsidR="006F5266" w:rsidP="00A87C3B" w:rsidRDefault="006F5266" w14:paraId="52AB0E53" w14:textId="77777777">
            <w:pPr>
              <w:ind w:firstLine="220" w:firstLineChars="100"/>
              <w:rPr>
                <w:rFonts w:ascii="Arial" w:hAnsi="Arial" w:eastAsia="Times New Roman" w:cs="Arial"/>
                <w:sz w:val="20"/>
                <w:szCs w:val="20"/>
              </w:rPr>
            </w:pPr>
            <w:r w:rsidRPr="00EA2A25">
              <w:t>d. Section 18 - Indicateur d’encours de titres</w:t>
            </w:r>
          </w:p>
        </w:tc>
        <w:tc>
          <w:tcPr>
            <w:tcW w:w="2745" w:type="dxa"/>
            <w:tcBorders>
              <w:left w:val="nil"/>
              <w:right w:val="nil"/>
            </w:tcBorders>
            <w:noWrap/>
          </w:tcPr>
          <w:p w:rsidRPr="00EA2A25" w:rsidR="006F5266" w:rsidP="00A87C3B" w:rsidRDefault="006F5266" w14:paraId="0751755A" w14:textId="77777777">
            <w:pPr>
              <w:jc w:val="right"/>
              <w:rPr>
                <w:rFonts w:ascii="Arial" w:hAnsi="Arial" w:eastAsia="Times New Roman" w:cs="Arial"/>
                <w:sz w:val="20"/>
                <w:szCs w:val="20"/>
                <w:lang w:eastAsia="en-GB"/>
              </w:rPr>
            </w:pPr>
          </w:p>
        </w:tc>
      </w:tr>
      <w:tr w:rsidRPr="00EA2A25" w:rsidR="006F5266" w:rsidTr="00A87C3B" w14:paraId="0732A33C" w14:textId="77777777">
        <w:trPr>
          <w:trHeight w:val="300"/>
        </w:trPr>
        <w:tc>
          <w:tcPr>
            <w:tcW w:w="6804" w:type="dxa"/>
            <w:tcBorders>
              <w:left w:val="nil"/>
              <w:bottom w:val="single" w:color="auto" w:sz="4" w:space="0"/>
              <w:right w:val="nil"/>
            </w:tcBorders>
            <w:noWrap/>
          </w:tcPr>
          <w:p w:rsidRPr="00EA2A25" w:rsidR="006F5266" w:rsidP="00A87C3B" w:rsidRDefault="006F5266" w14:paraId="017D5426" w14:textId="77777777">
            <w:pPr>
              <w:ind w:firstLine="220" w:firstLineChars="100"/>
              <w:rPr>
                <w:rFonts w:ascii="Arial" w:hAnsi="Arial" w:eastAsia="Times New Roman" w:cs="Arial"/>
                <w:sz w:val="20"/>
                <w:szCs w:val="20"/>
              </w:rPr>
            </w:pPr>
            <w:r w:rsidRPr="00EA2A25">
              <w:t>e. Section 6 – Indicateur d’activité de paiement</w:t>
            </w:r>
          </w:p>
        </w:tc>
        <w:tc>
          <w:tcPr>
            <w:tcW w:w="2745" w:type="dxa"/>
            <w:tcBorders>
              <w:left w:val="nil"/>
              <w:right w:val="nil"/>
            </w:tcBorders>
            <w:noWrap/>
          </w:tcPr>
          <w:p w:rsidRPr="00EA2A25" w:rsidR="006F5266" w:rsidP="00A87C3B" w:rsidRDefault="006F5266" w14:paraId="4011D55A" w14:textId="77777777">
            <w:pPr>
              <w:jc w:val="right"/>
              <w:rPr>
                <w:rFonts w:ascii="Arial" w:hAnsi="Arial" w:eastAsia="Times New Roman" w:cs="Arial"/>
                <w:sz w:val="20"/>
                <w:szCs w:val="20"/>
                <w:lang w:eastAsia="en-GB"/>
              </w:rPr>
            </w:pPr>
          </w:p>
        </w:tc>
      </w:tr>
      <w:tr w:rsidRPr="00EA2A25" w:rsidR="006F5266" w:rsidTr="00A87C3B" w14:paraId="35C53B99" w14:textId="77777777">
        <w:trPr>
          <w:trHeight w:val="300"/>
        </w:trPr>
        <w:tc>
          <w:tcPr>
            <w:tcW w:w="6804" w:type="dxa"/>
            <w:tcBorders>
              <w:left w:val="nil"/>
              <w:bottom w:val="single" w:color="auto" w:sz="4" w:space="0"/>
              <w:right w:val="nil"/>
            </w:tcBorders>
            <w:noWrap/>
          </w:tcPr>
          <w:p w:rsidRPr="00EA2A25" w:rsidR="006F5266" w:rsidP="00A87C3B" w:rsidRDefault="006F5266" w14:paraId="3CACE2F4" w14:textId="77777777">
            <w:pPr>
              <w:ind w:firstLine="220" w:firstLineChars="100"/>
              <w:rPr>
                <w:rFonts w:ascii="Arial" w:hAnsi="Arial" w:eastAsia="Times New Roman" w:cs="Arial"/>
                <w:sz w:val="20"/>
                <w:szCs w:val="20"/>
              </w:rPr>
            </w:pPr>
            <w:r w:rsidRPr="00EA2A25">
              <w:t>f. Section 7 – Indicateur d’actifs sous conservation</w:t>
            </w:r>
          </w:p>
        </w:tc>
        <w:tc>
          <w:tcPr>
            <w:tcW w:w="2745" w:type="dxa"/>
            <w:tcBorders>
              <w:left w:val="nil"/>
              <w:right w:val="nil"/>
            </w:tcBorders>
            <w:noWrap/>
          </w:tcPr>
          <w:p w:rsidRPr="00EA2A25" w:rsidR="006F5266" w:rsidP="00A87C3B" w:rsidRDefault="006F5266" w14:paraId="4F8B8048" w14:textId="77777777">
            <w:pPr>
              <w:jc w:val="right"/>
              <w:rPr>
                <w:rFonts w:ascii="Arial" w:hAnsi="Arial" w:eastAsia="Times New Roman" w:cs="Arial"/>
                <w:sz w:val="20"/>
                <w:szCs w:val="20"/>
                <w:lang w:eastAsia="en-GB"/>
              </w:rPr>
            </w:pPr>
          </w:p>
        </w:tc>
      </w:tr>
      <w:tr w:rsidRPr="00EA2A25" w:rsidR="006F5266" w:rsidTr="00A87C3B" w14:paraId="1539D774" w14:textId="77777777">
        <w:trPr>
          <w:trHeight w:val="300"/>
        </w:trPr>
        <w:tc>
          <w:tcPr>
            <w:tcW w:w="6804" w:type="dxa"/>
            <w:tcBorders>
              <w:left w:val="nil"/>
              <w:bottom w:val="single" w:color="auto" w:sz="4" w:space="0"/>
              <w:right w:val="nil"/>
            </w:tcBorders>
            <w:noWrap/>
          </w:tcPr>
          <w:p w:rsidRPr="00EA2A25" w:rsidR="006F5266" w:rsidP="00A87C3B" w:rsidRDefault="006F5266" w14:paraId="6A8C3692" w14:textId="77777777">
            <w:pPr>
              <w:ind w:firstLine="220" w:firstLineChars="100"/>
              <w:rPr>
                <w:rFonts w:ascii="Arial" w:hAnsi="Arial" w:eastAsia="Times New Roman" w:cs="Arial"/>
                <w:sz w:val="20"/>
                <w:szCs w:val="20"/>
              </w:rPr>
            </w:pPr>
            <w:r w:rsidRPr="00EA2A25">
              <w:t>g. Section 8 – Indicateur d’activité de prise ferme</w:t>
            </w:r>
          </w:p>
        </w:tc>
        <w:tc>
          <w:tcPr>
            <w:tcW w:w="2745" w:type="dxa"/>
            <w:tcBorders>
              <w:left w:val="nil"/>
              <w:right w:val="nil"/>
            </w:tcBorders>
            <w:noWrap/>
          </w:tcPr>
          <w:p w:rsidRPr="00EA2A25" w:rsidR="006F5266" w:rsidP="00A87C3B" w:rsidRDefault="006F5266" w14:paraId="20165EA6" w14:textId="77777777">
            <w:pPr>
              <w:jc w:val="right"/>
              <w:rPr>
                <w:rFonts w:ascii="Arial" w:hAnsi="Arial" w:eastAsia="Times New Roman" w:cs="Arial"/>
                <w:sz w:val="20"/>
                <w:szCs w:val="20"/>
                <w:lang w:eastAsia="en-GB"/>
              </w:rPr>
            </w:pPr>
          </w:p>
        </w:tc>
      </w:tr>
      <w:tr w:rsidRPr="00EA2A25" w:rsidR="006F5266" w:rsidTr="00A87C3B" w14:paraId="73562CCD" w14:textId="77777777">
        <w:trPr>
          <w:trHeight w:val="300"/>
        </w:trPr>
        <w:tc>
          <w:tcPr>
            <w:tcW w:w="6804" w:type="dxa"/>
            <w:tcBorders>
              <w:left w:val="nil"/>
              <w:bottom w:val="single" w:color="auto" w:sz="4" w:space="0"/>
              <w:right w:val="nil"/>
            </w:tcBorders>
            <w:noWrap/>
          </w:tcPr>
          <w:p w:rsidRPr="00EA2A25" w:rsidR="006F5266" w:rsidP="00A87C3B" w:rsidRDefault="006F5266" w14:paraId="670B4C1D" w14:textId="77777777">
            <w:pPr>
              <w:ind w:firstLine="220" w:firstLineChars="100"/>
              <w:rPr>
                <w:rFonts w:ascii="Arial" w:hAnsi="Arial" w:eastAsia="Times New Roman" w:cs="Arial"/>
                <w:sz w:val="20"/>
                <w:szCs w:val="20"/>
              </w:rPr>
            </w:pPr>
            <w:r w:rsidRPr="00EA2A25">
              <w:t>h. Section 20 - Indicateur de dérivés de gré à gré</w:t>
            </w:r>
          </w:p>
        </w:tc>
        <w:tc>
          <w:tcPr>
            <w:tcW w:w="2745" w:type="dxa"/>
            <w:tcBorders>
              <w:left w:val="nil"/>
              <w:right w:val="nil"/>
            </w:tcBorders>
            <w:noWrap/>
          </w:tcPr>
          <w:p w:rsidRPr="00EA2A25" w:rsidR="006F5266" w:rsidP="00A87C3B" w:rsidRDefault="006F5266" w14:paraId="3773DF9C" w14:textId="77777777">
            <w:pPr>
              <w:jc w:val="right"/>
              <w:rPr>
                <w:rFonts w:ascii="Arial" w:hAnsi="Arial" w:eastAsia="Times New Roman" w:cs="Arial"/>
                <w:sz w:val="20"/>
                <w:szCs w:val="20"/>
                <w:lang w:eastAsia="en-GB"/>
              </w:rPr>
            </w:pPr>
          </w:p>
        </w:tc>
      </w:tr>
      <w:tr w:rsidRPr="00EA2A25" w:rsidR="006F5266" w:rsidTr="00A87C3B" w14:paraId="6E6CC9CF" w14:textId="77777777">
        <w:trPr>
          <w:trHeight w:val="300"/>
        </w:trPr>
        <w:tc>
          <w:tcPr>
            <w:tcW w:w="6804" w:type="dxa"/>
            <w:tcBorders>
              <w:left w:val="nil"/>
              <w:bottom w:val="single" w:color="auto" w:sz="4" w:space="0"/>
              <w:right w:val="nil"/>
            </w:tcBorders>
            <w:noWrap/>
          </w:tcPr>
          <w:p w:rsidRPr="00EA2A25" w:rsidR="006F5266" w:rsidP="00A87C3B" w:rsidRDefault="006F5266" w14:paraId="4C01991A" w14:textId="77777777">
            <w:pPr>
              <w:ind w:firstLine="220" w:firstLineChars="100"/>
              <w:rPr>
                <w:rFonts w:ascii="Arial" w:hAnsi="Arial" w:eastAsia="Times New Roman" w:cs="Arial"/>
                <w:sz w:val="20"/>
                <w:szCs w:val="20"/>
              </w:rPr>
            </w:pPr>
            <w:r w:rsidRPr="00EA2A25">
              <w:t>I. Section 11 — Indicateur de titres HFT et AFS</w:t>
            </w:r>
          </w:p>
        </w:tc>
        <w:tc>
          <w:tcPr>
            <w:tcW w:w="2745" w:type="dxa"/>
            <w:tcBorders>
              <w:left w:val="nil"/>
              <w:right w:val="nil"/>
            </w:tcBorders>
            <w:noWrap/>
          </w:tcPr>
          <w:p w:rsidRPr="00EA2A25" w:rsidR="006F5266" w:rsidP="00A87C3B" w:rsidRDefault="006F5266" w14:paraId="745B522F" w14:textId="77777777">
            <w:pPr>
              <w:jc w:val="right"/>
              <w:rPr>
                <w:rFonts w:ascii="Arial" w:hAnsi="Arial" w:eastAsia="Times New Roman" w:cs="Arial"/>
                <w:sz w:val="20"/>
                <w:szCs w:val="20"/>
                <w:lang w:eastAsia="en-GB"/>
              </w:rPr>
            </w:pPr>
          </w:p>
        </w:tc>
      </w:tr>
      <w:tr w:rsidRPr="00EA2A25" w:rsidR="006F5266" w:rsidTr="00A87C3B" w14:paraId="0665A29F" w14:textId="77777777">
        <w:trPr>
          <w:trHeight w:val="300"/>
        </w:trPr>
        <w:tc>
          <w:tcPr>
            <w:tcW w:w="6804" w:type="dxa"/>
            <w:tcBorders>
              <w:left w:val="nil"/>
              <w:bottom w:val="single" w:color="auto" w:sz="4" w:space="0"/>
              <w:right w:val="nil"/>
            </w:tcBorders>
            <w:noWrap/>
          </w:tcPr>
          <w:p w:rsidRPr="00EA2A25" w:rsidR="006F5266" w:rsidP="00A87C3B" w:rsidRDefault="006F5266" w14:paraId="5E870A66" w14:textId="77777777">
            <w:pPr>
              <w:ind w:firstLine="220" w:firstLineChars="100"/>
              <w:rPr>
                <w:rFonts w:ascii="Arial" w:hAnsi="Arial" w:eastAsia="Times New Roman" w:cs="Arial"/>
                <w:sz w:val="20"/>
                <w:szCs w:val="20"/>
              </w:rPr>
            </w:pPr>
            <w:r w:rsidRPr="00EA2A25">
              <w:t>j. Section 20 - Indicateur d’actifs de niveau 3</w:t>
            </w:r>
          </w:p>
        </w:tc>
        <w:tc>
          <w:tcPr>
            <w:tcW w:w="2745" w:type="dxa"/>
            <w:tcBorders>
              <w:left w:val="nil"/>
              <w:right w:val="nil"/>
            </w:tcBorders>
            <w:noWrap/>
          </w:tcPr>
          <w:p w:rsidRPr="00EA2A25" w:rsidR="006F5266" w:rsidP="00A87C3B" w:rsidRDefault="006F5266" w14:paraId="7DA6E329" w14:textId="77777777">
            <w:pPr>
              <w:jc w:val="right"/>
              <w:rPr>
                <w:rFonts w:ascii="Arial" w:hAnsi="Arial" w:eastAsia="Times New Roman" w:cs="Arial"/>
                <w:sz w:val="20"/>
                <w:szCs w:val="20"/>
                <w:lang w:eastAsia="en-GB"/>
              </w:rPr>
            </w:pPr>
          </w:p>
        </w:tc>
      </w:tr>
      <w:tr w:rsidRPr="00EA2A25" w:rsidR="006F5266" w:rsidTr="00A87C3B" w14:paraId="2833E583" w14:textId="77777777">
        <w:trPr>
          <w:trHeight w:val="300"/>
        </w:trPr>
        <w:tc>
          <w:tcPr>
            <w:tcW w:w="6804" w:type="dxa"/>
            <w:tcBorders>
              <w:left w:val="nil"/>
              <w:bottom w:val="single" w:color="auto" w:sz="4" w:space="0"/>
              <w:right w:val="nil"/>
            </w:tcBorders>
            <w:noWrap/>
          </w:tcPr>
          <w:p w:rsidRPr="00EA2A25" w:rsidR="006F5266" w:rsidP="00A87C3B" w:rsidRDefault="006F5266" w14:paraId="041C51A8" w14:textId="77777777">
            <w:pPr>
              <w:ind w:firstLine="220" w:firstLineChars="100"/>
              <w:rPr>
                <w:rFonts w:ascii="Arial" w:hAnsi="Arial" w:eastAsia="Times New Roman" w:cs="Arial"/>
                <w:sz w:val="20"/>
                <w:szCs w:val="20"/>
              </w:rPr>
            </w:pPr>
            <w:r w:rsidRPr="00EA2A25">
              <w:t>k. Section 13 - Indicateur de créances transfrontières</w:t>
            </w:r>
          </w:p>
        </w:tc>
        <w:tc>
          <w:tcPr>
            <w:tcW w:w="2745" w:type="dxa"/>
            <w:tcBorders>
              <w:left w:val="nil"/>
              <w:right w:val="nil"/>
            </w:tcBorders>
            <w:noWrap/>
          </w:tcPr>
          <w:p w:rsidRPr="00EA2A25" w:rsidR="006F5266" w:rsidP="00A87C3B" w:rsidRDefault="006F5266" w14:paraId="4D754DBB" w14:textId="77777777">
            <w:pPr>
              <w:jc w:val="right"/>
              <w:rPr>
                <w:rFonts w:ascii="Arial" w:hAnsi="Arial" w:eastAsia="Times New Roman" w:cs="Arial"/>
                <w:sz w:val="20"/>
                <w:szCs w:val="20"/>
                <w:lang w:eastAsia="en-GB"/>
              </w:rPr>
            </w:pPr>
          </w:p>
        </w:tc>
      </w:tr>
      <w:tr w:rsidRPr="00EA2A25" w:rsidR="006F5266" w:rsidTr="00A87C3B" w14:paraId="446A69F0" w14:textId="77777777">
        <w:trPr>
          <w:trHeight w:val="300"/>
        </w:trPr>
        <w:tc>
          <w:tcPr>
            <w:tcW w:w="6804" w:type="dxa"/>
            <w:tcBorders>
              <w:left w:val="nil"/>
              <w:bottom w:val="single" w:color="auto" w:sz="4" w:space="0"/>
              <w:right w:val="nil"/>
            </w:tcBorders>
            <w:noWrap/>
          </w:tcPr>
          <w:p w:rsidRPr="00EA2A25" w:rsidR="006F5266" w:rsidP="00A87C3B" w:rsidRDefault="006F5266" w14:paraId="69F89F9D" w14:textId="77777777">
            <w:pPr>
              <w:ind w:firstLine="220" w:firstLineChars="100"/>
              <w:rPr>
                <w:rFonts w:ascii="Arial" w:hAnsi="Arial" w:eastAsia="Times New Roman" w:cs="Arial"/>
                <w:sz w:val="20"/>
                <w:szCs w:val="20"/>
              </w:rPr>
            </w:pPr>
            <w:r w:rsidRPr="00EA2A25">
              <w:t>l. Section 21 - Indicateur de passifs transfrontières</w:t>
            </w:r>
          </w:p>
        </w:tc>
        <w:tc>
          <w:tcPr>
            <w:tcW w:w="2745" w:type="dxa"/>
            <w:tcBorders>
              <w:left w:val="nil"/>
              <w:right w:val="nil"/>
            </w:tcBorders>
            <w:noWrap/>
          </w:tcPr>
          <w:p w:rsidRPr="00EA2A25" w:rsidR="006F5266" w:rsidP="00A87C3B" w:rsidRDefault="006F5266" w14:paraId="02103FC0" w14:textId="77777777">
            <w:pPr>
              <w:jc w:val="right"/>
              <w:rPr>
                <w:rFonts w:ascii="Arial" w:hAnsi="Arial" w:eastAsia="Times New Roman" w:cs="Arial"/>
                <w:sz w:val="20"/>
                <w:szCs w:val="20"/>
                <w:lang w:eastAsia="en-GB"/>
              </w:rPr>
            </w:pPr>
          </w:p>
        </w:tc>
      </w:tr>
    </w:tbl>
    <w:p w:rsidRPr="00EA2A25" w:rsidR="006F5266" w:rsidP="006F5266" w:rsidRDefault="006F5266" w14:paraId="416EF714" w14:textId="77777777">
      <w:pPr>
        <w:widowControl w:val="0"/>
        <w:tabs>
          <w:tab w:val="left" w:pos="1116"/>
        </w:tabs>
        <w:autoSpaceDE w:val="0"/>
        <w:spacing w:before="10"/>
      </w:pPr>
    </w:p>
    <w:p w:rsidRPr="00EA2A25" w:rsidR="006F5266" w:rsidP="006F5266" w:rsidRDefault="006F5266" w14:paraId="59099168" w14:textId="77777777">
      <w:pPr>
        <w:pStyle w:val="BodyText"/>
        <w:spacing w:line="20" w:lineRule="exact"/>
        <w:rPr>
          <w:sz w:val="2"/>
        </w:rPr>
      </w:pPr>
    </w:p>
    <w:p w:rsidRPr="0016372E" w:rsidR="00B43E07" w:rsidP="00F9329F" w:rsidRDefault="00B43E07" w14:paraId="609D9107" w14:textId="34CF2015">
      <w:pPr>
        <w:pStyle w:val="TableParagraph"/>
        <w:spacing w:before="11"/>
      </w:pPr>
    </w:p>
    <w:sectPr w:rsidRPr="0016372E" w:rsidR="00B43E07" w:rsidSect="00BD5ED2">
      <w:pgSz w:w="11900" w:h="16840"/>
      <w:pgMar w:top="2268" w:right="1418" w:bottom="1134" w:left="1701" w:header="709" w:footer="39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08D14" w14:textId="77777777" w:rsidR="002A710B" w:rsidRDefault="002A710B" w:rsidP="00A00E34">
      <w:r>
        <w:separator/>
      </w:r>
    </w:p>
    <w:p w14:paraId="79A142A8" w14:textId="77777777" w:rsidR="002A710B" w:rsidRDefault="002A710B"/>
  </w:endnote>
  <w:endnote w:type="continuationSeparator" w:id="0">
    <w:p w14:paraId="6B0D9C2B" w14:textId="77777777" w:rsidR="002A710B" w:rsidRDefault="002A710B" w:rsidP="00A00E34">
      <w:r>
        <w:continuationSeparator/>
      </w:r>
    </w:p>
    <w:p w14:paraId="042CFB49" w14:textId="77777777" w:rsidR="002A710B" w:rsidRDefault="002A71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5B1D" w:rsidP="0017667F" w:rsidRDefault="000D5B1D" w14:paraId="142C28E2" w14:textId="19EF6009">
    <w:pPr>
      <w:pStyle w:val="Footer"/>
      <w:rPr>
        <w:rStyle w:val="PageNumber"/>
        <w:noProof/>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0D5B1D" w:rsidP="00610305" w:rsidRDefault="000D5B1D" w14:paraId="7D2916CD" w14:textId="77777777">
    <w:pPr>
      <w:pStyle w:val="Footer"/>
      <w:ind w:right="360"/>
      <w:rPr>
        <w:noProof/>
      </w:rPr>
    </w:pPr>
  </w:p>
</w:ftr>
</file>

<file path=word/footer2.xml><?xml version="1.0" encoding="utf-8"?>
<w:ftr xmlns:a="http://schemas.openxmlformats.org/drawingml/2006/main" xmlns:ma14="http://schemas.microsoft.com/office/mac/drawingml/2011/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6372E" w:rsidR="000D5B1D" w:rsidP="00BD5ED2" w:rsidRDefault="000D5B1D" w14:paraId="7C3A9832" w14:textId="1E7FD9A9">
    <w:pPr>
      <w:pStyle w:val="Footer"/>
      <w:jc w:val="right"/>
      <w:rPr>
        <w:rStyle w:val="PageNumber"/>
        <w:noProof/>
      </w:rPr>
    </w:pPr>
    <w:r w:rsidRPr="0016372E">
      <w:rPr>
        <w:rStyle w:val="PageNumber"/>
      </w:rPr>
      <w:fldChar w:fldCharType="begin"/>
    </w:r>
    <w:r w:rsidRPr="0016372E">
      <w:rPr>
        <w:rStyle w:val="PageNumber"/>
      </w:rPr>
      <w:instrText xml:space="preserve">PAGE  </w:instrText>
    </w:r>
    <w:r w:rsidRPr="0016372E">
      <w:rPr>
        <w:rStyle w:val="PageNumber"/>
      </w:rPr>
      <w:fldChar w:fldCharType="separate"/>
    </w:r>
    <w:r w:rsidR="00216E31">
      <w:rPr>
        <w:rStyle w:val="PageNumber"/>
        <w:noProof/>
      </w:rPr>
      <w:t>16</w:t>
    </w:r>
    <w:r w:rsidRPr="0016372E">
      <w:rPr>
        <w:rStyle w:val="PageNumber"/>
      </w:rPr>
      <w:fldChar w:fldCharType="end"/>
    </w:r>
  </w:p>
  <w:p w:rsidRPr="0016372E" w:rsidR="000D5B1D" w:rsidP="00610305" w:rsidRDefault="000D5B1D" w14:paraId="6EEDA3DB" w14:textId="77777777">
    <w:pPr>
      <w:pStyle w:val="Footer"/>
      <w:ind w:right="360"/>
      <w:rPr>
        <w:noProof/>
      </w:rPr>
    </w:pPr>
    <w:r w:rsidRPr="0016372E">
      <w:rPr>
        <w:noProof/>
        <w:lang w:val="en-GB" w:eastAsia="en-GB"/>
      </w:rPr>
      <mc:AlternateContent>
        <mc:Choice Requires="wps">
          <w:drawing>
            <wp:anchor distT="4294967295" distB="4294967295" distL="114300" distR="114300" simplePos="0" relativeHeight="251657728" behindDoc="1" locked="1" layoutInCell="1" allowOverlap="1" wp14:editId="03F879D1" wp14:anchorId="127A96D1">
              <wp:simplePos x="0" y="0"/>
              <wp:positionH relativeFrom="column">
                <wp:posOffset>-71120</wp:posOffset>
              </wp:positionH>
              <wp:positionV relativeFrom="page">
                <wp:posOffset>9973309</wp:posOffset>
              </wp:positionV>
              <wp:extent cx="5723890" cy="0"/>
              <wp:effectExtent l="0" t="0" r="1016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ma14="http://schemas.microsoft.com/office/mac/drawingml/2011/main">
          <w:pict>
            <v:line id="Straight Connector 10"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o:spid="_x0000_s1026" strokecolor="#2f5773 [3204]"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T+m3SjQCAACKBAAADgAAAAAAAAAAAAAAAAAu&#10;AgAAZHJzL2Uyb0RvYy54bWxQSwECLQAUAAYACAAAACEAhpMb/NwAAAANAQAADwAAAAAAAAAAAAAA&#10;AACOBAAAZHJzL2Rvd25yZXYueG1sUEsFBgAAAAAEAAQA8wAAAJcFAAAAAA==&#10;" from="-5.6pt,785.3pt" to="445.1pt,785.3pt" w14:anchorId="18EAF944">
              <o:lock v:ext="edit" shapetype="f"/>
              <w10:wrap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5B1D" w:rsidRDefault="000D5B1D" w14:paraId="3A2EF8B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03A48" w14:textId="77777777" w:rsidR="002A710B" w:rsidRPr="00DB5E8F" w:rsidRDefault="002A710B">
      <w:pPr>
        <w:rPr>
          <w:sz w:val="12"/>
          <w:szCs w:val="12"/>
        </w:rPr>
      </w:pPr>
      <w:r w:rsidRPr="00DB5E8F">
        <w:rPr>
          <w:sz w:val="12"/>
          <w:szCs w:val="12"/>
        </w:rPr>
        <w:separator/>
      </w:r>
    </w:p>
  </w:footnote>
  <w:footnote w:type="continuationSeparator" w:id="0">
    <w:p w14:paraId="66788D13" w14:textId="77777777" w:rsidR="002A710B" w:rsidRDefault="002A710B" w:rsidP="00A00E34">
      <w:r>
        <w:continuationSeparator/>
      </w:r>
    </w:p>
    <w:p w14:paraId="39C8F662" w14:textId="77777777" w:rsidR="002A710B" w:rsidRDefault="002A710B"/>
  </w:footnote>
  <w:footnote w:type="continuationNotice" w:id="1">
    <w:p w14:paraId="4E71A787" w14:textId="77777777" w:rsidR="002A710B" w:rsidRDefault="002A710B"/>
  </w:footnote>
  <w:footnote w:id="2">
    <w:p w14:paraId="2B9C6101" w14:textId="2B4968B2" w:rsidR="000D5B1D" w:rsidRPr="0016372E" w:rsidRDefault="000D5B1D" w:rsidP="00C92B4B">
      <w:pPr>
        <w:pStyle w:val="FootnoteText"/>
        <w:rPr>
          <w:rFonts w:ascii="Calibri" w:hAnsi="Calibri" w:cs="Calibri"/>
        </w:rPr>
      </w:pPr>
      <w:r w:rsidRPr="0016372E">
        <w:rPr>
          <w:rStyle w:val="FootnoteReference"/>
          <w:rFonts w:ascii="Calibri" w:hAnsi="Calibri" w:cs="Calibri"/>
          <w:sz w:val="18"/>
        </w:rPr>
        <w:footnoteRef/>
      </w:r>
      <w:r w:rsidRPr="0016372E">
        <w:rPr>
          <w:rFonts w:ascii="Calibri" w:hAnsi="Calibri"/>
        </w:rPr>
        <w:t xml:space="preserve"> Règlement (UE) nº 1093/2010 du Parlement européen et du Conseil du 24 novembre 2010 instituant une Autorité européenne de surveillance (Autorité bancaire européenne), modifiant la décision nº 716/2009/CE et abrogeant la décision 2009/78/CE de la Commission (JO L 331 du 15.12.2010, p. 12).</w:t>
      </w:r>
    </w:p>
  </w:footnote>
  <w:footnote w:id="3">
    <w:p w14:paraId="3AF1BD30" w14:textId="77777777" w:rsidR="006F5266" w:rsidRPr="00EA2A25" w:rsidRDefault="006F5266" w:rsidP="006F5266">
      <w:pPr>
        <w:pStyle w:val="FootnoteText"/>
      </w:pPr>
      <w:r w:rsidRPr="00EA2A25">
        <w:rPr>
          <w:rStyle w:val="FootnoteReference"/>
          <w:lang w:val="en-GB"/>
        </w:rPr>
        <w:footnoteRef/>
      </w:r>
      <w:r w:rsidRPr="005D5B32">
        <w:rPr>
          <w:rFonts w:ascii="Calibri" w:eastAsia="Calibri" w:hAnsi="Calibri" w:cs="Calibri"/>
          <w:sz w:val="20"/>
          <w:szCs w:val="20"/>
        </w:rPr>
        <w:t>https://www.eba.europa.eu/risk-analysis-and-data/global-systemically-important-institutions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5B1D" w:rsidRDefault="000D5B1D" w14:paraId="41B1516F" w14:textId="12C57839">
    <w:pPr>
      <w:rPr>
        <w:noProof/>
      </w:rPr>
    </w:pPr>
    <w:r>
      <w:ptab w:alignment="center" w:relativeTo="margin" w:leader="none"/>
    </w:r>
    <w:r>
      <w:ptab w:alignment="right" w:relativeTo="margin" w:leader="none"/>
    </w:r>
  </w:p>
  <w:p w:rsidR="000D5B1D" w:rsidRDefault="000D5B1D" w14:paraId="4A8DE438" w14:textId="77777777">
    <w:pPr>
      <w:rPr>
        <w:noProof/>
      </w:rPr>
    </w:pPr>
  </w:p>
</w:hdr>
</file>

<file path=word/header2.xml><?xml version="1.0" encoding="utf-8"?>
<w:hdr xmlns:a="http://schemas.openxmlformats.org/drawingml/2006/main" xmlns:pic="http://schemas.openxmlformats.org/drawingml/2006/picture" xmlns:a14="http://schemas.microsoft.com/office/drawing/2010/main" xmlns:ma14="http://schemas.microsoft.com/office/mac/drawingml/2011/main" xmlns:mv="urn:schemas-microsoft-com:mac:vml" xmlns:mo="http://schemas.microsoft.com/office/mac/office/2008/main" xmlns:arto="http://schemas.microsoft.com/office/word/2006/arto"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6372E" w:rsidR="000D5B1D" w:rsidP="002215B5" w:rsidRDefault="000D5B1D" w14:paraId="233A6472" w14:textId="42F4713B">
    <w:pPr>
      <w:pStyle w:val="Runningtitle"/>
      <w:rPr>
        <w:noProof/>
      </w:rPr>
    </w:pPr>
    <w:r w:rsidRPr="0016372E">
      <w:rPr>
        <w:noProof/>
        <w:lang w:val="en-GB" w:eastAsia="en-GB"/>
      </w:rPr>
      <w:drawing>
        <wp:anchor distT="0" distB="0" distL="114300" distR="114300" simplePos="0" relativeHeight="251671040" behindDoc="0" locked="0" layoutInCell="1" allowOverlap="1" wp14:editId="234C082C" wp14:anchorId="427C9B91">
          <wp:simplePos x="0" y="0"/>
          <wp:positionH relativeFrom="column">
            <wp:posOffset>4739392</wp:posOffset>
          </wp:positionH>
          <wp:positionV relativeFrom="page">
            <wp:posOffset>450215</wp:posOffset>
          </wp:positionV>
          <wp:extent cx="1207770" cy="447675"/>
          <wp:effectExtent l="0" t="0" r="0" b="9525"/>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207770" cy="447675"/>
                  </a:xfrm>
                  <a:prstGeom prst="rect">
                    <a:avLst/>
                  </a:prstGeom>
                  <a:extLst>
                    <a:ext uri="{FAA26D3D-D897-4be2-8F04-BA451C77F1D7}">
                      <ma14:placeholderFlag xmlns:a14="http://schemas.microsoft.com/office/drawing/2010/main"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arto="http://schemas.microsoft.com/office/word/2006/arto"/>
                    </a:ext>
                  </a:extLst>
                </pic:spPr>
              </pic:pic>
            </a:graphicData>
          </a:graphic>
        </wp:anchor>
      </w:drawing>
    </w:r>
    <w:r w:rsidRPr="0016372E">
      <w:t>Rapport FINAL pour les orientations de l’ABE concernant la spécification des</w:t>
    </w:r>
  </w:p>
  <w:p w:rsidRPr="0016372E" w:rsidR="000D5B1D" w:rsidP="002215B5" w:rsidRDefault="000D5B1D" w14:paraId="122C2463" w14:textId="77777777">
    <w:pPr>
      <w:pStyle w:val="Runningtitle"/>
      <w:rPr>
        <w:noProof/>
      </w:rPr>
    </w:pPr>
    <w:r w:rsidRPr="0016372E">
      <w:t>indicateurs d’importance systémique et la publication de ces indicateurs</w:t>
    </w:r>
  </w:p>
  <w:p w:rsidRPr="0016372E" w:rsidR="000D5B1D" w:rsidP="002215B5" w:rsidRDefault="000D5B1D" w14:paraId="750CEC09" w14:textId="5D2D20C5">
    <w:pPr>
      <w:pStyle w:val="Header"/>
      <w:rPr>
        <w:noProof/>
      </w:rPr>
    </w:pPr>
  </w:p>
</w:hdr>
</file>

<file path=word/header3.xml><?xml version="1.0" encoding="utf-8"?>
<w:hdr xmlns:a="http://schemas.openxmlformats.org/drawingml/2006/main" xmlns:pic="http://schemas.openxmlformats.org/drawingml/2006/picture" xmlns:a14="http://schemas.microsoft.com/office/drawing/2010/main" xmlns:mo="http://schemas.microsoft.com/office/mac/office/2008/main" xmlns:mv="urn:schemas-microsoft-com:mac:vml" xmlns:ma14="http://schemas.microsoft.com/office/mac/drawingml/2011/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5B1D" w:rsidP="00E677EF" w:rsidRDefault="000D5B1D" w14:paraId="6E4DF7C2" w14:textId="77777777">
    <w:pPr>
      <w:pStyle w:val="Runningtitle"/>
      <w:rPr>
        <w:noProof/>
      </w:rPr>
    </w:pPr>
    <w:r>
      <w:t>le titre courant apparaît ici dans le style de titre courant</w:t>
    </w:r>
    <w:r>
      <w:rPr>
        <w:noProof/>
        <w:lang w:val="en-GB" w:eastAsia="en-GB"/>
      </w:rPr>
      <w:drawing>
        <wp:anchor distT="0" distB="0" distL="114300" distR="114300" simplePos="0" relativeHeight="251653632" behindDoc="1" locked="1" layoutInCell="1" allowOverlap="0" wp14:editId="569AD1BD" wp14:anchorId="6E65E8A4">
          <wp:simplePos x="0" y="0"/>
          <wp:positionH relativeFrom="page">
            <wp:posOffset>4702175</wp:posOffset>
          </wp:positionH>
          <wp:positionV relativeFrom="page">
            <wp:posOffset>450215</wp:posOffset>
          </wp:positionV>
          <wp:extent cx="1941830" cy="719455"/>
          <wp:effectExtent l="0" t="0" r="0" b="0"/>
          <wp:wrapNone/>
          <wp:docPr id="124"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941830" cy="719455"/>
                  </a:xfrm>
                  <a:prstGeom prst="rect">
                    <a:avLst/>
                  </a:prstGeom>
                  <a:extLst>
                    <a:ext uri="{FAA26D3D-D897-4be2-8F04-BA451C77F1D7}">
                      <ma14:placeholderFlag xmlns:a14="http://schemas.microsoft.com/office/drawing/2010/main"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val="1"/>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B7860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5078C"/>
    <w:multiLevelType w:val="hybridMultilevel"/>
    <w:tmpl w:val="D53853DA"/>
    <w:lvl w:ilvl="0" w:tplc="AFE0D250">
      <w:start w:val="1"/>
      <w:numFmt w:val="bullet"/>
      <w:pStyle w:val="List"/>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313DF"/>
    <w:multiLevelType w:val="hybridMultilevel"/>
    <w:tmpl w:val="A8C659F6"/>
    <w:lvl w:ilvl="0" w:tplc="9174AD42">
      <w:start w:val="1"/>
      <w:numFmt w:val="bullet"/>
      <w:pStyle w:val="bullet1"/>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8F008E"/>
    <w:multiLevelType w:val="hybridMultilevel"/>
    <w:tmpl w:val="0CEAE5E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B2B3A92"/>
    <w:multiLevelType w:val="singleLevel"/>
    <w:tmpl w:val="73D64A0E"/>
    <w:name w:val="Considérant__1"/>
    <w:lvl w:ilvl="0">
      <w:start w:val="1"/>
      <w:numFmt w:val="decimal"/>
      <w:lvlRestart w:val="0"/>
      <w:pStyle w:val="Considrant"/>
      <w:lvlText w:val="(%1)"/>
      <w:lvlJc w:val="left"/>
      <w:pPr>
        <w:tabs>
          <w:tab w:val="num" w:pos="709"/>
        </w:tabs>
        <w:ind w:left="709" w:hanging="709"/>
      </w:pPr>
    </w:lvl>
  </w:abstractNum>
  <w:abstractNum w:abstractNumId="5" w15:restartNumberingAfterBreak="0">
    <w:nsid w:val="2D0B464E"/>
    <w:multiLevelType w:val="multilevel"/>
    <w:tmpl w:val="D26C2EE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6" w15:restartNumberingAfterBreak="0">
    <w:nsid w:val="3A0333F1"/>
    <w:multiLevelType w:val="hybridMultilevel"/>
    <w:tmpl w:val="8B967D4E"/>
    <w:lvl w:ilvl="0" w:tplc="963C153A">
      <w:start w:val="1"/>
      <w:numFmt w:val="lowerLetter"/>
      <w:pStyle w:val="Numberedtitlelevel4"/>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435DEC"/>
    <w:multiLevelType w:val="hybridMultilevel"/>
    <w:tmpl w:val="BC245978"/>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E684A36"/>
    <w:multiLevelType w:val="hybridMultilevel"/>
    <w:tmpl w:val="79E817B8"/>
    <w:lvl w:ilvl="0" w:tplc="770A29DE">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C27D48"/>
    <w:multiLevelType w:val="hybridMultilevel"/>
    <w:tmpl w:val="B15CC8FC"/>
    <w:lvl w:ilvl="0" w:tplc="090C4D3E">
      <w:start w:val="1"/>
      <w:numFmt w:val="bullet"/>
      <w:pStyle w:val="bullet2"/>
      <w:lvlText w:val=""/>
      <w:lvlJc w:val="left"/>
      <w:pPr>
        <w:tabs>
          <w:tab w:val="num" w:pos="680"/>
        </w:tabs>
        <w:ind w:left="680" w:hanging="34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0227369"/>
    <w:multiLevelType w:val="hybridMultilevel"/>
    <w:tmpl w:val="C2D88122"/>
    <w:lvl w:ilvl="0" w:tplc="4A2A8390">
      <w:start w:val="1"/>
      <w:numFmt w:val="decimal"/>
      <w:pStyle w:val="numberedparagraph"/>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CD57BB"/>
    <w:multiLevelType w:val="multilevel"/>
    <w:tmpl w:val="201419E8"/>
    <w:lvl w:ilvl="0">
      <w:start w:val="1"/>
      <w:numFmt w:val="decimal"/>
      <w:pStyle w:val="Numberedtilelevel1"/>
      <w:lvlText w:val="%1."/>
      <w:lvlJc w:val="left"/>
      <w:pPr>
        <w:ind w:left="0" w:firstLine="0"/>
      </w:pPr>
      <w:rPr>
        <w:rFonts w:hint="default"/>
      </w:rPr>
    </w:lvl>
    <w:lvl w:ilvl="1">
      <w:start w:val="1"/>
      <w:numFmt w:val="decimal"/>
      <w:pStyle w:val="Numberedtitlelevel2"/>
      <w:lvlText w:val="%1.%2"/>
      <w:lvlJc w:val="left"/>
      <w:pPr>
        <w:ind w:left="0" w:firstLine="0"/>
      </w:pPr>
      <w:rPr>
        <w:rFonts w:hint="default"/>
      </w:rPr>
    </w:lvl>
    <w:lvl w:ilvl="2">
      <w:start w:val="1"/>
      <w:numFmt w:val="decimal"/>
      <w:pStyle w:val="Numberedtitlelevel3"/>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2" w15:restartNumberingAfterBreak="0">
    <w:nsid w:val="71064D88"/>
    <w:multiLevelType w:val="hybridMultilevel"/>
    <w:tmpl w:val="DACEA436"/>
    <w:lvl w:ilvl="0" w:tplc="3502039C">
      <w:start w:val="1"/>
      <w:numFmt w:val="bullet"/>
      <w:pStyle w:val="List1"/>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0A1380"/>
    <w:multiLevelType w:val="hybridMultilevel"/>
    <w:tmpl w:val="9D64AE7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C907B06"/>
    <w:multiLevelType w:val="hybridMultilevel"/>
    <w:tmpl w:val="D11224FC"/>
    <w:lvl w:ilvl="0" w:tplc="10CCB78C">
      <w:start w:val="11"/>
      <w:numFmt w:val="decimal"/>
      <w:lvlText w:val="%1."/>
      <w:lvlJc w:val="left"/>
      <w:pPr>
        <w:ind w:left="36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abstractNumId w:val="9"/>
  </w:num>
  <w:num w:numId="2">
    <w:abstractNumId w:val="2"/>
  </w:num>
  <w:num w:numId="3">
    <w:abstractNumId w:val="5"/>
  </w:num>
  <w:num w:numId="4">
    <w:abstractNumId w:val="6"/>
  </w:num>
  <w:num w:numId="5">
    <w:abstractNumId w:val="12"/>
  </w:num>
  <w:num w:numId="6">
    <w:abstractNumId w:val="1"/>
  </w:num>
  <w:num w:numId="7">
    <w:abstractNumId w:val="11"/>
  </w:num>
  <w:num w:numId="8">
    <w:abstractNumId w:val="10"/>
  </w:num>
  <w:num w:numId="9">
    <w:abstractNumId w:val="0"/>
  </w:num>
  <w:num w:numId="10">
    <w:abstractNumId w:val="13"/>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
  </w:num>
  <w:num w:numId="15">
    <w:abstractNumId w:val="8"/>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fr-LU" w:vendorID="64" w:dllVersion="6" w:nlCheck="1" w:checkStyle="0"/>
  <w:activeWritingStyle w:appName="MSWord" w:lang="fr-FR" w:vendorID="64" w:dllVersion="4096" w:nlCheck="1" w:checkStyle="0"/>
  <w:activeWritingStyle w:appName="MSWord" w:lang="fr-LU" w:vendorID="64" w:dllVersion="4096" w:nlCheck="1" w:checkStyle="0"/>
  <w:activeWritingStyle w:appName="MSWord" w:lang="en-GB" w:vendorID="64" w:dllVersion="4096" w:nlCheck="1" w:checkStyle="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BA GL-REC 20XX XX (FINAL GLS-REC ON"/>
  </w:docVars>
  <w:rsids>
    <w:rsidRoot w:val="006307A5"/>
    <w:rsid w:val="00001873"/>
    <w:rsid w:val="00002BCF"/>
    <w:rsid w:val="00003F50"/>
    <w:rsid w:val="0001213D"/>
    <w:rsid w:val="00013281"/>
    <w:rsid w:val="00020213"/>
    <w:rsid w:val="00021E10"/>
    <w:rsid w:val="000231B7"/>
    <w:rsid w:val="00027CA0"/>
    <w:rsid w:val="00030D65"/>
    <w:rsid w:val="00040129"/>
    <w:rsid w:val="00051823"/>
    <w:rsid w:val="00060F40"/>
    <w:rsid w:val="00062830"/>
    <w:rsid w:val="0007574B"/>
    <w:rsid w:val="000774B3"/>
    <w:rsid w:val="000843CD"/>
    <w:rsid w:val="00087EEC"/>
    <w:rsid w:val="000A1C81"/>
    <w:rsid w:val="000A3851"/>
    <w:rsid w:val="000A5345"/>
    <w:rsid w:val="000B1645"/>
    <w:rsid w:val="000B2614"/>
    <w:rsid w:val="000C2B79"/>
    <w:rsid w:val="000C5A8A"/>
    <w:rsid w:val="000C7FD8"/>
    <w:rsid w:val="000D5B1D"/>
    <w:rsid w:val="000D7A44"/>
    <w:rsid w:val="000E0C27"/>
    <w:rsid w:val="000E6D15"/>
    <w:rsid w:val="000F33D3"/>
    <w:rsid w:val="000F3C24"/>
    <w:rsid w:val="000F607B"/>
    <w:rsid w:val="000F6495"/>
    <w:rsid w:val="000F6FD8"/>
    <w:rsid w:val="001061FA"/>
    <w:rsid w:val="00107DCD"/>
    <w:rsid w:val="00112BF2"/>
    <w:rsid w:val="0011517F"/>
    <w:rsid w:val="0011598D"/>
    <w:rsid w:val="00117062"/>
    <w:rsid w:val="0012173D"/>
    <w:rsid w:val="00121BB0"/>
    <w:rsid w:val="0012686C"/>
    <w:rsid w:val="0013090C"/>
    <w:rsid w:val="00131C5D"/>
    <w:rsid w:val="00132059"/>
    <w:rsid w:val="00132F74"/>
    <w:rsid w:val="0014310A"/>
    <w:rsid w:val="00143427"/>
    <w:rsid w:val="00144B4D"/>
    <w:rsid w:val="00145D24"/>
    <w:rsid w:val="00145E0A"/>
    <w:rsid w:val="00152832"/>
    <w:rsid w:val="001600FC"/>
    <w:rsid w:val="00160815"/>
    <w:rsid w:val="0016372E"/>
    <w:rsid w:val="00172007"/>
    <w:rsid w:val="0017446F"/>
    <w:rsid w:val="0017667F"/>
    <w:rsid w:val="00177CB9"/>
    <w:rsid w:val="001834D4"/>
    <w:rsid w:val="00192287"/>
    <w:rsid w:val="00197E14"/>
    <w:rsid w:val="001A016C"/>
    <w:rsid w:val="001A2A81"/>
    <w:rsid w:val="001A32D5"/>
    <w:rsid w:val="001A47D0"/>
    <w:rsid w:val="001A5BD4"/>
    <w:rsid w:val="001A70A8"/>
    <w:rsid w:val="001B2C0D"/>
    <w:rsid w:val="001B3341"/>
    <w:rsid w:val="001B6017"/>
    <w:rsid w:val="001B7A0B"/>
    <w:rsid w:val="001B7EB3"/>
    <w:rsid w:val="001C1FD9"/>
    <w:rsid w:val="001C5BC2"/>
    <w:rsid w:val="001D0179"/>
    <w:rsid w:val="001E0B2E"/>
    <w:rsid w:val="001E1188"/>
    <w:rsid w:val="001E3599"/>
    <w:rsid w:val="001F1CB9"/>
    <w:rsid w:val="001F7501"/>
    <w:rsid w:val="00205878"/>
    <w:rsid w:val="00213D7B"/>
    <w:rsid w:val="00214DEC"/>
    <w:rsid w:val="00215B80"/>
    <w:rsid w:val="00216E31"/>
    <w:rsid w:val="002215B5"/>
    <w:rsid w:val="00224761"/>
    <w:rsid w:val="00224A3F"/>
    <w:rsid w:val="00224D96"/>
    <w:rsid w:val="002306C7"/>
    <w:rsid w:val="00231819"/>
    <w:rsid w:val="002351E9"/>
    <w:rsid w:val="00236329"/>
    <w:rsid w:val="00241BD8"/>
    <w:rsid w:val="002422FB"/>
    <w:rsid w:val="002434B0"/>
    <w:rsid w:val="00254CA9"/>
    <w:rsid w:val="002574F9"/>
    <w:rsid w:val="0026681D"/>
    <w:rsid w:val="00267452"/>
    <w:rsid w:val="00273421"/>
    <w:rsid w:val="0027418E"/>
    <w:rsid w:val="00290DA3"/>
    <w:rsid w:val="002A3A19"/>
    <w:rsid w:val="002A6F7C"/>
    <w:rsid w:val="002A710B"/>
    <w:rsid w:val="002B04E5"/>
    <w:rsid w:val="002B19D7"/>
    <w:rsid w:val="002C06C1"/>
    <w:rsid w:val="002C0DCF"/>
    <w:rsid w:val="002C1673"/>
    <w:rsid w:val="002C2703"/>
    <w:rsid w:val="002D1867"/>
    <w:rsid w:val="002F2009"/>
    <w:rsid w:val="002F2269"/>
    <w:rsid w:val="00300924"/>
    <w:rsid w:val="003025A8"/>
    <w:rsid w:val="00305C00"/>
    <w:rsid w:val="0031002F"/>
    <w:rsid w:val="003129B6"/>
    <w:rsid w:val="00314D6E"/>
    <w:rsid w:val="00315AB3"/>
    <w:rsid w:val="00320E57"/>
    <w:rsid w:val="003221EF"/>
    <w:rsid w:val="00322C23"/>
    <w:rsid w:val="003248A2"/>
    <w:rsid w:val="00341FE7"/>
    <w:rsid w:val="00343C47"/>
    <w:rsid w:val="00352A51"/>
    <w:rsid w:val="0035477B"/>
    <w:rsid w:val="00355E53"/>
    <w:rsid w:val="003604AA"/>
    <w:rsid w:val="00362309"/>
    <w:rsid w:val="00363390"/>
    <w:rsid w:val="0036783B"/>
    <w:rsid w:val="00370D44"/>
    <w:rsid w:val="00372BEC"/>
    <w:rsid w:val="00392385"/>
    <w:rsid w:val="003953B5"/>
    <w:rsid w:val="003A2221"/>
    <w:rsid w:val="003C34A3"/>
    <w:rsid w:val="003C3DE8"/>
    <w:rsid w:val="003D28D3"/>
    <w:rsid w:val="003D7A72"/>
    <w:rsid w:val="003E318D"/>
    <w:rsid w:val="003F3AA3"/>
    <w:rsid w:val="00412567"/>
    <w:rsid w:val="004172D1"/>
    <w:rsid w:val="00424530"/>
    <w:rsid w:val="0043577F"/>
    <w:rsid w:val="0043675A"/>
    <w:rsid w:val="00441F85"/>
    <w:rsid w:val="00446D76"/>
    <w:rsid w:val="00452CF3"/>
    <w:rsid w:val="0045301B"/>
    <w:rsid w:val="00454B24"/>
    <w:rsid w:val="00455E0E"/>
    <w:rsid w:val="004637D3"/>
    <w:rsid w:val="004719B4"/>
    <w:rsid w:val="00471CA1"/>
    <w:rsid w:val="00471CCE"/>
    <w:rsid w:val="00481AC4"/>
    <w:rsid w:val="00482FB6"/>
    <w:rsid w:val="00490251"/>
    <w:rsid w:val="004955E7"/>
    <w:rsid w:val="004A1990"/>
    <w:rsid w:val="004A5D8B"/>
    <w:rsid w:val="004A76C6"/>
    <w:rsid w:val="004B2FC0"/>
    <w:rsid w:val="004B7784"/>
    <w:rsid w:val="004C1B19"/>
    <w:rsid w:val="004C6392"/>
    <w:rsid w:val="004D3523"/>
    <w:rsid w:val="004D36AC"/>
    <w:rsid w:val="004D7668"/>
    <w:rsid w:val="004E405B"/>
    <w:rsid w:val="004E5116"/>
    <w:rsid w:val="004F0AB6"/>
    <w:rsid w:val="004F63DB"/>
    <w:rsid w:val="005037F2"/>
    <w:rsid w:val="00505C64"/>
    <w:rsid w:val="005105EF"/>
    <w:rsid w:val="00511A60"/>
    <w:rsid w:val="0051571A"/>
    <w:rsid w:val="00522627"/>
    <w:rsid w:val="0052342C"/>
    <w:rsid w:val="00523895"/>
    <w:rsid w:val="00526B39"/>
    <w:rsid w:val="00532EBE"/>
    <w:rsid w:val="005410AB"/>
    <w:rsid w:val="00543A44"/>
    <w:rsid w:val="005574DA"/>
    <w:rsid w:val="00565691"/>
    <w:rsid w:val="005706A6"/>
    <w:rsid w:val="00571BB6"/>
    <w:rsid w:val="00574B26"/>
    <w:rsid w:val="00575BA7"/>
    <w:rsid w:val="00582AA7"/>
    <w:rsid w:val="0058477C"/>
    <w:rsid w:val="0058568F"/>
    <w:rsid w:val="005A11A7"/>
    <w:rsid w:val="005A6911"/>
    <w:rsid w:val="005B3658"/>
    <w:rsid w:val="005B5C09"/>
    <w:rsid w:val="005C3DFF"/>
    <w:rsid w:val="005C498B"/>
    <w:rsid w:val="005D033E"/>
    <w:rsid w:val="005D4005"/>
    <w:rsid w:val="005D40D1"/>
    <w:rsid w:val="005D5B32"/>
    <w:rsid w:val="005D6612"/>
    <w:rsid w:val="005E167D"/>
    <w:rsid w:val="00600024"/>
    <w:rsid w:val="00600065"/>
    <w:rsid w:val="006017FA"/>
    <w:rsid w:val="006059B2"/>
    <w:rsid w:val="00610305"/>
    <w:rsid w:val="00610419"/>
    <w:rsid w:val="00611DDB"/>
    <w:rsid w:val="00612C7B"/>
    <w:rsid w:val="006209BD"/>
    <w:rsid w:val="006224C1"/>
    <w:rsid w:val="006241B4"/>
    <w:rsid w:val="006269B7"/>
    <w:rsid w:val="006307A5"/>
    <w:rsid w:val="006336C8"/>
    <w:rsid w:val="00633DC7"/>
    <w:rsid w:val="00636E1D"/>
    <w:rsid w:val="00641A7A"/>
    <w:rsid w:val="00645495"/>
    <w:rsid w:val="00655112"/>
    <w:rsid w:val="00663B0A"/>
    <w:rsid w:val="006641F8"/>
    <w:rsid w:val="0066422C"/>
    <w:rsid w:val="00670254"/>
    <w:rsid w:val="00675E42"/>
    <w:rsid w:val="00683BFB"/>
    <w:rsid w:val="006915A4"/>
    <w:rsid w:val="00692AB7"/>
    <w:rsid w:val="00692AD8"/>
    <w:rsid w:val="006973AC"/>
    <w:rsid w:val="006C186D"/>
    <w:rsid w:val="006C6D8E"/>
    <w:rsid w:val="006D4C7C"/>
    <w:rsid w:val="006D7393"/>
    <w:rsid w:val="006E0D7A"/>
    <w:rsid w:val="006E3CE5"/>
    <w:rsid w:val="006E55E1"/>
    <w:rsid w:val="006F2E13"/>
    <w:rsid w:val="006F445D"/>
    <w:rsid w:val="006F5266"/>
    <w:rsid w:val="006F72C6"/>
    <w:rsid w:val="006F7529"/>
    <w:rsid w:val="00703E4E"/>
    <w:rsid w:val="007071C6"/>
    <w:rsid w:val="00711820"/>
    <w:rsid w:val="00711E1C"/>
    <w:rsid w:val="00721D07"/>
    <w:rsid w:val="00721FBA"/>
    <w:rsid w:val="00723921"/>
    <w:rsid w:val="00730352"/>
    <w:rsid w:val="00731463"/>
    <w:rsid w:val="0073336B"/>
    <w:rsid w:val="00734CF5"/>
    <w:rsid w:val="007373D2"/>
    <w:rsid w:val="00740F65"/>
    <w:rsid w:val="0074192B"/>
    <w:rsid w:val="00742839"/>
    <w:rsid w:val="007431D5"/>
    <w:rsid w:val="00755505"/>
    <w:rsid w:val="0076316D"/>
    <w:rsid w:val="00771BCE"/>
    <w:rsid w:val="00772993"/>
    <w:rsid w:val="00777A9A"/>
    <w:rsid w:val="007815FB"/>
    <w:rsid w:val="00781A37"/>
    <w:rsid w:val="00781D80"/>
    <w:rsid w:val="007850AB"/>
    <w:rsid w:val="00791EAE"/>
    <w:rsid w:val="007A0054"/>
    <w:rsid w:val="007A44A6"/>
    <w:rsid w:val="007A5353"/>
    <w:rsid w:val="007B09CA"/>
    <w:rsid w:val="007B3D63"/>
    <w:rsid w:val="007B6077"/>
    <w:rsid w:val="007B69D6"/>
    <w:rsid w:val="007B793D"/>
    <w:rsid w:val="007C08B0"/>
    <w:rsid w:val="007C3A00"/>
    <w:rsid w:val="007C55D0"/>
    <w:rsid w:val="007D2626"/>
    <w:rsid w:val="007F5092"/>
    <w:rsid w:val="007F6B00"/>
    <w:rsid w:val="007F7895"/>
    <w:rsid w:val="00804A88"/>
    <w:rsid w:val="00813BAC"/>
    <w:rsid w:val="00813CD4"/>
    <w:rsid w:val="00817C42"/>
    <w:rsid w:val="00821B9D"/>
    <w:rsid w:val="00825D97"/>
    <w:rsid w:val="0084468C"/>
    <w:rsid w:val="008552A0"/>
    <w:rsid w:val="008651AA"/>
    <w:rsid w:val="00865492"/>
    <w:rsid w:val="00865A3C"/>
    <w:rsid w:val="00867CB4"/>
    <w:rsid w:val="008708AB"/>
    <w:rsid w:val="00870A33"/>
    <w:rsid w:val="00871962"/>
    <w:rsid w:val="008725EC"/>
    <w:rsid w:val="00874ED5"/>
    <w:rsid w:val="008A4100"/>
    <w:rsid w:val="008A4556"/>
    <w:rsid w:val="008A7288"/>
    <w:rsid w:val="008B6155"/>
    <w:rsid w:val="008C1A94"/>
    <w:rsid w:val="008C567C"/>
    <w:rsid w:val="008C5B82"/>
    <w:rsid w:val="008E297F"/>
    <w:rsid w:val="008F3908"/>
    <w:rsid w:val="009014B6"/>
    <w:rsid w:val="009041D9"/>
    <w:rsid w:val="00907439"/>
    <w:rsid w:val="00907D57"/>
    <w:rsid w:val="00911860"/>
    <w:rsid w:val="0091231C"/>
    <w:rsid w:val="00912882"/>
    <w:rsid w:val="00912895"/>
    <w:rsid w:val="00913422"/>
    <w:rsid w:val="009210DE"/>
    <w:rsid w:val="009257BE"/>
    <w:rsid w:val="009337EC"/>
    <w:rsid w:val="0093598A"/>
    <w:rsid w:val="00943B87"/>
    <w:rsid w:val="00944AD8"/>
    <w:rsid w:val="009549FF"/>
    <w:rsid w:val="00954FC6"/>
    <w:rsid w:val="0096160F"/>
    <w:rsid w:val="009642A9"/>
    <w:rsid w:val="00965B80"/>
    <w:rsid w:val="009730FB"/>
    <w:rsid w:val="009755FE"/>
    <w:rsid w:val="00976A15"/>
    <w:rsid w:val="00980519"/>
    <w:rsid w:val="009846C5"/>
    <w:rsid w:val="0099008B"/>
    <w:rsid w:val="00993B1E"/>
    <w:rsid w:val="00993BAA"/>
    <w:rsid w:val="00994F87"/>
    <w:rsid w:val="009A1966"/>
    <w:rsid w:val="009A294D"/>
    <w:rsid w:val="009A5AF6"/>
    <w:rsid w:val="009B5527"/>
    <w:rsid w:val="009B7C11"/>
    <w:rsid w:val="009C12C9"/>
    <w:rsid w:val="009C1CE7"/>
    <w:rsid w:val="009C1EE3"/>
    <w:rsid w:val="009D55F7"/>
    <w:rsid w:val="009E300F"/>
    <w:rsid w:val="009E38A2"/>
    <w:rsid w:val="009E697F"/>
    <w:rsid w:val="009E76BE"/>
    <w:rsid w:val="009E79BF"/>
    <w:rsid w:val="009F12DA"/>
    <w:rsid w:val="009F3FE6"/>
    <w:rsid w:val="009F53AF"/>
    <w:rsid w:val="00A00E34"/>
    <w:rsid w:val="00A02BBA"/>
    <w:rsid w:val="00A062C7"/>
    <w:rsid w:val="00A10257"/>
    <w:rsid w:val="00A13558"/>
    <w:rsid w:val="00A14332"/>
    <w:rsid w:val="00A2290D"/>
    <w:rsid w:val="00A23608"/>
    <w:rsid w:val="00A23D22"/>
    <w:rsid w:val="00A25403"/>
    <w:rsid w:val="00A27B9D"/>
    <w:rsid w:val="00A27D88"/>
    <w:rsid w:val="00A304D0"/>
    <w:rsid w:val="00A41338"/>
    <w:rsid w:val="00A4361D"/>
    <w:rsid w:val="00A44695"/>
    <w:rsid w:val="00A4607D"/>
    <w:rsid w:val="00A513E2"/>
    <w:rsid w:val="00A53EC9"/>
    <w:rsid w:val="00A725D6"/>
    <w:rsid w:val="00A72C7D"/>
    <w:rsid w:val="00A81586"/>
    <w:rsid w:val="00A92440"/>
    <w:rsid w:val="00AA435E"/>
    <w:rsid w:val="00AA796D"/>
    <w:rsid w:val="00AB104D"/>
    <w:rsid w:val="00AB21B0"/>
    <w:rsid w:val="00AB2476"/>
    <w:rsid w:val="00AB4B80"/>
    <w:rsid w:val="00AC2312"/>
    <w:rsid w:val="00AD0C73"/>
    <w:rsid w:val="00AD3179"/>
    <w:rsid w:val="00AD5CCA"/>
    <w:rsid w:val="00AE1A2D"/>
    <w:rsid w:val="00AE3338"/>
    <w:rsid w:val="00AE5347"/>
    <w:rsid w:val="00AE55F6"/>
    <w:rsid w:val="00AE56DB"/>
    <w:rsid w:val="00AF0781"/>
    <w:rsid w:val="00AF21F6"/>
    <w:rsid w:val="00AF2BCB"/>
    <w:rsid w:val="00AF4C86"/>
    <w:rsid w:val="00B025DB"/>
    <w:rsid w:val="00B04B25"/>
    <w:rsid w:val="00B13C87"/>
    <w:rsid w:val="00B1710D"/>
    <w:rsid w:val="00B2771A"/>
    <w:rsid w:val="00B32510"/>
    <w:rsid w:val="00B33222"/>
    <w:rsid w:val="00B3595C"/>
    <w:rsid w:val="00B36D5E"/>
    <w:rsid w:val="00B43E07"/>
    <w:rsid w:val="00B517B9"/>
    <w:rsid w:val="00B51926"/>
    <w:rsid w:val="00B51BB3"/>
    <w:rsid w:val="00B526A8"/>
    <w:rsid w:val="00B55FAB"/>
    <w:rsid w:val="00B56F17"/>
    <w:rsid w:val="00B66061"/>
    <w:rsid w:val="00B6734E"/>
    <w:rsid w:val="00B76198"/>
    <w:rsid w:val="00B77DC8"/>
    <w:rsid w:val="00B77F65"/>
    <w:rsid w:val="00B82515"/>
    <w:rsid w:val="00B83D9D"/>
    <w:rsid w:val="00B84529"/>
    <w:rsid w:val="00B954E5"/>
    <w:rsid w:val="00B96F7F"/>
    <w:rsid w:val="00BB2111"/>
    <w:rsid w:val="00BC1D4B"/>
    <w:rsid w:val="00BC3450"/>
    <w:rsid w:val="00BC7FD2"/>
    <w:rsid w:val="00BD1538"/>
    <w:rsid w:val="00BD1DD9"/>
    <w:rsid w:val="00BD5ED2"/>
    <w:rsid w:val="00BE2989"/>
    <w:rsid w:val="00BF4906"/>
    <w:rsid w:val="00BF4EC0"/>
    <w:rsid w:val="00BF78EE"/>
    <w:rsid w:val="00C03AE7"/>
    <w:rsid w:val="00C05D9D"/>
    <w:rsid w:val="00C12FA8"/>
    <w:rsid w:val="00C27B06"/>
    <w:rsid w:val="00C35592"/>
    <w:rsid w:val="00C356AF"/>
    <w:rsid w:val="00C37C05"/>
    <w:rsid w:val="00C41927"/>
    <w:rsid w:val="00C439D6"/>
    <w:rsid w:val="00C43FD9"/>
    <w:rsid w:val="00C44EB2"/>
    <w:rsid w:val="00C47E8F"/>
    <w:rsid w:val="00C57BC4"/>
    <w:rsid w:val="00C60915"/>
    <w:rsid w:val="00C60EEB"/>
    <w:rsid w:val="00C64E27"/>
    <w:rsid w:val="00C81F82"/>
    <w:rsid w:val="00C84497"/>
    <w:rsid w:val="00C91A9F"/>
    <w:rsid w:val="00C92B4B"/>
    <w:rsid w:val="00C95F54"/>
    <w:rsid w:val="00C964B8"/>
    <w:rsid w:val="00CA1DF9"/>
    <w:rsid w:val="00CB6121"/>
    <w:rsid w:val="00CB6EBB"/>
    <w:rsid w:val="00CD0A99"/>
    <w:rsid w:val="00CD4AF7"/>
    <w:rsid w:val="00CE3517"/>
    <w:rsid w:val="00CE3F04"/>
    <w:rsid w:val="00CF15C6"/>
    <w:rsid w:val="00CF4376"/>
    <w:rsid w:val="00D01670"/>
    <w:rsid w:val="00D0474C"/>
    <w:rsid w:val="00D05C26"/>
    <w:rsid w:val="00D062AC"/>
    <w:rsid w:val="00D11F1B"/>
    <w:rsid w:val="00D152E7"/>
    <w:rsid w:val="00D21F91"/>
    <w:rsid w:val="00D251D0"/>
    <w:rsid w:val="00D3796C"/>
    <w:rsid w:val="00D43C43"/>
    <w:rsid w:val="00D44360"/>
    <w:rsid w:val="00D53948"/>
    <w:rsid w:val="00D549B9"/>
    <w:rsid w:val="00D557EE"/>
    <w:rsid w:val="00D56058"/>
    <w:rsid w:val="00D57F4B"/>
    <w:rsid w:val="00D656AD"/>
    <w:rsid w:val="00D6692C"/>
    <w:rsid w:val="00D71449"/>
    <w:rsid w:val="00D76E91"/>
    <w:rsid w:val="00D80469"/>
    <w:rsid w:val="00D823B5"/>
    <w:rsid w:val="00D849AA"/>
    <w:rsid w:val="00D872D1"/>
    <w:rsid w:val="00D873F3"/>
    <w:rsid w:val="00D90F63"/>
    <w:rsid w:val="00DA6122"/>
    <w:rsid w:val="00DB4809"/>
    <w:rsid w:val="00DB5E8F"/>
    <w:rsid w:val="00DC3E99"/>
    <w:rsid w:val="00DC5214"/>
    <w:rsid w:val="00DC7C3E"/>
    <w:rsid w:val="00DD247B"/>
    <w:rsid w:val="00DE0FE1"/>
    <w:rsid w:val="00DE30E0"/>
    <w:rsid w:val="00DE46D0"/>
    <w:rsid w:val="00E12A6F"/>
    <w:rsid w:val="00E21FC7"/>
    <w:rsid w:val="00E22BCE"/>
    <w:rsid w:val="00E255BF"/>
    <w:rsid w:val="00E2590B"/>
    <w:rsid w:val="00E26355"/>
    <w:rsid w:val="00E326FF"/>
    <w:rsid w:val="00E337DC"/>
    <w:rsid w:val="00E35F55"/>
    <w:rsid w:val="00E361B0"/>
    <w:rsid w:val="00E410F0"/>
    <w:rsid w:val="00E5738D"/>
    <w:rsid w:val="00E5771C"/>
    <w:rsid w:val="00E62DB8"/>
    <w:rsid w:val="00E677EF"/>
    <w:rsid w:val="00E859DF"/>
    <w:rsid w:val="00E87041"/>
    <w:rsid w:val="00E90EDD"/>
    <w:rsid w:val="00E94506"/>
    <w:rsid w:val="00E95201"/>
    <w:rsid w:val="00EA0F11"/>
    <w:rsid w:val="00EA13B4"/>
    <w:rsid w:val="00EA16F3"/>
    <w:rsid w:val="00EA1807"/>
    <w:rsid w:val="00EA4947"/>
    <w:rsid w:val="00EC0C41"/>
    <w:rsid w:val="00EC11F0"/>
    <w:rsid w:val="00EC1594"/>
    <w:rsid w:val="00EC7C8B"/>
    <w:rsid w:val="00ED2521"/>
    <w:rsid w:val="00ED2FB9"/>
    <w:rsid w:val="00ED41FD"/>
    <w:rsid w:val="00ED4A40"/>
    <w:rsid w:val="00ED675F"/>
    <w:rsid w:val="00EE456B"/>
    <w:rsid w:val="00EF35BF"/>
    <w:rsid w:val="00F00C37"/>
    <w:rsid w:val="00F00C8E"/>
    <w:rsid w:val="00F01EA6"/>
    <w:rsid w:val="00F02D51"/>
    <w:rsid w:val="00F033B6"/>
    <w:rsid w:val="00F034AC"/>
    <w:rsid w:val="00F160D2"/>
    <w:rsid w:val="00F221AB"/>
    <w:rsid w:val="00F23DC0"/>
    <w:rsid w:val="00F311CD"/>
    <w:rsid w:val="00F3669D"/>
    <w:rsid w:val="00F42523"/>
    <w:rsid w:val="00F42F3F"/>
    <w:rsid w:val="00F4748D"/>
    <w:rsid w:val="00F56DC4"/>
    <w:rsid w:val="00F612B3"/>
    <w:rsid w:val="00F647A3"/>
    <w:rsid w:val="00F653FF"/>
    <w:rsid w:val="00F7064A"/>
    <w:rsid w:val="00F720FF"/>
    <w:rsid w:val="00F747AD"/>
    <w:rsid w:val="00F764A1"/>
    <w:rsid w:val="00F86AD4"/>
    <w:rsid w:val="00F87FF5"/>
    <w:rsid w:val="00F9329F"/>
    <w:rsid w:val="00F942CA"/>
    <w:rsid w:val="00F9452C"/>
    <w:rsid w:val="00FA459D"/>
    <w:rsid w:val="00FB28E1"/>
    <w:rsid w:val="00FB43F9"/>
    <w:rsid w:val="00FB7206"/>
    <w:rsid w:val="00FC1255"/>
    <w:rsid w:val="00FC1D72"/>
    <w:rsid w:val="00FC2D6A"/>
    <w:rsid w:val="00FC4169"/>
    <w:rsid w:val="00FD1666"/>
    <w:rsid w:val="00FE0C92"/>
    <w:rsid w:val="00FE0E60"/>
    <w:rsid w:val="00FE438F"/>
    <w:rsid w:val="00FE5577"/>
    <w:rsid w:val="00FF0C19"/>
    <w:rsid w:val="00FF34CA"/>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56184604"/>
  <w15:docId w15:val="{5360B0C9-EE82-4159-9B6F-36D4F774F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DA3"/>
    <w:rPr>
      <w:sz w:val="22"/>
    </w:rPr>
  </w:style>
  <w:style w:type="paragraph" w:styleId="Heading1">
    <w:name w:val="heading 1"/>
    <w:aliases w:val="Cover title white"/>
    <w:next w:val="Normal"/>
    <w:link w:val="Heading1Char"/>
    <w:semiHidden/>
    <w:qFormat/>
    <w:rsid w:val="00B32510"/>
    <w:pPr>
      <w:keepNext/>
      <w:keepLines/>
      <w:outlineLvl w:val="0"/>
    </w:pPr>
    <w:rPr>
      <w:rFonts w:asciiTheme="majorHAnsi" w:eastAsiaTheme="majorEastAsia" w:hAnsiTheme="majorHAnsi" w:cstheme="majorBidi"/>
      <w:b/>
      <w:bCs/>
      <w:caps/>
      <w:color w:val="FFFFFF" w:themeColor="background1"/>
      <w:sz w:val="40"/>
      <w:szCs w:val="40"/>
    </w:rPr>
  </w:style>
  <w:style w:type="paragraph" w:styleId="Heading2">
    <w:name w:val="heading 2"/>
    <w:basedOn w:val="Numberedtilelevel1"/>
    <w:next w:val="Normal"/>
    <w:link w:val="Heading2Char"/>
    <w:uiPriority w:val="9"/>
    <w:semiHidden/>
    <w:qFormat/>
    <w:rsid w:val="002F2009"/>
    <w:pPr>
      <w:outlineLvl w:val="1"/>
    </w:pPr>
  </w:style>
  <w:style w:type="paragraph" w:styleId="Heading3">
    <w:name w:val="heading 3"/>
    <w:aliases w:val="Title 2"/>
    <w:basedOn w:val="Numberedtitlelevel2"/>
    <w:next w:val="Normal"/>
    <w:link w:val="Heading3Char"/>
    <w:uiPriority w:val="9"/>
    <w:semiHidden/>
    <w:rsid w:val="002F2009"/>
    <w:pPr>
      <w:outlineLvl w:val="2"/>
    </w:pPr>
  </w:style>
  <w:style w:type="paragraph" w:styleId="Heading4">
    <w:name w:val="heading 4"/>
    <w:basedOn w:val="Normal"/>
    <w:next w:val="Normal"/>
    <w:link w:val="Heading4Char"/>
    <w:uiPriority w:val="9"/>
    <w:semiHidden/>
    <w:qFormat/>
    <w:rsid w:val="001C5BC2"/>
    <w:pPr>
      <w:keepNext/>
      <w:keepLines/>
      <w:numPr>
        <w:ilvl w:val="3"/>
        <w:numId w:val="3"/>
      </w:numPr>
      <w:spacing w:before="200"/>
      <w:outlineLvl w:val="3"/>
    </w:pPr>
    <w:rPr>
      <w:rFonts w:asciiTheme="majorHAnsi" w:eastAsiaTheme="majorEastAsia" w:hAnsiTheme="majorHAnsi" w:cstheme="majorBidi"/>
      <w:b/>
      <w:bCs/>
      <w:i/>
      <w:iCs/>
      <w:color w:val="2F5773" w:themeColor="accent1"/>
    </w:rPr>
  </w:style>
  <w:style w:type="paragraph" w:styleId="Heading5">
    <w:name w:val="heading 5"/>
    <w:aliases w:val="Cover subtitle white"/>
    <w:next w:val="Normal"/>
    <w:link w:val="Heading5Char"/>
    <w:semiHidden/>
    <w:qFormat/>
    <w:rsid w:val="00B32510"/>
    <w:pPr>
      <w:keepNext/>
      <w:keepLines/>
      <w:spacing w:before="200"/>
      <w:outlineLvl w:val="4"/>
    </w:pPr>
    <w:rPr>
      <w:rFonts w:asciiTheme="majorHAnsi" w:eastAsiaTheme="majorEastAsia" w:hAnsiTheme="majorHAnsi" w:cstheme="majorBidi"/>
      <w:caps/>
      <w:color w:val="FFFFFF" w:themeColor="background1"/>
      <w:sz w:val="28"/>
      <w:szCs w:val="28"/>
    </w:rPr>
  </w:style>
  <w:style w:type="paragraph" w:styleId="Heading6">
    <w:name w:val="heading 6"/>
    <w:basedOn w:val="Normal"/>
    <w:next w:val="Normal"/>
    <w:link w:val="Heading6Char"/>
    <w:uiPriority w:val="9"/>
    <w:semiHidden/>
    <w:qFormat/>
    <w:rsid w:val="001C5BC2"/>
    <w:pPr>
      <w:keepNext/>
      <w:keepLines/>
      <w:numPr>
        <w:ilvl w:val="5"/>
        <w:numId w:val="3"/>
      </w:numPr>
      <w:spacing w:before="200"/>
      <w:outlineLvl w:val="5"/>
    </w:pPr>
    <w:rPr>
      <w:rFonts w:asciiTheme="majorHAnsi" w:eastAsiaTheme="majorEastAsia" w:hAnsiTheme="majorHAnsi" w:cstheme="majorBidi"/>
      <w:i/>
      <w:iCs/>
      <w:color w:val="172B39" w:themeColor="accent1" w:themeShade="7F"/>
    </w:rPr>
  </w:style>
  <w:style w:type="paragraph" w:styleId="Heading7">
    <w:name w:val="heading 7"/>
    <w:basedOn w:val="Normal"/>
    <w:next w:val="Normal"/>
    <w:link w:val="Heading7Char"/>
    <w:uiPriority w:val="9"/>
    <w:semiHidden/>
    <w:qFormat/>
    <w:rsid w:val="001C5BC2"/>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1C5BC2"/>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1C5BC2"/>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title white Char"/>
    <w:basedOn w:val="DefaultParagraphFont"/>
    <w:link w:val="Heading1"/>
    <w:semiHidden/>
    <w:rsid w:val="00290DA3"/>
    <w:rPr>
      <w:rFonts w:asciiTheme="majorHAnsi" w:eastAsiaTheme="majorEastAsia" w:hAnsiTheme="majorHAnsi" w:cstheme="majorBidi"/>
      <w:b/>
      <w:bCs/>
      <w:caps/>
      <w:color w:val="FFFFFF" w:themeColor="background1"/>
      <w:sz w:val="40"/>
      <w:szCs w:val="40"/>
    </w:rPr>
  </w:style>
  <w:style w:type="paragraph" w:customStyle="1" w:styleId="Numberedtilelevel1">
    <w:name w:val="Numbered tile level 1"/>
    <w:basedOn w:val="Titlelevel1"/>
    <w:qFormat/>
    <w:rsid w:val="00482FB6"/>
    <w:pPr>
      <w:numPr>
        <w:numId w:val="7"/>
      </w:numPr>
    </w:pPr>
  </w:style>
  <w:style w:type="character" w:customStyle="1" w:styleId="Heading2Char">
    <w:name w:val="Heading 2 Char"/>
    <w:basedOn w:val="DefaultParagraphFont"/>
    <w:link w:val="Heading2"/>
    <w:uiPriority w:val="9"/>
    <w:semiHidden/>
    <w:rsid w:val="00582AA7"/>
    <w:rPr>
      <w:rFonts w:asciiTheme="majorHAnsi" w:eastAsiaTheme="majorEastAsia" w:hAnsiTheme="majorHAnsi" w:cstheme="majorBidi"/>
      <w:color w:val="2F5773" w:themeColor="text2"/>
      <w:spacing w:val="5"/>
      <w:kern w:val="28"/>
      <w:sz w:val="52"/>
      <w:szCs w:val="52"/>
    </w:rPr>
  </w:style>
  <w:style w:type="paragraph" w:customStyle="1" w:styleId="Numberedtitlelevel2">
    <w:name w:val="Numbered title level 2"/>
    <w:basedOn w:val="Titlelevel2"/>
    <w:next w:val="body"/>
    <w:qFormat/>
    <w:rsid w:val="00482FB6"/>
    <w:pPr>
      <w:numPr>
        <w:ilvl w:val="1"/>
        <w:numId w:val="7"/>
      </w:numPr>
    </w:pPr>
  </w:style>
  <w:style w:type="paragraph" w:customStyle="1" w:styleId="Titlelevel2">
    <w:name w:val="Title level 2"/>
    <w:qFormat/>
    <w:rsid w:val="005D4005"/>
    <w:pPr>
      <w:spacing w:before="240" w:after="240"/>
    </w:pPr>
    <w:rPr>
      <w:rFonts w:asciiTheme="majorHAnsi" w:eastAsiaTheme="majorEastAsia" w:hAnsiTheme="majorHAnsi" w:cstheme="majorBidi"/>
      <w:bCs/>
      <w:color w:val="2F5773" w:themeColor="text2"/>
      <w:sz w:val="32"/>
    </w:rPr>
  </w:style>
  <w:style w:type="paragraph" w:customStyle="1" w:styleId="body">
    <w:name w:val="body"/>
    <w:qFormat/>
    <w:rsid w:val="00CD4AF7"/>
    <w:pPr>
      <w:spacing w:before="240" w:after="120" w:line="276" w:lineRule="auto"/>
      <w:jc w:val="both"/>
    </w:pPr>
    <w:rPr>
      <w:sz w:val="22"/>
    </w:rPr>
  </w:style>
  <w:style w:type="character" w:customStyle="1" w:styleId="Heading3Char">
    <w:name w:val="Heading 3 Char"/>
    <w:aliases w:val="Title 2 Char"/>
    <w:basedOn w:val="DefaultParagraphFont"/>
    <w:link w:val="Heading3"/>
    <w:uiPriority w:val="9"/>
    <w:semiHidden/>
    <w:rsid w:val="00582AA7"/>
    <w:rPr>
      <w:rFonts w:asciiTheme="majorHAnsi" w:eastAsiaTheme="majorEastAsia" w:hAnsiTheme="majorHAnsi" w:cstheme="majorBidi"/>
      <w:bCs/>
      <w:color w:val="2F5773" w:themeColor="text2"/>
      <w:sz w:val="32"/>
    </w:rPr>
  </w:style>
  <w:style w:type="character" w:customStyle="1" w:styleId="Heading4Char">
    <w:name w:val="Heading 4 Char"/>
    <w:basedOn w:val="DefaultParagraphFont"/>
    <w:link w:val="Heading4"/>
    <w:uiPriority w:val="9"/>
    <w:semiHidden/>
    <w:rsid w:val="00582AA7"/>
    <w:rPr>
      <w:rFonts w:asciiTheme="majorHAnsi" w:eastAsiaTheme="majorEastAsia" w:hAnsiTheme="majorHAnsi" w:cstheme="majorBidi"/>
      <w:b/>
      <w:bCs/>
      <w:i/>
      <w:iCs/>
      <w:color w:val="2F5773" w:themeColor="accent1"/>
      <w:sz w:val="22"/>
    </w:rPr>
  </w:style>
  <w:style w:type="character" w:customStyle="1" w:styleId="Heading5Char">
    <w:name w:val="Heading 5 Char"/>
    <w:aliases w:val="Cover subtitle white Char"/>
    <w:basedOn w:val="DefaultParagraphFont"/>
    <w:link w:val="Heading5"/>
    <w:semiHidden/>
    <w:rsid w:val="00290DA3"/>
    <w:rPr>
      <w:rFonts w:asciiTheme="majorHAnsi" w:eastAsiaTheme="majorEastAsia" w:hAnsiTheme="majorHAnsi" w:cstheme="majorBidi"/>
      <w:caps/>
      <w:color w:val="FFFFFF" w:themeColor="background1"/>
      <w:sz w:val="28"/>
      <w:szCs w:val="28"/>
    </w:rPr>
  </w:style>
  <w:style w:type="character" w:customStyle="1" w:styleId="Heading6Char">
    <w:name w:val="Heading 6 Char"/>
    <w:basedOn w:val="DefaultParagraphFont"/>
    <w:link w:val="Heading6"/>
    <w:uiPriority w:val="9"/>
    <w:semiHidden/>
    <w:rsid w:val="00582AA7"/>
    <w:rPr>
      <w:rFonts w:asciiTheme="majorHAnsi" w:eastAsiaTheme="majorEastAsia" w:hAnsiTheme="majorHAnsi" w:cstheme="majorBidi"/>
      <w:i/>
      <w:iCs/>
      <w:color w:val="172B39" w:themeColor="accent1" w:themeShade="7F"/>
      <w:sz w:val="22"/>
    </w:rPr>
  </w:style>
  <w:style w:type="character" w:customStyle="1" w:styleId="Heading7Char">
    <w:name w:val="Heading 7 Char"/>
    <w:basedOn w:val="DefaultParagraphFont"/>
    <w:link w:val="Heading7"/>
    <w:uiPriority w:val="9"/>
    <w:semiHidden/>
    <w:rsid w:val="00582AA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82AA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82AA7"/>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rsid w:val="00372B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AA7"/>
    <w:rPr>
      <w:rFonts w:ascii="Lucida Grande" w:hAnsi="Lucida Grande" w:cs="Lucida Grande"/>
      <w:sz w:val="18"/>
      <w:szCs w:val="18"/>
    </w:rPr>
  </w:style>
  <w:style w:type="paragraph" w:customStyle="1" w:styleId="Tableheader">
    <w:name w:val="Table header"/>
    <w:next w:val="Tabledata"/>
    <w:qFormat/>
    <w:rsid w:val="00813BAC"/>
    <w:pPr>
      <w:spacing w:after="80"/>
    </w:pPr>
    <w:rPr>
      <w:rFonts w:ascii="Calibri" w:eastAsia="Times New Roman" w:hAnsi="Calibri" w:cs="Times New Roman"/>
      <w:b/>
      <w:color w:val="000000"/>
      <w:sz w:val="22"/>
      <w:szCs w:val="22"/>
    </w:rPr>
  </w:style>
  <w:style w:type="paragraph" w:customStyle="1" w:styleId="Tabledata">
    <w:name w:val="Table data"/>
    <w:basedOn w:val="body"/>
    <w:qFormat/>
    <w:rsid w:val="00455E0E"/>
    <w:pPr>
      <w:spacing w:before="120" w:line="240" w:lineRule="auto"/>
    </w:pPr>
    <w:rPr>
      <w:rFonts w:eastAsia="Times New Roman" w:cstheme="minorHAnsi"/>
      <w:bCs/>
      <w:color w:val="000000"/>
      <w:sz w:val="20"/>
      <w:szCs w:val="22"/>
      <w:lang w:eastAsia="en-GB"/>
    </w:rPr>
  </w:style>
  <w:style w:type="paragraph" w:customStyle="1" w:styleId="List1">
    <w:name w:val="List1"/>
    <w:autoRedefine/>
    <w:qFormat/>
    <w:rsid w:val="008F3908"/>
    <w:pPr>
      <w:numPr>
        <w:numId w:val="5"/>
      </w:numPr>
    </w:pPr>
    <w:rPr>
      <w:sz w:val="22"/>
      <w:szCs w:val="22"/>
    </w:rPr>
  </w:style>
  <w:style w:type="paragraph" w:styleId="Footer">
    <w:name w:val="footer"/>
    <w:basedOn w:val="Normal"/>
    <w:link w:val="FooterChar"/>
    <w:rsid w:val="00A00E34"/>
    <w:pPr>
      <w:tabs>
        <w:tab w:val="center" w:pos="4320"/>
        <w:tab w:val="right" w:pos="8640"/>
      </w:tabs>
    </w:pPr>
  </w:style>
  <w:style w:type="character" w:customStyle="1" w:styleId="FooterChar">
    <w:name w:val="Footer Char"/>
    <w:basedOn w:val="DefaultParagraphFont"/>
    <w:link w:val="Footer"/>
    <w:uiPriority w:val="99"/>
    <w:rsid w:val="00582AA7"/>
    <w:rPr>
      <w:sz w:val="22"/>
    </w:rPr>
  </w:style>
  <w:style w:type="table" w:styleId="TableGrid">
    <w:name w:val="Table Grid"/>
    <w:basedOn w:val="TableProfessional"/>
    <w:uiPriority w:val="59"/>
    <w:rsid w:val="00A14332"/>
    <w:rPr>
      <w:sz w:val="20"/>
      <w:szCs w:val="20"/>
      <w:lang w:val="fr-LU"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rsid w:val="00D560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
    <w:name w:val="List"/>
    <w:autoRedefine/>
    <w:uiPriority w:val="99"/>
    <w:semiHidden/>
    <w:qFormat/>
    <w:rsid w:val="007A0054"/>
    <w:pPr>
      <w:numPr>
        <w:numId w:val="6"/>
      </w:numPr>
      <w:spacing w:before="240" w:after="120"/>
      <w:contextualSpacing/>
    </w:pPr>
    <w:rPr>
      <w:sz w:val="22"/>
    </w:rPr>
  </w:style>
  <w:style w:type="paragraph" w:customStyle="1" w:styleId="Titlelevel1">
    <w:name w:val="Title level 1"/>
    <w:autoRedefine/>
    <w:qFormat/>
    <w:rsid w:val="00471CA1"/>
    <w:pPr>
      <w:pBdr>
        <w:bottom w:val="single" w:sz="8" w:space="1" w:color="2F5773" w:themeColor="text2"/>
      </w:pBdr>
      <w:spacing w:before="360" w:after="600" w:line="560" w:lineRule="exact"/>
    </w:pPr>
    <w:rPr>
      <w:rFonts w:asciiTheme="majorHAnsi" w:eastAsiaTheme="majorEastAsia" w:hAnsiTheme="majorHAnsi" w:cstheme="majorBidi"/>
      <w:color w:val="2F5773" w:themeColor="text2"/>
      <w:spacing w:val="5"/>
      <w:kern w:val="28"/>
      <w:sz w:val="52"/>
      <w:szCs w:val="52"/>
    </w:rPr>
  </w:style>
  <w:style w:type="paragraph" w:customStyle="1" w:styleId="Titlelevel3">
    <w:name w:val="Title level 3"/>
    <w:qFormat/>
    <w:rsid w:val="005D4005"/>
    <w:pPr>
      <w:spacing w:before="240" w:after="240"/>
    </w:pPr>
    <w:rPr>
      <w:b/>
      <w:color w:val="2F5773" w:themeColor="text2"/>
    </w:rPr>
  </w:style>
  <w:style w:type="paragraph" w:customStyle="1" w:styleId="Titlelevel4">
    <w:name w:val="Title level 4"/>
    <w:next w:val="body"/>
    <w:qFormat/>
    <w:rsid w:val="00AE55F6"/>
    <w:pPr>
      <w:spacing w:before="240" w:after="240"/>
    </w:pPr>
    <w:rPr>
      <w:color w:val="E98E31" w:themeColor="background2"/>
    </w:rPr>
  </w:style>
  <w:style w:type="paragraph" w:customStyle="1" w:styleId="Figuretitle">
    <w:name w:val="Figure title"/>
    <w:basedOn w:val="body"/>
    <w:next w:val="Normal"/>
    <w:autoRedefine/>
    <w:qFormat/>
    <w:rsid w:val="00215B80"/>
    <w:pPr>
      <w:keepNext/>
      <w:spacing w:before="360" w:after="360"/>
    </w:pPr>
    <w:rPr>
      <w:rFonts w:eastAsia="Times New Roman" w:cs="Times New Roman"/>
      <w:bCs/>
      <w:noProof/>
      <w:color w:val="2F5773" w:themeColor="text2"/>
      <w:szCs w:val="20"/>
      <w:lang w:eastAsia="en-GB"/>
    </w:rPr>
  </w:style>
  <w:style w:type="table" w:customStyle="1" w:styleId="EBAtable">
    <w:name w:val="EBA table"/>
    <w:basedOn w:val="TableNormal"/>
    <w:uiPriority w:val="99"/>
    <w:rsid w:val="002434B0"/>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E98E31" w:themeColor="background2"/>
          <w:right w:val="nil"/>
          <w:insideH w:val="nil"/>
          <w:insideV w:val="nil"/>
          <w:tl2br w:val="nil"/>
          <w:tr2bl w:val="nil"/>
        </w:tcBorders>
      </w:tcPr>
    </w:tblStylePr>
    <w:tblStylePr w:type="lastRow">
      <w:tblPr/>
      <w:tcPr>
        <w:tcBorders>
          <w:top w:val="nil"/>
          <w:left w:val="nil"/>
          <w:bottom w:val="single" w:sz="4" w:space="0" w:color="E98E31" w:themeColor="background2"/>
          <w:right w:val="nil"/>
          <w:insideH w:val="nil"/>
          <w:insideV w:val="nil"/>
          <w:tl2br w:val="nil"/>
          <w:tr2bl w:val="nil"/>
        </w:tcBorders>
      </w:tcPr>
    </w:tblStylePr>
  </w:style>
  <w:style w:type="character" w:styleId="PageNumber">
    <w:name w:val="page number"/>
    <w:basedOn w:val="DefaultParagraphFont"/>
    <w:uiPriority w:val="99"/>
    <w:semiHidden/>
    <w:rsid w:val="00610305"/>
    <w:rPr>
      <w:rFonts w:asciiTheme="minorHAnsi" w:hAnsiTheme="minorHAnsi"/>
      <w:color w:val="auto"/>
      <w:sz w:val="22"/>
    </w:rPr>
  </w:style>
  <w:style w:type="paragraph" w:customStyle="1" w:styleId="Runningtitle">
    <w:name w:val="Running title"/>
    <w:qFormat/>
    <w:rsid w:val="009F53AF"/>
    <w:rPr>
      <w:caps/>
      <w:sz w:val="16"/>
      <w:szCs w:val="18"/>
    </w:rPr>
  </w:style>
  <w:style w:type="paragraph" w:styleId="FootnoteText">
    <w:name w:val="footnote text"/>
    <w:basedOn w:val="body"/>
    <w:link w:val="FootnoteTextChar"/>
    <w:qFormat/>
    <w:rsid w:val="00C92B4B"/>
    <w:pPr>
      <w:spacing w:before="80" w:after="0" w:line="200" w:lineRule="exact"/>
    </w:pPr>
    <w:rPr>
      <w:rFonts w:ascii="Times New Roman" w:hAnsi="Times New Roman" w:cs="Times New Roman"/>
      <w:sz w:val="18"/>
      <w:szCs w:val="18"/>
    </w:rPr>
  </w:style>
  <w:style w:type="character" w:customStyle="1" w:styleId="FootnoteTextChar">
    <w:name w:val="Footnote Text Char"/>
    <w:basedOn w:val="DefaultParagraphFont"/>
    <w:link w:val="FootnoteText"/>
    <w:rsid w:val="00C92B4B"/>
    <w:rPr>
      <w:rFonts w:ascii="Times New Roman" w:hAnsi="Times New Roman" w:cs="Times New Roman"/>
      <w:sz w:val="18"/>
      <w:szCs w:val="18"/>
    </w:rPr>
  </w:style>
  <w:style w:type="character" w:styleId="FootnoteReference">
    <w:name w:val="footnote reference"/>
    <w:aliases w:val="Footnote Reference Number,Footnote Reference_LVL6,Footnote Reference_LVL61,Footnote Reference_LVL62,Footnote Reference_LVL63,Footnote Reference_LVL64,Footnote symbol,Footnote reference number,Fußnotenzeichen3,Char1"/>
    <w:basedOn w:val="DefaultParagraphFont"/>
    <w:qFormat/>
    <w:rsid w:val="00B13C87"/>
    <w:rPr>
      <w:rFonts w:asciiTheme="minorHAnsi" w:hAnsiTheme="minorHAnsi"/>
      <w:sz w:val="22"/>
      <w:szCs w:val="18"/>
      <w:vertAlign w:val="superscript"/>
    </w:rPr>
  </w:style>
  <w:style w:type="paragraph" w:customStyle="1" w:styleId="bullet1">
    <w:name w:val="bullet 1"/>
    <w:basedOn w:val="body"/>
    <w:next w:val="body"/>
    <w:qFormat/>
    <w:rsid w:val="001C5BC2"/>
    <w:pPr>
      <w:numPr>
        <w:numId w:val="2"/>
      </w:numPr>
    </w:pPr>
    <w:rPr>
      <w:szCs w:val="22"/>
    </w:rPr>
  </w:style>
  <w:style w:type="paragraph" w:styleId="TOC1">
    <w:name w:val="toc 1"/>
    <w:autoRedefine/>
    <w:uiPriority w:val="39"/>
    <w:qFormat/>
    <w:rsid w:val="00C47E8F"/>
    <w:pPr>
      <w:tabs>
        <w:tab w:val="left" w:pos="312"/>
        <w:tab w:val="left" w:pos="421"/>
        <w:tab w:val="right" w:pos="8771"/>
      </w:tabs>
      <w:spacing w:before="120" w:after="120"/>
      <w:outlineLvl w:val="0"/>
    </w:pPr>
    <w:rPr>
      <w:b/>
      <w:bCs/>
      <w:noProof/>
      <w:color w:val="2F5773" w:themeColor="text2"/>
      <w:sz w:val="22"/>
      <w:szCs w:val="22"/>
    </w:rPr>
  </w:style>
  <w:style w:type="paragraph" w:styleId="TOC2">
    <w:name w:val="toc 2"/>
    <w:next w:val="Normal"/>
    <w:autoRedefine/>
    <w:uiPriority w:val="39"/>
    <w:qFormat/>
    <w:rsid w:val="00C41927"/>
    <w:pPr>
      <w:tabs>
        <w:tab w:val="left" w:pos="529"/>
        <w:tab w:val="right" w:pos="8771"/>
      </w:tabs>
      <w:spacing w:before="80" w:after="80"/>
    </w:pPr>
    <w:rPr>
      <w:noProof/>
      <w:sz w:val="22"/>
      <w:szCs w:val="22"/>
    </w:rPr>
  </w:style>
  <w:style w:type="paragraph" w:styleId="TOC3">
    <w:name w:val="toc 3"/>
    <w:basedOn w:val="Normal"/>
    <w:next w:val="Normal"/>
    <w:autoRedefine/>
    <w:uiPriority w:val="39"/>
    <w:qFormat/>
    <w:rsid w:val="00663B0A"/>
    <w:pPr>
      <w:tabs>
        <w:tab w:val="right" w:pos="8771"/>
      </w:tabs>
      <w:ind w:left="567"/>
    </w:pPr>
    <w:rPr>
      <w:szCs w:val="22"/>
    </w:rPr>
  </w:style>
  <w:style w:type="paragraph" w:styleId="TOC4">
    <w:name w:val="toc 4"/>
    <w:basedOn w:val="Normal"/>
    <w:next w:val="Normal"/>
    <w:autoRedefine/>
    <w:uiPriority w:val="39"/>
    <w:rsid w:val="00EE456B"/>
    <w:pPr>
      <w:tabs>
        <w:tab w:val="right" w:pos="8771"/>
      </w:tabs>
      <w:ind w:left="1134"/>
    </w:pPr>
    <w:rPr>
      <w:szCs w:val="22"/>
    </w:rPr>
  </w:style>
  <w:style w:type="paragraph" w:customStyle="1" w:styleId="bullet2">
    <w:name w:val="bullet 2"/>
    <w:basedOn w:val="body"/>
    <w:qFormat/>
    <w:rsid w:val="001C5BC2"/>
    <w:pPr>
      <w:numPr>
        <w:numId w:val="1"/>
      </w:numPr>
    </w:pPr>
    <w:rPr>
      <w:szCs w:val="22"/>
    </w:rPr>
  </w:style>
  <w:style w:type="paragraph" w:customStyle="1" w:styleId="Numberedtitlelevel3">
    <w:name w:val="Numbered title level 3"/>
    <w:basedOn w:val="Titlelevel3"/>
    <w:next w:val="body"/>
    <w:qFormat/>
    <w:rsid w:val="008F3908"/>
    <w:pPr>
      <w:numPr>
        <w:ilvl w:val="2"/>
        <w:numId w:val="7"/>
      </w:numPr>
    </w:pPr>
  </w:style>
  <w:style w:type="table" w:styleId="LightShading">
    <w:name w:val="Light Shading"/>
    <w:basedOn w:val="TableNormal"/>
    <w:uiPriority w:val="60"/>
    <w:rsid w:val="00F942C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5301B"/>
    <w:rPr>
      <w:color w:val="234156" w:themeColor="accent1" w:themeShade="BF"/>
    </w:rPr>
    <w:tblPr>
      <w:tblStyleRowBandSize w:val="1"/>
      <w:tblStyleColBandSize w:val="1"/>
      <w:tblBorders>
        <w:top w:val="single" w:sz="8" w:space="0" w:color="2F5773" w:themeColor="accent1"/>
        <w:bottom w:val="single" w:sz="8" w:space="0" w:color="2F5773" w:themeColor="accent1"/>
      </w:tblBorders>
    </w:tblPr>
    <w:tblStylePr w:type="fir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la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hemeFill="accent1" w:themeFillTint="3F"/>
      </w:tcPr>
    </w:tblStylePr>
    <w:tblStylePr w:type="band1Horz">
      <w:tblPr/>
      <w:tcPr>
        <w:tcBorders>
          <w:left w:val="nil"/>
          <w:right w:val="nil"/>
          <w:insideH w:val="nil"/>
          <w:insideV w:val="nil"/>
        </w:tcBorders>
        <w:shd w:val="clear" w:color="auto" w:fill="C1D7E6" w:themeFill="accent1" w:themeFillTint="3F"/>
      </w:tcPr>
    </w:tblStylePr>
  </w:style>
  <w:style w:type="paragraph" w:customStyle="1" w:styleId="Contenttitle">
    <w:name w:val="Content title"/>
    <w:basedOn w:val="Titlelevel1"/>
    <w:qFormat/>
    <w:rsid w:val="00172007"/>
  </w:style>
  <w:style w:type="paragraph" w:customStyle="1" w:styleId="Numberedtitlelevel4">
    <w:name w:val="Numbered title level 4"/>
    <w:basedOn w:val="Titlelevel4"/>
    <w:qFormat/>
    <w:rsid w:val="005D4005"/>
    <w:pPr>
      <w:numPr>
        <w:numId w:val="4"/>
      </w:numPr>
    </w:pPr>
  </w:style>
  <w:style w:type="paragraph" w:styleId="Header">
    <w:name w:val="header"/>
    <w:basedOn w:val="Normal"/>
    <w:link w:val="HeaderChar"/>
    <w:uiPriority w:val="99"/>
    <w:semiHidden/>
    <w:rsid w:val="00A92440"/>
    <w:pPr>
      <w:tabs>
        <w:tab w:val="center" w:pos="4320"/>
        <w:tab w:val="right" w:pos="8640"/>
      </w:tabs>
    </w:pPr>
  </w:style>
  <w:style w:type="character" w:customStyle="1" w:styleId="HeaderChar">
    <w:name w:val="Header Char"/>
    <w:basedOn w:val="DefaultParagraphFont"/>
    <w:link w:val="Header"/>
    <w:uiPriority w:val="99"/>
    <w:semiHidden/>
    <w:rsid w:val="00582AA7"/>
    <w:rPr>
      <w:sz w:val="22"/>
    </w:rPr>
  </w:style>
  <w:style w:type="paragraph" w:styleId="Title">
    <w:name w:val="Title"/>
    <w:basedOn w:val="Normal"/>
    <w:next w:val="Normal"/>
    <w:link w:val="TitleChar"/>
    <w:qFormat/>
    <w:rsid w:val="004719B4"/>
    <w:pPr>
      <w:pBdr>
        <w:bottom w:val="single" w:sz="8" w:space="4" w:color="2F5773" w:themeColor="accent1"/>
      </w:pBdr>
      <w:spacing w:after="300"/>
      <w:contextualSpacing/>
    </w:pPr>
    <w:rPr>
      <w:rFonts w:asciiTheme="majorHAnsi" w:eastAsiaTheme="majorEastAsia" w:hAnsiTheme="majorHAnsi" w:cstheme="majorBidi"/>
      <w:color w:val="2F5773" w:themeColor="text2"/>
      <w:spacing w:val="5"/>
      <w:kern w:val="28"/>
      <w:sz w:val="52"/>
      <w:szCs w:val="52"/>
    </w:rPr>
  </w:style>
  <w:style w:type="character" w:customStyle="1" w:styleId="TitleChar">
    <w:name w:val="Title Char"/>
    <w:basedOn w:val="DefaultParagraphFont"/>
    <w:link w:val="Title"/>
    <w:rsid w:val="00582AA7"/>
    <w:rPr>
      <w:rFonts w:asciiTheme="majorHAnsi" w:eastAsiaTheme="majorEastAsia" w:hAnsiTheme="majorHAnsi" w:cstheme="majorBidi"/>
      <w:color w:val="2F5773" w:themeColor="text2"/>
      <w:spacing w:val="5"/>
      <w:kern w:val="28"/>
      <w:sz w:val="52"/>
      <w:szCs w:val="52"/>
    </w:rPr>
  </w:style>
  <w:style w:type="paragraph" w:styleId="TableofFigures">
    <w:name w:val="table of figures"/>
    <w:basedOn w:val="Normal"/>
    <w:next w:val="Normal"/>
    <w:autoRedefine/>
    <w:uiPriority w:val="99"/>
    <w:qFormat/>
    <w:rsid w:val="00172007"/>
    <w:pPr>
      <w:spacing w:before="160"/>
    </w:pPr>
  </w:style>
  <w:style w:type="paragraph" w:styleId="Subtitle">
    <w:name w:val="Subtitle"/>
    <w:next w:val="Normal"/>
    <w:link w:val="SubtitleChar"/>
    <w:autoRedefine/>
    <w:uiPriority w:val="11"/>
    <w:qFormat/>
    <w:rsid w:val="004719B4"/>
    <w:pPr>
      <w:numPr>
        <w:ilvl w:val="1"/>
      </w:numPr>
      <w:spacing w:before="240" w:after="120"/>
    </w:pPr>
    <w:rPr>
      <w:rFonts w:asciiTheme="majorHAnsi" w:eastAsiaTheme="majorEastAsia" w:hAnsiTheme="majorHAnsi" w:cstheme="majorBidi"/>
      <w:color w:val="2F5773" w:themeColor="accent1"/>
      <w:sz w:val="32"/>
      <w:szCs w:val="32"/>
    </w:rPr>
  </w:style>
  <w:style w:type="character" w:customStyle="1" w:styleId="SubtitleChar">
    <w:name w:val="Subtitle Char"/>
    <w:basedOn w:val="DefaultParagraphFont"/>
    <w:link w:val="Subtitle"/>
    <w:uiPriority w:val="11"/>
    <w:rsid w:val="00290DA3"/>
    <w:rPr>
      <w:rFonts w:asciiTheme="majorHAnsi" w:eastAsiaTheme="majorEastAsia" w:hAnsiTheme="majorHAnsi" w:cstheme="majorBidi"/>
      <w:color w:val="2F5773" w:themeColor="accent1"/>
      <w:sz w:val="32"/>
      <w:szCs w:val="32"/>
      <w:lang w:val="fr-FR"/>
    </w:rPr>
  </w:style>
  <w:style w:type="character" w:styleId="BookTitle">
    <w:name w:val="Book Title"/>
    <w:basedOn w:val="DefaultParagraphFont"/>
    <w:uiPriority w:val="33"/>
    <w:semiHidden/>
    <w:qFormat/>
    <w:rsid w:val="000D7A44"/>
    <w:rPr>
      <w:b/>
      <w:bCs/>
      <w:smallCaps/>
      <w:spacing w:val="5"/>
    </w:rPr>
  </w:style>
  <w:style w:type="character" w:customStyle="1" w:styleId="Highlighttext">
    <w:name w:val="Highlight text"/>
    <w:basedOn w:val="DefaultParagraphFont"/>
    <w:uiPriority w:val="1"/>
    <w:semiHidden/>
    <w:qFormat/>
    <w:rsid w:val="00AE55F6"/>
    <w:rPr>
      <w:rFonts w:asciiTheme="minorHAnsi" w:hAnsiTheme="minorHAnsi"/>
      <w:b/>
      <w:bCs/>
      <w:caps w:val="0"/>
      <w:smallCaps w:val="0"/>
      <w:color w:val="E98E31" w:themeColor="background2"/>
      <w:sz w:val="22"/>
      <w:szCs w:val="22"/>
    </w:rPr>
  </w:style>
  <w:style w:type="paragraph" w:customStyle="1" w:styleId="abbreviation">
    <w:name w:val="abbreviation"/>
    <w:basedOn w:val="Tableheader"/>
    <w:qFormat/>
    <w:rsid w:val="00455E0E"/>
    <w:rPr>
      <w:bCs/>
      <w:lang w:eastAsia="en-GB"/>
    </w:rPr>
  </w:style>
  <w:style w:type="paragraph" w:styleId="ListBullet">
    <w:name w:val="List Bullet"/>
    <w:basedOn w:val="Normal"/>
    <w:semiHidden/>
    <w:qFormat/>
    <w:rsid w:val="00A304D0"/>
    <w:pPr>
      <w:numPr>
        <w:numId w:val="9"/>
      </w:numPr>
      <w:contextualSpacing/>
    </w:pPr>
  </w:style>
  <w:style w:type="character" w:styleId="Hyperlink">
    <w:name w:val="Hyperlink"/>
    <w:basedOn w:val="DefaultParagraphFont"/>
    <w:uiPriority w:val="99"/>
    <w:rsid w:val="00392385"/>
    <w:rPr>
      <w:color w:val="2F5773" w:themeColor="hyperlink"/>
      <w:u w:val="single"/>
    </w:rPr>
  </w:style>
  <w:style w:type="paragraph" w:customStyle="1" w:styleId="numberedparagraph">
    <w:name w:val="numbered paragraph"/>
    <w:basedOn w:val="body"/>
    <w:qFormat/>
    <w:rsid w:val="00E22BCE"/>
    <w:pPr>
      <w:numPr>
        <w:numId w:val="8"/>
      </w:numPr>
    </w:pPr>
  </w:style>
  <w:style w:type="paragraph" w:styleId="TOC5">
    <w:name w:val="toc 5"/>
    <w:basedOn w:val="Normal"/>
    <w:next w:val="Normal"/>
    <w:autoRedefine/>
    <w:uiPriority w:val="39"/>
    <w:semiHidden/>
    <w:rsid w:val="00B526A8"/>
    <w:pPr>
      <w:ind w:left="880"/>
    </w:pPr>
  </w:style>
  <w:style w:type="paragraph" w:styleId="TOC6">
    <w:name w:val="toc 6"/>
    <w:basedOn w:val="Normal"/>
    <w:next w:val="Normal"/>
    <w:autoRedefine/>
    <w:uiPriority w:val="39"/>
    <w:semiHidden/>
    <w:rsid w:val="00B526A8"/>
    <w:pPr>
      <w:ind w:left="1100"/>
    </w:pPr>
  </w:style>
  <w:style w:type="paragraph" w:styleId="TOC7">
    <w:name w:val="toc 7"/>
    <w:basedOn w:val="Normal"/>
    <w:next w:val="Normal"/>
    <w:autoRedefine/>
    <w:uiPriority w:val="39"/>
    <w:semiHidden/>
    <w:rsid w:val="00B526A8"/>
    <w:pPr>
      <w:ind w:left="1320"/>
    </w:pPr>
  </w:style>
  <w:style w:type="paragraph" w:styleId="TOC8">
    <w:name w:val="toc 8"/>
    <w:basedOn w:val="Normal"/>
    <w:next w:val="Normal"/>
    <w:autoRedefine/>
    <w:uiPriority w:val="39"/>
    <w:semiHidden/>
    <w:rsid w:val="00B526A8"/>
    <w:pPr>
      <w:ind w:left="1540"/>
    </w:pPr>
  </w:style>
  <w:style w:type="paragraph" w:styleId="TOC9">
    <w:name w:val="toc 9"/>
    <w:basedOn w:val="Normal"/>
    <w:next w:val="Normal"/>
    <w:autoRedefine/>
    <w:uiPriority w:val="39"/>
    <w:semiHidden/>
    <w:rsid w:val="00B526A8"/>
    <w:pPr>
      <w:ind w:left="1760"/>
    </w:pPr>
  </w:style>
  <w:style w:type="paragraph" w:customStyle="1" w:styleId="Default">
    <w:name w:val="Default"/>
    <w:rsid w:val="000C7FD8"/>
    <w:pPr>
      <w:autoSpaceDE w:val="0"/>
      <w:autoSpaceDN w:val="0"/>
      <w:adjustRightInd w:val="0"/>
    </w:pPr>
    <w:rPr>
      <w:rFonts w:ascii="Calibri" w:eastAsiaTheme="minorHAnsi" w:hAnsi="Calibri" w:cs="Calibri"/>
      <w:color w:val="000000"/>
    </w:rPr>
  </w:style>
  <w:style w:type="paragraph" w:styleId="TOCHeading">
    <w:name w:val="TOC Heading"/>
    <w:basedOn w:val="Heading1"/>
    <w:next w:val="Normal"/>
    <w:uiPriority w:val="39"/>
    <w:semiHidden/>
    <w:qFormat/>
    <w:rsid w:val="00B43E07"/>
    <w:pPr>
      <w:spacing w:before="480"/>
      <w:outlineLvl w:val="9"/>
    </w:pPr>
    <w:rPr>
      <w:caps w:val="0"/>
      <w:color w:val="234156" w:themeColor="accent1" w:themeShade="BF"/>
      <w:sz w:val="28"/>
      <w:szCs w:val="28"/>
    </w:rPr>
  </w:style>
  <w:style w:type="character" w:customStyle="1" w:styleId="Marker">
    <w:name w:val="Marker"/>
    <w:rsid w:val="00B43E07"/>
    <w:rPr>
      <w:color w:val="0000FF"/>
      <w:shd w:val="clear" w:color="auto" w:fill="auto"/>
    </w:rPr>
  </w:style>
  <w:style w:type="character" w:customStyle="1" w:styleId="Marker2">
    <w:name w:val="Marker2"/>
    <w:rsid w:val="00B43E07"/>
    <w:rPr>
      <w:color w:val="FF0000"/>
      <w:shd w:val="clear" w:color="auto" w:fill="auto"/>
    </w:rPr>
  </w:style>
  <w:style w:type="paragraph" w:customStyle="1" w:styleId="Annexetitre">
    <w:name w:val="Annexe titre"/>
    <w:basedOn w:val="Normal"/>
    <w:next w:val="Normal"/>
    <w:rsid w:val="00B43E07"/>
    <w:pPr>
      <w:spacing w:before="120" w:after="120"/>
      <w:jc w:val="center"/>
    </w:pPr>
    <w:rPr>
      <w:rFonts w:ascii="Times New Roman" w:eastAsia="Times New Roman" w:hAnsi="Times New Roman" w:cs="Times New Roman"/>
      <w:b/>
      <w:sz w:val="24"/>
      <w:u w:val="single"/>
    </w:rPr>
  </w:style>
  <w:style w:type="paragraph" w:customStyle="1" w:styleId="Applicationdirecte">
    <w:name w:val="Application directe"/>
    <w:basedOn w:val="Normal"/>
    <w:next w:val="Fait"/>
    <w:rsid w:val="00B43E07"/>
    <w:pPr>
      <w:spacing w:before="480" w:after="120"/>
      <w:jc w:val="both"/>
    </w:pPr>
    <w:rPr>
      <w:rFonts w:ascii="Times New Roman" w:eastAsia="Times New Roman" w:hAnsi="Times New Roman" w:cs="Times New Roman"/>
      <w:sz w:val="24"/>
    </w:rPr>
  </w:style>
  <w:style w:type="paragraph" w:customStyle="1" w:styleId="Considrant">
    <w:name w:val="Considérant"/>
    <w:basedOn w:val="Normal"/>
    <w:rsid w:val="00B43E07"/>
    <w:pPr>
      <w:numPr>
        <w:numId w:val="11"/>
      </w:numPr>
      <w:spacing w:before="120" w:after="120"/>
      <w:jc w:val="both"/>
    </w:pPr>
    <w:rPr>
      <w:rFonts w:ascii="Times New Roman" w:eastAsia="Times New Roman" w:hAnsi="Times New Roman" w:cs="Times New Roman"/>
      <w:sz w:val="24"/>
    </w:rPr>
  </w:style>
  <w:style w:type="paragraph" w:customStyle="1" w:styleId="Datedadoption">
    <w:name w:val="Date d'adoption"/>
    <w:basedOn w:val="Normal"/>
    <w:next w:val="Titreobjet"/>
    <w:rsid w:val="00B43E07"/>
    <w:pPr>
      <w:spacing w:before="360"/>
      <w:jc w:val="center"/>
    </w:pPr>
    <w:rPr>
      <w:rFonts w:ascii="Times New Roman" w:eastAsia="Times New Roman" w:hAnsi="Times New Roman" w:cs="Times New Roman"/>
      <w:b/>
      <w:sz w:val="24"/>
    </w:rPr>
  </w:style>
  <w:style w:type="paragraph" w:customStyle="1" w:styleId="Fait">
    <w:name w:val="Fait à"/>
    <w:basedOn w:val="Normal"/>
    <w:next w:val="Institutionquisigne"/>
    <w:rsid w:val="00B43E07"/>
    <w:pPr>
      <w:keepNext/>
      <w:spacing w:before="120"/>
      <w:jc w:val="both"/>
    </w:pPr>
    <w:rPr>
      <w:rFonts w:ascii="Times New Roman" w:eastAsia="Times New Roman" w:hAnsi="Times New Roman" w:cs="Times New Roman"/>
      <w:sz w:val="24"/>
    </w:rPr>
  </w:style>
  <w:style w:type="paragraph" w:customStyle="1" w:styleId="Formuledadoption">
    <w:name w:val="Formule d'adoption"/>
    <w:basedOn w:val="Normal"/>
    <w:next w:val="Titrearticle"/>
    <w:rsid w:val="00B43E07"/>
    <w:pPr>
      <w:keepNext/>
      <w:spacing w:before="120" w:after="120"/>
      <w:jc w:val="both"/>
    </w:pPr>
    <w:rPr>
      <w:rFonts w:ascii="Times New Roman" w:eastAsia="Times New Roman" w:hAnsi="Times New Roman" w:cs="Times New Roman"/>
      <w:sz w:val="24"/>
    </w:rPr>
  </w:style>
  <w:style w:type="paragraph" w:customStyle="1" w:styleId="Institutionquisigne">
    <w:name w:val="Institution qui signe"/>
    <w:basedOn w:val="Normal"/>
    <w:next w:val="Personnequisigne"/>
    <w:rsid w:val="00B43E07"/>
    <w:pPr>
      <w:keepNext/>
      <w:tabs>
        <w:tab w:val="left" w:pos="4252"/>
      </w:tabs>
      <w:spacing w:before="720"/>
      <w:jc w:val="both"/>
    </w:pPr>
    <w:rPr>
      <w:rFonts w:ascii="Times New Roman" w:eastAsia="Times New Roman" w:hAnsi="Times New Roman" w:cs="Times New Roman"/>
      <w:i/>
      <w:sz w:val="24"/>
    </w:rPr>
  </w:style>
  <w:style w:type="paragraph" w:customStyle="1" w:styleId="Personnequisigne">
    <w:name w:val="Personne qui signe"/>
    <w:basedOn w:val="Normal"/>
    <w:next w:val="Institutionquisigne"/>
    <w:rsid w:val="00B43E07"/>
    <w:pPr>
      <w:tabs>
        <w:tab w:val="left" w:pos="4252"/>
      </w:tabs>
    </w:pPr>
    <w:rPr>
      <w:rFonts w:ascii="Times New Roman" w:eastAsia="Times New Roman" w:hAnsi="Times New Roman" w:cs="Times New Roman"/>
      <w:i/>
      <w:sz w:val="24"/>
    </w:rPr>
  </w:style>
  <w:style w:type="paragraph" w:customStyle="1" w:styleId="Titrearticle">
    <w:name w:val="Titre article"/>
    <w:basedOn w:val="Normal"/>
    <w:next w:val="Normal"/>
    <w:rsid w:val="00B43E07"/>
    <w:pPr>
      <w:keepNext/>
      <w:spacing w:before="360" w:after="120"/>
      <w:jc w:val="center"/>
    </w:pPr>
    <w:rPr>
      <w:rFonts w:ascii="Times New Roman" w:eastAsia="Times New Roman" w:hAnsi="Times New Roman" w:cs="Times New Roman"/>
      <w:i/>
      <w:sz w:val="24"/>
    </w:rPr>
  </w:style>
  <w:style w:type="paragraph" w:customStyle="1" w:styleId="Titreobjet">
    <w:name w:val="Titre objet"/>
    <w:basedOn w:val="Normal"/>
    <w:next w:val="Normal"/>
    <w:rsid w:val="00B43E07"/>
    <w:pPr>
      <w:spacing w:before="360" w:after="360"/>
      <w:jc w:val="center"/>
    </w:pPr>
    <w:rPr>
      <w:rFonts w:ascii="Times New Roman" w:eastAsia="Times New Roman" w:hAnsi="Times New Roman" w:cs="Times New Roman"/>
      <w:b/>
      <w:sz w:val="24"/>
    </w:rPr>
  </w:style>
  <w:style w:type="paragraph" w:customStyle="1" w:styleId="Typedudocument">
    <w:name w:val="Type du document"/>
    <w:basedOn w:val="Normal"/>
    <w:next w:val="Titreobjet"/>
    <w:rsid w:val="00B43E07"/>
    <w:pPr>
      <w:spacing w:before="360"/>
      <w:jc w:val="center"/>
    </w:pPr>
    <w:rPr>
      <w:rFonts w:ascii="Times New Roman" w:eastAsia="Times New Roman" w:hAnsi="Times New Roman" w:cs="Times New Roman"/>
      <w:b/>
      <w:sz w:val="24"/>
    </w:rPr>
  </w:style>
  <w:style w:type="paragraph" w:customStyle="1" w:styleId="Pagedecouverture">
    <w:name w:val="Page de couverture"/>
    <w:basedOn w:val="Normal"/>
    <w:next w:val="Normal"/>
    <w:rsid w:val="00B43E07"/>
    <w:pPr>
      <w:spacing w:before="120" w:after="120"/>
      <w:jc w:val="both"/>
    </w:pPr>
    <w:rPr>
      <w:rFonts w:ascii="Times New Roman" w:eastAsia="Times New Roman" w:hAnsi="Times New Roman" w:cs="Times New Roman"/>
      <w:sz w:val="24"/>
    </w:rPr>
  </w:style>
  <w:style w:type="paragraph" w:customStyle="1" w:styleId="Institutionquiagit">
    <w:name w:val="Institution qui agit"/>
    <w:basedOn w:val="Normal"/>
    <w:next w:val="Normal"/>
    <w:rsid w:val="00B43E07"/>
    <w:pPr>
      <w:keepNext/>
      <w:spacing w:before="600" w:after="120"/>
      <w:jc w:val="both"/>
    </w:pPr>
    <w:rPr>
      <w:rFonts w:ascii="Times New Roman" w:eastAsia="Times New Roman" w:hAnsi="Times New Roman" w:cs="Times New Roman"/>
      <w:sz w:val="24"/>
    </w:rPr>
  </w:style>
  <w:style w:type="paragraph" w:styleId="ListParagraph">
    <w:name w:val="List Paragraph"/>
    <w:basedOn w:val="Normal"/>
    <w:uiPriority w:val="1"/>
    <w:qFormat/>
    <w:rsid w:val="009F12DA"/>
    <w:pPr>
      <w:ind w:left="720"/>
    </w:pPr>
    <w:rPr>
      <w:rFonts w:ascii="Calibri" w:eastAsia="Calibri" w:hAnsi="Calibri" w:cs="Times New Roman"/>
      <w:szCs w:val="22"/>
    </w:rPr>
  </w:style>
  <w:style w:type="character" w:styleId="CommentReference">
    <w:name w:val="annotation reference"/>
    <w:basedOn w:val="DefaultParagraphFont"/>
    <w:uiPriority w:val="99"/>
    <w:semiHidden/>
    <w:unhideWhenUsed/>
    <w:rsid w:val="006336C8"/>
    <w:rPr>
      <w:sz w:val="16"/>
      <w:szCs w:val="16"/>
    </w:rPr>
  </w:style>
  <w:style w:type="paragraph" w:styleId="CommentText">
    <w:name w:val="annotation text"/>
    <w:basedOn w:val="Normal"/>
    <w:link w:val="CommentTextChar"/>
    <w:uiPriority w:val="99"/>
    <w:unhideWhenUsed/>
    <w:rsid w:val="006336C8"/>
    <w:rPr>
      <w:sz w:val="20"/>
      <w:szCs w:val="20"/>
    </w:rPr>
  </w:style>
  <w:style w:type="character" w:customStyle="1" w:styleId="CommentTextChar">
    <w:name w:val="Comment Text Char"/>
    <w:basedOn w:val="DefaultParagraphFont"/>
    <w:link w:val="CommentText"/>
    <w:uiPriority w:val="99"/>
    <w:rsid w:val="006336C8"/>
    <w:rPr>
      <w:sz w:val="20"/>
      <w:szCs w:val="20"/>
      <w:lang w:val="fr-FR"/>
    </w:rPr>
  </w:style>
  <w:style w:type="paragraph" w:styleId="CommentSubject">
    <w:name w:val="annotation subject"/>
    <w:basedOn w:val="CommentText"/>
    <w:next w:val="CommentText"/>
    <w:link w:val="CommentSubjectChar"/>
    <w:uiPriority w:val="99"/>
    <w:semiHidden/>
    <w:unhideWhenUsed/>
    <w:rsid w:val="00944AD8"/>
    <w:rPr>
      <w:b/>
      <w:bCs/>
    </w:rPr>
  </w:style>
  <w:style w:type="character" w:customStyle="1" w:styleId="CommentSubjectChar">
    <w:name w:val="Comment Subject Char"/>
    <w:basedOn w:val="CommentTextChar"/>
    <w:link w:val="CommentSubject"/>
    <w:uiPriority w:val="99"/>
    <w:semiHidden/>
    <w:rsid w:val="00944AD8"/>
    <w:rPr>
      <w:b/>
      <w:bCs/>
      <w:sz w:val="20"/>
      <w:szCs w:val="20"/>
      <w:lang w:val="fr-FR"/>
    </w:rPr>
  </w:style>
  <w:style w:type="paragraph" w:styleId="Revision">
    <w:name w:val="Revision"/>
    <w:hidden/>
    <w:uiPriority w:val="99"/>
    <w:semiHidden/>
    <w:rsid w:val="00944AD8"/>
    <w:rPr>
      <w:sz w:val="22"/>
    </w:rPr>
  </w:style>
  <w:style w:type="paragraph" w:customStyle="1" w:styleId="Text1">
    <w:name w:val="Text 1"/>
    <w:basedOn w:val="Normal"/>
    <w:rsid w:val="00454B24"/>
    <w:pPr>
      <w:spacing w:before="120" w:after="120"/>
      <w:ind w:left="850"/>
      <w:jc w:val="both"/>
    </w:pPr>
    <w:rPr>
      <w:rFonts w:ascii="Times New Roman" w:eastAsia="Calibri" w:hAnsi="Times New Roman" w:cs="Times New Roman"/>
      <w:sz w:val="24"/>
      <w:szCs w:val="20"/>
      <w:lang w:eastAsia="en-GB"/>
    </w:rPr>
  </w:style>
  <w:style w:type="paragraph" w:customStyle="1" w:styleId="TableParagraph">
    <w:name w:val="Table Paragraph"/>
    <w:basedOn w:val="Normal"/>
    <w:uiPriority w:val="1"/>
    <w:qFormat/>
    <w:rsid w:val="00723921"/>
    <w:pPr>
      <w:widowControl w:val="0"/>
      <w:autoSpaceDE w:val="0"/>
      <w:autoSpaceDN w:val="0"/>
    </w:pPr>
    <w:rPr>
      <w:rFonts w:ascii="Calibri" w:eastAsia="Calibri" w:hAnsi="Calibri" w:cs="Calibri"/>
      <w:szCs w:val="22"/>
      <w:lang w:eastAsia="en-GB" w:bidi="en-GB"/>
    </w:rPr>
  </w:style>
  <w:style w:type="paragraph" w:styleId="BodyText">
    <w:name w:val="Body Text"/>
    <w:basedOn w:val="Normal"/>
    <w:link w:val="BodyTextChar"/>
    <w:uiPriority w:val="1"/>
    <w:rsid w:val="006F5266"/>
    <w:pPr>
      <w:widowControl w:val="0"/>
      <w:autoSpaceDE w:val="0"/>
      <w:spacing w:after="160" w:line="259" w:lineRule="auto"/>
    </w:pPr>
    <w:rPr>
      <w:rFonts w:eastAsia="Calibri" w:cs="Calibri"/>
      <w:szCs w:val="22"/>
    </w:rPr>
  </w:style>
  <w:style w:type="character" w:customStyle="1" w:styleId="BodyTextChar">
    <w:name w:val="Body Text Char"/>
    <w:basedOn w:val="DefaultParagraphFont"/>
    <w:link w:val="BodyText"/>
    <w:uiPriority w:val="1"/>
    <w:rsid w:val="006F5266"/>
    <w:rPr>
      <w:rFonts w:eastAsia="Calibri" w:cs="Calibri"/>
      <w:sz w:val="22"/>
      <w:szCs w:val="22"/>
    </w:rPr>
  </w:style>
  <w:style w:type="table" w:customStyle="1" w:styleId="TableGrid1">
    <w:name w:val="Table Grid1"/>
    <w:basedOn w:val="TableNormal"/>
    <w:next w:val="TableGrid"/>
    <w:uiPriority w:val="39"/>
    <w:rsid w:val="006F5266"/>
    <w:rPr>
      <w:rFonts w:eastAsiaTheme="minorHAns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19946">
      <w:bodyDiv w:val="1"/>
      <w:marLeft w:val="0"/>
      <w:marRight w:val="0"/>
      <w:marTop w:val="0"/>
      <w:marBottom w:val="0"/>
      <w:divBdr>
        <w:top w:val="none" w:sz="0" w:space="0" w:color="auto"/>
        <w:left w:val="none" w:sz="0" w:space="0" w:color="auto"/>
        <w:bottom w:val="none" w:sz="0" w:space="0" w:color="auto"/>
        <w:right w:val="none" w:sz="0" w:space="0" w:color="auto"/>
      </w:divBdr>
    </w:div>
    <w:div w:id="247663650">
      <w:bodyDiv w:val="1"/>
      <w:marLeft w:val="0"/>
      <w:marRight w:val="0"/>
      <w:marTop w:val="0"/>
      <w:marBottom w:val="0"/>
      <w:divBdr>
        <w:top w:val="none" w:sz="0" w:space="0" w:color="auto"/>
        <w:left w:val="none" w:sz="0" w:space="0" w:color="auto"/>
        <w:bottom w:val="none" w:sz="0" w:space="0" w:color="auto"/>
        <w:right w:val="none" w:sz="0" w:space="0" w:color="auto"/>
      </w:divBdr>
    </w:div>
    <w:div w:id="349382086">
      <w:bodyDiv w:val="1"/>
      <w:marLeft w:val="0"/>
      <w:marRight w:val="0"/>
      <w:marTop w:val="0"/>
      <w:marBottom w:val="0"/>
      <w:divBdr>
        <w:top w:val="none" w:sz="0" w:space="0" w:color="auto"/>
        <w:left w:val="none" w:sz="0" w:space="0" w:color="auto"/>
        <w:bottom w:val="none" w:sz="0" w:space="0" w:color="auto"/>
        <w:right w:val="none" w:sz="0" w:space="0" w:color="auto"/>
      </w:divBdr>
    </w:div>
    <w:div w:id="1124035648">
      <w:bodyDiv w:val="1"/>
      <w:marLeft w:val="0"/>
      <w:marRight w:val="0"/>
      <w:marTop w:val="0"/>
      <w:marBottom w:val="0"/>
      <w:divBdr>
        <w:top w:val="none" w:sz="0" w:space="0" w:color="auto"/>
        <w:left w:val="none" w:sz="0" w:space="0" w:color="auto"/>
        <w:bottom w:val="none" w:sz="0" w:space="0" w:color="auto"/>
        <w:right w:val="none" w:sz="0" w:space="0" w:color="auto"/>
      </w:divBdr>
    </w:div>
    <w:div w:id="1345940746">
      <w:bodyDiv w:val="1"/>
      <w:marLeft w:val="0"/>
      <w:marRight w:val="0"/>
      <w:marTop w:val="0"/>
      <w:marBottom w:val="0"/>
      <w:divBdr>
        <w:top w:val="none" w:sz="0" w:space="0" w:color="auto"/>
        <w:left w:val="none" w:sz="0" w:space="0" w:color="auto"/>
        <w:bottom w:val="none" w:sz="0" w:space="0" w:color="auto"/>
        <w:right w:val="none" w:sz="0" w:space="0" w:color="auto"/>
      </w:divBdr>
    </w:div>
    <w:div w:id="2018773254">
      <w:bodyDiv w:val="1"/>
      <w:marLeft w:val="0"/>
      <w:marRight w:val="0"/>
      <w:marTop w:val="0"/>
      <w:marBottom w:val="0"/>
      <w:divBdr>
        <w:top w:val="none" w:sz="0" w:space="0" w:color="auto"/>
        <w:left w:val="none" w:sz="0" w:space="0" w:color="auto"/>
        <w:bottom w:val="none" w:sz="0" w:space="0" w:color="auto"/>
        <w:right w:val="none" w:sz="0" w:space="0" w:color="auto"/>
      </w:divBdr>
    </w:div>
    <w:div w:id="2037929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BA template">
  <a:themeElements>
    <a:clrScheme name="EBA theme 2">
      <a:dk1>
        <a:srgbClr val="000000"/>
      </a:dk1>
      <a:lt1>
        <a:sysClr val="window" lastClr="FFFFFF"/>
      </a:lt1>
      <a:dk2>
        <a:srgbClr val="2F5773"/>
      </a:dk2>
      <a:lt2>
        <a:srgbClr val="E98E31"/>
      </a:lt2>
      <a:accent1>
        <a:srgbClr val="2F5773"/>
      </a:accent1>
      <a:accent2>
        <a:srgbClr val="EA933B"/>
      </a:accent2>
      <a:accent3>
        <a:srgbClr val="D44D2A"/>
      </a:accent3>
      <a:accent4>
        <a:srgbClr val="49AB74"/>
      </a:accent4>
      <a:accent5>
        <a:srgbClr val="52666E"/>
      </a:accent5>
      <a:accent6>
        <a:srgbClr val="163A5A"/>
      </a:accent6>
      <a:hlink>
        <a:srgbClr val="2F5773"/>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E5948-5F9C-4163-A9E0-727BC4AAA51B}">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36</ap:TotalTime>
  <ap:Pages>16</ap:Pages>
  <ap:Words>4003</ap:Words>
  <ap:Characters>23584</ap:Characters>
  <ap:Application>Microsoft Office Word</ap:Application>
  <ap:DocSecurity>0</ap:DocSecurity>
  <ap:Lines>196</ap:Lines>
  <ap:Paragraphs>55</ap:Paragraphs>
  <ap:ScaleCrop>false</ap:ScaleCrop>
  <ap:HeadingPairs>
    <vt:vector baseType="variant" size="4">
      <vt:variant>
        <vt:lpstr>Title</vt:lpstr>
      </vt:variant>
      <vt:variant>
        <vt:i4>1</vt:i4>
      </vt:variant>
      <vt:variant>
        <vt:lpstr>Titre</vt:lpstr>
      </vt:variant>
      <vt:variant>
        <vt:i4>1</vt:i4>
      </vt:variant>
    </vt:vector>
  </ap:HeadingPairs>
  <ap:TitlesOfParts>
    <vt:vector baseType="lpstr" size="2">
      <vt:lpstr/>
      <vt:lpstr/>
    </vt:vector>
  </ap:TitlesOfParts>
  <ap:Company>CDT</ap:Company>
  <ap:LinksUpToDate>false</ap:LinksUpToDate>
  <ap:CharactersWithSpaces>27532</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creator>CDT</dc:creator>
  <lastModifiedBy>CDT</lastModifiedBy>
  <revision>11</revision>
  <lastPrinted>2020-12-16T08:40:00.0000000Z</lastPrinted>
  <dcterms:created xsi:type="dcterms:W3CDTF">2020-12-16T09:03:00.0000000Z</dcterms:created>
  <dcterms:modified xsi:type="dcterms:W3CDTF">2024-04-22T07:16:00.0000000Z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JobId">
    <vt:lpwstr>48835c12-3cc0-4b70-a511-ac6900effe05</vt:lpwstr>
  </property>
</Properties>
</file>