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98787969" w:displacedByCustomXml="next" w:id="0"/>
    <w:bookmarkStart w:name="_Toc298788158" w:displacedByCustomXml="next" w:id="1"/>
    <w:bookmarkStart w:name="_Toc298788641" w:displacedByCustomXml="next" w:id="2"/>
    <w:bookmarkStart w:name="_Toc305686691" w:displacedByCustomXml="next" w:id="3"/>
    <w:bookmarkStart w:name="_Toc306350093" w:displacedByCustomXml="next" w:id="4"/>
    <w:bookmarkStart w:name="_Toc306350113" w:displacedByCustomXml="next" w:id="5"/>
    <w:bookmarkStart w:name="_Toc331517265" w:displacedByCustomXml="next" w:id="6"/>
    <w:bookmarkStart w:name="_Toc245891774" w:displacedByCustomXml="next" w:id="7"/>
    <w:bookmarkStart w:name="_Toc238803087" w:displacedByCustomXml="next" w:id="8"/>
    <w:bookmarkStart w:name="_Toc238803888" w:displacedByCustomXml="next" w:id="9"/>
    <w:sdt>
      <w:sdtPr>
        <w:id w:val="1024973533"/>
        <w:docPartObj>
          <w:docPartGallery w:val="Cover Pages"/>
          <w:docPartUnique/>
        </w:docPartObj>
      </w:sdtPr>
      <w:sdtEndPr/>
      <w:sdtContent>
        <w:p w:rsidRPr="004E0B7C"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969"/>
          </w:tblGrid>
          <w:tr w:rsidRPr="004E0B7C" w:rsidR="005B3658" w:rsidTr="0019065E" w14:paraId="3170F2D8" w14:textId="77777777">
            <w:tc>
              <w:tcPr>
                <w:tcW w:w="3969" w:type="dxa"/>
                <w:tcBorders>
                  <w:bottom w:val="single" w:color="A6A6A6" w:themeColor="background1" w:themeShade="A6" w:sz="4" w:space="0"/>
                </w:tcBorders>
                <w:shd w:val="clear" w:color="auto" w:fill="auto"/>
              </w:tcPr>
              <w:p w:rsidRPr="004E0B7C" w:rsidR="005B3658" w:rsidP="005B3658" w:rsidRDefault="005B3658" w14:paraId="6AAE07DF" w14:textId="66E737AD">
                <w:r w:rsidRPr="004E0B7C">
                  <w:t>EBA/GL/2020/14</w:t>
                </w:r>
                <w:r w:rsidRPr="0019065E" w:rsidR="0019065E">
                  <w:t xml:space="preserve"> (ενοποιημένη έκδοση)</w:t>
                </w:r>
              </w:p>
            </w:tc>
          </w:tr>
          <w:tr w:rsidRPr="004E0B7C" w:rsidR="005B3658" w:rsidTr="0019065E" w14:paraId="70F4DBFA" w14:textId="77777777">
            <w:tc>
              <w:tcPr>
                <w:tcW w:w="3969" w:type="dxa"/>
                <w:tcBorders>
                  <w:top w:val="single" w:color="A6A6A6" w:themeColor="background1" w:themeShade="A6" w:sz="4" w:space="0"/>
                  <w:bottom w:val="single" w:color="A6A6A6" w:themeColor="background1" w:themeShade="A6" w:sz="4" w:space="0"/>
                </w:tcBorders>
                <w:shd w:val="clear" w:color="auto" w:fill="auto"/>
              </w:tcPr>
              <w:p w:rsidRPr="004E0B7C" w:rsidR="005B3658" w:rsidP="005B3658" w:rsidRDefault="005B3658" w14:paraId="55211379" w14:textId="73FFF2EB">
                <w:r w:rsidRPr="004E0B7C">
                  <w:rPr>
                    <w:color w:val="000000"/>
                  </w:rPr>
                  <w:t>4 Νοεμβρίου 2020</w:t>
                </w:r>
              </w:p>
            </w:tc>
          </w:tr>
        </w:tbl>
        <w:p w:rsidRPr="004E0B7C"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4E0B7C"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6A6A93" w:rsidP="006A6A93" w:rsidRDefault="006A6A93" w14:paraId="7FE03994"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4E0B7C" w:rsidR="00B43E07" w:rsidP="00721D07" w:rsidRDefault="00A81586" w14:paraId="6E80AD78" w14:textId="260E2F22">
                <w:pPr>
                  <w:pStyle w:val="Contenttitle"/>
                </w:pPr>
                <w:r w:rsidRPr="004E0B7C">
                  <w:t xml:space="preserve">Κατευθυντήριες γραμμές </w:t>
                </w:r>
              </w:p>
            </w:tc>
          </w:tr>
          <w:tr w:rsidRPr="004E0B7C" w:rsidR="00B43E07" w:rsidTr="00993B1E" w14:paraId="15A7E3AC" w14:textId="77777777">
            <w:tc>
              <w:tcPr>
                <w:tcW w:w="8781" w:type="dxa"/>
                <w:tcMar>
                  <w:left w:w="0" w:type="dxa"/>
                  <w:right w:w="0" w:type="dxa"/>
                </w:tcMar>
                <w:vAlign w:val="top"/>
              </w:tcPr>
              <w:p w:rsidRPr="00D112ED" w:rsidR="00B43E07" w:rsidP="00E410F0" w:rsidRDefault="00B43E07" w14:paraId="0720F01B" w14:textId="502EF582">
                <w:pPr>
                  <w:pStyle w:val="Titlelevel4"/>
                  <w:rPr>
                    <w:lang w:val="el-GR"/>
                  </w:rPr>
                </w:pPr>
                <w:r w:rsidRPr="00D112ED">
                  <w:rPr>
                    <w:rFonts w:asciiTheme="majorHAnsi" w:hAnsiTheme="majorHAnsi"/>
                    <w:bCs/>
                    <w:color w:val="2F5773" w:themeColor="text2"/>
                    <w:sz w:val="52"/>
                    <w:szCs w:val="52"/>
                    <w:lang w:val="el-GR"/>
                  </w:rPr>
                  <w:t>σχετικά με τον καθορισμό και τη δημοσιοποίηση δεικτών συστημικής σημασίας</w:t>
                </w:r>
              </w:p>
            </w:tc>
          </w:tr>
        </w:tbl>
        <w:p w:rsidRPr="0019065E" w:rsidR="00B43E07" w:rsidP="00B43E07" w:rsidRDefault="00B43E07" w14:paraId="41F2A21B" w14:textId="77777777">
          <w:pPr>
            <w:rPr>
              <w:sz w:val="52"/>
              <w:szCs w:val="52"/>
            </w:rPr>
          </w:pPr>
        </w:p>
        <w:p w:rsidRPr="0019065E" w:rsidR="00B43E07" w:rsidP="00B43E07" w:rsidRDefault="00B43E07" w14:paraId="1441AC18" w14:textId="4C9B1E4E">
          <w:pPr>
            <w:rPr>
              <w:sz w:val="52"/>
              <w:szCs w:val="52"/>
            </w:rPr>
          </w:pPr>
        </w:p>
        <w:p w:rsidRPr="0019065E" w:rsidR="0019065E" w:rsidP="00B43E07" w:rsidRDefault="0019065E" w14:paraId="75E68574" w14:textId="279A9B4B">
          <w:pPr>
            <w:rPr>
              <w:sz w:val="52"/>
              <w:szCs w:val="52"/>
            </w:rPr>
          </w:pPr>
        </w:p>
        <w:p w:rsidRPr="0019065E" w:rsidR="0019065E" w:rsidP="00B43E07" w:rsidRDefault="0019065E" w14:paraId="7144524D" w14:textId="65164DCE">
          <w:pPr>
            <w:rPr>
              <w:sz w:val="52"/>
              <w:szCs w:val="52"/>
            </w:rPr>
          </w:pPr>
        </w:p>
        <w:p w:rsidR="0019065E" w:rsidP="00B43E07" w:rsidRDefault="0019065E" w14:paraId="23B3BF2A" w14:textId="41B9743E"/>
        <w:tbl>
          <w:tblPr>
            <w:tblStyle w:val="EBAtable"/>
            <w:tblW w:w="9125" w:type="dxa"/>
            <w:tblLook w:val="04A0" w:firstRow="1" w:lastRow="0" w:firstColumn="1" w:lastColumn="0" w:noHBand="0" w:noVBand="1"/>
          </w:tblPr>
          <w:tblGrid>
            <w:gridCol w:w="824"/>
            <w:gridCol w:w="3272"/>
            <w:gridCol w:w="5029"/>
          </w:tblGrid>
          <w:tr w:rsidRPr="00D13DB3" w:rsidR="0019065E" w:rsidTr="0019065E" w14:paraId="61A68650" w14:textId="77777777">
            <w:trPr>
              <w:cnfStyle w:val="100000000000" w:firstRow="1" w:lastRow="0" w:firstColumn="0" w:lastColumn="0" w:oddVBand="0" w:evenVBand="0" w:oddHBand="0" w:evenHBand="0" w:firstRowFirstColumn="0" w:firstRowLastColumn="0" w:lastRowFirstColumn="0" w:lastRowLastColumn="0"/>
              <w:trHeight w:val="300"/>
            </w:trPr>
            <w:tc>
              <w:tcPr>
                <w:tcW w:w="4096" w:type="dxa"/>
                <w:gridSpan w:val="2"/>
                <w:tcBorders>
                  <w:top w:val="single" w:color="auto" w:sz="12" w:space="0"/>
                  <w:left w:val="single" w:color="auto" w:sz="12" w:space="0"/>
                </w:tcBorders>
              </w:tcPr>
              <w:p w:rsidRPr="00D13DB3" w:rsidR="0019065E" w:rsidP="005D18C0" w:rsidRDefault="0019065E" w14:paraId="4ABE407A" w14:textId="77777777">
                <w:pPr>
                  <w:spacing w:before="240" w:after="120" w:line="276" w:lineRule="auto"/>
                  <w:jc w:val="both"/>
                  <w:rPr>
                    <w:rFonts w:eastAsia="MS PGothic" w:cs="Times New Roman"/>
                    <w:lang w:eastAsia="en-GB"/>
                  </w:rPr>
                </w:pPr>
              </w:p>
              <w:p w:rsidRPr="00D13DB3" w:rsidR="0019065E" w:rsidP="005D18C0" w:rsidRDefault="0019065E" w14:paraId="7FBC665B" w14:textId="77777777">
                <w:pPr>
                  <w:rPr>
                    <w:rFonts w:eastAsia="MS PGothic" w:cs="Times New Roman"/>
                    <w:lang w:val="en-GB" w:eastAsia="en-GB"/>
                  </w:rPr>
                </w:pPr>
              </w:p>
            </w:tc>
            <w:tc>
              <w:tcPr>
                <w:tcW w:w="5029" w:type="dxa"/>
                <w:tcBorders>
                  <w:top w:val="single" w:color="auto" w:sz="12" w:space="0"/>
                  <w:right w:val="single" w:color="auto" w:sz="12" w:space="0"/>
                </w:tcBorders>
              </w:tcPr>
              <w:p w:rsidRPr="0019065E" w:rsidR="0019065E" w:rsidP="0019065E" w:rsidRDefault="0019065E" w14:paraId="79AFA053" w14:textId="515B4258">
                <w:pPr>
                  <w:rPr>
                    <w:rFonts w:ascii="Calibri" w:hAnsi="Calibri" w:cs="Calibri"/>
                    <w:color w:val="000000"/>
                    <w:szCs w:val="22"/>
                    <w:lang w:val="fr-FR"/>
                  </w:rPr>
                </w:pPr>
                <w:r>
                  <w:rPr>
                    <w:rFonts w:ascii="Calibri" w:hAnsi="Calibri" w:cs="Calibri"/>
                    <w:color w:val="000000"/>
                    <w:szCs w:val="22"/>
                  </w:rPr>
                  <w:t>Ημερομηνία εφαρμογής</w:t>
                </w:r>
              </w:p>
            </w:tc>
          </w:tr>
          <w:tr w:rsidRPr="00D13DB3" w:rsidR="0019065E" w:rsidTr="0019065E" w14:paraId="528A9419" w14:textId="77777777">
            <w:trPr>
              <w:trHeight w:val="300"/>
            </w:trPr>
            <w:tc>
              <w:tcPr>
                <w:tcW w:w="4096" w:type="dxa"/>
                <w:gridSpan w:val="2"/>
                <w:tcBorders>
                  <w:left w:val="single" w:color="auto" w:sz="12" w:space="0"/>
                </w:tcBorders>
              </w:tcPr>
              <w:p w:rsidRPr="00D13DB3" w:rsidR="0019065E" w:rsidP="005D18C0" w:rsidRDefault="0019065E" w14:paraId="4C7B9622"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5029" w:type="dxa"/>
                <w:tcBorders>
                  <w:right w:val="single" w:color="auto" w:sz="12" w:space="0"/>
                </w:tcBorders>
              </w:tcPr>
              <w:p w:rsidRPr="00D13DB3" w:rsidR="0019065E" w:rsidP="005D18C0" w:rsidRDefault="0019065E" w14:paraId="3C3B85D8"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19065E" w:rsidTr="0019065E" w14:paraId="6931BF57" w14:textId="77777777">
            <w:trPr>
              <w:trHeight w:val="300"/>
            </w:trPr>
            <w:tc>
              <w:tcPr>
                <w:tcW w:w="4096" w:type="dxa"/>
                <w:gridSpan w:val="2"/>
                <w:tcBorders>
                  <w:left w:val="single" w:color="auto" w:sz="12" w:space="0"/>
                </w:tcBorders>
              </w:tcPr>
              <w:p w:rsidRPr="00D13DB3" w:rsidR="0019065E" w:rsidP="005D18C0" w:rsidRDefault="0019065E" w14:paraId="29605AC0" w14:textId="72F71E80">
                <w:pPr>
                  <w:rPr>
                    <w:rFonts w:eastAsia="MS PGothic" w:cs="Times New Roman"/>
                    <w:lang w:val="en-GB" w:eastAsia="en-GB"/>
                  </w:rPr>
                </w:pPr>
                <w:r w:rsidRPr="0019065E">
                  <w:rPr>
                    <w:rFonts w:eastAsia="MS PGothic" w:cs="Times New Roman"/>
                  </w:rPr>
                  <w:t>Τροποποιήθηκε με τις ακόλουθες πράξεις:</w:t>
                </w:r>
              </w:p>
            </w:tc>
            <w:tc>
              <w:tcPr>
                <w:tcW w:w="5029" w:type="dxa"/>
                <w:tcBorders>
                  <w:right w:val="single" w:color="auto" w:sz="12" w:space="0"/>
                </w:tcBorders>
              </w:tcPr>
              <w:p w:rsidRPr="00D13DB3" w:rsidR="0019065E" w:rsidP="005D18C0" w:rsidRDefault="0019065E" w14:paraId="70863F27" w14:textId="77777777">
                <w:pPr>
                  <w:rPr>
                    <w:rFonts w:eastAsia="MS PGothic" w:cs="Times New Roman"/>
                    <w:lang w:val="en-GB" w:eastAsia="en-GB"/>
                  </w:rPr>
                </w:pPr>
              </w:p>
            </w:tc>
          </w:tr>
          <w:tr w:rsidRPr="00D13DB3" w:rsidR="0019065E" w:rsidTr="0019065E" w14:paraId="66FE16D0" w14:textId="77777777">
            <w:trPr>
              <w:trHeight w:val="58"/>
            </w:trPr>
            <w:tc>
              <w:tcPr>
                <w:tcW w:w="824" w:type="dxa"/>
                <w:tcBorders>
                  <w:left w:val="single" w:color="auto" w:sz="12" w:space="0"/>
                  <w:bottom w:val="single" w:color="auto" w:sz="12" w:space="0"/>
                </w:tcBorders>
              </w:tcPr>
              <w:p w:rsidRPr="00D13DB3" w:rsidR="0019065E" w:rsidP="005D18C0" w:rsidRDefault="0019065E" w14:paraId="34865655"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3272" w:type="dxa"/>
                <w:tcBorders>
                  <w:bottom w:val="single" w:color="auto" w:sz="12" w:space="0"/>
                </w:tcBorders>
              </w:tcPr>
              <w:p w:rsidRPr="00D13DB3" w:rsidR="0019065E" w:rsidP="005D18C0" w:rsidRDefault="0019065E" w14:paraId="20AAB9AC" w14:textId="77777777">
                <w:pPr>
                  <w:rPr>
                    <w:rFonts w:eastAsia="MS PGothic" w:cs="Times New Roman"/>
                  </w:rPr>
                </w:pPr>
                <w:r w:rsidRPr="00D13DB3">
                  <w:rPr>
                    <w:rFonts w:eastAsia="MS PGothic" w:cs="Times New Roman"/>
                  </w:rPr>
                  <w:t>EBA/GL</w:t>
                </w:r>
                <w:r w:rsidRPr="005261FC">
                  <w:t>/2023/10</w:t>
                </w:r>
              </w:p>
            </w:tc>
            <w:tc>
              <w:tcPr>
                <w:tcW w:w="5029" w:type="dxa"/>
                <w:tcBorders>
                  <w:bottom w:val="single" w:color="auto" w:sz="12" w:space="0"/>
                  <w:right w:val="single" w:color="auto" w:sz="12" w:space="0"/>
                </w:tcBorders>
              </w:tcPr>
              <w:p w:rsidRPr="00D13DB3" w:rsidR="0019065E" w:rsidP="005D18C0" w:rsidRDefault="0019065E" w14:paraId="50A1B734" w14:textId="77777777">
                <w:pPr>
                  <w:rPr>
                    <w:rFonts w:eastAsia="MS PGothic" w:cs="Times New Roman"/>
                    <w:lang w:val="en-GB" w:eastAsia="en-GB"/>
                  </w:rPr>
                </w:pPr>
              </w:p>
            </w:tc>
          </w:tr>
        </w:tbl>
        <w:p w:rsidRPr="004E0B7C" w:rsidR="0019065E" w:rsidP="00B43E07" w:rsidRDefault="0019065E" w14:paraId="02AD3B07" w14:textId="77777777"/>
        <w:p w:rsidRPr="004E0B7C" w:rsidR="00B43E07" w:rsidP="00B43E07" w:rsidRDefault="00B43E07" w14:paraId="3673D6BB" w14:textId="77777777">
          <w:r w:rsidRPr="004E0B7C">
            <w:lastRenderedPageBreak/>
            <w:br w:type="page"/>
          </w:r>
        </w:p>
      </w:sdtContent>
    </w:sdt>
    <w:p w:rsidRPr="004E0B7C" w:rsidR="00B43E07" w:rsidP="00CE3517" w:rsidRDefault="00B43E07" w14:paraId="72D6F5BF" w14:textId="77777777">
      <w:pPr>
        <w:pStyle w:val="Numberedtilelevel1"/>
        <w:numPr>
          <w:ilvl w:val="0"/>
          <w:numId w:val="34"/>
        </w:numPr>
      </w:pPr>
      <w:r w:rsidRPr="004E0B7C">
        <w:lastRenderedPageBreak/>
        <w:t>Συμμόρφωση και υποχρεώσεις υποβολής εκθέσεων</w:t>
      </w:r>
    </w:p>
    <w:p w:rsidRPr="004E0B7C" w:rsidR="00B43E07" w:rsidP="00B43E07" w:rsidRDefault="00B43E07" w14:paraId="3B9E826E" w14:textId="5EE3EC56">
      <w:pPr>
        <w:pStyle w:val="Titlelevel2"/>
      </w:pPr>
      <w:r w:rsidRPr="004E0B7C">
        <w:t>Καθεστώς των κατευθυντήριων γραμμών</w:t>
      </w:r>
    </w:p>
    <w:p w:rsidRPr="004E0B7C" w:rsidR="00B43E07" w:rsidP="00B43E07" w:rsidRDefault="00B43E07" w14:paraId="4AFE96B1" w14:textId="13B187BE">
      <w:pPr>
        <w:pStyle w:val="body"/>
        <w:numPr>
          <w:ilvl w:val="0"/>
          <w:numId w:val="28"/>
        </w:numPr>
      </w:pPr>
      <w:r w:rsidRPr="004E0B7C">
        <w:t>Το παρόν έγγραφο περιέχει κατευθυντήριες γραμμές οι οποίες εκδίδονται βάσει του άρθρου 16 του κανονισμού (ΕΕ) αριθ. 1093/2010</w:t>
      </w:r>
      <w:r w:rsidRPr="004E0B7C">
        <w:rPr>
          <w:rStyle w:val="FootnoteReference"/>
          <w:lang w:val="en-GB"/>
        </w:rPr>
        <w:footnoteReference w:id="2"/>
      </w:r>
      <w:r w:rsidRPr="004E0B7C">
        <w:t>. Σύμφωνα με το άρθρο 16 παράγραφος 3 του κανονισμού (ΕΕ) αριθ. 1093/2010, οι αρμόδιες αρχές και τα χρηματοοικονομικά ιδρύματα καταβάλλουν κάθε δυνατή προσπάθεια για να συμμορφωθούν με τις κατευθυντήριες γραμμές.</w:t>
      </w:r>
    </w:p>
    <w:p w:rsidRPr="004E0B7C" w:rsidR="00B43E07" w:rsidP="00B43E07" w:rsidRDefault="00B43E07" w14:paraId="23E7F140" w14:textId="591D7378">
      <w:pPr>
        <w:pStyle w:val="body"/>
        <w:numPr>
          <w:ilvl w:val="0"/>
          <w:numId w:val="28"/>
        </w:numPr>
      </w:pPr>
      <w:r w:rsidRPr="004E0B7C">
        <w:t>Οι κατευθυντήριες γραμμές παρουσιάζουν την άποψη της ΕΑΤ σχετικά με τις κατάλληλες εποπτικές πρακτικές στο πλαίσιο του Ευρωπαϊκού Συστήματος Χρηματοοικονομικής Εποπτείας, ήτοι σχετικά με τους τρόπους εφαρμογής του δικαίου της ΕΕ σε έναν συγκεκριμένο τομέα. Οι αρμόδιες αρχές, όπως ορίζονται στο άρθρο 4 παράγραφος 2 του κανονισμού (ΕΕ) αριθ. 1093/2010, προς τις οποίες απευθύνονται οι κατευθυντήριες γραμμές, πρέπει να συμμορφωθούν ενσωματώνοντάς τες δεόντως στις πρακτικές τους (π.χ. τροποποιώντας το νομικό τους πλαίσιο ή τις εποπτικές διαδικασίες τους), συμπεριλαμβανομένων των σημείων στα οποία οι κατευθυντήριες γραμμές απευθύνονται κυρίως στα ιδρύματα.</w:t>
      </w:r>
    </w:p>
    <w:p w:rsidRPr="004E0B7C" w:rsidR="00B43E07" w:rsidP="00B43E07" w:rsidRDefault="00B43E07" w14:paraId="141EDBC6" w14:textId="77777777">
      <w:pPr>
        <w:pStyle w:val="Titlelevel2"/>
      </w:pPr>
      <w:r w:rsidRPr="004E0B7C">
        <w:t>Απαιτήσεις σχετικά με την υποβολή εκθέσεων</w:t>
      </w:r>
    </w:p>
    <w:p w:rsidRPr="004E0B7C" w:rsidR="00B43E07" w:rsidP="00B43E07" w:rsidRDefault="00236329" w14:paraId="7EE20541" w14:textId="1553A3D1">
      <w:pPr>
        <w:pStyle w:val="body"/>
        <w:numPr>
          <w:ilvl w:val="0"/>
          <w:numId w:val="28"/>
        </w:numPr>
      </w:pPr>
      <w:r w:rsidRPr="004E0B7C">
        <w:t xml:space="preserve">Σύμφωνα με το άρθρο 16 παράγραφος 3 του κανονισμού (ΕΕ) αριθ. 1093/2010, οι αρμόδιες αρχές πρέπει να γνωστοποιήσουν στην ΕΑΤ εάν συμμορφώνονται ή προτίθενται να συμμορφωθούν προς τις παρούσες κατευθυντήριες γραμμές, ή άλλως να εκθέσουν τους λόγους μη συμμόρφωσης, έως τις </w:t>
      </w:r>
      <w:r w:rsidRPr="00D112ED" w:rsidR="005131E9">
        <w:t>16.02.2021</w:t>
      </w:r>
      <w:r w:rsidRPr="004E0B7C">
        <w:t>. Εάν η προθεσμία γνωστοποίησης παρέλθει άπρακτη, η ΕΑΤ θεωρεί ότι οι αρμόδιες αρχές δεν συμμορφώνονται. Οι γνωστοποιήσεις πρέπει να αποστέλλονται, με την υποβολή του εντύπου που παρέχεται στον διαδικτυακό τόπο της ΕΑΤ, με την επισήμανση «EBA/GL/2020/14». Οι γνωστοποιήσεις πρέπει να υποβάλλονται από πρόσωπα δεόντως εξουσιοδοτημένα να γνωστοποιούν τη συμμόρφωση εξ ονόματος των αρμόδιων αρχών τους. Οποιαδήποτε μεταβολή στην κατάσταση συμμόρφωσης πρέπει επίσης να αναφέρεται στην ΕΑΤ.</w:t>
      </w:r>
    </w:p>
    <w:p w:rsidRPr="004E0B7C" w:rsidR="00B43E07" w:rsidP="00B43E07" w:rsidRDefault="00B43E07" w14:paraId="3FF09602" w14:textId="563622BD">
      <w:pPr>
        <w:pStyle w:val="body"/>
        <w:numPr>
          <w:ilvl w:val="0"/>
          <w:numId w:val="28"/>
        </w:numPr>
      </w:pPr>
      <w:r w:rsidRPr="004E0B7C">
        <w:t>Οι γνωστοποιήσεις δημοσιεύονται στον διαδικτυακό τόπο της ΕΑΤ, σύμφωνα με το άρθρο 16 παράγραφος 3.</w:t>
      </w:r>
    </w:p>
    <w:p w:rsidRPr="004E0B7C" w:rsidR="00B43E07" w:rsidP="00B43E07" w:rsidRDefault="00B43E07" w14:paraId="0BB7AD43" w14:textId="77777777">
      <w:pPr>
        <w:pStyle w:val="Titlelevel2"/>
      </w:pPr>
      <w:r w:rsidRPr="004E0B7C">
        <w:br w:type="page"/>
      </w:r>
    </w:p>
    <w:p w:rsidRPr="004E0B7C" w:rsidR="00B43E07" w:rsidP="00CE3517" w:rsidRDefault="00B43E07" w14:paraId="207E9159" w14:textId="77777777">
      <w:pPr>
        <w:pStyle w:val="Numberedtilelevel1"/>
      </w:pPr>
      <w:r w:rsidRPr="004E0B7C">
        <w:lastRenderedPageBreak/>
        <w:t>Αντικείμενο, πεδίο εφαρμογής και ορισμοί</w:t>
      </w:r>
    </w:p>
    <w:p w:rsidRPr="004E0B7C" w:rsidR="00B43E07" w:rsidP="00B43E07" w:rsidRDefault="00B43E07" w14:paraId="329ACB0A" w14:textId="77777777">
      <w:pPr>
        <w:pStyle w:val="Titlelevel2"/>
      </w:pPr>
      <w:r w:rsidRPr="004E0B7C">
        <w:t>Αντικείμενο</w:t>
      </w:r>
    </w:p>
    <w:p w:rsidRPr="004E0B7C" w:rsidR="00DE0FE1" w:rsidP="00DE0FE1" w:rsidRDefault="00DE0FE1" w14:paraId="667A5E79" w14:textId="75DF9FF9">
      <w:pPr>
        <w:pStyle w:val="body"/>
        <w:numPr>
          <w:ilvl w:val="0"/>
          <w:numId w:val="28"/>
        </w:numPr>
      </w:pPr>
      <w:r w:rsidRPr="004E0B7C">
        <w:t>Οι παρούσες κατευθυντήριες γραμμές αφορούν:</w:t>
      </w:r>
    </w:p>
    <w:p w:rsidRPr="004E0B7C" w:rsidR="00DE0FE1" w:rsidP="00DE0FE1" w:rsidRDefault="00DE0FE1" w14:paraId="7F872996" w14:textId="017F20C9">
      <w:pPr>
        <w:pStyle w:val="body"/>
        <w:numPr>
          <w:ilvl w:val="1"/>
          <w:numId w:val="35"/>
        </w:numPr>
      </w:pPr>
      <w:r w:rsidRPr="004E0B7C">
        <w:t>τις προδιαγραφές των δεικτών που χρησιμοποιούνται για τον προσδιορισμό των παγκόσμιων συστημικά σημαντικών ιδρυμάτων (G-SII) όπως ορίζονται στον κανονισμό (ΕΕ) αριθ. 1222/2014 («δείκτες»)· και</w:t>
      </w:r>
    </w:p>
    <w:p w:rsidRPr="004E0B7C" w:rsidR="00B43E07" w:rsidP="00DE0FE1" w:rsidRDefault="00DE0FE1" w14:paraId="776C11F3" w14:textId="58E74370">
      <w:pPr>
        <w:pStyle w:val="body"/>
        <w:numPr>
          <w:ilvl w:val="1"/>
          <w:numId w:val="35"/>
        </w:numPr>
      </w:pPr>
      <w:r w:rsidRPr="004E0B7C">
        <w:t>την κοινοποίηση των υποκείμενων στοιχείων (δείκτες, επικουρικά στοιχεία και υπομνηματικά στοιχεία) και την ετήσια δημοσιοποίηση των προκυπτουσών τιμών των δεικτών που χρησιμοποιούνται για τον προσδιορισμό των G-SII.</w:t>
      </w:r>
    </w:p>
    <w:p w:rsidRPr="004E0B7C" w:rsidR="00B43E07" w:rsidP="00B43E07" w:rsidRDefault="00B43E07" w14:paraId="07F996E2" w14:textId="77777777">
      <w:pPr>
        <w:pStyle w:val="Titlelevel2"/>
      </w:pPr>
      <w:r w:rsidRPr="004E0B7C">
        <w:t>Πεδίο εφαρμογής</w:t>
      </w:r>
    </w:p>
    <w:p w:rsidRPr="004E0B7C" w:rsidR="00DE0FE1" w:rsidP="00B43E07" w:rsidRDefault="00B43E07" w14:paraId="71B629CF" w14:textId="05197A71">
      <w:pPr>
        <w:pStyle w:val="body"/>
        <w:numPr>
          <w:ilvl w:val="0"/>
          <w:numId w:val="28"/>
        </w:numPr>
      </w:pPr>
      <w:r w:rsidRPr="004E0B7C">
        <w:t>Οι παρούσες κατευθυντήριες γραμμές εφαρμόζονται σε σχέση με:</w:t>
      </w:r>
    </w:p>
    <w:p w:rsidRPr="004E0B7C" w:rsidR="00DE0FE1" w:rsidP="00DE0FE1" w:rsidRDefault="000F3C24" w14:paraId="73EAD676" w14:textId="3140197F">
      <w:pPr>
        <w:pStyle w:val="body"/>
        <w:numPr>
          <w:ilvl w:val="0"/>
          <w:numId w:val="36"/>
        </w:numPr>
      </w:pPr>
      <w:r w:rsidRPr="004E0B7C">
        <w:t>ομίλους με επικεφαλής μητρικό ίδρυμα εγκατεστημένο στην ΕΕ, μητρική χρηματοδοτική εταιρεία συμμετοχών εγκατεστημένη στην ΕΕ ή μητρική μικτή χρηματοοικονομική εταιρεία συμμετοχών εγκατεστημένη στην ΕΕ και</w:t>
      </w:r>
    </w:p>
    <w:p w:rsidRPr="004E0B7C" w:rsidR="00B43E07" w:rsidP="00DE0FE1" w:rsidRDefault="00DE0FE1" w14:paraId="0D1E1C78" w14:textId="031EF3C2">
      <w:pPr>
        <w:pStyle w:val="body"/>
        <w:numPr>
          <w:ilvl w:val="0"/>
          <w:numId w:val="36"/>
        </w:numPr>
      </w:pPr>
      <w:r w:rsidRPr="004E0B7C">
        <w:t>ιδρύματα που δεν είναι θυγατρικές μητρικού ιδρύματος εγκατεστημένου στην ΕΕ, μητρικής χρηματοδοτικής εταιρείας συμμετοχών εγκατεστημένης στην ΕΕ ή μητρικής μικτής χρηματοοικονομικής εταιρείας συμμετοχών εγκατεστημένης στην ΕΕ</w:t>
      </w:r>
    </w:p>
    <w:p w:rsidRPr="004E0B7C" w:rsidR="00B43E07" w:rsidP="00DE0FE1" w:rsidRDefault="003A2221" w14:paraId="5736DC31" w14:textId="54A8D23B">
      <w:pPr>
        <w:pStyle w:val="body"/>
      </w:pPr>
      <w:r w:rsidRPr="004E0B7C">
        <w:t>που τηρούν ένα μέτρο ανοίγματος του δείκτη μόχλευσης άνω των 200 δισεκατομμυρίων EUR σε ενοποιημένη ή ατομική βάση, αντίστοιχα (και συμπεριλαμβανομένων των ασφαλιστικών θυγατρικών), χρησιμοποιώντας κατάλληλη συναλλαγματική ισοτιμία που λαμβάνει υπόψη τη συναλλαγματική ισοτιμία αναφοράς που δημοσίευσε η Ευρωπαϊκή Κεντρική Τράπεζα και ισχύει κατά τη λήξη του οικονομικού έτους και τα διεθνή πρότυπα («σχετικές οντότητες»).</w:t>
      </w:r>
    </w:p>
    <w:p w:rsidRPr="004E0B7C" w:rsidR="00B43E07" w:rsidP="00B43E07" w:rsidRDefault="00B43E07" w14:paraId="6EAA3145" w14:textId="77777777">
      <w:pPr>
        <w:pStyle w:val="Titlelevel2"/>
      </w:pPr>
      <w:r w:rsidRPr="004E0B7C">
        <w:t>Αποδέκτες</w:t>
      </w:r>
    </w:p>
    <w:p w:rsidRPr="004E0B7C" w:rsidR="00DE0FE1" w:rsidP="004E0B7C" w:rsidRDefault="00DE0FE1" w14:paraId="52A8B3D5" w14:textId="1DEAB577">
      <w:pPr>
        <w:pStyle w:val="body"/>
        <w:numPr>
          <w:ilvl w:val="0"/>
          <w:numId w:val="28"/>
        </w:numPr>
      </w:pPr>
      <w:r w:rsidRPr="004E0B7C">
        <w:t xml:space="preserve">Οι παρούσες κατευθυντήριες γραμμές απευθύνονται στις αρμόδιες αρχές όπως ορίζονται στο άρθρο 4 παράγραφος 2 του κανονισμού (ΕΕ) αριθ. 1093/2010 και στα χρηματοοικονομικά ιδρύματα για τα οποία ισχύουν οι παρούσες κατευθυντήριες γραμμές. Οι εντεταλμένες αρχές που αναφέρονται στο άρθρο 131 παράγραφος 1 της οδηγίας 2013/36/ΕΕ, εκτός των αρμόδιων αρχών, ενθαρρύνονται να εφαρμόζουν τις παρούσες κατευθυντήριες γραμμές. Τόσο οι </w:t>
      </w:r>
      <w:r w:rsidRPr="004E0B7C">
        <w:lastRenderedPageBreak/>
        <w:t>αρμόδιες όσο και οι εντεταλμένες αρχές αναφέρονται στις παρούσες κατευθυντήριες γραμμές ως «σχετικές αρχές».</w:t>
      </w:r>
      <w:r w:rsidRPr="004E0B7C">
        <w:br w:type="page"/>
      </w:r>
    </w:p>
    <w:p w:rsidRPr="004E0B7C" w:rsidR="00B43E07" w:rsidP="00CE3517" w:rsidRDefault="00B43E07" w14:paraId="25D099DB" w14:textId="77777777">
      <w:pPr>
        <w:pStyle w:val="Numberedtilelevel1"/>
      </w:pPr>
      <w:r w:rsidRPr="004E0B7C">
        <w:lastRenderedPageBreak/>
        <w:t>Εφαρμογή</w:t>
      </w:r>
    </w:p>
    <w:p w:rsidRPr="004E0B7C" w:rsidR="00B43E07" w:rsidP="00B43E07" w:rsidRDefault="00B43E07" w14:paraId="4EAB2FB0" w14:textId="77777777">
      <w:pPr>
        <w:pStyle w:val="Titlelevel2"/>
      </w:pPr>
      <w:r w:rsidRPr="004E0B7C">
        <w:t>Ημερομηνία εφαρμογής</w:t>
      </w:r>
    </w:p>
    <w:p w:rsidRPr="004E0B7C" w:rsidR="00B43E07" w:rsidP="00DE0FE1" w:rsidRDefault="00DE0FE1" w14:paraId="18515792" w14:textId="29DF4341">
      <w:pPr>
        <w:pStyle w:val="body"/>
        <w:numPr>
          <w:ilvl w:val="0"/>
          <w:numId w:val="38"/>
        </w:numPr>
      </w:pPr>
      <w:r w:rsidRPr="004E0B7C">
        <w:t xml:space="preserve">Οι παρούσες κατευθυντήριες γραμμές ισχύουν από την </w:t>
      </w:r>
      <w:r w:rsidRPr="00D112ED" w:rsidR="005131E9">
        <w:t>16.12.2020.</w:t>
      </w:r>
    </w:p>
    <w:p w:rsidRPr="004E0B7C" w:rsidR="00B43E07" w:rsidP="00B43E07" w:rsidRDefault="00B43E07" w14:paraId="4AB150AF" w14:textId="64BC8239">
      <w:pPr>
        <w:pStyle w:val="Titlelevel2"/>
      </w:pPr>
      <w:r w:rsidRPr="004E0B7C">
        <w:t>Κατάργηση</w:t>
      </w:r>
    </w:p>
    <w:p w:rsidRPr="004E0B7C" w:rsidR="00B43E07" w:rsidP="00A41338" w:rsidRDefault="00BD1538" w14:paraId="0F71334D" w14:textId="4DCAC658">
      <w:r w:rsidRPr="004E0B7C">
        <w:t>Οι αναθεωρημένες κατευθυντήριες γραμμές σχετικά με τον περαιτέρω καθορισμό των δεικτών παγκόσμιας συστημικής σημασίας και τη δημοσιοποίησή τους, της 29</w:t>
      </w:r>
      <w:r w:rsidRPr="004E0B7C">
        <w:rPr>
          <w:vertAlign w:val="superscript"/>
        </w:rPr>
        <w:t>ης</w:t>
      </w:r>
      <w:r w:rsidRPr="004E0B7C">
        <w:t xml:space="preserve"> Φεβρουαρίου 2016 (EBA/GL/2016/01), καταργούνται.</w:t>
      </w:r>
    </w:p>
    <w:p w:rsidRPr="004E0B7C" w:rsidR="00BD1538" w:rsidP="00B43E07" w:rsidRDefault="00BD1538" w14:paraId="30F30A96" w14:textId="77777777">
      <w:pPr>
        <w:pStyle w:val="body"/>
        <w:sectPr w:rsidRPr="004E0B7C" w:rsidR="00BD1538" w:rsidSect="000F33D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Pr="004E0B7C" w:rsidR="00B43E07" w:rsidP="00DD7FFB" w:rsidRDefault="00BD1538" w14:paraId="4D344DEC" w14:textId="3CE1317D">
      <w:pPr>
        <w:pStyle w:val="Numberedtilelevel1"/>
        <w:ind w:right="-8"/>
        <w:jc w:val="both"/>
      </w:pPr>
      <w:r w:rsidRPr="004E0B7C">
        <w:lastRenderedPageBreak/>
        <w:t>Εξειδίκευση των υποκείμενων στοιχείων και δεικτών που χρησιμοποιούνται για τον προσδιορισμό των G-SII</w:t>
      </w:r>
    </w:p>
    <w:p w:rsidR="006A6A93" w:rsidP="00DD7FFB" w:rsidRDefault="006A6A93" w14:paraId="63BC9F73" w14:textId="563DDADD">
      <w:pPr>
        <w:pStyle w:val="body"/>
        <w:ind w:right="-8"/>
        <w:rPr>
          <w:iCs/>
        </w:rPr>
      </w:pPr>
      <w:r w:rsidRPr="007B541C">
        <w:rPr>
          <w:spacing w:val="-1"/>
          <w:highlight w:val="green"/>
        </w:rPr>
        <w:sym w:font="Wingdings" w:char="F0DA"/>
      </w:r>
      <w:r w:rsidRPr="007B541C">
        <w:rPr>
          <w:spacing w:val="-1"/>
          <w:highlight w:val="green"/>
        </w:rPr>
        <w:t>A1</w:t>
      </w:r>
    </w:p>
    <w:p w:rsidRPr="00D112ED" w:rsidR="00B43E07" w:rsidP="00DD7FFB" w:rsidRDefault="00D112ED" w14:paraId="50643877" w14:textId="27B19C0E">
      <w:pPr>
        <w:pStyle w:val="body"/>
        <w:numPr>
          <w:ilvl w:val="0"/>
          <w:numId w:val="38"/>
        </w:numPr>
        <w:ind w:right="-8"/>
        <w:rPr>
          <w:iCs/>
        </w:rPr>
      </w:pPr>
      <w:r w:rsidRPr="00D112ED">
        <w:rPr>
          <w:iCs/>
        </w:rPr>
        <w:t>Οι σχετικές αρχές και οι αρμόδιοι φορείς πρέπει να ακολουθούν τις οδηγίες και τις προδιαγραφές για τα στοιχεία δεδομένων που απαριθμούνται στο παράρτημα, όπως ορίζεται στον σύνδεσμο «Οδηγίες υποβολής αναφορών» στον δικτυακό τόπο της ΕΑΤ, στην ενότητα G-SII</w:t>
      </w:r>
      <w:r w:rsidRPr="00D112ED">
        <w:rPr>
          <w:rStyle w:val="FootnoteReference"/>
          <w:iCs/>
        </w:rPr>
        <w:footnoteReference w:id="3"/>
      </w:r>
      <w:r w:rsidRPr="00D112ED">
        <w:rPr>
          <w:iCs/>
        </w:rPr>
        <w:t>.</w:t>
      </w:r>
    </w:p>
    <w:p w:rsidR="00B43E07" w:rsidP="00DD7FFB" w:rsidRDefault="00D112ED" w14:paraId="2FD6FE4E" w14:textId="71408137">
      <w:pPr>
        <w:pStyle w:val="body"/>
        <w:numPr>
          <w:ilvl w:val="0"/>
          <w:numId w:val="38"/>
        </w:numPr>
        <w:ind w:right="-8"/>
        <w:rPr>
          <w:iCs/>
        </w:rPr>
      </w:pPr>
      <w:r w:rsidRPr="00D112ED">
        <w:rPr>
          <w:iCs/>
        </w:rPr>
        <w:t xml:space="preserve"> Οι σχετικές αρχές θα πρέπει να χρησιμοποιούν τα επικουρικά στοιχεία (τμήματα 15 και 16 των παρουσών κατευθυντήριων γραμμών) για να υποστηρίξουν την εποπτική τους κρίση σύμφωνα με το άρθρο 131 παράγραφος 10 της οδηγίας 2013/36/ΕΕ και τα υπομνηματικά στοιχεία (τμήματα 17 έως 22 του παραρτήματος) για να βελτιώσουν την ποιότητα των στοιχείων και ως βοήθεια για την ανάπτυξη μελλοντικών βελτιώσεων της μεθοδολογίας προσδιορισμού. Τα υπομνηματικά στοιχεία θα πρέπει να συμπληρώνονται με λεπτομερή σχόλια από τους αρμόδιους φορείς σχετικά με την ποιότητα και τη διαθεσιμότητα των στοιχείων κατά περίπτωση</w:t>
      </w:r>
      <w:r w:rsidRPr="00D112ED" w:rsidR="003A2221">
        <w:rPr>
          <w:iCs/>
        </w:rPr>
        <w:t>.</w:t>
      </w:r>
    </w:p>
    <w:p w:rsidRPr="00D112ED" w:rsidR="00BD1538" w:rsidP="00DD7FFB" w:rsidRDefault="00D112ED" w14:paraId="6A6FBBAE" w14:textId="178A86EA">
      <w:pPr>
        <w:pStyle w:val="ListParagraph"/>
        <w:spacing w:line="276" w:lineRule="auto"/>
        <w:ind w:left="360" w:right="-8" w:hanging="360"/>
        <w:jc w:val="both"/>
        <w:rPr>
          <w:highlight w:val="yellow"/>
        </w:rPr>
      </w:pPr>
      <w:r w:rsidRPr="00DC209C">
        <w:rPr>
          <w:i/>
        </w:rPr>
        <w:t xml:space="preserve">10α. </w:t>
      </w:r>
      <w:r w:rsidRPr="00D112ED">
        <w:rPr>
          <w:iCs/>
        </w:rPr>
        <w:t>Σύμφωνα με το άρθρο 131 παράγραφος 2α της οδηγίας 2013/36/EU, που απαιτεί πρόσθετη μεθοδολογία προσδιορισμού από την οποία εξαιρούνται οι διασυνοριακές δραστηριότητες στο πλαίσιο του Ενιαίου Μηχανισμού Εξυγίανσης (ΕΜΕ), και σύμφωνα με τη διεθνή συμφωνία της Επιτροπής της Βασιλείας της 31ης Μαΐου 2022 για την αναγνώριση της προόδου που έχει σημειωθεί στην ανάπτυξη της Ευρωπαϊκής Τραπεζικής Ένωσης, τα στοιχεία δεδομένων που είναι σημαντικά για τον υπολογισμό των προσαρμοσμένων διακρατικών δεικτών του ΕΜΕ όσον αφορά τα ιδρύματα που έχουν την έδρα τους στα κράτη μέλη που συμμετέχουν στον ΕΜΕ θα πρέπει να θεωρούνται μέρος των δεικτών διακρατικής δραστηριότητας και, ως τέτοια, να δημοσιεύονται σύμφωνα με την παράγραφο 12, και όχι επικουρικά ή υπομνηματικά στοιχεία για τη μεθοδολογία προσδιορισμού των G-SII και την κατάταξη σε υποκατηγορίες</w:t>
      </w:r>
      <w:r w:rsidRPr="00D112ED">
        <w:t>.</w:t>
      </w:r>
    </w:p>
    <w:p w:rsidRPr="00D112ED" w:rsidR="00BD1538" w:rsidP="00505C64" w:rsidRDefault="00BD1538" w14:paraId="2DFFA9BA" w14:textId="77777777">
      <w:pPr>
        <w:pStyle w:val="Titlelevel2"/>
        <w:sectPr w:rsidRPr="00D112ED" w:rsidR="00BD1538" w:rsidSect="000F33D3">
          <w:pgSz w:w="11900" w:h="16840"/>
          <w:pgMar w:top="2268" w:right="1418" w:bottom="1134" w:left="1701" w:header="709" w:footer="709" w:gutter="0"/>
          <w:cols w:space="708"/>
          <w:docGrid w:linePitch="299"/>
        </w:sectPr>
      </w:pPr>
    </w:p>
    <w:p w:rsidRPr="004E0B7C" w:rsidR="00B43E07" w:rsidP="00BD1538" w:rsidRDefault="00BD1538" w14:paraId="6CDBC73A" w14:textId="63126AA5">
      <w:pPr>
        <w:pStyle w:val="Numberedtilelevel1"/>
        <w:jc w:val="both"/>
      </w:pPr>
      <w:r w:rsidRPr="004E0B7C">
        <w:lastRenderedPageBreak/>
        <w:t>Απαιτήσεις σχετικά με την υποβολή και τη δημοσιοποίηση από τα αρμόδια ιδρύματα</w:t>
      </w:r>
    </w:p>
    <w:p w:rsidRPr="00A30E7B" w:rsidR="0007574B" w:rsidP="0007574B" w:rsidRDefault="00A30E7B" w14:paraId="107B3895" w14:textId="6B7574F5">
      <w:pPr>
        <w:pStyle w:val="body"/>
        <w:numPr>
          <w:ilvl w:val="0"/>
          <w:numId w:val="38"/>
        </w:numPr>
        <w:rPr>
          <w:iCs/>
        </w:rPr>
      </w:pPr>
      <w:r w:rsidRPr="00A30E7B">
        <w:rPr>
          <w:iCs/>
        </w:rPr>
        <w:t>Οι σχετικές αρχές θα πρέπει να φροντίζουν να συλλέγουν όλα τα στοιχεία δεδομένων που ορίζονται στο παράρτημα των παρουσών κατευθυντήριων γραμμών από τους αρμόδιους φορείς που πληρούν τα κριτήρια που ορίζονται στην παράγραφο 6 των παρουσών κατευθυντήριων γραμμών στις 31 Δεκεμβρίου κάθε έτους</w:t>
      </w:r>
      <w:r w:rsidRPr="00A30E7B" w:rsidR="003A2221">
        <w:rPr>
          <w:iCs/>
        </w:rPr>
        <w:t>.</w:t>
      </w:r>
    </w:p>
    <w:p w:rsidR="0007574B" w:rsidP="0007574B" w:rsidRDefault="00A30E7B" w14:paraId="623657F6" w14:textId="4B6A5DBB">
      <w:pPr>
        <w:pStyle w:val="body"/>
        <w:numPr>
          <w:ilvl w:val="0"/>
          <w:numId w:val="38"/>
        </w:numPr>
      </w:pPr>
      <w:r w:rsidRPr="00A30E7B">
        <w:rPr>
          <w:iCs/>
        </w:rPr>
        <w:t>Οι σχετικές αρχές θα πρέπει να διασφαλίζουν ότι οι αρμόδιοι φορείς δημοσιεύουν στους δικτυακούς τους τόπους σε ετήσια βάση τις τιμές των δεικτών που καθορίζονται στα τμήματα 1 έως 14 του παραρτήματος των παρουσών κατευθυντήριων γραμμών και, εφόσον απαιτείται πρόσθετη μεθοδολογία προσδιορισμού του ΕΜΕ, τα στοιχεία ε), στ) και ζ) του τμήματος 21, καθώς και κάθε άλλο στοιχείο του τμήματος 21 που αναφέρεται σε διακρατική δραστηριότητα του ΕΜΕ και το οποίο θα μπορούσε να θεωρηθεί σημαντικό για τον υπολογισμό της εν λόγω μεθοδολογίας από τη σχετική αρχή</w:t>
      </w:r>
      <w:r w:rsidRPr="004E0B7C" w:rsidR="003A2221">
        <w:t>.</w:t>
      </w:r>
    </w:p>
    <w:p w:rsidRPr="004E0B7C" w:rsidR="00335FFE" w:rsidP="00335FFE" w:rsidRDefault="00335FFE" w14:paraId="4A9A9E6F" w14:textId="7AF10FF0">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0007574B" w:rsidP="0007574B" w:rsidRDefault="0007574B" w14:paraId="59D95C2C" w14:textId="72B33B61">
      <w:pPr>
        <w:pStyle w:val="body"/>
        <w:numPr>
          <w:ilvl w:val="0"/>
          <w:numId w:val="38"/>
        </w:numPr>
      </w:pPr>
      <w:r w:rsidRPr="004E0B7C">
        <w:t>Κατά την υποβολή και τη δημοσιοποίηση των πληροφοριών που αναφέρονται στις παραγράφους 11 και 12, οι αρμόδιοι φορείς θα πρέπει να χρησιμοποιούν το ηλεκτρονικό υπόδειγμα και να ακολουθούν τις ετήσιες οδηγίες που δημοσιεύονται για τον σκοπό αυτό στον δικτυακό τόπο της ΕΑΤ.</w:t>
      </w:r>
    </w:p>
    <w:p w:rsidRPr="004E0B7C" w:rsidR="00335FFE" w:rsidP="00335FFE" w:rsidRDefault="00335FFE" w14:paraId="60F9F7C4" w14:textId="70A2FA09">
      <w:pPr>
        <w:pStyle w:val="body"/>
      </w:pPr>
      <w:r w:rsidRPr="007B541C">
        <w:rPr>
          <w:spacing w:val="-1"/>
          <w:highlight w:val="green"/>
        </w:rPr>
        <w:sym w:font="Wingdings" w:char="F0DA"/>
      </w:r>
      <w:r w:rsidRPr="007B541C">
        <w:rPr>
          <w:spacing w:val="-1"/>
          <w:highlight w:val="green"/>
        </w:rPr>
        <w:t>A1</w:t>
      </w:r>
    </w:p>
    <w:p w:rsidR="006C6D8E" w:rsidP="0007574B" w:rsidRDefault="00A30E7B" w14:paraId="5F511C1E" w14:textId="2077801C">
      <w:pPr>
        <w:pStyle w:val="body"/>
        <w:numPr>
          <w:ilvl w:val="0"/>
          <w:numId w:val="38"/>
        </w:numPr>
        <w:rPr>
          <w:iCs/>
        </w:rPr>
      </w:pPr>
      <w:r w:rsidRPr="00A30E7B">
        <w:rPr>
          <w:iCs/>
        </w:rPr>
        <w:t>Οι αρμόδιοι φορείς θα πρέπει να υποβάλλουν τις πληροφορίες που αναφέρονται στην παράγραφο 11 στις σχετικές αρχές και να δημοσιεύουν τις πληροφορίες που αναφέρονται στην παράγραφο 12 σε ετήσια βάση, το αργότερο τέσσερις μήνες μετά το τέλος κάθε οικονομικού έτους, αρχής γενομένης από το τέλος του δεύτερου διαδοχικού οικονομικού έτους κατά το οποίο σημειώθηκε υπέρβαση του ορίου που καθορίζεται στην παράγραφο 6 των παρουσών κατευθυντήριων γραμμών. Στην περίπτωση αυτή, οι αρμόδιοι φορείς θα πρέπει να ταυτοποιούνται, χρησιμοποιώντας τους οικείους ταυτοποιητές νομικής οντότητας (LEI)</w:t>
      </w:r>
      <w:r w:rsidRPr="00A30E7B" w:rsidR="0007574B">
        <w:rPr>
          <w:iCs/>
        </w:rPr>
        <w:t>.</w:t>
      </w:r>
    </w:p>
    <w:p w:rsidRPr="00A30E7B" w:rsidR="00335FFE" w:rsidP="00335FFE" w:rsidRDefault="00335FFE" w14:paraId="237A886B" w14:textId="075B03E7">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Pr="004E0B7C" w:rsidR="0007574B" w:rsidP="0007574B" w:rsidRDefault="003A2221" w14:paraId="02B1DBBB" w14:textId="35B7F7D9">
      <w:pPr>
        <w:pStyle w:val="body"/>
        <w:numPr>
          <w:ilvl w:val="0"/>
          <w:numId w:val="38"/>
        </w:numPr>
      </w:pPr>
      <w:r w:rsidRPr="004E0B7C">
        <w:t xml:space="preserve">Οι σχετικές αρχές δύνανται να επιτρέπουν στους αρμόδιους φορείς των οποίων το οικονομικό έτος δεν κλείνει την 31η Δεκεμβρίου, να αναφέρουν και να δημοσιοποιούν τις εν λόγω πληροφορίες βάσει της θέσης τους κατά την πλησιέστερη στην 31η Δεκεμβρίου ημερομηνία. </w:t>
      </w:r>
      <w:r w:rsidRPr="004E0B7C">
        <w:lastRenderedPageBreak/>
        <w:t>Σε κάθε περίπτωση, η δημοσιοποίηση των πληροφοριών θα πρέπει να πραγματοποιείται το αργότερο την 31</w:t>
      </w:r>
      <w:r w:rsidRPr="004E0B7C">
        <w:rPr>
          <w:vertAlign w:val="superscript"/>
        </w:rPr>
        <w:t>η</w:t>
      </w:r>
      <w:r w:rsidRPr="004E0B7C">
        <w:t xml:space="preserve"> Ιουλίου.</w:t>
      </w:r>
    </w:p>
    <w:p w:rsidRPr="004E0B7C" w:rsidR="00B43E07" w:rsidP="00B43E07" w:rsidRDefault="003A2221" w14:paraId="0BE8B0EA" w14:textId="3AD888C3">
      <w:pPr>
        <w:pStyle w:val="body"/>
        <w:numPr>
          <w:ilvl w:val="0"/>
          <w:numId w:val="38"/>
        </w:numPr>
      </w:pPr>
      <w:r w:rsidRPr="004E0B7C">
        <w:t>Οι σχετικές αρχές θα πρέπει να διασφαλίζουν ότι τα στοιχεία που αναφέρονται και δημοσιοποιούνται είναι ίδια με εκείνα που υποβάλλονται στην Επιτροπή της Βασιλείας για την τραπεζική εποπτεία, κατά περίπτωση.</w:t>
      </w:r>
    </w:p>
    <w:p w:rsidRPr="004E0B7C" w:rsidR="006C6D8E" w:rsidP="006C6D8E" w:rsidRDefault="006C6D8E" w14:paraId="304AED26" w14:textId="0684F911">
      <w:pPr>
        <w:pStyle w:val="body"/>
      </w:pPr>
    </w:p>
    <w:p w:rsidRPr="004E0B7C" w:rsidR="006C6D8E" w:rsidP="006C6D8E" w:rsidRDefault="006C6D8E" w14:paraId="3653C3DD" w14:textId="77777777">
      <w:pPr>
        <w:pStyle w:val="body"/>
        <w:sectPr w:rsidRPr="004E0B7C" w:rsidR="006C6D8E" w:rsidSect="000F33D3">
          <w:pgSz w:w="11900" w:h="16840"/>
          <w:pgMar w:top="2268" w:right="1418" w:bottom="1134" w:left="1701" w:header="709" w:footer="709" w:gutter="0"/>
          <w:cols w:space="708"/>
          <w:docGrid w:linePitch="299"/>
        </w:sectPr>
      </w:pPr>
    </w:p>
    <w:p w:rsidRPr="004E0B7C" w:rsidR="00B43E07" w:rsidP="006C6D8E" w:rsidRDefault="006C6D8E" w14:paraId="78D7CAE2" w14:textId="0D9CA5B9">
      <w:pPr>
        <w:pStyle w:val="Numberedtilelevel1"/>
        <w:jc w:val="both"/>
      </w:pPr>
      <w:r w:rsidRPr="004E0B7C">
        <w:lastRenderedPageBreak/>
        <w:t>Πληροφορίες προς την ΕΑΤ</w:t>
      </w:r>
    </w:p>
    <w:p w:rsidRPr="004E0B7C" w:rsidR="006C6D8E" w:rsidP="006C6D8E" w:rsidRDefault="003A2221" w14:paraId="0966C959" w14:textId="52E7A3EF">
      <w:pPr>
        <w:pStyle w:val="body"/>
        <w:numPr>
          <w:ilvl w:val="0"/>
          <w:numId w:val="38"/>
        </w:numPr>
      </w:pPr>
      <w:r w:rsidRPr="004E0B7C">
        <w:t>Οι σχετικές αρχές θα πρέπει να παρέχουν στην ΕΑΤ όλα τα στοιχεία, συμπεριλαμβανομένων των επικουρικών στοιχείων και των υπομνηματικών στοιχείων, που συλλέγονται σύμφωνα με τις παρούσες κατευθυντήριες γραμμές, ώστε να μπορούν να συγκεντρωθούν στον δικτυακό τόπο της ΕΑΤ. Οι σχετικές οντότητες πρέπει να ταυτοποιούνται χρησιμοποιώντας τους οικείους ταυτοποιητές νομικής οντότητας. Η ΕΑΤ δεν θα δημοσιοποιεί τα επικουρικά στοιχεία και τα υπομνηματικά στοιχεία.</w:t>
      </w:r>
    </w:p>
    <w:p w:rsidRPr="004E0B7C" w:rsidR="006C6D8E" w:rsidP="00B43E07" w:rsidRDefault="006C6D8E" w14:paraId="001293F4" w14:textId="77777777">
      <w:pPr>
        <w:pStyle w:val="body"/>
        <w:rPr>
          <w:lang w:eastAsia="en-GB"/>
        </w:rPr>
        <w:sectPr w:rsidRPr="004E0B7C" w:rsidR="006C6D8E" w:rsidSect="000F33D3">
          <w:pgSz w:w="11900" w:h="16840"/>
          <w:pgMar w:top="2268" w:right="1418" w:bottom="1134" w:left="1701" w:header="709" w:footer="709" w:gutter="0"/>
          <w:cols w:space="708"/>
          <w:docGrid w:linePitch="299"/>
        </w:sectPr>
      </w:pPr>
    </w:p>
    <w:p w:rsidRPr="004E0B7C" w:rsidR="006C6D8E" w:rsidP="006C6D8E" w:rsidRDefault="006C6D8E" w14:paraId="6FBD395E" w14:textId="77777777">
      <w:pPr>
        <w:pStyle w:val="Contenttitle"/>
      </w:pPr>
      <w:r w:rsidRPr="004E0B7C">
        <w:lastRenderedPageBreak/>
        <w:t>Παράρτημα</w:t>
      </w:r>
    </w:p>
    <w:tbl>
      <w:tblPr>
        <w:tblStyle w:val="TableGrid1"/>
        <w:tblW w:w="9549" w:type="dxa"/>
        <w:tblLook w:val="04A0" w:firstRow="1" w:lastRow="0" w:firstColumn="1" w:lastColumn="0" w:noHBand="0" w:noVBand="1"/>
      </w:tblPr>
      <w:tblGrid>
        <w:gridCol w:w="6804"/>
        <w:gridCol w:w="2745"/>
      </w:tblGrid>
      <w:tr w:rsidRPr="00DC209C" w:rsidR="00A30E7B" w:rsidTr="003206A4" w14:paraId="3397441A" w14:textId="77777777">
        <w:trPr>
          <w:trHeight w:val="420"/>
        </w:trPr>
        <w:tc>
          <w:tcPr>
            <w:tcW w:w="9549" w:type="dxa"/>
            <w:gridSpan w:val="2"/>
            <w:tcBorders>
              <w:top w:val="nil"/>
              <w:left w:val="nil"/>
              <w:bottom w:val="nil"/>
              <w:right w:val="nil"/>
            </w:tcBorders>
            <w:noWrap/>
            <w:hideMark/>
          </w:tcPr>
          <w:bookmarkEnd w:id="9"/>
          <w:bookmarkEnd w:id="8"/>
          <w:bookmarkEnd w:id="7"/>
          <w:bookmarkEnd w:id="6"/>
          <w:bookmarkEnd w:id="5"/>
          <w:bookmarkEnd w:id="4"/>
          <w:bookmarkEnd w:id="3"/>
          <w:bookmarkEnd w:id="2"/>
          <w:bookmarkEnd w:id="1"/>
          <w:bookmarkEnd w:id="0"/>
          <w:p w:rsidR="00335FFE" w:rsidP="003206A4" w:rsidRDefault="00335FFE" w14:paraId="078F68FB" w14:textId="23BB2699">
            <w:pPr>
              <w:keepNext/>
              <w:keepLines/>
              <w:spacing w:before="47"/>
              <w:outlineLvl w:val="5"/>
              <w:rPr>
                <w:rFonts w:asciiTheme="majorHAnsi" w:hAnsiTheme="majorHAnsi"/>
                <w:b/>
                <w:i/>
                <w:caps/>
              </w:rPr>
            </w:pPr>
            <w:r w:rsidRPr="007B541C">
              <w:rPr>
                <w:spacing w:val="-1"/>
                <w:highlight w:val="green"/>
              </w:rPr>
              <w:sym w:font="Wingdings" w:char="F0DA"/>
            </w:r>
            <w:r w:rsidRPr="007B541C">
              <w:rPr>
                <w:spacing w:val="-1"/>
                <w:highlight w:val="green"/>
              </w:rPr>
              <w:t>A1</w:t>
            </w:r>
          </w:p>
          <w:p w:rsidRPr="00DC209C" w:rsidR="00A30E7B" w:rsidP="003206A4" w:rsidRDefault="00A30E7B" w14:paraId="65777A2F" w14:textId="3A9BD6E2">
            <w:pPr>
              <w:keepNext/>
              <w:keepLines/>
              <w:spacing w:before="47"/>
              <w:outlineLvl w:val="5"/>
              <w:rPr>
                <w:rFonts w:ascii="Arial" w:hAnsi="Arial" w:eastAsia="Times New Roman" w:cs="Arial"/>
                <w:b/>
                <w:bCs/>
                <w:sz w:val="24"/>
                <w:szCs w:val="24"/>
              </w:rPr>
            </w:pPr>
            <w:r w:rsidRPr="00DC209C">
              <w:rPr>
                <w:rFonts w:asciiTheme="majorHAnsi" w:hAnsiTheme="majorHAnsi"/>
                <w:b/>
                <w:i/>
                <w:caps/>
              </w:rPr>
              <w:t>Γενικά τραπεζικά δεδομένα</w:t>
            </w:r>
            <w:r w:rsidRPr="00DC209C">
              <w:rPr>
                <w:rFonts w:ascii="Arial" w:hAnsi="Arial"/>
                <w:i/>
                <w:caps/>
                <w:color w:val="172B39" w:themeColor="accent1" w:themeShade="80"/>
                <w:sz w:val="20"/>
              </w:rPr>
              <w:t> </w:t>
            </w:r>
            <w:r w:rsidRPr="00DC209C">
              <w:rPr>
                <w:rFonts w:ascii="Arial" w:hAnsi="Arial"/>
                <w:sz w:val="20"/>
              </w:rPr>
              <w:t> </w:t>
            </w:r>
          </w:p>
        </w:tc>
      </w:tr>
      <w:tr w:rsidRPr="00DC209C" w:rsidR="00A30E7B" w:rsidTr="003206A4" w14:paraId="7A5D41DB"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4D1C69EB"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DC209C" w:rsidR="00A30E7B" w:rsidP="003206A4" w:rsidRDefault="00A30E7B" w14:paraId="5618395B" w14:textId="77777777">
            <w:pPr>
              <w:jc w:val="center"/>
              <w:rPr>
                <w:rFonts w:ascii="Arial" w:hAnsi="Arial" w:eastAsia="Times New Roman" w:cs="Arial"/>
                <w:b/>
                <w:bCs/>
                <w:sz w:val="20"/>
                <w:szCs w:val="20"/>
                <w:lang w:eastAsia="en-GB"/>
              </w:rPr>
            </w:pPr>
          </w:p>
        </w:tc>
      </w:tr>
      <w:tr w:rsidRPr="00DC209C" w:rsidR="00A30E7B" w:rsidTr="003206A4" w14:paraId="300E8027" w14:textId="77777777">
        <w:trPr>
          <w:trHeight w:val="300"/>
        </w:trPr>
        <w:tc>
          <w:tcPr>
            <w:tcW w:w="6804" w:type="dxa"/>
            <w:tcBorders>
              <w:top w:val="single" w:color="auto" w:sz="4" w:space="0"/>
              <w:left w:val="nil"/>
              <w:bottom w:val="single" w:color="auto" w:sz="4" w:space="0"/>
              <w:right w:val="nil"/>
            </w:tcBorders>
            <w:noWrap/>
            <w:hideMark/>
          </w:tcPr>
          <w:p w:rsidRPr="00DC209C" w:rsidR="00A30E7B" w:rsidP="003206A4" w:rsidRDefault="00A30E7B" w14:paraId="66B45AAE" w14:textId="77777777">
            <w:pPr>
              <w:rPr>
                <w:rFonts w:ascii="Arial" w:hAnsi="Arial" w:eastAsia="Times New Roman" w:cs="Arial"/>
                <w:b/>
                <w:bCs/>
                <w:sz w:val="20"/>
                <w:szCs w:val="20"/>
              </w:rPr>
            </w:pPr>
            <w:r w:rsidRPr="00DC209C">
              <w:rPr>
                <w:rFonts w:ascii="Arial" w:hAnsi="Arial"/>
                <w:b/>
                <w:sz w:val="20"/>
              </w:rPr>
              <w:t>Τμήμα 1 - Γενικές πληροφορίες</w:t>
            </w:r>
          </w:p>
        </w:tc>
        <w:tc>
          <w:tcPr>
            <w:tcW w:w="2745" w:type="dxa"/>
            <w:tcBorders>
              <w:top w:val="single" w:color="auto" w:sz="4" w:space="0"/>
              <w:left w:val="nil"/>
              <w:right w:val="nil"/>
            </w:tcBorders>
            <w:noWrap/>
            <w:hideMark/>
          </w:tcPr>
          <w:p w:rsidRPr="00DC209C" w:rsidR="00A30E7B" w:rsidP="003206A4" w:rsidRDefault="00A30E7B" w14:paraId="3007A33F" w14:textId="77777777">
            <w:pPr>
              <w:jc w:val="center"/>
              <w:rPr>
                <w:rFonts w:ascii="Arial" w:hAnsi="Arial" w:eastAsia="Times New Roman" w:cs="Arial"/>
                <w:b/>
                <w:bCs/>
                <w:sz w:val="20"/>
                <w:szCs w:val="20"/>
              </w:rPr>
            </w:pPr>
            <w:r w:rsidRPr="00DC209C">
              <w:rPr>
                <w:rFonts w:ascii="Arial" w:hAnsi="Arial"/>
                <w:b/>
                <w:sz w:val="20"/>
              </w:rPr>
              <w:t>Απάντηση</w:t>
            </w:r>
          </w:p>
        </w:tc>
      </w:tr>
      <w:tr w:rsidRPr="00DC209C" w:rsidR="00A30E7B" w:rsidTr="003206A4" w14:paraId="26FE0A36"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DC209C" w:rsidR="00A30E7B" w:rsidP="003206A4" w:rsidRDefault="00A30E7B" w14:paraId="375730F5" w14:textId="77777777">
            <w:pPr>
              <w:ind w:firstLine="200" w:firstLineChars="100"/>
              <w:rPr>
                <w:rFonts w:ascii="Arial" w:hAnsi="Arial" w:eastAsia="Times New Roman" w:cs="Arial"/>
                <w:sz w:val="20"/>
                <w:szCs w:val="20"/>
              </w:rPr>
            </w:pPr>
            <w:r w:rsidRPr="00DC209C">
              <w:rPr>
                <w:rFonts w:ascii="Arial" w:hAnsi="Arial"/>
                <w:sz w:val="20"/>
              </w:rPr>
              <w:t>α. Γενικές πληροφορίες παρεχόμενες από την αρμόδια εποπτική αρχή:</w:t>
            </w:r>
          </w:p>
        </w:tc>
      </w:tr>
      <w:tr w:rsidRPr="00DC209C" w:rsidR="00A30E7B" w:rsidTr="003206A4" w14:paraId="78172950" w14:textId="77777777">
        <w:trPr>
          <w:trHeight w:val="300"/>
        </w:trPr>
        <w:tc>
          <w:tcPr>
            <w:tcW w:w="6804" w:type="dxa"/>
            <w:tcBorders>
              <w:left w:val="nil"/>
              <w:right w:val="nil"/>
            </w:tcBorders>
            <w:noWrap/>
            <w:hideMark/>
          </w:tcPr>
          <w:p w:rsidRPr="00DC209C" w:rsidR="00A30E7B" w:rsidP="003206A4" w:rsidRDefault="00A30E7B" w14:paraId="7ADA7FF9"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Κωδικός χώρας</w:t>
            </w:r>
          </w:p>
        </w:tc>
        <w:tc>
          <w:tcPr>
            <w:tcW w:w="2745" w:type="dxa"/>
            <w:tcBorders>
              <w:left w:val="nil"/>
              <w:bottom w:val="single" w:color="auto" w:sz="4" w:space="0"/>
              <w:right w:val="nil"/>
            </w:tcBorders>
            <w:noWrap/>
            <w:hideMark/>
          </w:tcPr>
          <w:p w:rsidRPr="00DC209C" w:rsidR="00A30E7B" w:rsidP="003206A4" w:rsidRDefault="00A30E7B" w14:paraId="2B6C62CD"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0B48D0CC" w14:textId="77777777">
        <w:trPr>
          <w:trHeight w:val="300"/>
        </w:trPr>
        <w:tc>
          <w:tcPr>
            <w:tcW w:w="6804" w:type="dxa"/>
            <w:tcBorders>
              <w:left w:val="nil"/>
              <w:right w:val="nil"/>
            </w:tcBorders>
            <w:noWrap/>
            <w:hideMark/>
          </w:tcPr>
          <w:p w:rsidRPr="00DC209C" w:rsidR="00A30E7B" w:rsidP="003206A4" w:rsidRDefault="00A30E7B" w14:paraId="2B98CFE9"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Όνομα τράπεζας</w:t>
            </w:r>
          </w:p>
        </w:tc>
        <w:tc>
          <w:tcPr>
            <w:tcW w:w="2745" w:type="dxa"/>
            <w:tcBorders>
              <w:left w:val="nil"/>
              <w:bottom w:val="single" w:color="auto" w:sz="4" w:space="0"/>
              <w:right w:val="nil"/>
            </w:tcBorders>
            <w:hideMark/>
          </w:tcPr>
          <w:p w:rsidRPr="00DC209C" w:rsidR="00A30E7B" w:rsidP="003206A4" w:rsidRDefault="00A30E7B" w14:paraId="206CDC36"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51AB049E" w14:textId="77777777">
        <w:trPr>
          <w:trHeight w:val="300"/>
        </w:trPr>
        <w:tc>
          <w:tcPr>
            <w:tcW w:w="6804" w:type="dxa"/>
            <w:tcBorders>
              <w:left w:val="nil"/>
              <w:right w:val="nil"/>
            </w:tcBorders>
            <w:noWrap/>
            <w:hideMark/>
          </w:tcPr>
          <w:p w:rsidRPr="00DC209C" w:rsidR="00A30E7B" w:rsidP="003206A4" w:rsidRDefault="00A30E7B" w14:paraId="037ED909" w14:textId="77777777">
            <w:pPr>
              <w:ind w:firstLine="400" w:firstLineChars="200"/>
              <w:rPr>
                <w:rFonts w:ascii="Arial" w:hAnsi="Arial" w:eastAsia="Times New Roman" w:cs="Arial"/>
                <w:sz w:val="20"/>
                <w:szCs w:val="20"/>
              </w:rPr>
            </w:pPr>
            <w:r w:rsidRPr="00DC209C">
              <w:rPr>
                <w:rFonts w:ascii="Arial" w:hAnsi="Arial"/>
                <w:sz w:val="20"/>
                <w:lang w:eastAsia="en-GB"/>
              </w:rPr>
              <w:t>(3)</w:t>
            </w:r>
            <w:r w:rsidRPr="00DC209C">
              <w:rPr>
                <w:rFonts w:ascii="Arial" w:hAnsi="Arial"/>
                <w:sz w:val="20"/>
              </w:rPr>
              <w:t xml:space="preserve"> Ημερομηνία παροχής στοιχείων (εεεε-μμ-ηη)</w:t>
            </w:r>
          </w:p>
        </w:tc>
        <w:tc>
          <w:tcPr>
            <w:tcW w:w="2745" w:type="dxa"/>
            <w:tcBorders>
              <w:left w:val="nil"/>
              <w:bottom w:val="single" w:color="auto" w:sz="4" w:space="0"/>
              <w:right w:val="nil"/>
            </w:tcBorders>
            <w:noWrap/>
            <w:hideMark/>
          </w:tcPr>
          <w:p w:rsidRPr="00DC209C" w:rsidR="00A30E7B" w:rsidP="003206A4" w:rsidRDefault="00A30E7B" w14:paraId="3458E737" w14:textId="77777777">
            <w:pPr>
              <w:jc w:val="center"/>
              <w:rPr>
                <w:rFonts w:ascii="Arial" w:hAnsi="Arial" w:eastAsia="Times New Roman" w:cs="Arial"/>
                <w:sz w:val="20"/>
                <w:szCs w:val="20"/>
                <w:lang w:eastAsia="en-GB"/>
              </w:rPr>
            </w:pPr>
          </w:p>
        </w:tc>
      </w:tr>
      <w:tr w:rsidRPr="00DC209C" w:rsidR="00A30E7B" w:rsidTr="003206A4" w14:paraId="02F5DE92" w14:textId="77777777">
        <w:trPr>
          <w:trHeight w:val="300"/>
        </w:trPr>
        <w:tc>
          <w:tcPr>
            <w:tcW w:w="6804" w:type="dxa"/>
            <w:tcBorders>
              <w:left w:val="nil"/>
              <w:right w:val="nil"/>
            </w:tcBorders>
            <w:noWrap/>
            <w:hideMark/>
          </w:tcPr>
          <w:p w:rsidRPr="00DC209C" w:rsidR="00A30E7B" w:rsidP="003206A4" w:rsidRDefault="00A30E7B" w14:paraId="28DD00DC" w14:textId="77777777">
            <w:pPr>
              <w:ind w:firstLine="400" w:firstLineChars="200"/>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Νόμισμα που χρησιμοποιείται για την παροχή στοιχείων</w:t>
            </w:r>
          </w:p>
        </w:tc>
        <w:tc>
          <w:tcPr>
            <w:tcW w:w="2745" w:type="dxa"/>
            <w:tcBorders>
              <w:left w:val="nil"/>
              <w:bottom w:val="single" w:color="auto" w:sz="4" w:space="0"/>
              <w:right w:val="nil"/>
            </w:tcBorders>
            <w:noWrap/>
            <w:hideMark/>
          </w:tcPr>
          <w:p w:rsidRPr="00DC209C" w:rsidR="00A30E7B" w:rsidP="003206A4" w:rsidRDefault="00A30E7B" w14:paraId="4176BB22" w14:textId="77777777">
            <w:pPr>
              <w:jc w:val="center"/>
              <w:rPr>
                <w:rFonts w:ascii="Arial" w:hAnsi="Arial" w:eastAsia="Times New Roman" w:cs="Arial"/>
                <w:sz w:val="20"/>
                <w:szCs w:val="20"/>
                <w:lang w:eastAsia="en-GB"/>
              </w:rPr>
            </w:pPr>
          </w:p>
        </w:tc>
      </w:tr>
      <w:tr w:rsidRPr="00DC209C" w:rsidR="00A30E7B" w:rsidTr="003206A4" w14:paraId="70DD0976" w14:textId="77777777">
        <w:trPr>
          <w:trHeight w:val="300"/>
        </w:trPr>
        <w:tc>
          <w:tcPr>
            <w:tcW w:w="6804" w:type="dxa"/>
            <w:tcBorders>
              <w:left w:val="nil"/>
              <w:right w:val="nil"/>
            </w:tcBorders>
            <w:noWrap/>
            <w:hideMark/>
          </w:tcPr>
          <w:p w:rsidRPr="00DC209C" w:rsidR="00A30E7B" w:rsidP="003206A4" w:rsidRDefault="00A30E7B" w14:paraId="2D684B00" w14:textId="77777777">
            <w:pPr>
              <w:ind w:firstLine="400" w:firstLineChars="200"/>
              <w:rPr>
                <w:rFonts w:ascii="Arial" w:hAnsi="Arial" w:eastAsia="Times New Roman" w:cs="Arial"/>
                <w:sz w:val="20"/>
                <w:szCs w:val="20"/>
              </w:rPr>
            </w:pPr>
            <w:r w:rsidRPr="00DC209C">
              <w:rPr>
                <w:rFonts w:ascii="Arial" w:hAnsi="Arial"/>
                <w:sz w:val="20"/>
                <w:lang w:eastAsia="en-GB"/>
              </w:rPr>
              <w:t>(5)</w:t>
            </w:r>
            <w:r w:rsidRPr="00DC209C">
              <w:rPr>
                <w:rFonts w:ascii="Arial" w:hAnsi="Arial"/>
                <w:sz w:val="20"/>
              </w:rPr>
              <w:t xml:space="preserve"> Ισοτιμία μετατροπής σε ευρώ</w:t>
            </w:r>
          </w:p>
        </w:tc>
        <w:tc>
          <w:tcPr>
            <w:tcW w:w="2745" w:type="dxa"/>
            <w:tcBorders>
              <w:left w:val="nil"/>
              <w:bottom w:val="single" w:color="auto" w:sz="4" w:space="0"/>
              <w:right w:val="nil"/>
            </w:tcBorders>
            <w:noWrap/>
            <w:hideMark/>
          </w:tcPr>
          <w:p w:rsidRPr="00DC209C" w:rsidR="00A30E7B" w:rsidP="003206A4" w:rsidRDefault="00A30E7B" w14:paraId="15120F2E" w14:textId="77777777">
            <w:pPr>
              <w:rPr>
                <w:rFonts w:ascii="Arial" w:hAnsi="Arial" w:eastAsia="Times New Roman" w:cs="Arial"/>
                <w:sz w:val="20"/>
                <w:szCs w:val="20"/>
              </w:rPr>
            </w:pPr>
            <w:r w:rsidRPr="00DC209C">
              <w:rPr>
                <w:rFonts w:ascii="Arial" w:hAnsi="Arial"/>
                <w:sz w:val="20"/>
              </w:rPr>
              <w:t> </w:t>
            </w:r>
          </w:p>
        </w:tc>
      </w:tr>
      <w:tr w:rsidRPr="00DC209C" w:rsidR="00A30E7B" w:rsidTr="003206A4" w14:paraId="67F39EBE" w14:textId="77777777">
        <w:trPr>
          <w:trHeight w:val="300"/>
        </w:trPr>
        <w:tc>
          <w:tcPr>
            <w:tcW w:w="6804" w:type="dxa"/>
            <w:tcBorders>
              <w:left w:val="nil"/>
              <w:right w:val="nil"/>
            </w:tcBorders>
            <w:noWrap/>
            <w:hideMark/>
          </w:tcPr>
          <w:p w:rsidRPr="00DC209C" w:rsidR="00A30E7B" w:rsidP="003206A4" w:rsidRDefault="00A30E7B" w14:paraId="6AC0E515" w14:textId="77777777">
            <w:pPr>
              <w:ind w:firstLine="400" w:firstLineChars="200"/>
              <w:rPr>
                <w:rFonts w:ascii="Arial" w:hAnsi="Arial" w:eastAsia="Times New Roman" w:cs="Arial"/>
                <w:sz w:val="20"/>
                <w:szCs w:val="20"/>
              </w:rPr>
            </w:pPr>
            <w:r w:rsidRPr="00DC209C">
              <w:rPr>
                <w:rFonts w:ascii="Arial" w:hAnsi="Arial"/>
                <w:sz w:val="20"/>
                <w:lang w:eastAsia="en-GB"/>
              </w:rPr>
              <w:t>(6)</w:t>
            </w:r>
            <w:r w:rsidRPr="00DC209C">
              <w:rPr>
                <w:rFonts w:ascii="Arial" w:hAnsi="Arial"/>
                <w:sz w:val="20"/>
              </w:rPr>
              <w:t xml:space="preserve"> Ημερομηνία υποβολής (εεεε-μμ-ηη)</w:t>
            </w:r>
          </w:p>
        </w:tc>
        <w:tc>
          <w:tcPr>
            <w:tcW w:w="2745" w:type="dxa"/>
            <w:tcBorders>
              <w:left w:val="nil"/>
              <w:bottom w:val="single" w:color="auto" w:sz="4" w:space="0"/>
              <w:right w:val="nil"/>
            </w:tcBorders>
            <w:noWrap/>
            <w:hideMark/>
          </w:tcPr>
          <w:p w:rsidRPr="00DC209C" w:rsidR="00A30E7B" w:rsidP="003206A4" w:rsidRDefault="00A30E7B" w14:paraId="05214228"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5233B3C0" w14:textId="77777777">
        <w:trPr>
          <w:trHeight w:val="300"/>
        </w:trPr>
        <w:tc>
          <w:tcPr>
            <w:tcW w:w="6804" w:type="dxa"/>
            <w:tcBorders>
              <w:left w:val="nil"/>
              <w:right w:val="nil"/>
            </w:tcBorders>
            <w:noWrap/>
            <w:hideMark/>
          </w:tcPr>
          <w:p w:rsidRPr="00DC209C" w:rsidR="00A30E7B" w:rsidP="003206A4" w:rsidRDefault="00A30E7B" w14:paraId="081DD14B" w14:textId="77777777">
            <w:pPr>
              <w:ind w:firstLine="200" w:firstLineChars="100"/>
              <w:rPr>
                <w:rFonts w:ascii="Arial" w:hAnsi="Arial" w:eastAsia="Times New Roman" w:cs="Arial"/>
                <w:sz w:val="20"/>
                <w:szCs w:val="20"/>
              </w:rPr>
            </w:pPr>
            <w:r w:rsidRPr="00DC209C">
              <w:rPr>
                <w:rFonts w:ascii="Arial" w:hAnsi="Arial"/>
                <w:sz w:val="20"/>
              </w:rPr>
              <w:t>β. Γενικές πληροφορίες παρεχόμενες από το αναφέρον ίδρυμα:</w:t>
            </w:r>
          </w:p>
        </w:tc>
        <w:tc>
          <w:tcPr>
            <w:tcW w:w="2745" w:type="dxa"/>
            <w:tcBorders>
              <w:left w:val="nil"/>
              <w:bottom w:val="single" w:color="auto" w:sz="4" w:space="0"/>
              <w:right w:val="nil"/>
            </w:tcBorders>
            <w:noWrap/>
            <w:hideMark/>
          </w:tcPr>
          <w:p w:rsidRPr="00DC209C" w:rsidR="00A30E7B" w:rsidP="003206A4" w:rsidRDefault="00A30E7B" w14:paraId="7AF2DDCB"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185802FF" w14:textId="77777777">
        <w:trPr>
          <w:trHeight w:val="300"/>
        </w:trPr>
        <w:tc>
          <w:tcPr>
            <w:tcW w:w="6804" w:type="dxa"/>
            <w:tcBorders>
              <w:left w:val="nil"/>
              <w:right w:val="nil"/>
            </w:tcBorders>
            <w:noWrap/>
            <w:hideMark/>
          </w:tcPr>
          <w:p w:rsidRPr="00DC209C" w:rsidR="00A30E7B" w:rsidP="003206A4" w:rsidRDefault="00A30E7B" w14:paraId="2483A218"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Μονάδα παροχής στοιχείων</w:t>
            </w:r>
          </w:p>
        </w:tc>
        <w:tc>
          <w:tcPr>
            <w:tcW w:w="2745" w:type="dxa"/>
            <w:tcBorders>
              <w:left w:val="nil"/>
              <w:bottom w:val="single" w:color="auto" w:sz="4" w:space="0"/>
              <w:right w:val="nil"/>
            </w:tcBorders>
            <w:noWrap/>
            <w:hideMark/>
          </w:tcPr>
          <w:p w:rsidRPr="00DC209C" w:rsidR="00A30E7B" w:rsidP="003206A4" w:rsidRDefault="00A30E7B" w14:paraId="68EE4849"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733E6469" w14:textId="77777777">
        <w:trPr>
          <w:trHeight w:val="300"/>
        </w:trPr>
        <w:tc>
          <w:tcPr>
            <w:tcW w:w="6804" w:type="dxa"/>
            <w:tcBorders>
              <w:left w:val="nil"/>
              <w:right w:val="nil"/>
            </w:tcBorders>
            <w:noWrap/>
            <w:hideMark/>
          </w:tcPr>
          <w:p w:rsidRPr="00DC209C" w:rsidR="00A30E7B" w:rsidP="003206A4" w:rsidRDefault="00A30E7B" w14:paraId="0377A863"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Λογιστικό πρότυπο</w:t>
            </w:r>
          </w:p>
        </w:tc>
        <w:tc>
          <w:tcPr>
            <w:tcW w:w="2745" w:type="dxa"/>
            <w:tcBorders>
              <w:left w:val="nil"/>
              <w:bottom w:val="single" w:color="auto" w:sz="4" w:space="0"/>
              <w:right w:val="nil"/>
            </w:tcBorders>
            <w:hideMark/>
          </w:tcPr>
          <w:p w:rsidRPr="00DC209C" w:rsidR="00A30E7B" w:rsidP="003206A4" w:rsidRDefault="00A30E7B" w14:paraId="208396D6"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7721F563" w14:textId="77777777">
        <w:trPr>
          <w:trHeight w:val="300"/>
        </w:trPr>
        <w:tc>
          <w:tcPr>
            <w:tcW w:w="6804" w:type="dxa"/>
            <w:tcBorders>
              <w:left w:val="nil"/>
              <w:right w:val="nil"/>
            </w:tcBorders>
            <w:noWrap/>
            <w:hideMark/>
          </w:tcPr>
          <w:p w:rsidRPr="00DC209C" w:rsidR="00A30E7B" w:rsidP="003206A4" w:rsidRDefault="00A30E7B" w14:paraId="3B9EF3BA"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Ημερομηνία δημοσιοποίησης (εεεε-μμ-ηη)</w:t>
            </w:r>
          </w:p>
        </w:tc>
        <w:tc>
          <w:tcPr>
            <w:tcW w:w="2745" w:type="dxa"/>
            <w:tcBorders>
              <w:left w:val="nil"/>
              <w:bottom w:val="single" w:color="auto" w:sz="4" w:space="0"/>
              <w:right w:val="nil"/>
            </w:tcBorders>
            <w:noWrap/>
            <w:hideMark/>
          </w:tcPr>
          <w:p w:rsidRPr="00DC209C" w:rsidR="00A30E7B" w:rsidP="003206A4" w:rsidRDefault="00A30E7B" w14:paraId="5BF8E97B"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13295475" w14:textId="77777777">
        <w:trPr>
          <w:trHeight w:val="300"/>
        </w:trPr>
        <w:tc>
          <w:tcPr>
            <w:tcW w:w="6804" w:type="dxa"/>
            <w:tcBorders>
              <w:left w:val="nil"/>
              <w:right w:val="nil"/>
            </w:tcBorders>
            <w:noWrap/>
            <w:hideMark/>
          </w:tcPr>
          <w:p w:rsidRPr="00DC209C" w:rsidR="00A30E7B" w:rsidP="003206A4" w:rsidRDefault="00A30E7B" w14:paraId="6CCFD1C5" w14:textId="77777777">
            <w:pPr>
              <w:ind w:firstLine="400" w:firstLineChars="200"/>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Γλώσσα δημοσιοποίησης</w:t>
            </w:r>
          </w:p>
        </w:tc>
        <w:tc>
          <w:tcPr>
            <w:tcW w:w="2745" w:type="dxa"/>
            <w:tcBorders>
              <w:left w:val="nil"/>
              <w:bottom w:val="single" w:color="auto" w:sz="4" w:space="0"/>
              <w:right w:val="nil"/>
            </w:tcBorders>
            <w:hideMark/>
          </w:tcPr>
          <w:p w:rsidRPr="00DC209C" w:rsidR="00A30E7B" w:rsidP="003206A4" w:rsidRDefault="00A30E7B" w14:paraId="7BAF67AD"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01747C04" w14:textId="77777777">
        <w:trPr>
          <w:trHeight w:val="300"/>
        </w:trPr>
        <w:tc>
          <w:tcPr>
            <w:tcW w:w="6804" w:type="dxa"/>
            <w:tcBorders>
              <w:left w:val="nil"/>
              <w:bottom w:val="single" w:color="auto" w:sz="4" w:space="0"/>
              <w:right w:val="nil"/>
            </w:tcBorders>
            <w:noWrap/>
            <w:hideMark/>
          </w:tcPr>
          <w:p w:rsidRPr="00DC209C" w:rsidR="00A30E7B" w:rsidP="003206A4" w:rsidRDefault="00A30E7B" w14:paraId="3399C2AE" w14:textId="77777777">
            <w:pPr>
              <w:ind w:firstLine="400" w:firstLineChars="200"/>
              <w:rPr>
                <w:rFonts w:ascii="Arial" w:hAnsi="Arial" w:eastAsia="Times New Roman" w:cs="Arial"/>
                <w:sz w:val="20"/>
                <w:szCs w:val="20"/>
              </w:rPr>
            </w:pPr>
            <w:r w:rsidRPr="00DC209C">
              <w:rPr>
                <w:rFonts w:ascii="Arial" w:hAnsi="Arial"/>
                <w:sz w:val="20"/>
                <w:lang w:eastAsia="en-GB"/>
              </w:rPr>
              <w:t>(5)</w:t>
            </w:r>
            <w:r w:rsidRPr="00DC209C">
              <w:rPr>
                <w:rFonts w:ascii="Arial" w:hAnsi="Arial"/>
                <w:sz w:val="20"/>
              </w:rPr>
              <w:t xml:space="preserve"> Δικτυακή διεύθυνση δημοσιοποίησης</w:t>
            </w:r>
          </w:p>
        </w:tc>
        <w:tc>
          <w:tcPr>
            <w:tcW w:w="2745" w:type="dxa"/>
            <w:tcBorders>
              <w:left w:val="nil"/>
              <w:bottom w:val="single" w:color="auto" w:sz="4" w:space="0"/>
              <w:right w:val="nil"/>
            </w:tcBorders>
            <w:noWrap/>
            <w:hideMark/>
          </w:tcPr>
          <w:p w:rsidRPr="00DC209C" w:rsidR="00A30E7B" w:rsidP="003206A4" w:rsidRDefault="00A30E7B" w14:paraId="2CCE4D34" w14:textId="77777777">
            <w:pPr>
              <w:jc w:val="center"/>
              <w:rPr>
                <w:rFonts w:ascii="Arial" w:hAnsi="Arial" w:eastAsia="Times New Roman" w:cs="Arial"/>
                <w:color w:val="0000FF"/>
                <w:sz w:val="20"/>
                <w:szCs w:val="20"/>
                <w:u w:val="single"/>
                <w:lang w:eastAsia="en-GB"/>
              </w:rPr>
            </w:pPr>
          </w:p>
        </w:tc>
      </w:tr>
      <w:tr w:rsidRPr="00DC209C" w:rsidR="00A30E7B" w:rsidTr="003206A4" w14:paraId="71AA789E" w14:textId="77777777">
        <w:trPr>
          <w:trHeight w:val="300"/>
        </w:trPr>
        <w:tc>
          <w:tcPr>
            <w:tcW w:w="6804" w:type="dxa"/>
            <w:tcBorders>
              <w:left w:val="nil"/>
              <w:bottom w:val="single" w:color="auto" w:sz="4" w:space="0"/>
              <w:right w:val="nil"/>
            </w:tcBorders>
            <w:noWrap/>
            <w:hideMark/>
          </w:tcPr>
          <w:p w:rsidRPr="00DC209C" w:rsidR="00A30E7B" w:rsidP="003206A4" w:rsidRDefault="00A30E7B" w14:paraId="6CC65ACD" w14:textId="77777777">
            <w:pPr>
              <w:ind w:firstLine="400" w:firstLineChars="200"/>
              <w:rPr>
                <w:rFonts w:ascii="Arial" w:hAnsi="Arial" w:eastAsia="Times New Roman" w:cs="Arial"/>
                <w:sz w:val="20"/>
                <w:szCs w:val="20"/>
              </w:rPr>
            </w:pPr>
            <w:r w:rsidRPr="00DC209C">
              <w:rPr>
                <w:rFonts w:ascii="Arial" w:hAnsi="Arial"/>
                <w:sz w:val="20"/>
                <w:lang w:eastAsia="en-GB"/>
              </w:rPr>
              <w:t xml:space="preserve">(6) </w:t>
            </w:r>
            <w:r w:rsidRPr="00DC209C">
              <w:rPr>
                <w:rFonts w:ascii="Arial" w:hAnsi="Arial"/>
                <w:sz w:val="20"/>
              </w:rPr>
              <w:t>Κωδικός LEI</w:t>
            </w:r>
          </w:p>
        </w:tc>
        <w:tc>
          <w:tcPr>
            <w:tcW w:w="2745" w:type="dxa"/>
            <w:tcBorders>
              <w:left w:val="nil"/>
              <w:bottom w:val="single" w:color="auto" w:sz="4" w:space="0"/>
              <w:right w:val="nil"/>
            </w:tcBorders>
            <w:hideMark/>
          </w:tcPr>
          <w:p w:rsidRPr="00DC209C" w:rsidR="00A30E7B" w:rsidP="003206A4" w:rsidRDefault="00A30E7B" w14:paraId="109650E7" w14:textId="77777777">
            <w:pPr>
              <w:jc w:val="center"/>
              <w:rPr>
                <w:rFonts w:ascii="Arial" w:hAnsi="Arial" w:eastAsia="Times New Roman" w:cs="Arial"/>
                <w:sz w:val="20"/>
                <w:szCs w:val="20"/>
              </w:rPr>
            </w:pPr>
            <w:r w:rsidRPr="00DC209C">
              <w:rPr>
                <w:rFonts w:ascii="Arial" w:hAnsi="Arial"/>
                <w:sz w:val="20"/>
              </w:rPr>
              <w:t> </w:t>
            </w:r>
          </w:p>
        </w:tc>
      </w:tr>
      <w:tr w:rsidRPr="00DC209C" w:rsidR="00A30E7B" w:rsidTr="003206A4" w14:paraId="2B40296F" w14:textId="77777777">
        <w:trPr>
          <w:trHeight w:val="300"/>
        </w:trPr>
        <w:tc>
          <w:tcPr>
            <w:tcW w:w="6804" w:type="dxa"/>
            <w:tcBorders>
              <w:left w:val="nil"/>
              <w:bottom w:val="nil"/>
              <w:right w:val="nil"/>
            </w:tcBorders>
            <w:noWrap/>
          </w:tcPr>
          <w:p w:rsidRPr="00DC209C" w:rsidR="00A30E7B" w:rsidP="003206A4" w:rsidRDefault="00A30E7B" w14:paraId="33E24946"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DC209C" w:rsidR="00A30E7B" w:rsidP="003206A4" w:rsidRDefault="00A30E7B" w14:paraId="0B21D049" w14:textId="77777777">
            <w:pPr>
              <w:jc w:val="center"/>
              <w:rPr>
                <w:rFonts w:ascii="Arial" w:hAnsi="Arial" w:eastAsia="Times New Roman" w:cs="Arial"/>
                <w:sz w:val="20"/>
                <w:szCs w:val="20"/>
                <w:lang w:eastAsia="en-GB"/>
              </w:rPr>
            </w:pPr>
          </w:p>
        </w:tc>
      </w:tr>
      <w:tr w:rsidRPr="00DC209C" w:rsidR="00A30E7B" w:rsidTr="003206A4" w14:paraId="55324AFD" w14:textId="77777777">
        <w:trPr>
          <w:trHeight w:val="300"/>
        </w:trPr>
        <w:tc>
          <w:tcPr>
            <w:tcW w:w="6804" w:type="dxa"/>
            <w:tcBorders>
              <w:top w:val="nil"/>
              <w:left w:val="nil"/>
              <w:bottom w:val="nil"/>
              <w:right w:val="nil"/>
            </w:tcBorders>
            <w:noWrap/>
          </w:tcPr>
          <w:p w:rsidRPr="00DC209C" w:rsidR="00A30E7B" w:rsidP="003206A4" w:rsidRDefault="00A30E7B" w14:paraId="5782418B" w14:textId="77777777">
            <w:pPr>
              <w:keepNext/>
              <w:keepLines/>
              <w:spacing w:before="47"/>
              <w:outlineLvl w:val="5"/>
              <w:rPr>
                <w:rFonts w:ascii="Arial" w:hAnsi="Arial" w:eastAsia="Times New Roman" w:cs="Arial"/>
                <w:i/>
                <w:iCs/>
                <w:caps/>
                <w:color w:val="172B39" w:themeColor="accent1" w:themeShade="80"/>
                <w:sz w:val="20"/>
                <w:szCs w:val="20"/>
              </w:rPr>
            </w:pPr>
            <w:r w:rsidRPr="00DC209C">
              <w:rPr>
                <w:rFonts w:asciiTheme="majorHAnsi" w:hAnsiTheme="majorHAnsi"/>
                <w:b/>
                <w:i/>
                <w:caps/>
              </w:rPr>
              <w:t>Δείκτες μεγέθους</w:t>
            </w:r>
          </w:p>
        </w:tc>
        <w:tc>
          <w:tcPr>
            <w:tcW w:w="2745" w:type="dxa"/>
            <w:tcBorders>
              <w:top w:val="nil"/>
              <w:left w:val="nil"/>
              <w:bottom w:val="nil"/>
              <w:right w:val="nil"/>
            </w:tcBorders>
          </w:tcPr>
          <w:p w:rsidRPr="00DC209C" w:rsidR="00A30E7B" w:rsidP="003206A4" w:rsidRDefault="00A30E7B" w14:paraId="3B195081" w14:textId="77777777">
            <w:pPr>
              <w:jc w:val="center"/>
              <w:rPr>
                <w:rFonts w:ascii="Arial" w:hAnsi="Arial" w:eastAsia="Times New Roman" w:cs="Arial"/>
                <w:sz w:val="20"/>
                <w:szCs w:val="20"/>
                <w:lang w:eastAsia="en-GB"/>
              </w:rPr>
            </w:pPr>
          </w:p>
        </w:tc>
      </w:tr>
      <w:tr w:rsidRPr="00DC209C" w:rsidR="00A30E7B" w:rsidTr="003206A4" w14:paraId="7C64765E"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0573BBDB"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DC209C" w:rsidR="00A30E7B" w:rsidP="003206A4" w:rsidRDefault="00A30E7B" w14:paraId="43FA8245" w14:textId="77777777">
            <w:pPr>
              <w:jc w:val="center"/>
              <w:rPr>
                <w:rFonts w:ascii="Arial" w:hAnsi="Arial" w:eastAsia="Times New Roman" w:cs="Arial"/>
                <w:sz w:val="20"/>
                <w:szCs w:val="20"/>
                <w:lang w:eastAsia="en-GB"/>
              </w:rPr>
            </w:pPr>
          </w:p>
        </w:tc>
      </w:tr>
      <w:tr w:rsidRPr="00DC209C" w:rsidR="00A30E7B" w:rsidTr="003206A4" w14:paraId="2D7F6107" w14:textId="77777777">
        <w:trPr>
          <w:trHeight w:val="300"/>
        </w:trPr>
        <w:tc>
          <w:tcPr>
            <w:tcW w:w="6804" w:type="dxa"/>
            <w:tcBorders>
              <w:left w:val="nil"/>
              <w:right w:val="nil"/>
            </w:tcBorders>
            <w:noWrap/>
          </w:tcPr>
          <w:p w:rsidRPr="00DC209C" w:rsidR="00A30E7B" w:rsidP="003206A4" w:rsidRDefault="00A30E7B" w14:paraId="351DE42B" w14:textId="77777777">
            <w:pPr>
              <w:rPr>
                <w:rFonts w:ascii="Arial" w:hAnsi="Arial" w:eastAsia="Times New Roman" w:cs="Arial"/>
                <w:sz w:val="20"/>
                <w:szCs w:val="20"/>
              </w:rPr>
            </w:pPr>
            <w:r w:rsidRPr="00DC209C">
              <w:rPr>
                <w:rFonts w:ascii="Arial" w:hAnsi="Arial"/>
                <w:b/>
                <w:sz w:val="20"/>
              </w:rPr>
              <w:t>Τμήμα 2 - Συνολικά ανοίγματα</w:t>
            </w:r>
          </w:p>
        </w:tc>
        <w:tc>
          <w:tcPr>
            <w:tcW w:w="2745" w:type="dxa"/>
            <w:tcBorders>
              <w:left w:val="nil"/>
              <w:right w:val="nil"/>
            </w:tcBorders>
            <w:noWrap/>
          </w:tcPr>
          <w:p w:rsidRPr="00DC209C" w:rsidR="00A30E7B" w:rsidP="003206A4" w:rsidRDefault="00A30E7B" w14:paraId="56C70E60" w14:textId="77777777">
            <w:pPr>
              <w:ind w:firstLine="201" w:firstLineChars="100"/>
              <w:jc w:val="center"/>
              <w:rPr>
                <w:rFonts w:ascii="Arial" w:hAnsi="Arial" w:eastAsia="Times New Roman" w:cs="Arial"/>
                <w:sz w:val="20"/>
                <w:szCs w:val="20"/>
              </w:rPr>
            </w:pPr>
            <w:r w:rsidRPr="00DC209C">
              <w:rPr>
                <w:rFonts w:ascii="Arial" w:hAnsi="Arial"/>
                <w:b/>
                <w:sz w:val="20"/>
              </w:rPr>
              <w:t>Ποσό</w:t>
            </w:r>
          </w:p>
        </w:tc>
      </w:tr>
      <w:tr w:rsidRPr="00DC209C" w:rsidR="00A30E7B" w:rsidTr="003206A4" w14:paraId="690DA7E7" w14:textId="77777777">
        <w:trPr>
          <w:trHeight w:val="300"/>
        </w:trPr>
        <w:tc>
          <w:tcPr>
            <w:tcW w:w="6804" w:type="dxa"/>
            <w:tcBorders>
              <w:left w:val="nil"/>
              <w:right w:val="nil"/>
            </w:tcBorders>
            <w:noWrap/>
            <w:hideMark/>
          </w:tcPr>
          <w:p w:rsidRPr="00DC209C" w:rsidR="00A30E7B" w:rsidP="003206A4" w:rsidRDefault="00A30E7B" w14:paraId="0ABA0F74" w14:textId="77777777">
            <w:pPr>
              <w:ind w:firstLine="200" w:firstLineChars="100"/>
              <w:rPr>
                <w:rFonts w:ascii="Arial" w:hAnsi="Arial" w:eastAsia="Times New Roman" w:cs="Arial"/>
                <w:sz w:val="20"/>
                <w:szCs w:val="20"/>
              </w:rPr>
            </w:pPr>
            <w:r w:rsidRPr="00DC209C">
              <w:rPr>
                <w:rFonts w:ascii="Arial" w:hAnsi="Arial"/>
                <w:sz w:val="20"/>
              </w:rPr>
              <w:t>α. Παράγωγα</w:t>
            </w:r>
          </w:p>
        </w:tc>
        <w:tc>
          <w:tcPr>
            <w:tcW w:w="2745" w:type="dxa"/>
            <w:tcBorders>
              <w:left w:val="nil"/>
              <w:right w:val="nil"/>
            </w:tcBorders>
            <w:noWrap/>
            <w:hideMark/>
          </w:tcPr>
          <w:p w:rsidRPr="00DC209C" w:rsidR="00A30E7B" w:rsidP="003206A4" w:rsidRDefault="00A30E7B" w14:paraId="1EEF9AAD"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3205299E" w14:textId="77777777">
        <w:trPr>
          <w:trHeight w:val="300"/>
        </w:trPr>
        <w:tc>
          <w:tcPr>
            <w:tcW w:w="6804" w:type="dxa"/>
            <w:tcBorders>
              <w:left w:val="nil"/>
              <w:right w:val="nil"/>
            </w:tcBorders>
            <w:noWrap/>
            <w:hideMark/>
          </w:tcPr>
          <w:p w:rsidRPr="00DC209C" w:rsidR="00A30E7B" w:rsidP="003206A4" w:rsidRDefault="00A30E7B" w14:paraId="4BEF2694"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Έκθεση στον κίνδυνο αντισυμβαλλομένου των συμβολαίων παραγώγων</w:t>
            </w:r>
          </w:p>
        </w:tc>
        <w:tc>
          <w:tcPr>
            <w:tcW w:w="2745" w:type="dxa"/>
            <w:tcBorders>
              <w:left w:val="nil"/>
              <w:right w:val="nil"/>
            </w:tcBorders>
            <w:noWrap/>
            <w:hideMark/>
          </w:tcPr>
          <w:p w:rsidRPr="00DC209C" w:rsidR="00A30E7B" w:rsidP="003206A4" w:rsidRDefault="00A30E7B" w14:paraId="30A7D78E"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580EED6" w14:textId="77777777">
        <w:trPr>
          <w:trHeight w:val="300"/>
        </w:trPr>
        <w:tc>
          <w:tcPr>
            <w:tcW w:w="6804" w:type="dxa"/>
            <w:tcBorders>
              <w:left w:val="nil"/>
              <w:right w:val="nil"/>
            </w:tcBorders>
            <w:noWrap/>
            <w:hideMark/>
          </w:tcPr>
          <w:p w:rsidRPr="00DC209C" w:rsidR="00A30E7B" w:rsidP="003206A4" w:rsidRDefault="00A30E7B" w14:paraId="0B1A73BC"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Ανώτατο ονομαστικό ποσό πιστωτικών παραγώγων</w:t>
            </w:r>
          </w:p>
        </w:tc>
        <w:tc>
          <w:tcPr>
            <w:tcW w:w="2745" w:type="dxa"/>
            <w:tcBorders>
              <w:left w:val="nil"/>
              <w:right w:val="nil"/>
            </w:tcBorders>
            <w:noWrap/>
            <w:hideMark/>
          </w:tcPr>
          <w:p w:rsidRPr="00DC209C" w:rsidR="00A30E7B" w:rsidP="003206A4" w:rsidRDefault="00A30E7B" w14:paraId="10D6A4E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2B7181F" w14:textId="77777777">
        <w:trPr>
          <w:trHeight w:val="300"/>
        </w:trPr>
        <w:tc>
          <w:tcPr>
            <w:tcW w:w="6804" w:type="dxa"/>
            <w:tcBorders>
              <w:left w:val="nil"/>
              <w:right w:val="nil"/>
            </w:tcBorders>
            <w:noWrap/>
            <w:hideMark/>
          </w:tcPr>
          <w:p w:rsidRPr="00DC209C" w:rsidR="00A30E7B" w:rsidP="003206A4" w:rsidRDefault="00A30E7B" w14:paraId="0E575512"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Ενδεχόμενη μελλοντική έκθεση των συμβολαίων παραγώγων</w:t>
            </w:r>
          </w:p>
        </w:tc>
        <w:tc>
          <w:tcPr>
            <w:tcW w:w="2745" w:type="dxa"/>
            <w:tcBorders>
              <w:left w:val="nil"/>
              <w:right w:val="nil"/>
            </w:tcBorders>
            <w:noWrap/>
            <w:hideMark/>
          </w:tcPr>
          <w:p w:rsidRPr="00DC209C" w:rsidR="00A30E7B" w:rsidP="003206A4" w:rsidRDefault="00A30E7B" w14:paraId="47675866"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D7B1292" w14:textId="77777777">
        <w:trPr>
          <w:trHeight w:val="300"/>
        </w:trPr>
        <w:tc>
          <w:tcPr>
            <w:tcW w:w="6804" w:type="dxa"/>
            <w:tcBorders>
              <w:left w:val="nil"/>
              <w:right w:val="nil"/>
            </w:tcBorders>
            <w:noWrap/>
            <w:hideMark/>
          </w:tcPr>
          <w:p w:rsidRPr="00DC209C" w:rsidR="00A30E7B" w:rsidP="003206A4" w:rsidRDefault="00A30E7B" w14:paraId="252539A6" w14:textId="77777777">
            <w:pPr>
              <w:ind w:firstLine="200" w:firstLineChars="100"/>
              <w:rPr>
                <w:rFonts w:ascii="Arial" w:hAnsi="Arial" w:eastAsia="Times New Roman" w:cs="Arial"/>
                <w:sz w:val="20"/>
                <w:szCs w:val="20"/>
              </w:rPr>
            </w:pPr>
            <w:r w:rsidRPr="00DC209C">
              <w:rPr>
                <w:rFonts w:ascii="Arial" w:hAnsi="Arial"/>
                <w:sz w:val="20"/>
              </w:rPr>
              <w:t>β. Συναλλαγές χρηματοδότησης τίτλων (</w:t>
            </w:r>
            <w:r w:rsidRPr="00DC209C">
              <w:rPr>
                <w:rFonts w:ascii="Arial" w:hAnsi="Arial"/>
                <w:sz w:val="20"/>
                <w:lang w:val="en-US"/>
              </w:rPr>
              <w:t>SFTs</w:t>
            </w:r>
            <w:r w:rsidRPr="00DC209C">
              <w:rPr>
                <w:rFonts w:ascii="Arial" w:hAnsi="Arial"/>
                <w:sz w:val="20"/>
              </w:rPr>
              <w:t>)</w:t>
            </w:r>
          </w:p>
        </w:tc>
        <w:tc>
          <w:tcPr>
            <w:tcW w:w="2745" w:type="dxa"/>
            <w:tcBorders>
              <w:left w:val="nil"/>
              <w:right w:val="nil"/>
            </w:tcBorders>
            <w:noWrap/>
            <w:hideMark/>
          </w:tcPr>
          <w:p w:rsidRPr="00DC209C" w:rsidR="00A30E7B" w:rsidP="003206A4" w:rsidRDefault="00A30E7B" w14:paraId="20216DB9"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4087F2E5" w14:textId="77777777">
        <w:trPr>
          <w:trHeight w:val="300"/>
        </w:trPr>
        <w:tc>
          <w:tcPr>
            <w:tcW w:w="6804" w:type="dxa"/>
            <w:tcBorders>
              <w:left w:val="nil"/>
              <w:right w:val="nil"/>
            </w:tcBorders>
            <w:noWrap/>
            <w:hideMark/>
          </w:tcPr>
          <w:p w:rsidRPr="00DC209C" w:rsidR="00A30E7B" w:rsidP="003206A4" w:rsidRDefault="00A30E7B" w14:paraId="35844601"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Προσαρμοσμένη ακαθάριστη αξία συναλλαγών χρηματοδότησης τίτλων (</w:t>
            </w:r>
            <w:r w:rsidRPr="00DC209C">
              <w:rPr>
                <w:rFonts w:ascii="Arial" w:hAnsi="Arial"/>
                <w:sz w:val="20"/>
                <w:lang w:val="en-US"/>
              </w:rPr>
              <w:t>SFTs</w:t>
            </w:r>
            <w:r w:rsidRPr="00DC209C">
              <w:rPr>
                <w:rFonts w:ascii="Arial" w:hAnsi="Arial"/>
                <w:sz w:val="20"/>
              </w:rPr>
              <w:t>)</w:t>
            </w:r>
          </w:p>
        </w:tc>
        <w:tc>
          <w:tcPr>
            <w:tcW w:w="2745" w:type="dxa"/>
            <w:tcBorders>
              <w:left w:val="nil"/>
              <w:right w:val="nil"/>
            </w:tcBorders>
            <w:noWrap/>
            <w:hideMark/>
          </w:tcPr>
          <w:p w:rsidRPr="00DC209C" w:rsidR="00A30E7B" w:rsidP="003206A4" w:rsidRDefault="00A30E7B" w14:paraId="2E7E5B7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B50E0E7" w14:textId="77777777">
        <w:trPr>
          <w:trHeight w:val="300"/>
        </w:trPr>
        <w:tc>
          <w:tcPr>
            <w:tcW w:w="6804" w:type="dxa"/>
            <w:tcBorders>
              <w:left w:val="nil"/>
              <w:right w:val="nil"/>
            </w:tcBorders>
            <w:noWrap/>
            <w:hideMark/>
          </w:tcPr>
          <w:p w:rsidRPr="00DC209C" w:rsidR="00A30E7B" w:rsidP="003206A4" w:rsidRDefault="00A30E7B" w14:paraId="3A7E0F09"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Έκθεση στον κίνδυνο αντισυμβαλλομένου των συναλλαγών χρηματοδότησης τίτλων (</w:t>
            </w:r>
            <w:r w:rsidRPr="00DC209C">
              <w:rPr>
                <w:rFonts w:ascii="Arial" w:hAnsi="Arial"/>
                <w:sz w:val="20"/>
                <w:lang w:val="en-US"/>
              </w:rPr>
              <w:t>SFTs</w:t>
            </w:r>
            <w:r w:rsidRPr="00DC209C">
              <w:rPr>
                <w:rFonts w:ascii="Arial" w:hAnsi="Arial"/>
                <w:sz w:val="20"/>
              </w:rPr>
              <w:t>)</w:t>
            </w:r>
          </w:p>
        </w:tc>
        <w:tc>
          <w:tcPr>
            <w:tcW w:w="2745" w:type="dxa"/>
            <w:tcBorders>
              <w:left w:val="nil"/>
              <w:right w:val="nil"/>
            </w:tcBorders>
            <w:noWrap/>
            <w:hideMark/>
          </w:tcPr>
          <w:p w:rsidRPr="00DC209C" w:rsidR="00A30E7B" w:rsidP="003206A4" w:rsidRDefault="00A30E7B" w14:paraId="1113AFED"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F0264E5" w14:textId="77777777">
        <w:trPr>
          <w:trHeight w:val="300"/>
        </w:trPr>
        <w:tc>
          <w:tcPr>
            <w:tcW w:w="6804" w:type="dxa"/>
            <w:tcBorders>
              <w:left w:val="nil"/>
              <w:right w:val="nil"/>
            </w:tcBorders>
            <w:noWrap/>
            <w:hideMark/>
          </w:tcPr>
          <w:p w:rsidRPr="00DC209C" w:rsidR="00A30E7B" w:rsidP="003206A4" w:rsidRDefault="00A30E7B" w14:paraId="28D0D489" w14:textId="77777777">
            <w:pPr>
              <w:ind w:firstLine="200" w:firstLineChars="100"/>
              <w:rPr>
                <w:rFonts w:ascii="Arial" w:hAnsi="Arial" w:eastAsia="Times New Roman" w:cs="Arial"/>
                <w:sz w:val="20"/>
                <w:szCs w:val="20"/>
              </w:rPr>
            </w:pPr>
            <w:r w:rsidRPr="00DC209C">
              <w:rPr>
                <w:rFonts w:ascii="Arial" w:hAnsi="Arial"/>
                <w:sz w:val="20"/>
              </w:rPr>
              <w:t>γ. Άλλα στοιχεία ενεργητικού</w:t>
            </w:r>
          </w:p>
        </w:tc>
        <w:tc>
          <w:tcPr>
            <w:tcW w:w="2745" w:type="dxa"/>
            <w:tcBorders>
              <w:left w:val="nil"/>
              <w:right w:val="nil"/>
            </w:tcBorders>
            <w:noWrap/>
            <w:hideMark/>
          </w:tcPr>
          <w:p w:rsidRPr="00DC209C" w:rsidR="00A30E7B" w:rsidP="003206A4" w:rsidRDefault="00A30E7B" w14:paraId="6E7664B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061C26A" w14:textId="77777777">
        <w:trPr>
          <w:trHeight w:val="300"/>
        </w:trPr>
        <w:tc>
          <w:tcPr>
            <w:tcW w:w="6804" w:type="dxa"/>
            <w:tcBorders>
              <w:left w:val="nil"/>
              <w:right w:val="nil"/>
            </w:tcBorders>
            <w:noWrap/>
            <w:hideMark/>
          </w:tcPr>
          <w:p w:rsidRPr="00DC209C" w:rsidR="00A30E7B" w:rsidP="003206A4" w:rsidRDefault="00A30E7B" w14:paraId="29E589D2" w14:textId="77777777">
            <w:pPr>
              <w:ind w:firstLine="200" w:firstLineChars="100"/>
              <w:rPr>
                <w:rFonts w:ascii="Arial" w:hAnsi="Arial" w:eastAsia="Times New Roman" w:cs="Arial"/>
                <w:sz w:val="20"/>
                <w:szCs w:val="20"/>
              </w:rPr>
            </w:pPr>
            <w:r w:rsidRPr="00DC209C">
              <w:rPr>
                <w:rFonts w:ascii="Arial" w:hAnsi="Arial"/>
                <w:sz w:val="20"/>
              </w:rPr>
              <w:t>δ. Ακαθάριστο ονομαστικό ποσό των εκτός ισολογισμού στοιχείων</w:t>
            </w:r>
          </w:p>
        </w:tc>
        <w:tc>
          <w:tcPr>
            <w:tcW w:w="2745" w:type="dxa"/>
            <w:tcBorders>
              <w:left w:val="nil"/>
              <w:right w:val="nil"/>
            </w:tcBorders>
            <w:noWrap/>
            <w:hideMark/>
          </w:tcPr>
          <w:p w:rsidRPr="00DC209C" w:rsidR="00A30E7B" w:rsidP="003206A4" w:rsidRDefault="00A30E7B" w14:paraId="65E514F4"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491211F0" w14:textId="77777777">
        <w:trPr>
          <w:trHeight w:val="300"/>
        </w:trPr>
        <w:tc>
          <w:tcPr>
            <w:tcW w:w="6804" w:type="dxa"/>
            <w:tcBorders>
              <w:left w:val="nil"/>
              <w:right w:val="nil"/>
            </w:tcBorders>
            <w:noWrap/>
            <w:hideMark/>
          </w:tcPr>
          <w:p w:rsidRPr="00DC209C" w:rsidR="00A30E7B" w:rsidP="003206A4" w:rsidRDefault="00A30E7B" w14:paraId="616C13F4"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Στοιχεία υποκείμενα σε συντελεστή πιστωτικής μετατροπής 0 %</w:t>
            </w:r>
          </w:p>
        </w:tc>
        <w:tc>
          <w:tcPr>
            <w:tcW w:w="2745" w:type="dxa"/>
            <w:tcBorders>
              <w:left w:val="nil"/>
              <w:right w:val="nil"/>
            </w:tcBorders>
            <w:noWrap/>
            <w:hideMark/>
          </w:tcPr>
          <w:p w:rsidRPr="00DC209C" w:rsidR="00A30E7B" w:rsidP="003206A4" w:rsidRDefault="00A30E7B" w14:paraId="0A46615E"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097AB58" w14:textId="77777777">
        <w:trPr>
          <w:trHeight w:val="300"/>
        </w:trPr>
        <w:tc>
          <w:tcPr>
            <w:tcW w:w="6804" w:type="dxa"/>
            <w:tcBorders>
              <w:left w:val="nil"/>
              <w:right w:val="nil"/>
            </w:tcBorders>
            <w:noWrap/>
            <w:hideMark/>
          </w:tcPr>
          <w:p w:rsidRPr="00DC209C" w:rsidR="00A30E7B" w:rsidP="003206A4" w:rsidRDefault="00A30E7B" w14:paraId="55470645"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Στοιχεία υποκείμενα σε συντελεστή πιστωτικής μετατροπής 20 %</w:t>
            </w:r>
          </w:p>
        </w:tc>
        <w:tc>
          <w:tcPr>
            <w:tcW w:w="2745" w:type="dxa"/>
            <w:tcBorders>
              <w:left w:val="nil"/>
              <w:right w:val="nil"/>
            </w:tcBorders>
            <w:noWrap/>
            <w:hideMark/>
          </w:tcPr>
          <w:p w:rsidRPr="00DC209C" w:rsidR="00A30E7B" w:rsidP="003206A4" w:rsidRDefault="00A30E7B" w14:paraId="20C855FE"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E550531" w14:textId="77777777">
        <w:trPr>
          <w:trHeight w:val="300"/>
        </w:trPr>
        <w:tc>
          <w:tcPr>
            <w:tcW w:w="6804" w:type="dxa"/>
            <w:tcBorders>
              <w:left w:val="nil"/>
              <w:right w:val="nil"/>
            </w:tcBorders>
            <w:noWrap/>
            <w:hideMark/>
          </w:tcPr>
          <w:p w:rsidRPr="00DC209C" w:rsidR="00A30E7B" w:rsidP="003206A4" w:rsidRDefault="00A30E7B" w14:paraId="1595200B"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Στοιχεία υποκείμενα σε συντελεστή πιστωτικής μετατροπής 50 %</w:t>
            </w:r>
          </w:p>
        </w:tc>
        <w:tc>
          <w:tcPr>
            <w:tcW w:w="2745" w:type="dxa"/>
            <w:tcBorders>
              <w:left w:val="nil"/>
              <w:right w:val="nil"/>
            </w:tcBorders>
            <w:noWrap/>
            <w:hideMark/>
          </w:tcPr>
          <w:p w:rsidRPr="00DC209C" w:rsidR="00A30E7B" w:rsidP="003206A4" w:rsidRDefault="00A30E7B" w14:paraId="14FB0E0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7630C76" w14:textId="77777777">
        <w:trPr>
          <w:trHeight w:val="300"/>
        </w:trPr>
        <w:tc>
          <w:tcPr>
            <w:tcW w:w="6804" w:type="dxa"/>
            <w:tcBorders>
              <w:left w:val="nil"/>
              <w:right w:val="nil"/>
            </w:tcBorders>
            <w:noWrap/>
            <w:hideMark/>
          </w:tcPr>
          <w:p w:rsidRPr="00DC209C" w:rsidR="00A30E7B" w:rsidP="003206A4" w:rsidRDefault="00A30E7B" w14:paraId="1EB517EC" w14:textId="77777777">
            <w:pPr>
              <w:ind w:firstLine="400" w:firstLineChars="200"/>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Στοιχεία υποκείμενα σε συντελεστή πιστωτικής μετατροπής 100 %</w:t>
            </w:r>
          </w:p>
        </w:tc>
        <w:tc>
          <w:tcPr>
            <w:tcW w:w="2745" w:type="dxa"/>
            <w:tcBorders>
              <w:left w:val="nil"/>
              <w:right w:val="nil"/>
            </w:tcBorders>
            <w:noWrap/>
            <w:hideMark/>
          </w:tcPr>
          <w:p w:rsidRPr="00DC209C" w:rsidR="00A30E7B" w:rsidP="003206A4" w:rsidRDefault="00A30E7B" w14:paraId="24637A9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006AE7A3" w14:textId="77777777">
        <w:trPr>
          <w:trHeight w:val="300"/>
        </w:trPr>
        <w:tc>
          <w:tcPr>
            <w:tcW w:w="6804" w:type="dxa"/>
            <w:tcBorders>
              <w:left w:val="nil"/>
              <w:right w:val="nil"/>
            </w:tcBorders>
            <w:noWrap/>
            <w:hideMark/>
          </w:tcPr>
          <w:p w:rsidRPr="00DC209C" w:rsidR="00A30E7B" w:rsidP="003206A4" w:rsidRDefault="00A30E7B" w14:paraId="4DE1CC47" w14:textId="77777777">
            <w:pPr>
              <w:ind w:firstLine="200" w:firstLineChars="100"/>
              <w:rPr>
                <w:rFonts w:ascii="Arial" w:hAnsi="Arial" w:eastAsia="Times New Roman" w:cs="Arial"/>
                <w:sz w:val="20"/>
                <w:szCs w:val="20"/>
              </w:rPr>
            </w:pPr>
            <w:r w:rsidRPr="00DC209C">
              <w:rPr>
                <w:rFonts w:ascii="Arial" w:hAnsi="Arial"/>
                <w:sz w:val="20"/>
              </w:rPr>
              <w:lastRenderedPageBreak/>
              <w:t>ε. Κανονιστικές προσαρμογές</w:t>
            </w:r>
          </w:p>
        </w:tc>
        <w:tc>
          <w:tcPr>
            <w:tcW w:w="2745" w:type="dxa"/>
            <w:tcBorders>
              <w:left w:val="nil"/>
              <w:right w:val="nil"/>
            </w:tcBorders>
            <w:noWrap/>
            <w:hideMark/>
          </w:tcPr>
          <w:p w:rsidRPr="00DC209C" w:rsidR="00A30E7B" w:rsidP="003206A4" w:rsidRDefault="00A30E7B" w14:paraId="6A66AF9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13E7493" w14:textId="77777777">
        <w:trPr>
          <w:trHeight w:val="300"/>
        </w:trPr>
        <w:tc>
          <w:tcPr>
            <w:tcW w:w="6804" w:type="dxa"/>
            <w:tcBorders>
              <w:left w:val="nil"/>
              <w:right w:val="nil"/>
            </w:tcBorders>
            <w:noWrap/>
          </w:tcPr>
          <w:p w:rsidRPr="00DC209C" w:rsidR="00A30E7B" w:rsidP="003206A4" w:rsidRDefault="00A30E7B" w14:paraId="2044F909" w14:textId="77777777">
            <w:pPr>
              <w:ind w:left="171" w:firstLine="28" w:firstLineChars="14"/>
              <w:rPr>
                <w:rFonts w:ascii="Arial" w:hAnsi="Arial" w:eastAsia="Times New Roman" w:cs="Arial"/>
                <w:sz w:val="20"/>
                <w:szCs w:val="20"/>
              </w:rPr>
            </w:pPr>
            <w:r w:rsidRPr="00DC209C">
              <w:rPr>
                <w:rFonts w:ascii="Arial" w:hAnsi="Arial"/>
                <w:sz w:val="20"/>
              </w:rPr>
              <w:t>στ. Συνολικά ανοίγματα πριν από τις κανονιστικές προσαρμογές [άθροισμα των στοιχείων 2.α.(1) έως 2.γ, 0,1 φορές το 2.δ.(1), 0,2 φορές το 2.δ.(2), 0,5 φορές το 2.δ.(3), και 2.δ.(4)]</w:t>
            </w:r>
          </w:p>
        </w:tc>
        <w:tc>
          <w:tcPr>
            <w:tcW w:w="2745" w:type="dxa"/>
            <w:tcBorders>
              <w:left w:val="nil"/>
              <w:right w:val="nil"/>
            </w:tcBorders>
            <w:noWrap/>
          </w:tcPr>
          <w:p w:rsidRPr="00DC209C" w:rsidR="00A30E7B" w:rsidP="003206A4" w:rsidRDefault="00A30E7B" w14:paraId="1112972E" w14:textId="77777777">
            <w:pPr>
              <w:jc w:val="right"/>
              <w:rPr>
                <w:rFonts w:ascii="Arial" w:hAnsi="Arial" w:eastAsia="Times New Roman" w:cs="Arial"/>
                <w:sz w:val="20"/>
                <w:szCs w:val="20"/>
                <w:lang w:eastAsia="en-GB"/>
              </w:rPr>
            </w:pPr>
          </w:p>
        </w:tc>
      </w:tr>
      <w:tr w:rsidRPr="00DC209C" w:rsidR="00A30E7B" w:rsidTr="003206A4" w14:paraId="23F6C74A" w14:textId="77777777">
        <w:trPr>
          <w:trHeight w:val="300"/>
        </w:trPr>
        <w:tc>
          <w:tcPr>
            <w:tcW w:w="6804" w:type="dxa"/>
            <w:tcBorders>
              <w:left w:val="nil"/>
              <w:right w:val="nil"/>
            </w:tcBorders>
            <w:noWrap/>
          </w:tcPr>
          <w:p w:rsidRPr="00DC209C" w:rsidR="00A30E7B" w:rsidP="003206A4" w:rsidRDefault="00A30E7B" w14:paraId="240AF7B8" w14:textId="77777777">
            <w:pPr>
              <w:ind w:left="171" w:firstLine="28" w:firstLineChars="14"/>
              <w:rPr>
                <w:rFonts w:ascii="Arial" w:hAnsi="Arial" w:eastAsia="Times New Roman" w:cs="Arial"/>
                <w:sz w:val="20"/>
                <w:szCs w:val="20"/>
              </w:rPr>
            </w:pPr>
            <w:r w:rsidRPr="00DC209C">
              <w:rPr>
                <w:rFonts w:ascii="Arial" w:hAnsi="Arial"/>
                <w:sz w:val="20"/>
              </w:rPr>
              <w:t>ζ. Ανοίγματα ασφαλιστικών θυγατρικών που δεν περιλαμβάνονται στο στοιχείο 2.στ. μετά την αφαίρεση των ενδοομιλικών συναλλαγών:</w:t>
            </w:r>
          </w:p>
        </w:tc>
        <w:tc>
          <w:tcPr>
            <w:tcW w:w="2745" w:type="dxa"/>
            <w:tcBorders>
              <w:left w:val="nil"/>
              <w:right w:val="nil"/>
            </w:tcBorders>
            <w:noWrap/>
          </w:tcPr>
          <w:p w:rsidRPr="00DC209C" w:rsidR="00A30E7B" w:rsidP="003206A4" w:rsidRDefault="00A30E7B" w14:paraId="53CE148A" w14:textId="77777777">
            <w:pPr>
              <w:jc w:val="right"/>
              <w:rPr>
                <w:rFonts w:ascii="Arial" w:hAnsi="Arial" w:eastAsia="Times New Roman" w:cs="Arial"/>
                <w:sz w:val="20"/>
                <w:szCs w:val="20"/>
                <w:lang w:eastAsia="en-GB"/>
              </w:rPr>
            </w:pPr>
          </w:p>
        </w:tc>
      </w:tr>
      <w:tr w:rsidRPr="00DC209C" w:rsidR="00A30E7B" w:rsidTr="003206A4" w14:paraId="4C965FBC" w14:textId="77777777">
        <w:trPr>
          <w:trHeight w:val="300"/>
        </w:trPr>
        <w:tc>
          <w:tcPr>
            <w:tcW w:w="6804" w:type="dxa"/>
            <w:tcBorders>
              <w:left w:val="nil"/>
              <w:right w:val="nil"/>
            </w:tcBorders>
            <w:noWrap/>
          </w:tcPr>
          <w:p w:rsidRPr="00DC209C" w:rsidR="00A30E7B" w:rsidP="003206A4" w:rsidRDefault="00A30E7B" w14:paraId="4D483940" w14:textId="77777777">
            <w:pPr>
              <w:ind w:left="720" w:firstLine="28" w:firstLineChars="14"/>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Εντός και εκτός ισολογισμού στοιχεία ενεργητικού των ασφαλιστικών θυγατρικών</w:t>
            </w:r>
          </w:p>
        </w:tc>
        <w:tc>
          <w:tcPr>
            <w:tcW w:w="2745" w:type="dxa"/>
            <w:tcBorders>
              <w:left w:val="nil"/>
              <w:right w:val="nil"/>
            </w:tcBorders>
            <w:noWrap/>
          </w:tcPr>
          <w:p w:rsidRPr="00DC209C" w:rsidR="00A30E7B" w:rsidP="003206A4" w:rsidRDefault="00A30E7B" w14:paraId="66C91E25" w14:textId="77777777">
            <w:pPr>
              <w:jc w:val="right"/>
              <w:rPr>
                <w:rFonts w:ascii="Arial" w:hAnsi="Arial" w:eastAsia="Times New Roman" w:cs="Arial"/>
                <w:sz w:val="20"/>
                <w:szCs w:val="20"/>
                <w:lang w:eastAsia="en-GB"/>
              </w:rPr>
            </w:pPr>
          </w:p>
        </w:tc>
      </w:tr>
      <w:tr w:rsidRPr="00DC209C" w:rsidR="00A30E7B" w:rsidTr="003206A4" w14:paraId="30A67B5D" w14:textId="77777777">
        <w:trPr>
          <w:trHeight w:val="300"/>
        </w:trPr>
        <w:tc>
          <w:tcPr>
            <w:tcW w:w="6804" w:type="dxa"/>
            <w:tcBorders>
              <w:left w:val="nil"/>
              <w:right w:val="nil"/>
            </w:tcBorders>
            <w:noWrap/>
          </w:tcPr>
          <w:p w:rsidRPr="00DC209C" w:rsidR="00A30E7B" w:rsidP="003206A4" w:rsidRDefault="00A30E7B" w14:paraId="3FE39786" w14:textId="77777777">
            <w:pPr>
              <w:ind w:left="720" w:firstLine="28" w:firstLineChars="14"/>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Ενδεχόμενη μελλοντική έκθεση των συμβολαίων παραγώγων ασφαλιστικών θυγατρικών</w:t>
            </w:r>
          </w:p>
        </w:tc>
        <w:tc>
          <w:tcPr>
            <w:tcW w:w="2745" w:type="dxa"/>
            <w:tcBorders>
              <w:left w:val="nil"/>
              <w:right w:val="nil"/>
            </w:tcBorders>
            <w:noWrap/>
          </w:tcPr>
          <w:p w:rsidRPr="00DC209C" w:rsidR="00A30E7B" w:rsidP="003206A4" w:rsidRDefault="00A30E7B" w14:paraId="1938BC8F" w14:textId="77777777">
            <w:pPr>
              <w:jc w:val="right"/>
              <w:rPr>
                <w:rFonts w:ascii="Arial" w:hAnsi="Arial" w:eastAsia="Times New Roman" w:cs="Arial"/>
                <w:sz w:val="20"/>
                <w:szCs w:val="20"/>
                <w:lang w:eastAsia="en-GB"/>
              </w:rPr>
            </w:pPr>
          </w:p>
        </w:tc>
      </w:tr>
      <w:tr w:rsidRPr="00DC209C" w:rsidR="00A30E7B" w:rsidTr="003206A4" w14:paraId="0133CC86" w14:textId="77777777">
        <w:trPr>
          <w:trHeight w:val="300"/>
        </w:trPr>
        <w:tc>
          <w:tcPr>
            <w:tcW w:w="6804" w:type="dxa"/>
            <w:tcBorders>
              <w:left w:val="nil"/>
              <w:right w:val="nil"/>
            </w:tcBorders>
            <w:noWrap/>
          </w:tcPr>
          <w:p w:rsidRPr="00DC209C" w:rsidR="00A30E7B" w:rsidP="003206A4" w:rsidRDefault="00A30E7B" w14:paraId="7DD76836" w14:textId="77777777">
            <w:pPr>
              <w:ind w:left="720" w:firstLine="28" w:firstLineChars="14"/>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Αξία επενδύσεων σε ενοποιημένες οντότητες</w:t>
            </w:r>
          </w:p>
        </w:tc>
        <w:tc>
          <w:tcPr>
            <w:tcW w:w="2745" w:type="dxa"/>
            <w:tcBorders>
              <w:left w:val="nil"/>
              <w:right w:val="nil"/>
            </w:tcBorders>
            <w:noWrap/>
          </w:tcPr>
          <w:p w:rsidRPr="00DC209C" w:rsidR="00A30E7B" w:rsidP="003206A4" w:rsidRDefault="00A30E7B" w14:paraId="4BC5E01E" w14:textId="77777777">
            <w:pPr>
              <w:jc w:val="right"/>
              <w:rPr>
                <w:rFonts w:ascii="Arial" w:hAnsi="Arial" w:eastAsia="Times New Roman" w:cs="Arial"/>
                <w:sz w:val="20"/>
                <w:szCs w:val="20"/>
                <w:lang w:eastAsia="en-GB"/>
              </w:rPr>
            </w:pPr>
          </w:p>
        </w:tc>
      </w:tr>
      <w:tr w:rsidRPr="00DC209C" w:rsidR="00A30E7B" w:rsidTr="003206A4" w14:paraId="4AFD4049" w14:textId="77777777">
        <w:trPr>
          <w:trHeight w:val="300"/>
        </w:trPr>
        <w:tc>
          <w:tcPr>
            <w:tcW w:w="6804" w:type="dxa"/>
            <w:tcBorders>
              <w:left w:val="nil"/>
              <w:right w:val="nil"/>
            </w:tcBorders>
            <w:noWrap/>
          </w:tcPr>
          <w:p w:rsidRPr="00DC209C" w:rsidR="00A30E7B" w:rsidP="003206A4" w:rsidRDefault="00A30E7B" w14:paraId="3B39DA31" w14:textId="77777777">
            <w:pPr>
              <w:ind w:left="171"/>
              <w:rPr>
                <w:rFonts w:ascii="Arial" w:hAnsi="Arial" w:eastAsia="Times New Roman" w:cs="Arial"/>
                <w:sz w:val="20"/>
                <w:szCs w:val="20"/>
              </w:rPr>
            </w:pPr>
            <w:r w:rsidRPr="00DC209C">
              <w:rPr>
                <w:rFonts w:ascii="Arial" w:hAnsi="Arial"/>
                <w:sz w:val="20"/>
              </w:rPr>
              <w:t>η. Ενδοομιλικά ανοίγματα που περιλαμβάνονται στο στοιχείο 2.στ. σε ασφαλιστικές θυγατρικές που αναφέρονται στο στοιχείο 2.ζ.</w:t>
            </w:r>
          </w:p>
        </w:tc>
        <w:tc>
          <w:tcPr>
            <w:tcW w:w="2745" w:type="dxa"/>
            <w:tcBorders>
              <w:left w:val="nil"/>
              <w:right w:val="nil"/>
            </w:tcBorders>
            <w:noWrap/>
          </w:tcPr>
          <w:p w:rsidRPr="00DC209C" w:rsidR="00A30E7B" w:rsidP="003206A4" w:rsidRDefault="00A30E7B" w14:paraId="35745568" w14:textId="77777777">
            <w:pPr>
              <w:jc w:val="right"/>
              <w:rPr>
                <w:rFonts w:ascii="Arial" w:hAnsi="Arial" w:eastAsia="Times New Roman" w:cs="Arial"/>
                <w:sz w:val="20"/>
                <w:szCs w:val="20"/>
                <w:lang w:eastAsia="en-GB"/>
              </w:rPr>
            </w:pPr>
          </w:p>
        </w:tc>
      </w:tr>
      <w:tr w:rsidRPr="00DC209C" w:rsidR="00A30E7B" w:rsidTr="003206A4" w14:paraId="4C2CBA94" w14:textId="77777777">
        <w:trPr>
          <w:trHeight w:val="300"/>
        </w:trPr>
        <w:tc>
          <w:tcPr>
            <w:tcW w:w="6804" w:type="dxa"/>
            <w:tcBorders>
              <w:left w:val="nil"/>
              <w:bottom w:val="single" w:color="auto" w:sz="4" w:space="0"/>
              <w:right w:val="nil"/>
            </w:tcBorders>
            <w:noWrap/>
          </w:tcPr>
          <w:p w:rsidRPr="00DC209C" w:rsidR="00A30E7B" w:rsidP="003206A4" w:rsidRDefault="00A30E7B" w14:paraId="709811A0" w14:textId="77777777">
            <w:pPr>
              <w:ind w:left="171"/>
              <w:rPr>
                <w:rFonts w:ascii="Arial" w:hAnsi="Arial" w:eastAsia="Times New Roman" w:cs="Arial"/>
                <w:sz w:val="20"/>
                <w:szCs w:val="20"/>
              </w:rPr>
            </w:pPr>
            <w:r w:rsidRPr="00DC209C">
              <w:rPr>
                <w:rFonts w:ascii="Arial" w:hAnsi="Arial"/>
                <w:sz w:val="20"/>
              </w:rPr>
              <w:t>θ. Δείκτης συνόλου ανοιγμάτων, συμπεριλαμβανομένων των ασφαλιστικών θυγατρικών [άθροισμα των στοιχείων 2.στ., 2.ζ.(1) έως 2.ζ.(2) μείον το στοιχείο 2.ζ.(3) έως 2.η)]</w:t>
            </w:r>
          </w:p>
        </w:tc>
        <w:tc>
          <w:tcPr>
            <w:tcW w:w="2745" w:type="dxa"/>
            <w:tcBorders>
              <w:left w:val="nil"/>
              <w:bottom w:val="single" w:color="auto" w:sz="4" w:space="0"/>
              <w:right w:val="nil"/>
            </w:tcBorders>
            <w:noWrap/>
          </w:tcPr>
          <w:p w:rsidRPr="00DC209C" w:rsidR="00A30E7B" w:rsidP="003206A4" w:rsidRDefault="00A30E7B" w14:paraId="14E9108D" w14:textId="77777777">
            <w:pPr>
              <w:jc w:val="right"/>
              <w:rPr>
                <w:rFonts w:ascii="Arial" w:hAnsi="Arial" w:eastAsia="Times New Roman" w:cs="Arial"/>
                <w:sz w:val="20"/>
                <w:szCs w:val="20"/>
                <w:lang w:eastAsia="en-GB"/>
              </w:rPr>
            </w:pPr>
          </w:p>
        </w:tc>
      </w:tr>
      <w:tr w:rsidRPr="00DC209C" w:rsidR="00A30E7B" w:rsidTr="003206A4" w14:paraId="0E635175" w14:textId="77777777">
        <w:trPr>
          <w:trHeight w:val="403"/>
        </w:trPr>
        <w:tc>
          <w:tcPr>
            <w:tcW w:w="9549" w:type="dxa"/>
            <w:gridSpan w:val="2"/>
            <w:tcBorders>
              <w:left w:val="nil"/>
              <w:right w:val="nil"/>
            </w:tcBorders>
            <w:noWrap/>
            <w:hideMark/>
          </w:tcPr>
          <w:p w:rsidRPr="00DC209C" w:rsidR="00A30E7B" w:rsidP="003206A4" w:rsidRDefault="00A30E7B" w14:paraId="6AFE92EF"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DC209C" w:rsidR="00A30E7B" w:rsidP="003206A4" w:rsidRDefault="00A30E7B" w14:paraId="4357CC7E" w14:textId="77777777">
            <w:pPr>
              <w:keepNext/>
              <w:keepLines/>
              <w:spacing w:before="47"/>
              <w:outlineLvl w:val="5"/>
              <w:rPr>
                <w:rFonts w:ascii="Arial" w:hAnsi="Arial" w:eastAsia="Times New Roman" w:cs="Arial"/>
                <w:i/>
                <w:iCs/>
                <w:caps/>
                <w:color w:val="172B39" w:themeColor="accent1" w:themeShade="80"/>
                <w:sz w:val="20"/>
                <w:szCs w:val="20"/>
              </w:rPr>
            </w:pPr>
            <w:r w:rsidRPr="00DC209C">
              <w:rPr>
                <w:rFonts w:asciiTheme="majorHAnsi" w:hAnsiTheme="majorHAnsi"/>
                <w:b/>
                <w:i/>
                <w:caps/>
              </w:rPr>
              <w:t>Δείκτες διασύνδεσης</w:t>
            </w:r>
          </w:p>
          <w:p w:rsidRPr="00DC209C" w:rsidR="00A30E7B" w:rsidP="003206A4" w:rsidRDefault="00A30E7B" w14:paraId="1A4CC662" w14:textId="77777777">
            <w:pPr>
              <w:rPr>
                <w:rFonts w:ascii="Arial" w:hAnsi="Arial" w:eastAsia="Times New Roman" w:cs="Arial"/>
                <w:b/>
                <w:bCs/>
                <w:sz w:val="24"/>
                <w:szCs w:val="24"/>
              </w:rPr>
            </w:pPr>
            <w:r w:rsidRPr="00DC209C">
              <w:rPr>
                <w:rFonts w:ascii="Arial" w:hAnsi="Arial"/>
                <w:b/>
                <w:sz w:val="24"/>
              </w:rPr>
              <w:t> </w:t>
            </w:r>
          </w:p>
        </w:tc>
      </w:tr>
      <w:tr w:rsidRPr="00DC209C" w:rsidR="00A30E7B" w:rsidTr="003206A4" w14:paraId="096F0202" w14:textId="77777777">
        <w:trPr>
          <w:trHeight w:val="300"/>
        </w:trPr>
        <w:tc>
          <w:tcPr>
            <w:tcW w:w="6804" w:type="dxa"/>
            <w:tcBorders>
              <w:left w:val="nil"/>
              <w:bottom w:val="single" w:color="auto" w:sz="4" w:space="0"/>
              <w:right w:val="nil"/>
            </w:tcBorders>
            <w:noWrap/>
            <w:hideMark/>
          </w:tcPr>
          <w:p w:rsidRPr="00DC209C" w:rsidR="00A30E7B" w:rsidP="003206A4" w:rsidRDefault="00A30E7B" w14:paraId="13389D4B" w14:textId="77777777">
            <w:pPr>
              <w:rPr>
                <w:rFonts w:ascii="Arial" w:hAnsi="Arial" w:eastAsia="Times New Roman" w:cs="Arial"/>
                <w:b/>
                <w:bCs/>
                <w:sz w:val="20"/>
                <w:szCs w:val="20"/>
              </w:rPr>
            </w:pPr>
            <w:r w:rsidRPr="00DC209C">
              <w:rPr>
                <w:rFonts w:ascii="Arial" w:hAnsi="Arial"/>
                <w:b/>
                <w:sz w:val="20"/>
              </w:rPr>
              <w:t>Τμήμα 3 - Στοιχεία ενεργητικού εντός του χρηματοοικονομικού συστήματος</w:t>
            </w:r>
          </w:p>
        </w:tc>
        <w:tc>
          <w:tcPr>
            <w:tcW w:w="2745" w:type="dxa"/>
            <w:tcBorders>
              <w:left w:val="nil"/>
              <w:bottom w:val="single" w:color="auto" w:sz="4" w:space="0"/>
              <w:right w:val="nil"/>
            </w:tcBorders>
            <w:hideMark/>
          </w:tcPr>
          <w:p w:rsidRPr="00DC209C" w:rsidR="00A30E7B" w:rsidP="003206A4" w:rsidRDefault="00A30E7B" w14:paraId="7DF70B07"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2A785DDE" w14:textId="77777777">
        <w:trPr>
          <w:trHeight w:val="300"/>
        </w:trPr>
        <w:tc>
          <w:tcPr>
            <w:tcW w:w="6804" w:type="dxa"/>
            <w:tcBorders>
              <w:left w:val="nil"/>
              <w:right w:val="nil"/>
            </w:tcBorders>
            <w:noWrap/>
            <w:hideMark/>
          </w:tcPr>
          <w:p w:rsidRPr="00DC209C" w:rsidR="00A30E7B" w:rsidP="003206A4" w:rsidRDefault="00A30E7B" w14:paraId="02ACC0F3" w14:textId="77777777">
            <w:pPr>
              <w:ind w:firstLine="200" w:firstLineChars="100"/>
              <w:rPr>
                <w:rFonts w:ascii="Arial" w:hAnsi="Arial" w:eastAsia="Times New Roman" w:cs="Arial"/>
                <w:sz w:val="20"/>
                <w:szCs w:val="20"/>
              </w:rPr>
            </w:pPr>
            <w:r w:rsidRPr="00DC209C">
              <w:rPr>
                <w:rFonts w:ascii="Arial" w:hAnsi="Arial"/>
                <w:sz w:val="20"/>
              </w:rPr>
              <w:t>α. Κεφάλαια κατατεθειμένα ή δανεισμένα σε άλλα χρηματοπιστωτικά ιδρύματα</w:t>
            </w:r>
          </w:p>
        </w:tc>
        <w:tc>
          <w:tcPr>
            <w:tcW w:w="2745" w:type="dxa"/>
            <w:tcBorders>
              <w:left w:val="nil"/>
              <w:right w:val="nil"/>
            </w:tcBorders>
            <w:noWrap/>
            <w:hideMark/>
          </w:tcPr>
          <w:p w:rsidRPr="00DC209C" w:rsidR="00A30E7B" w:rsidP="003206A4" w:rsidRDefault="00A30E7B" w14:paraId="3872E2ED"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5BF0929" w14:textId="77777777">
        <w:trPr>
          <w:trHeight w:val="300"/>
        </w:trPr>
        <w:tc>
          <w:tcPr>
            <w:tcW w:w="6804" w:type="dxa"/>
            <w:tcBorders>
              <w:left w:val="nil"/>
              <w:bottom w:val="single" w:color="auto" w:sz="4" w:space="0"/>
              <w:right w:val="nil"/>
            </w:tcBorders>
            <w:noWrap/>
            <w:hideMark/>
          </w:tcPr>
          <w:p w:rsidRPr="00DC209C" w:rsidR="00A30E7B" w:rsidP="003206A4" w:rsidRDefault="00A30E7B" w14:paraId="66B5C7DE"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 xml:space="preserve">Πιστοποιητικά καταθέσεων </w:t>
            </w:r>
          </w:p>
        </w:tc>
        <w:tc>
          <w:tcPr>
            <w:tcW w:w="2745" w:type="dxa"/>
            <w:tcBorders>
              <w:left w:val="nil"/>
              <w:right w:val="nil"/>
            </w:tcBorders>
            <w:noWrap/>
            <w:hideMark/>
          </w:tcPr>
          <w:p w:rsidRPr="00DC209C" w:rsidR="00A30E7B" w:rsidP="003206A4" w:rsidRDefault="00A30E7B" w14:paraId="66C16EA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3F69109" w14:textId="77777777">
        <w:trPr>
          <w:gridAfter w:val="1"/>
          <w:wAfter w:w="2745" w:type="dxa"/>
          <w:trHeight w:val="300"/>
        </w:trPr>
        <w:tc>
          <w:tcPr>
            <w:tcW w:w="6804" w:type="dxa"/>
            <w:tcBorders>
              <w:left w:val="nil"/>
              <w:right w:val="nil"/>
            </w:tcBorders>
            <w:noWrap/>
            <w:hideMark/>
          </w:tcPr>
          <w:p w:rsidRPr="00DC209C" w:rsidR="00A30E7B" w:rsidP="003206A4" w:rsidRDefault="00A30E7B" w14:paraId="2CCF337A" w14:textId="77777777">
            <w:pPr>
              <w:ind w:left="171" w:firstLine="28" w:firstLineChars="14"/>
              <w:rPr>
                <w:rFonts w:ascii="Arial" w:hAnsi="Arial" w:eastAsia="Times New Roman" w:cs="Arial"/>
                <w:sz w:val="20"/>
                <w:szCs w:val="20"/>
              </w:rPr>
            </w:pPr>
            <w:r w:rsidRPr="00DC209C">
              <w:rPr>
                <w:rFonts w:ascii="Arial" w:hAnsi="Arial"/>
                <w:sz w:val="20"/>
              </w:rPr>
              <w:t>β. Μη χρησιμοποιηθέντα δεσμευμένα πιστωτικά όρια που έχουν χορηγηθεί σε άλλα χρηματοπιστωτικά ιδρύματα</w:t>
            </w:r>
          </w:p>
        </w:tc>
      </w:tr>
      <w:tr w:rsidRPr="00DC209C" w:rsidR="00A30E7B" w:rsidTr="003206A4" w14:paraId="70F4B01C" w14:textId="77777777">
        <w:trPr>
          <w:trHeight w:val="300"/>
        </w:trPr>
        <w:tc>
          <w:tcPr>
            <w:tcW w:w="6804" w:type="dxa"/>
            <w:tcBorders>
              <w:left w:val="nil"/>
              <w:right w:val="nil"/>
            </w:tcBorders>
            <w:noWrap/>
            <w:hideMark/>
          </w:tcPr>
          <w:p w:rsidRPr="00DC209C" w:rsidR="00A30E7B" w:rsidP="003206A4" w:rsidRDefault="00A30E7B" w14:paraId="4526C536" w14:textId="77777777">
            <w:pPr>
              <w:ind w:firstLine="200" w:firstLineChars="100"/>
              <w:rPr>
                <w:rFonts w:ascii="Arial" w:hAnsi="Arial" w:eastAsia="Times New Roman" w:cs="Arial"/>
                <w:sz w:val="20"/>
                <w:szCs w:val="20"/>
              </w:rPr>
            </w:pPr>
            <w:r w:rsidRPr="00DC209C">
              <w:rPr>
                <w:rFonts w:ascii="Arial" w:hAnsi="Arial"/>
                <w:sz w:val="20"/>
              </w:rPr>
              <w:t>γ. Διακρατήσεις τίτλων εκδοθέντων από άλλα χρηματοπιστωτικά ιδρύματα:</w:t>
            </w:r>
          </w:p>
        </w:tc>
        <w:tc>
          <w:tcPr>
            <w:tcW w:w="2745" w:type="dxa"/>
            <w:tcBorders>
              <w:left w:val="nil"/>
              <w:right w:val="nil"/>
            </w:tcBorders>
            <w:noWrap/>
            <w:hideMark/>
          </w:tcPr>
          <w:p w:rsidRPr="00DC209C" w:rsidR="00A30E7B" w:rsidP="003206A4" w:rsidRDefault="00A30E7B" w14:paraId="7B687245"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331DDF3E" w14:textId="77777777">
        <w:trPr>
          <w:trHeight w:val="300"/>
        </w:trPr>
        <w:tc>
          <w:tcPr>
            <w:tcW w:w="6804" w:type="dxa"/>
            <w:tcBorders>
              <w:left w:val="nil"/>
              <w:right w:val="nil"/>
            </w:tcBorders>
            <w:noWrap/>
            <w:hideMark/>
          </w:tcPr>
          <w:p w:rsidRPr="00DC209C" w:rsidR="00A30E7B" w:rsidP="003206A4" w:rsidRDefault="00A30E7B" w14:paraId="76150380"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Εξασφαλισμένα χρεόγραφα</w:t>
            </w:r>
          </w:p>
        </w:tc>
        <w:tc>
          <w:tcPr>
            <w:tcW w:w="2745" w:type="dxa"/>
            <w:tcBorders>
              <w:left w:val="nil"/>
              <w:right w:val="nil"/>
            </w:tcBorders>
            <w:noWrap/>
            <w:hideMark/>
          </w:tcPr>
          <w:p w:rsidRPr="00DC209C" w:rsidR="00A30E7B" w:rsidP="003206A4" w:rsidRDefault="00A30E7B" w14:paraId="1F3443E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6C4C1FF" w14:textId="77777777">
        <w:trPr>
          <w:trHeight w:val="300"/>
        </w:trPr>
        <w:tc>
          <w:tcPr>
            <w:tcW w:w="6804" w:type="dxa"/>
            <w:tcBorders>
              <w:left w:val="nil"/>
              <w:right w:val="nil"/>
            </w:tcBorders>
            <w:noWrap/>
            <w:hideMark/>
          </w:tcPr>
          <w:p w:rsidRPr="00DC209C" w:rsidR="00A30E7B" w:rsidP="003206A4" w:rsidRDefault="00A30E7B" w14:paraId="1C0A1DB3"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Μη εξασφαλισμένα χρεόγραφα με εξοφλητική προτεραιότητα</w:t>
            </w:r>
          </w:p>
        </w:tc>
        <w:tc>
          <w:tcPr>
            <w:tcW w:w="2745" w:type="dxa"/>
            <w:tcBorders>
              <w:left w:val="nil"/>
              <w:right w:val="nil"/>
            </w:tcBorders>
            <w:noWrap/>
            <w:hideMark/>
          </w:tcPr>
          <w:p w:rsidRPr="00DC209C" w:rsidR="00A30E7B" w:rsidP="003206A4" w:rsidRDefault="00A30E7B" w14:paraId="4B221D24"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A5BDB1E" w14:textId="77777777">
        <w:trPr>
          <w:trHeight w:val="300"/>
        </w:trPr>
        <w:tc>
          <w:tcPr>
            <w:tcW w:w="6804" w:type="dxa"/>
            <w:tcBorders>
              <w:left w:val="nil"/>
              <w:right w:val="nil"/>
            </w:tcBorders>
            <w:noWrap/>
            <w:hideMark/>
          </w:tcPr>
          <w:p w:rsidRPr="00DC209C" w:rsidR="00A30E7B" w:rsidP="003206A4" w:rsidRDefault="00A30E7B" w14:paraId="75533E42"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Χρεόγραφα μειωμένης εξασφάλισης</w:t>
            </w:r>
          </w:p>
        </w:tc>
        <w:tc>
          <w:tcPr>
            <w:tcW w:w="2745" w:type="dxa"/>
            <w:tcBorders>
              <w:left w:val="nil"/>
              <w:right w:val="nil"/>
            </w:tcBorders>
            <w:noWrap/>
            <w:hideMark/>
          </w:tcPr>
          <w:p w:rsidRPr="00DC209C" w:rsidR="00A30E7B" w:rsidP="003206A4" w:rsidRDefault="00A30E7B" w14:paraId="1588561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7165990" w14:textId="77777777">
        <w:trPr>
          <w:trHeight w:val="300"/>
        </w:trPr>
        <w:tc>
          <w:tcPr>
            <w:tcW w:w="6804" w:type="dxa"/>
            <w:tcBorders>
              <w:left w:val="nil"/>
              <w:right w:val="nil"/>
            </w:tcBorders>
            <w:noWrap/>
            <w:hideMark/>
          </w:tcPr>
          <w:p w:rsidRPr="00DC209C" w:rsidR="00A30E7B" w:rsidP="003206A4" w:rsidRDefault="00A30E7B" w14:paraId="20F1E62B" w14:textId="77777777">
            <w:pPr>
              <w:ind w:firstLine="400" w:firstLineChars="200"/>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 xml:space="preserve">Εμπορικά χρεόγραφα </w:t>
            </w:r>
          </w:p>
        </w:tc>
        <w:tc>
          <w:tcPr>
            <w:tcW w:w="2745" w:type="dxa"/>
            <w:tcBorders>
              <w:left w:val="nil"/>
              <w:right w:val="nil"/>
            </w:tcBorders>
            <w:noWrap/>
            <w:hideMark/>
          </w:tcPr>
          <w:p w:rsidRPr="00DC209C" w:rsidR="00A30E7B" w:rsidP="003206A4" w:rsidRDefault="00A30E7B" w14:paraId="7B17B20B"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290CDF2" w14:textId="77777777">
        <w:trPr>
          <w:trHeight w:val="300"/>
        </w:trPr>
        <w:tc>
          <w:tcPr>
            <w:tcW w:w="6804" w:type="dxa"/>
            <w:tcBorders>
              <w:left w:val="nil"/>
              <w:bottom w:val="single" w:color="auto" w:sz="4" w:space="0"/>
              <w:right w:val="nil"/>
            </w:tcBorders>
            <w:noWrap/>
            <w:hideMark/>
          </w:tcPr>
          <w:p w:rsidRPr="00DC209C" w:rsidR="00A30E7B" w:rsidP="003206A4" w:rsidRDefault="00A30E7B" w14:paraId="0F76D609" w14:textId="77777777">
            <w:pPr>
              <w:ind w:firstLine="400" w:firstLineChars="200"/>
              <w:rPr>
                <w:rFonts w:ascii="Arial" w:hAnsi="Arial" w:eastAsia="Times New Roman" w:cs="Arial"/>
                <w:sz w:val="20"/>
                <w:szCs w:val="20"/>
              </w:rPr>
            </w:pPr>
            <w:r w:rsidRPr="00DC209C">
              <w:rPr>
                <w:rFonts w:ascii="Arial" w:hAnsi="Arial"/>
                <w:sz w:val="20"/>
                <w:lang w:eastAsia="en-GB"/>
              </w:rPr>
              <w:t xml:space="preserve">(5) </w:t>
            </w:r>
            <w:r w:rsidRPr="00DC209C">
              <w:rPr>
                <w:rFonts w:ascii="Arial" w:hAnsi="Arial"/>
                <w:sz w:val="20"/>
              </w:rPr>
              <w:t>Μετοχικοί τίτλοι</w:t>
            </w:r>
          </w:p>
        </w:tc>
        <w:tc>
          <w:tcPr>
            <w:tcW w:w="2745" w:type="dxa"/>
            <w:tcBorders>
              <w:left w:val="nil"/>
              <w:right w:val="nil"/>
            </w:tcBorders>
            <w:noWrap/>
            <w:hideMark/>
          </w:tcPr>
          <w:p w:rsidRPr="00DC209C" w:rsidR="00A30E7B" w:rsidP="003206A4" w:rsidRDefault="00A30E7B" w14:paraId="5CFDE04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5CB2089" w14:textId="77777777">
        <w:trPr>
          <w:trHeight w:val="300"/>
        </w:trPr>
        <w:tc>
          <w:tcPr>
            <w:tcW w:w="6804" w:type="dxa"/>
            <w:tcBorders>
              <w:left w:val="nil"/>
              <w:bottom w:val="single" w:color="auto" w:sz="4" w:space="0"/>
              <w:right w:val="nil"/>
            </w:tcBorders>
            <w:noWrap/>
          </w:tcPr>
          <w:p w:rsidRPr="00DC209C" w:rsidR="00A30E7B" w:rsidP="003206A4" w:rsidRDefault="00A30E7B" w14:paraId="58397675" w14:textId="77777777">
            <w:pPr>
              <w:ind w:left="313" w:firstLine="86" w:firstLineChars="43"/>
              <w:rPr>
                <w:rFonts w:ascii="Arial" w:hAnsi="Arial" w:eastAsia="Times New Roman" w:cs="Arial"/>
                <w:sz w:val="20"/>
                <w:szCs w:val="20"/>
              </w:rPr>
            </w:pPr>
            <w:r w:rsidRPr="00DC209C">
              <w:rPr>
                <w:rFonts w:ascii="Arial" w:hAnsi="Arial"/>
                <w:sz w:val="20"/>
                <w:lang w:eastAsia="en-GB"/>
              </w:rPr>
              <w:t xml:space="preserve">(6) </w:t>
            </w:r>
            <w:r w:rsidRPr="00DC209C">
              <w:rPr>
                <w:rFonts w:ascii="Arial" w:hAnsi="Arial"/>
                <w:sz w:val="20"/>
              </w:rPr>
              <w:t>Συμψηφισμός των αρνητικών θέσεων σε σχέση με τους μετοχικούς τίτλους που περιλαμβάνονται στο στοιχείο 3.γ.(5)</w:t>
            </w:r>
          </w:p>
        </w:tc>
        <w:tc>
          <w:tcPr>
            <w:tcW w:w="2745" w:type="dxa"/>
            <w:tcBorders>
              <w:left w:val="nil"/>
              <w:right w:val="nil"/>
            </w:tcBorders>
            <w:noWrap/>
          </w:tcPr>
          <w:p w:rsidRPr="00DC209C" w:rsidR="00A30E7B" w:rsidP="003206A4" w:rsidRDefault="00A30E7B" w14:paraId="2F825387" w14:textId="77777777">
            <w:pPr>
              <w:jc w:val="right"/>
              <w:rPr>
                <w:rFonts w:ascii="Arial" w:hAnsi="Arial" w:eastAsia="Times New Roman" w:cs="Arial"/>
                <w:sz w:val="20"/>
                <w:szCs w:val="20"/>
                <w:lang w:eastAsia="en-GB"/>
              </w:rPr>
            </w:pPr>
          </w:p>
        </w:tc>
      </w:tr>
      <w:tr w:rsidRPr="00DC209C" w:rsidR="00A30E7B" w:rsidTr="003206A4" w14:paraId="69659D01" w14:textId="77777777">
        <w:trPr>
          <w:trHeight w:val="300"/>
        </w:trPr>
        <w:tc>
          <w:tcPr>
            <w:tcW w:w="6804" w:type="dxa"/>
            <w:tcBorders>
              <w:left w:val="nil"/>
              <w:bottom w:val="single" w:color="auto" w:sz="4" w:space="0"/>
              <w:right w:val="nil"/>
            </w:tcBorders>
            <w:noWrap/>
          </w:tcPr>
          <w:p w:rsidRPr="00DC209C" w:rsidR="00A30E7B" w:rsidP="003206A4" w:rsidRDefault="00A30E7B" w14:paraId="4CABEDFA" w14:textId="77777777">
            <w:pPr>
              <w:ind w:firstLine="171"/>
              <w:rPr>
                <w:rFonts w:ascii="Arial" w:hAnsi="Arial" w:eastAsia="Times New Roman" w:cs="Arial"/>
                <w:sz w:val="20"/>
                <w:szCs w:val="20"/>
              </w:rPr>
            </w:pPr>
            <w:r w:rsidRPr="00DC209C">
              <w:rPr>
                <w:rFonts w:ascii="Arial" w:hAnsi="Arial"/>
                <w:sz w:val="20"/>
              </w:rPr>
              <w:t>δ. Καθαρή θετική τρέχουσα έκθεση των συναλλαγών χρηματοδότησης τίτλων (SFTs) με άλλα χρηματοπιστωτικά ιδρύματα</w:t>
            </w:r>
          </w:p>
        </w:tc>
        <w:tc>
          <w:tcPr>
            <w:tcW w:w="2745" w:type="dxa"/>
            <w:tcBorders>
              <w:left w:val="nil"/>
              <w:right w:val="nil"/>
            </w:tcBorders>
            <w:noWrap/>
          </w:tcPr>
          <w:p w:rsidRPr="00DC209C" w:rsidR="00A30E7B" w:rsidP="003206A4" w:rsidRDefault="00A30E7B" w14:paraId="7AD57139" w14:textId="77777777">
            <w:pPr>
              <w:jc w:val="right"/>
              <w:rPr>
                <w:rFonts w:ascii="Arial" w:hAnsi="Arial" w:eastAsia="Times New Roman" w:cs="Arial"/>
                <w:sz w:val="20"/>
                <w:szCs w:val="20"/>
                <w:lang w:eastAsia="en-GB"/>
              </w:rPr>
            </w:pPr>
          </w:p>
        </w:tc>
      </w:tr>
      <w:tr w:rsidRPr="00DC209C" w:rsidR="00A30E7B" w:rsidTr="003206A4" w14:paraId="336DF2FB" w14:textId="77777777">
        <w:trPr>
          <w:trHeight w:val="300"/>
        </w:trPr>
        <w:tc>
          <w:tcPr>
            <w:tcW w:w="6804" w:type="dxa"/>
            <w:tcBorders>
              <w:left w:val="nil"/>
              <w:bottom w:val="single" w:color="auto" w:sz="4" w:space="0"/>
              <w:right w:val="nil"/>
            </w:tcBorders>
            <w:noWrap/>
          </w:tcPr>
          <w:p w:rsidRPr="00DC209C" w:rsidR="00A30E7B" w:rsidP="003206A4" w:rsidRDefault="00A30E7B" w14:paraId="7A450E98" w14:textId="77777777">
            <w:pPr>
              <w:ind w:left="171"/>
              <w:rPr>
                <w:rFonts w:ascii="Arial" w:hAnsi="Arial" w:eastAsia="Times New Roman" w:cs="Arial"/>
                <w:sz w:val="20"/>
                <w:szCs w:val="20"/>
              </w:rPr>
            </w:pPr>
            <w:r w:rsidRPr="00DC209C">
              <w:rPr>
                <w:rFonts w:ascii="Arial" w:hAnsi="Arial"/>
                <w:sz w:val="20"/>
              </w:rPr>
              <w:t>ε. Εξωχρηματιστηριακά παράγωγα με άλλα χρηματοπιστωτικά ιδρύματα που έχουν καθαρή θετική εύλογη αξία</w:t>
            </w:r>
          </w:p>
        </w:tc>
        <w:tc>
          <w:tcPr>
            <w:tcW w:w="2745" w:type="dxa"/>
            <w:tcBorders>
              <w:left w:val="nil"/>
              <w:right w:val="nil"/>
            </w:tcBorders>
            <w:noWrap/>
          </w:tcPr>
          <w:p w:rsidRPr="00DC209C" w:rsidR="00A30E7B" w:rsidP="003206A4" w:rsidRDefault="00A30E7B" w14:paraId="464DD840" w14:textId="77777777">
            <w:pPr>
              <w:jc w:val="right"/>
              <w:rPr>
                <w:rFonts w:ascii="Arial" w:hAnsi="Arial" w:eastAsia="Times New Roman" w:cs="Arial"/>
                <w:sz w:val="20"/>
                <w:szCs w:val="20"/>
                <w:lang w:eastAsia="en-GB"/>
              </w:rPr>
            </w:pPr>
          </w:p>
        </w:tc>
      </w:tr>
      <w:tr w:rsidRPr="00DC209C" w:rsidR="00A30E7B" w:rsidTr="003206A4" w14:paraId="1ABB1BD1" w14:textId="77777777">
        <w:trPr>
          <w:trHeight w:val="300"/>
        </w:trPr>
        <w:tc>
          <w:tcPr>
            <w:tcW w:w="6804" w:type="dxa"/>
            <w:tcBorders>
              <w:left w:val="nil"/>
              <w:bottom w:val="single" w:color="auto" w:sz="4" w:space="0"/>
              <w:right w:val="nil"/>
            </w:tcBorders>
            <w:noWrap/>
          </w:tcPr>
          <w:p w:rsidRPr="00DC209C" w:rsidR="00A30E7B" w:rsidP="003206A4" w:rsidRDefault="00A30E7B" w14:paraId="1C0F57F5" w14:textId="77777777">
            <w:pPr>
              <w:ind w:left="313" w:firstLine="86" w:firstLineChars="43"/>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Καθαρή θετική εύλογη αξία</w:t>
            </w:r>
          </w:p>
        </w:tc>
        <w:tc>
          <w:tcPr>
            <w:tcW w:w="2745" w:type="dxa"/>
            <w:tcBorders>
              <w:left w:val="nil"/>
              <w:right w:val="nil"/>
            </w:tcBorders>
            <w:noWrap/>
          </w:tcPr>
          <w:p w:rsidRPr="00DC209C" w:rsidR="00A30E7B" w:rsidP="003206A4" w:rsidRDefault="00A30E7B" w14:paraId="13AE2481" w14:textId="77777777">
            <w:pPr>
              <w:jc w:val="right"/>
              <w:rPr>
                <w:rFonts w:ascii="Arial" w:hAnsi="Arial" w:eastAsia="Times New Roman" w:cs="Arial"/>
                <w:sz w:val="20"/>
                <w:szCs w:val="20"/>
                <w:lang w:eastAsia="en-GB"/>
              </w:rPr>
            </w:pPr>
          </w:p>
        </w:tc>
      </w:tr>
      <w:tr w:rsidRPr="00DC209C" w:rsidR="00A30E7B" w:rsidTr="003206A4" w14:paraId="62978FE1" w14:textId="77777777">
        <w:trPr>
          <w:trHeight w:val="300"/>
        </w:trPr>
        <w:tc>
          <w:tcPr>
            <w:tcW w:w="6804" w:type="dxa"/>
            <w:tcBorders>
              <w:left w:val="nil"/>
              <w:bottom w:val="single" w:color="auto" w:sz="4" w:space="0"/>
              <w:right w:val="nil"/>
            </w:tcBorders>
            <w:noWrap/>
          </w:tcPr>
          <w:p w:rsidRPr="00DC209C" w:rsidR="00A30E7B" w:rsidP="003206A4" w:rsidRDefault="00A30E7B" w14:paraId="1726E82F" w14:textId="77777777">
            <w:pPr>
              <w:ind w:left="313" w:firstLine="86" w:firstLineChars="43"/>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Ενδεχόμενη μελλοντική έκθεση</w:t>
            </w:r>
          </w:p>
        </w:tc>
        <w:tc>
          <w:tcPr>
            <w:tcW w:w="2745" w:type="dxa"/>
            <w:tcBorders>
              <w:left w:val="nil"/>
              <w:right w:val="nil"/>
            </w:tcBorders>
            <w:noWrap/>
          </w:tcPr>
          <w:p w:rsidRPr="00DC209C" w:rsidR="00A30E7B" w:rsidP="003206A4" w:rsidRDefault="00A30E7B" w14:paraId="4AA622F3" w14:textId="77777777">
            <w:pPr>
              <w:jc w:val="right"/>
              <w:rPr>
                <w:rFonts w:ascii="Arial" w:hAnsi="Arial" w:eastAsia="Times New Roman" w:cs="Arial"/>
                <w:sz w:val="20"/>
                <w:szCs w:val="20"/>
                <w:lang w:eastAsia="en-GB"/>
              </w:rPr>
            </w:pPr>
          </w:p>
        </w:tc>
      </w:tr>
      <w:tr w:rsidRPr="00DC209C" w:rsidR="00A30E7B" w:rsidTr="003206A4" w14:paraId="64BB4133" w14:textId="77777777">
        <w:trPr>
          <w:gridAfter w:val="1"/>
          <w:wAfter w:w="2745" w:type="dxa"/>
          <w:trHeight w:val="450"/>
        </w:trPr>
        <w:tc>
          <w:tcPr>
            <w:tcW w:w="6804" w:type="dxa"/>
            <w:vMerge w:val="restart"/>
            <w:tcBorders>
              <w:left w:val="nil"/>
              <w:right w:val="nil"/>
            </w:tcBorders>
            <w:hideMark/>
          </w:tcPr>
          <w:p w:rsidRPr="00DC209C" w:rsidR="00A30E7B" w:rsidP="003206A4" w:rsidRDefault="00A30E7B" w14:paraId="6B778F24" w14:textId="77777777">
            <w:pPr>
              <w:ind w:left="171" w:firstLine="28" w:firstLineChars="14"/>
              <w:rPr>
                <w:rFonts w:ascii="Arial" w:hAnsi="Arial" w:eastAsia="Times New Roman" w:cs="Arial"/>
                <w:sz w:val="20"/>
                <w:szCs w:val="20"/>
              </w:rPr>
            </w:pPr>
            <w:r w:rsidRPr="00DC209C">
              <w:rPr>
                <w:rFonts w:ascii="Arial" w:hAnsi="Arial"/>
                <w:sz w:val="20"/>
              </w:rPr>
              <w:t>στ. Δείκτης στοιχείων εντός του χρηματοοικονομικού συστήματος, συμπεριλαμβανομένων των ασφαλιστικών θυγατρικών [άθροισμα στοιχείων 3.α, 3.β έως 3.γ.(5), 3.δ, 3.ε.(1) και 3.ε.(2), μείον το στοιχείο 3.γ.(6)]</w:t>
            </w:r>
          </w:p>
        </w:tc>
      </w:tr>
      <w:tr w:rsidRPr="00DC209C" w:rsidR="00A30E7B" w:rsidTr="003206A4" w14:paraId="561D7EF3" w14:textId="77777777">
        <w:trPr>
          <w:gridAfter w:val="1"/>
          <w:wAfter w:w="2745" w:type="dxa"/>
          <w:trHeight w:val="450"/>
        </w:trPr>
        <w:tc>
          <w:tcPr>
            <w:tcW w:w="6804" w:type="dxa"/>
            <w:vMerge/>
            <w:tcBorders>
              <w:left w:val="nil"/>
              <w:right w:val="nil"/>
            </w:tcBorders>
            <w:hideMark/>
          </w:tcPr>
          <w:p w:rsidRPr="00DC209C" w:rsidR="00A30E7B" w:rsidP="003206A4" w:rsidRDefault="00A30E7B" w14:paraId="7EC13BBB" w14:textId="77777777">
            <w:pPr>
              <w:rPr>
                <w:rFonts w:ascii="Arial" w:hAnsi="Arial" w:eastAsia="Times New Roman" w:cs="Arial"/>
                <w:sz w:val="20"/>
                <w:szCs w:val="20"/>
                <w:lang w:eastAsia="en-GB"/>
              </w:rPr>
            </w:pPr>
          </w:p>
        </w:tc>
      </w:tr>
      <w:tr w:rsidRPr="00DC209C" w:rsidR="00A30E7B" w:rsidTr="003206A4" w14:paraId="44B6BBA1" w14:textId="77777777">
        <w:trPr>
          <w:trHeight w:val="300"/>
        </w:trPr>
        <w:tc>
          <w:tcPr>
            <w:tcW w:w="6804" w:type="dxa"/>
            <w:tcBorders>
              <w:left w:val="nil"/>
              <w:bottom w:val="nil"/>
              <w:right w:val="nil"/>
            </w:tcBorders>
            <w:noWrap/>
          </w:tcPr>
          <w:p w:rsidRPr="00DC209C" w:rsidR="00A30E7B" w:rsidP="003206A4" w:rsidRDefault="00A30E7B" w14:paraId="449C209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349B4BC6" w14:textId="77777777">
            <w:pPr>
              <w:jc w:val="center"/>
              <w:rPr>
                <w:rFonts w:ascii="Arial" w:hAnsi="Arial" w:eastAsia="Times New Roman" w:cs="Arial"/>
                <w:b/>
                <w:bCs/>
                <w:sz w:val="20"/>
                <w:szCs w:val="20"/>
                <w:lang w:eastAsia="en-GB"/>
              </w:rPr>
            </w:pPr>
          </w:p>
        </w:tc>
      </w:tr>
      <w:tr w:rsidRPr="00DC209C" w:rsidR="00A30E7B" w:rsidTr="003206A4" w14:paraId="4F79C2B6"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3148DB04" w14:textId="77777777">
            <w:pPr>
              <w:rPr>
                <w:rFonts w:ascii="Arial" w:hAnsi="Arial" w:eastAsia="Times New Roman" w:cs="Arial"/>
                <w:b/>
                <w:bCs/>
                <w:sz w:val="20"/>
                <w:szCs w:val="20"/>
              </w:rPr>
            </w:pPr>
            <w:r w:rsidRPr="00DC209C">
              <w:rPr>
                <w:rFonts w:ascii="Arial" w:hAnsi="Arial"/>
                <w:b/>
                <w:sz w:val="20"/>
              </w:rPr>
              <w:t>Τμήμα 4 - Υποχρεώσεις εντός του χρηματοοικονομικού συστήματος</w:t>
            </w:r>
          </w:p>
        </w:tc>
        <w:tc>
          <w:tcPr>
            <w:tcW w:w="2745" w:type="dxa"/>
            <w:tcBorders>
              <w:top w:val="nil"/>
              <w:left w:val="nil"/>
              <w:right w:val="nil"/>
            </w:tcBorders>
            <w:hideMark/>
          </w:tcPr>
          <w:p w:rsidRPr="00DC209C" w:rsidR="00A30E7B" w:rsidP="003206A4" w:rsidRDefault="00A30E7B" w14:paraId="530705E3"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753AE8CB" w14:textId="77777777">
        <w:trPr>
          <w:gridAfter w:val="1"/>
          <w:wAfter w:w="2745" w:type="dxa"/>
          <w:trHeight w:val="300"/>
        </w:trPr>
        <w:tc>
          <w:tcPr>
            <w:tcW w:w="6804" w:type="dxa"/>
            <w:tcBorders>
              <w:left w:val="nil"/>
              <w:right w:val="nil"/>
            </w:tcBorders>
            <w:noWrap/>
            <w:hideMark/>
          </w:tcPr>
          <w:p w:rsidRPr="00DC209C" w:rsidR="00A30E7B" w:rsidP="003206A4" w:rsidRDefault="00A30E7B" w14:paraId="0D2F9384" w14:textId="77777777">
            <w:pPr>
              <w:ind w:left="171" w:firstLine="28" w:firstLineChars="14"/>
              <w:rPr>
                <w:rFonts w:ascii="Arial" w:hAnsi="Arial" w:eastAsia="Times New Roman" w:cs="Arial"/>
                <w:sz w:val="20"/>
                <w:szCs w:val="20"/>
              </w:rPr>
            </w:pPr>
            <w:r w:rsidRPr="00DC209C">
              <w:rPr>
                <w:rFonts w:ascii="Arial" w:hAnsi="Arial"/>
                <w:sz w:val="20"/>
              </w:rPr>
              <w:t>α. Κεφάλαια κατατεθειμένα ή δανεισμένα από άλλα χρηματοπιστωτικά ιδρύματα</w:t>
            </w:r>
          </w:p>
        </w:tc>
      </w:tr>
      <w:tr w:rsidRPr="00DC209C" w:rsidR="00A30E7B" w:rsidTr="003206A4" w14:paraId="023D18EF" w14:textId="77777777">
        <w:trPr>
          <w:trHeight w:val="300"/>
        </w:trPr>
        <w:tc>
          <w:tcPr>
            <w:tcW w:w="6804" w:type="dxa"/>
            <w:tcBorders>
              <w:left w:val="nil"/>
              <w:right w:val="nil"/>
            </w:tcBorders>
            <w:noWrap/>
            <w:hideMark/>
          </w:tcPr>
          <w:p w:rsidRPr="00DC209C" w:rsidR="00A30E7B" w:rsidP="003206A4" w:rsidRDefault="00A30E7B" w14:paraId="7001BCA3"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Καταθέσεις οφειλόμενες σε οργανισμούς καταθέσεων</w:t>
            </w:r>
          </w:p>
        </w:tc>
        <w:tc>
          <w:tcPr>
            <w:tcW w:w="2745" w:type="dxa"/>
            <w:tcBorders>
              <w:left w:val="nil"/>
              <w:right w:val="nil"/>
            </w:tcBorders>
            <w:noWrap/>
            <w:hideMark/>
          </w:tcPr>
          <w:p w:rsidRPr="00DC209C" w:rsidR="00A30E7B" w:rsidP="003206A4" w:rsidRDefault="00A30E7B" w14:paraId="0DAEB40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98390B1" w14:textId="77777777">
        <w:trPr>
          <w:trHeight w:val="300"/>
        </w:trPr>
        <w:tc>
          <w:tcPr>
            <w:tcW w:w="6804" w:type="dxa"/>
            <w:tcBorders>
              <w:left w:val="nil"/>
              <w:right w:val="nil"/>
            </w:tcBorders>
            <w:noWrap/>
            <w:hideMark/>
          </w:tcPr>
          <w:p w:rsidRPr="00DC209C" w:rsidR="00A30E7B" w:rsidP="003206A4" w:rsidRDefault="00A30E7B" w14:paraId="7CF238A0" w14:textId="77777777">
            <w:pPr>
              <w:ind w:firstLine="400" w:firstLineChars="200"/>
              <w:rPr>
                <w:rFonts w:ascii="Arial" w:hAnsi="Arial" w:eastAsia="Times New Roman" w:cs="Arial"/>
                <w:sz w:val="20"/>
                <w:szCs w:val="20"/>
              </w:rPr>
            </w:pPr>
            <w:r w:rsidRPr="00DC209C">
              <w:rPr>
                <w:rFonts w:ascii="Arial" w:hAnsi="Arial"/>
                <w:sz w:val="20"/>
                <w:lang w:eastAsia="en-GB"/>
              </w:rPr>
              <w:lastRenderedPageBreak/>
              <w:t xml:space="preserve">(2) </w:t>
            </w:r>
            <w:r w:rsidRPr="00DC209C">
              <w:rPr>
                <w:rFonts w:ascii="Arial" w:hAnsi="Arial"/>
                <w:sz w:val="20"/>
              </w:rPr>
              <w:t>Καταθέσεις οφειλόμενες σε χρηματοπιστωτικά ιδρύματα πλην των οργανισμών καταθέσεων</w:t>
            </w:r>
          </w:p>
        </w:tc>
        <w:tc>
          <w:tcPr>
            <w:tcW w:w="2745" w:type="dxa"/>
            <w:tcBorders>
              <w:left w:val="nil"/>
              <w:right w:val="nil"/>
            </w:tcBorders>
            <w:noWrap/>
            <w:hideMark/>
          </w:tcPr>
          <w:p w:rsidRPr="00DC209C" w:rsidR="00A30E7B" w:rsidP="003206A4" w:rsidRDefault="00A30E7B" w14:paraId="73734DFB"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E741E03" w14:textId="77777777">
        <w:trPr>
          <w:trHeight w:val="300"/>
        </w:trPr>
        <w:tc>
          <w:tcPr>
            <w:tcW w:w="6804" w:type="dxa"/>
            <w:tcBorders>
              <w:left w:val="nil"/>
              <w:right w:val="nil"/>
            </w:tcBorders>
            <w:noWrap/>
            <w:hideMark/>
          </w:tcPr>
          <w:p w:rsidRPr="00DC209C" w:rsidR="00A30E7B" w:rsidP="003206A4" w:rsidRDefault="00A30E7B" w14:paraId="3752AF8B"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Δάνεια που έχουν ληφθεί από άλλα χρηματοπιστωτικά ιδρύματα</w:t>
            </w:r>
          </w:p>
        </w:tc>
        <w:tc>
          <w:tcPr>
            <w:tcW w:w="2745" w:type="dxa"/>
            <w:tcBorders>
              <w:left w:val="nil"/>
              <w:right w:val="nil"/>
            </w:tcBorders>
            <w:noWrap/>
            <w:hideMark/>
          </w:tcPr>
          <w:p w:rsidRPr="00DC209C" w:rsidR="00A30E7B" w:rsidP="003206A4" w:rsidRDefault="00A30E7B" w14:paraId="7A2527C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5D2A8D7" w14:textId="77777777">
        <w:trPr>
          <w:trHeight w:val="300"/>
        </w:trPr>
        <w:tc>
          <w:tcPr>
            <w:tcW w:w="6804" w:type="dxa"/>
            <w:tcBorders>
              <w:left w:val="nil"/>
              <w:right w:val="nil"/>
            </w:tcBorders>
            <w:noWrap/>
          </w:tcPr>
          <w:p w:rsidRPr="00DC209C" w:rsidR="00A30E7B" w:rsidP="003206A4" w:rsidRDefault="00A30E7B" w14:paraId="47B04AC2" w14:textId="77777777">
            <w:pPr>
              <w:ind w:firstLine="179"/>
              <w:rPr>
                <w:rFonts w:ascii="Arial" w:hAnsi="Arial" w:eastAsia="Times New Roman" w:cs="Arial"/>
                <w:sz w:val="20"/>
                <w:szCs w:val="20"/>
              </w:rPr>
            </w:pPr>
            <w:r w:rsidRPr="00DC209C">
              <w:rPr>
                <w:rFonts w:ascii="Arial" w:hAnsi="Arial"/>
                <w:sz w:val="20"/>
              </w:rPr>
              <w:t>β. Μη χρησιμοποιηθέντα δεσμευμένα πιστωτικά όρια που έχουν ληφθεί από άλλα χρηματοπιστωτικά ιδρύματα</w:t>
            </w:r>
          </w:p>
        </w:tc>
        <w:tc>
          <w:tcPr>
            <w:tcW w:w="2745" w:type="dxa"/>
            <w:tcBorders>
              <w:left w:val="nil"/>
              <w:right w:val="nil"/>
            </w:tcBorders>
            <w:noWrap/>
          </w:tcPr>
          <w:p w:rsidRPr="00DC209C" w:rsidR="00A30E7B" w:rsidP="003206A4" w:rsidRDefault="00A30E7B" w14:paraId="5130BD15" w14:textId="77777777">
            <w:pPr>
              <w:jc w:val="right"/>
              <w:rPr>
                <w:rFonts w:ascii="Arial" w:hAnsi="Arial" w:eastAsia="Times New Roman" w:cs="Arial"/>
                <w:sz w:val="20"/>
                <w:szCs w:val="20"/>
                <w:lang w:eastAsia="en-GB"/>
              </w:rPr>
            </w:pPr>
          </w:p>
        </w:tc>
      </w:tr>
      <w:tr w:rsidRPr="00DC209C" w:rsidR="00A30E7B" w:rsidTr="003206A4" w14:paraId="224DD6F6" w14:textId="77777777">
        <w:trPr>
          <w:trHeight w:val="300"/>
        </w:trPr>
        <w:tc>
          <w:tcPr>
            <w:tcW w:w="6804" w:type="dxa"/>
            <w:tcBorders>
              <w:left w:val="nil"/>
              <w:right w:val="nil"/>
            </w:tcBorders>
            <w:noWrap/>
          </w:tcPr>
          <w:p w:rsidRPr="00DC209C" w:rsidR="00A30E7B" w:rsidP="003206A4" w:rsidRDefault="00A30E7B" w14:paraId="0DA4349F" w14:textId="77777777">
            <w:pPr>
              <w:ind w:firstLine="179"/>
              <w:rPr>
                <w:rFonts w:ascii="Arial" w:hAnsi="Arial" w:eastAsia="Times New Roman" w:cs="Arial"/>
                <w:sz w:val="20"/>
                <w:szCs w:val="20"/>
              </w:rPr>
            </w:pPr>
            <w:r w:rsidRPr="00DC209C">
              <w:rPr>
                <w:rFonts w:ascii="Arial" w:hAnsi="Arial"/>
                <w:sz w:val="20"/>
              </w:rPr>
              <w:t>γ. Καθαρή αρνητική τρέχουσα έκθεση των συναλλαγών χρηματοδότησης τίτλων (SFTs) με άλλα χρηματοπιστωτικά ιδρύματα</w:t>
            </w:r>
          </w:p>
        </w:tc>
        <w:tc>
          <w:tcPr>
            <w:tcW w:w="2745" w:type="dxa"/>
            <w:tcBorders>
              <w:left w:val="nil"/>
              <w:right w:val="nil"/>
            </w:tcBorders>
            <w:noWrap/>
          </w:tcPr>
          <w:p w:rsidRPr="00DC209C" w:rsidR="00A30E7B" w:rsidP="003206A4" w:rsidRDefault="00A30E7B" w14:paraId="6F837C8B" w14:textId="77777777">
            <w:pPr>
              <w:jc w:val="right"/>
              <w:rPr>
                <w:rFonts w:ascii="Arial" w:hAnsi="Arial" w:eastAsia="Times New Roman" w:cs="Arial"/>
                <w:sz w:val="20"/>
                <w:szCs w:val="20"/>
                <w:lang w:eastAsia="en-GB"/>
              </w:rPr>
            </w:pPr>
          </w:p>
        </w:tc>
      </w:tr>
      <w:tr w:rsidRPr="00DC209C" w:rsidR="00A30E7B" w:rsidTr="003206A4" w14:paraId="324D26A1" w14:textId="77777777">
        <w:trPr>
          <w:trHeight w:val="300"/>
        </w:trPr>
        <w:tc>
          <w:tcPr>
            <w:tcW w:w="6804" w:type="dxa"/>
            <w:tcBorders>
              <w:left w:val="nil"/>
              <w:bottom w:val="single" w:color="auto" w:sz="4" w:space="0"/>
              <w:right w:val="nil"/>
            </w:tcBorders>
            <w:noWrap/>
          </w:tcPr>
          <w:p w:rsidRPr="00DC209C" w:rsidR="00A30E7B" w:rsidP="003206A4" w:rsidRDefault="00A30E7B" w14:paraId="1F3C5597" w14:textId="77777777">
            <w:pPr>
              <w:ind w:firstLine="179"/>
              <w:rPr>
                <w:rFonts w:ascii="Arial" w:hAnsi="Arial" w:eastAsia="Times New Roman" w:cs="Arial"/>
                <w:sz w:val="20"/>
                <w:szCs w:val="20"/>
              </w:rPr>
            </w:pPr>
            <w:r w:rsidRPr="00DC209C">
              <w:rPr>
                <w:rFonts w:ascii="Arial" w:hAnsi="Arial"/>
                <w:sz w:val="20"/>
              </w:rPr>
              <w:t>δ. Εξωχρηματιστηριακά παράγωγα με άλλα χρηματοπιστωτικά ιδρύματα που έχουν καθαρή αρνητική εύλογη αξία:</w:t>
            </w:r>
          </w:p>
        </w:tc>
        <w:tc>
          <w:tcPr>
            <w:tcW w:w="2745" w:type="dxa"/>
            <w:tcBorders>
              <w:left w:val="nil"/>
              <w:bottom w:val="single" w:color="auto" w:sz="4" w:space="0"/>
              <w:right w:val="nil"/>
            </w:tcBorders>
            <w:noWrap/>
          </w:tcPr>
          <w:p w:rsidRPr="00DC209C" w:rsidR="00A30E7B" w:rsidP="003206A4" w:rsidRDefault="00A30E7B" w14:paraId="68AC3A80" w14:textId="77777777">
            <w:pPr>
              <w:jc w:val="right"/>
              <w:rPr>
                <w:rFonts w:ascii="Arial" w:hAnsi="Arial" w:eastAsia="Times New Roman" w:cs="Arial"/>
                <w:sz w:val="20"/>
                <w:szCs w:val="20"/>
                <w:lang w:eastAsia="en-GB"/>
              </w:rPr>
            </w:pPr>
          </w:p>
        </w:tc>
      </w:tr>
      <w:tr w:rsidRPr="00DC209C" w:rsidR="00A30E7B" w:rsidTr="003206A4" w14:paraId="74DB188D" w14:textId="77777777">
        <w:trPr>
          <w:trHeight w:val="300"/>
        </w:trPr>
        <w:tc>
          <w:tcPr>
            <w:tcW w:w="6804" w:type="dxa"/>
            <w:tcBorders>
              <w:left w:val="nil"/>
              <w:right w:val="nil"/>
            </w:tcBorders>
            <w:noWrap/>
            <w:hideMark/>
          </w:tcPr>
          <w:p w:rsidRPr="00DC209C" w:rsidR="00A30E7B" w:rsidP="003206A4" w:rsidRDefault="00A30E7B" w14:paraId="54CFB811" w14:textId="77777777">
            <w:pPr>
              <w:ind w:firstLine="400" w:firstLineChars="200"/>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Καθαρή αρνητική εύλογη αξία</w:t>
            </w:r>
          </w:p>
        </w:tc>
        <w:tc>
          <w:tcPr>
            <w:tcW w:w="2745" w:type="dxa"/>
            <w:tcBorders>
              <w:left w:val="nil"/>
              <w:right w:val="nil"/>
            </w:tcBorders>
            <w:noWrap/>
            <w:hideMark/>
          </w:tcPr>
          <w:p w:rsidRPr="00DC209C" w:rsidR="00A30E7B" w:rsidP="003206A4" w:rsidRDefault="00A30E7B" w14:paraId="3FD54C4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74243F2" w14:textId="77777777">
        <w:trPr>
          <w:trHeight w:val="300"/>
        </w:trPr>
        <w:tc>
          <w:tcPr>
            <w:tcW w:w="6804" w:type="dxa"/>
            <w:tcBorders>
              <w:left w:val="nil"/>
              <w:right w:val="nil"/>
            </w:tcBorders>
            <w:noWrap/>
            <w:hideMark/>
          </w:tcPr>
          <w:p w:rsidRPr="00DC209C" w:rsidR="00A30E7B" w:rsidP="003206A4" w:rsidRDefault="00A30E7B" w14:paraId="1449C93E"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Ενδεχόμενη μελλοντική έκθεση</w:t>
            </w:r>
          </w:p>
        </w:tc>
        <w:tc>
          <w:tcPr>
            <w:tcW w:w="2745" w:type="dxa"/>
            <w:tcBorders>
              <w:left w:val="nil"/>
              <w:right w:val="nil"/>
            </w:tcBorders>
            <w:noWrap/>
            <w:hideMark/>
          </w:tcPr>
          <w:p w:rsidRPr="00DC209C" w:rsidR="00A30E7B" w:rsidP="003206A4" w:rsidRDefault="00A30E7B" w14:paraId="6DBA184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3618247" w14:textId="77777777">
        <w:trPr>
          <w:trHeight w:val="300"/>
        </w:trPr>
        <w:tc>
          <w:tcPr>
            <w:tcW w:w="6804" w:type="dxa"/>
            <w:tcBorders>
              <w:left w:val="nil"/>
              <w:bottom w:val="single" w:color="auto" w:sz="4" w:space="0"/>
              <w:right w:val="nil"/>
            </w:tcBorders>
            <w:noWrap/>
          </w:tcPr>
          <w:p w:rsidRPr="00DC209C" w:rsidR="00A30E7B" w:rsidP="003206A4" w:rsidRDefault="00A30E7B" w14:paraId="643560F8" w14:textId="77777777">
            <w:pPr>
              <w:ind w:firstLine="179"/>
              <w:rPr>
                <w:rFonts w:ascii="Arial" w:hAnsi="Arial" w:eastAsia="Times New Roman" w:cs="Arial"/>
                <w:sz w:val="20"/>
                <w:szCs w:val="20"/>
              </w:rPr>
            </w:pPr>
            <w:r w:rsidRPr="00DC209C">
              <w:rPr>
                <w:rFonts w:ascii="Arial" w:hAnsi="Arial"/>
                <w:sz w:val="20"/>
              </w:rPr>
              <w:t>ε. Δείκτης υποχρεώσεων εντός του χρηματοοικονομικού συστήματος, συμπεριλαμβανομένων των ασφαλιστικών θυγατρικών [άθροισμα στοιχείων 4.α.(1) έως 4.δ.(2)]</w:t>
            </w:r>
          </w:p>
        </w:tc>
        <w:tc>
          <w:tcPr>
            <w:tcW w:w="2745" w:type="dxa"/>
            <w:tcBorders>
              <w:left w:val="nil"/>
              <w:bottom w:val="single" w:color="auto" w:sz="4" w:space="0"/>
              <w:right w:val="nil"/>
            </w:tcBorders>
            <w:noWrap/>
          </w:tcPr>
          <w:p w:rsidRPr="00DC209C" w:rsidR="00A30E7B" w:rsidP="003206A4" w:rsidRDefault="00A30E7B" w14:paraId="6ED603ED" w14:textId="77777777">
            <w:pPr>
              <w:jc w:val="right"/>
              <w:rPr>
                <w:rFonts w:ascii="Arial" w:hAnsi="Arial" w:eastAsia="Times New Roman" w:cs="Arial"/>
                <w:sz w:val="20"/>
                <w:szCs w:val="20"/>
                <w:lang w:eastAsia="en-GB"/>
              </w:rPr>
            </w:pPr>
          </w:p>
        </w:tc>
      </w:tr>
      <w:tr w:rsidRPr="00DC209C" w:rsidR="00A30E7B" w:rsidTr="003206A4" w14:paraId="05963246" w14:textId="77777777">
        <w:trPr>
          <w:trHeight w:val="300"/>
        </w:trPr>
        <w:tc>
          <w:tcPr>
            <w:tcW w:w="6804" w:type="dxa"/>
            <w:tcBorders>
              <w:left w:val="nil"/>
              <w:bottom w:val="nil"/>
              <w:right w:val="nil"/>
            </w:tcBorders>
            <w:noWrap/>
          </w:tcPr>
          <w:p w:rsidRPr="00DC209C" w:rsidR="00A30E7B" w:rsidP="003206A4" w:rsidRDefault="00A30E7B" w14:paraId="6ECF95E9"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2CB70DB9" w14:textId="77777777">
            <w:pPr>
              <w:jc w:val="center"/>
              <w:rPr>
                <w:rFonts w:ascii="Arial" w:hAnsi="Arial" w:eastAsia="Times New Roman" w:cs="Arial"/>
                <w:b/>
                <w:bCs/>
                <w:sz w:val="20"/>
                <w:szCs w:val="20"/>
                <w:lang w:eastAsia="en-GB"/>
              </w:rPr>
            </w:pPr>
          </w:p>
        </w:tc>
      </w:tr>
      <w:tr w:rsidRPr="00DC209C" w:rsidR="00A30E7B" w:rsidTr="003206A4" w14:paraId="2CDE5229" w14:textId="77777777">
        <w:trPr>
          <w:trHeight w:val="300"/>
        </w:trPr>
        <w:tc>
          <w:tcPr>
            <w:tcW w:w="6804" w:type="dxa"/>
            <w:tcBorders>
              <w:top w:val="nil"/>
              <w:left w:val="nil"/>
              <w:right w:val="nil"/>
            </w:tcBorders>
            <w:noWrap/>
            <w:hideMark/>
          </w:tcPr>
          <w:p w:rsidRPr="00DC209C" w:rsidR="00A30E7B" w:rsidP="003206A4" w:rsidRDefault="00A30E7B" w14:paraId="6E136684" w14:textId="77777777">
            <w:pPr>
              <w:rPr>
                <w:rFonts w:ascii="Arial" w:hAnsi="Arial" w:eastAsia="Times New Roman" w:cs="Arial"/>
                <w:b/>
                <w:bCs/>
                <w:sz w:val="20"/>
                <w:szCs w:val="20"/>
              </w:rPr>
            </w:pPr>
            <w:r w:rsidRPr="00DC209C">
              <w:rPr>
                <w:rFonts w:ascii="Arial" w:hAnsi="Arial"/>
                <w:b/>
                <w:sz w:val="20"/>
              </w:rPr>
              <w:t>Τμήμα 5 - Κυκλοφορούντα χρεόγραφα</w:t>
            </w:r>
          </w:p>
        </w:tc>
        <w:tc>
          <w:tcPr>
            <w:tcW w:w="2745" w:type="dxa"/>
            <w:tcBorders>
              <w:top w:val="nil"/>
              <w:left w:val="nil"/>
              <w:right w:val="nil"/>
            </w:tcBorders>
            <w:hideMark/>
          </w:tcPr>
          <w:p w:rsidRPr="00DC209C" w:rsidR="00A30E7B" w:rsidP="003206A4" w:rsidRDefault="00A30E7B" w14:paraId="7950D3E8"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7536BA60" w14:textId="77777777">
        <w:trPr>
          <w:trHeight w:val="300"/>
        </w:trPr>
        <w:tc>
          <w:tcPr>
            <w:tcW w:w="6804" w:type="dxa"/>
            <w:tcBorders>
              <w:left w:val="nil"/>
              <w:right w:val="nil"/>
            </w:tcBorders>
            <w:noWrap/>
            <w:hideMark/>
          </w:tcPr>
          <w:p w:rsidRPr="00DC209C" w:rsidR="00A30E7B" w:rsidP="003206A4" w:rsidRDefault="00A30E7B" w14:paraId="6802B181" w14:textId="77777777">
            <w:pPr>
              <w:ind w:firstLine="200" w:firstLineChars="100"/>
              <w:rPr>
                <w:rFonts w:ascii="Arial" w:hAnsi="Arial" w:eastAsia="Times New Roman" w:cs="Arial"/>
                <w:sz w:val="20"/>
                <w:szCs w:val="20"/>
              </w:rPr>
            </w:pPr>
            <w:r w:rsidRPr="00DC209C">
              <w:rPr>
                <w:rFonts w:ascii="Arial" w:hAnsi="Arial"/>
                <w:sz w:val="20"/>
              </w:rPr>
              <w:t>α. Εξασφαλισμένα χρεόγραφα</w:t>
            </w:r>
          </w:p>
        </w:tc>
        <w:tc>
          <w:tcPr>
            <w:tcW w:w="2745" w:type="dxa"/>
            <w:tcBorders>
              <w:left w:val="nil"/>
              <w:right w:val="nil"/>
            </w:tcBorders>
            <w:noWrap/>
            <w:hideMark/>
          </w:tcPr>
          <w:p w:rsidRPr="00DC209C" w:rsidR="00A30E7B" w:rsidP="003206A4" w:rsidRDefault="00A30E7B" w14:paraId="4A608E0F"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35295CC" w14:textId="77777777">
        <w:trPr>
          <w:trHeight w:val="300"/>
        </w:trPr>
        <w:tc>
          <w:tcPr>
            <w:tcW w:w="6804" w:type="dxa"/>
            <w:tcBorders>
              <w:left w:val="nil"/>
              <w:right w:val="nil"/>
            </w:tcBorders>
            <w:noWrap/>
            <w:hideMark/>
          </w:tcPr>
          <w:p w:rsidRPr="00DC209C" w:rsidR="00A30E7B" w:rsidP="003206A4" w:rsidRDefault="00A30E7B" w14:paraId="4F98E86A" w14:textId="77777777">
            <w:pPr>
              <w:ind w:firstLine="200" w:firstLineChars="100"/>
              <w:rPr>
                <w:rFonts w:ascii="Arial" w:hAnsi="Arial" w:eastAsia="Times New Roman" w:cs="Arial"/>
                <w:sz w:val="20"/>
                <w:szCs w:val="20"/>
              </w:rPr>
            </w:pPr>
            <w:r w:rsidRPr="00DC209C">
              <w:rPr>
                <w:rFonts w:ascii="Arial" w:hAnsi="Arial"/>
                <w:sz w:val="20"/>
              </w:rPr>
              <w:t>β. Μη εξασφαλισμένα χρεόγραφα με εξοφλητική προτεραιότητα</w:t>
            </w:r>
          </w:p>
        </w:tc>
        <w:tc>
          <w:tcPr>
            <w:tcW w:w="2745" w:type="dxa"/>
            <w:tcBorders>
              <w:left w:val="nil"/>
              <w:right w:val="nil"/>
            </w:tcBorders>
            <w:noWrap/>
            <w:hideMark/>
          </w:tcPr>
          <w:p w:rsidRPr="00DC209C" w:rsidR="00A30E7B" w:rsidP="003206A4" w:rsidRDefault="00A30E7B" w14:paraId="381907F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B490C12" w14:textId="77777777">
        <w:trPr>
          <w:trHeight w:val="300"/>
        </w:trPr>
        <w:tc>
          <w:tcPr>
            <w:tcW w:w="6804" w:type="dxa"/>
            <w:tcBorders>
              <w:left w:val="nil"/>
              <w:right w:val="nil"/>
            </w:tcBorders>
            <w:noWrap/>
            <w:hideMark/>
          </w:tcPr>
          <w:p w:rsidRPr="00DC209C" w:rsidR="00A30E7B" w:rsidP="003206A4" w:rsidRDefault="00A30E7B" w14:paraId="02498682" w14:textId="77777777">
            <w:pPr>
              <w:ind w:firstLine="200" w:firstLineChars="100"/>
              <w:rPr>
                <w:rFonts w:ascii="Arial" w:hAnsi="Arial" w:eastAsia="Times New Roman" w:cs="Arial"/>
                <w:sz w:val="20"/>
                <w:szCs w:val="20"/>
              </w:rPr>
            </w:pPr>
            <w:r w:rsidRPr="00DC209C">
              <w:rPr>
                <w:rFonts w:ascii="Arial" w:hAnsi="Arial"/>
                <w:sz w:val="20"/>
              </w:rPr>
              <w:t>γ. Χρεόγραφα μειωμένης εξασφάλισης</w:t>
            </w:r>
          </w:p>
        </w:tc>
        <w:tc>
          <w:tcPr>
            <w:tcW w:w="2745" w:type="dxa"/>
            <w:tcBorders>
              <w:left w:val="nil"/>
              <w:right w:val="nil"/>
            </w:tcBorders>
            <w:noWrap/>
            <w:hideMark/>
          </w:tcPr>
          <w:p w:rsidRPr="00DC209C" w:rsidR="00A30E7B" w:rsidP="003206A4" w:rsidRDefault="00A30E7B" w14:paraId="59B9E31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B366872" w14:textId="77777777">
        <w:trPr>
          <w:trHeight w:val="300"/>
        </w:trPr>
        <w:tc>
          <w:tcPr>
            <w:tcW w:w="6804" w:type="dxa"/>
            <w:tcBorders>
              <w:left w:val="nil"/>
              <w:right w:val="nil"/>
            </w:tcBorders>
            <w:noWrap/>
            <w:hideMark/>
          </w:tcPr>
          <w:p w:rsidRPr="00DC209C" w:rsidR="00A30E7B" w:rsidP="003206A4" w:rsidRDefault="00A30E7B" w14:paraId="4C60F9E9" w14:textId="77777777">
            <w:pPr>
              <w:ind w:firstLine="200" w:firstLineChars="100"/>
              <w:rPr>
                <w:rFonts w:ascii="Arial" w:hAnsi="Arial" w:eastAsia="Times New Roman" w:cs="Arial"/>
                <w:sz w:val="20"/>
                <w:szCs w:val="20"/>
              </w:rPr>
            </w:pPr>
            <w:r w:rsidRPr="00DC209C">
              <w:rPr>
                <w:rFonts w:ascii="Arial" w:hAnsi="Arial"/>
                <w:sz w:val="20"/>
              </w:rPr>
              <w:t>δ. Εμπορικά χρεόγραφα</w:t>
            </w:r>
          </w:p>
        </w:tc>
        <w:tc>
          <w:tcPr>
            <w:tcW w:w="2745" w:type="dxa"/>
            <w:tcBorders>
              <w:left w:val="nil"/>
              <w:right w:val="nil"/>
            </w:tcBorders>
            <w:noWrap/>
            <w:hideMark/>
          </w:tcPr>
          <w:p w:rsidRPr="00DC209C" w:rsidR="00A30E7B" w:rsidP="003206A4" w:rsidRDefault="00A30E7B" w14:paraId="3F6044A6"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E273AA7" w14:textId="77777777">
        <w:trPr>
          <w:trHeight w:val="300"/>
        </w:trPr>
        <w:tc>
          <w:tcPr>
            <w:tcW w:w="6804" w:type="dxa"/>
            <w:tcBorders>
              <w:left w:val="nil"/>
              <w:right w:val="nil"/>
            </w:tcBorders>
            <w:noWrap/>
            <w:hideMark/>
          </w:tcPr>
          <w:p w:rsidRPr="00DC209C" w:rsidR="00A30E7B" w:rsidP="003206A4" w:rsidRDefault="00A30E7B" w14:paraId="2151DCF2" w14:textId="77777777">
            <w:pPr>
              <w:ind w:firstLine="200" w:firstLineChars="100"/>
              <w:rPr>
                <w:rFonts w:ascii="Arial" w:hAnsi="Arial" w:eastAsia="Times New Roman" w:cs="Arial"/>
                <w:sz w:val="20"/>
                <w:szCs w:val="20"/>
              </w:rPr>
            </w:pPr>
            <w:r w:rsidRPr="00DC209C">
              <w:rPr>
                <w:rFonts w:ascii="Arial" w:hAnsi="Arial"/>
                <w:sz w:val="20"/>
              </w:rPr>
              <w:t>ε. Πιστοποιητικά καταθέσεων</w:t>
            </w:r>
          </w:p>
        </w:tc>
        <w:tc>
          <w:tcPr>
            <w:tcW w:w="2745" w:type="dxa"/>
            <w:tcBorders>
              <w:left w:val="nil"/>
              <w:right w:val="nil"/>
            </w:tcBorders>
            <w:noWrap/>
            <w:hideMark/>
          </w:tcPr>
          <w:p w:rsidRPr="00DC209C" w:rsidR="00A30E7B" w:rsidP="003206A4" w:rsidRDefault="00A30E7B" w14:paraId="5C95E96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5F65CBB" w14:textId="77777777">
        <w:trPr>
          <w:trHeight w:val="300"/>
        </w:trPr>
        <w:tc>
          <w:tcPr>
            <w:tcW w:w="6804" w:type="dxa"/>
            <w:tcBorders>
              <w:left w:val="nil"/>
              <w:right w:val="nil"/>
            </w:tcBorders>
            <w:noWrap/>
            <w:hideMark/>
          </w:tcPr>
          <w:p w:rsidRPr="00DC209C" w:rsidR="00A30E7B" w:rsidP="003206A4" w:rsidRDefault="00A30E7B" w14:paraId="420201A5" w14:textId="77777777">
            <w:pPr>
              <w:ind w:firstLine="200" w:firstLineChars="100"/>
              <w:rPr>
                <w:rFonts w:ascii="Arial" w:hAnsi="Arial" w:eastAsia="Times New Roman" w:cs="Arial"/>
                <w:sz w:val="20"/>
                <w:szCs w:val="20"/>
              </w:rPr>
            </w:pPr>
            <w:r w:rsidRPr="00DC209C">
              <w:rPr>
                <w:rFonts w:ascii="Arial" w:hAnsi="Arial"/>
                <w:sz w:val="20"/>
              </w:rPr>
              <w:t>στ. Κοινές μετοχές</w:t>
            </w:r>
          </w:p>
        </w:tc>
        <w:tc>
          <w:tcPr>
            <w:tcW w:w="2745" w:type="dxa"/>
            <w:tcBorders>
              <w:left w:val="nil"/>
              <w:right w:val="nil"/>
            </w:tcBorders>
            <w:noWrap/>
            <w:hideMark/>
          </w:tcPr>
          <w:p w:rsidRPr="00DC209C" w:rsidR="00A30E7B" w:rsidP="003206A4" w:rsidRDefault="00A30E7B" w14:paraId="6205DCD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4EE91D3" w14:textId="77777777">
        <w:trPr>
          <w:trHeight w:val="300"/>
        </w:trPr>
        <w:tc>
          <w:tcPr>
            <w:tcW w:w="6804" w:type="dxa"/>
            <w:tcBorders>
              <w:left w:val="nil"/>
              <w:right w:val="nil"/>
            </w:tcBorders>
            <w:noWrap/>
          </w:tcPr>
          <w:p w:rsidRPr="00DC209C" w:rsidR="00A30E7B" w:rsidP="003206A4" w:rsidRDefault="00A30E7B" w14:paraId="27503AFE" w14:textId="77777777">
            <w:pPr>
              <w:ind w:firstLine="162" w:firstLineChars="81"/>
              <w:rPr>
                <w:rFonts w:ascii="Arial" w:hAnsi="Arial" w:eastAsia="Times New Roman" w:cs="Arial"/>
                <w:sz w:val="20"/>
                <w:szCs w:val="20"/>
              </w:rPr>
            </w:pPr>
            <w:r w:rsidRPr="00DC209C">
              <w:rPr>
                <w:rFonts w:ascii="Arial" w:hAnsi="Arial"/>
                <w:sz w:val="20"/>
              </w:rPr>
              <w:t>ζ. Προνομιούχες μετοχές και οποιαδήποτε άλλη μορφή χρηματοδότησης μειωμένης εξασφάλισης που δεν περιλαμβάνεται στο στοιχείο 5.γ.</w:t>
            </w:r>
          </w:p>
        </w:tc>
        <w:tc>
          <w:tcPr>
            <w:tcW w:w="2745" w:type="dxa"/>
            <w:tcBorders>
              <w:left w:val="nil"/>
              <w:right w:val="nil"/>
            </w:tcBorders>
            <w:noWrap/>
          </w:tcPr>
          <w:p w:rsidRPr="00DC209C" w:rsidR="00A30E7B" w:rsidP="003206A4" w:rsidRDefault="00A30E7B" w14:paraId="4BF3D992" w14:textId="77777777">
            <w:pPr>
              <w:jc w:val="right"/>
              <w:rPr>
                <w:rFonts w:ascii="Arial" w:hAnsi="Arial" w:eastAsia="Times New Roman" w:cs="Arial"/>
                <w:sz w:val="20"/>
                <w:szCs w:val="20"/>
                <w:lang w:eastAsia="en-GB"/>
              </w:rPr>
            </w:pPr>
          </w:p>
        </w:tc>
      </w:tr>
      <w:tr w:rsidRPr="00DC209C" w:rsidR="00A30E7B" w:rsidTr="003206A4" w14:paraId="2770F845" w14:textId="77777777">
        <w:trPr>
          <w:trHeight w:val="300"/>
        </w:trPr>
        <w:tc>
          <w:tcPr>
            <w:tcW w:w="6804" w:type="dxa"/>
            <w:tcBorders>
              <w:left w:val="nil"/>
              <w:bottom w:val="single" w:color="auto" w:sz="4" w:space="0"/>
              <w:right w:val="nil"/>
            </w:tcBorders>
            <w:noWrap/>
          </w:tcPr>
          <w:p w:rsidRPr="00DC209C" w:rsidR="00A30E7B" w:rsidP="003206A4" w:rsidRDefault="00A30E7B" w14:paraId="2F5D390D" w14:textId="77777777">
            <w:pPr>
              <w:ind w:firstLine="162" w:firstLineChars="81"/>
              <w:rPr>
                <w:rFonts w:ascii="Arial" w:hAnsi="Arial" w:eastAsia="Times New Roman" w:cs="Arial"/>
                <w:sz w:val="20"/>
                <w:szCs w:val="20"/>
              </w:rPr>
            </w:pPr>
            <w:r w:rsidRPr="00DC209C">
              <w:rPr>
                <w:rFonts w:ascii="Arial" w:hAnsi="Arial"/>
                <w:sz w:val="20"/>
              </w:rPr>
              <w:t>η. Δείκτης κυκλοφορούντων χρεογράφων, συμπεριλαμβανομένων των χρεογράφων που εκδίδονται από ασφαλιστικές θυγατρικές (άθροισμα στοιχείων 5.α έως 5.ζ.)</w:t>
            </w:r>
          </w:p>
        </w:tc>
        <w:tc>
          <w:tcPr>
            <w:tcW w:w="2745" w:type="dxa"/>
            <w:tcBorders>
              <w:left w:val="nil"/>
              <w:bottom w:val="single" w:color="auto" w:sz="4" w:space="0"/>
              <w:right w:val="nil"/>
            </w:tcBorders>
            <w:noWrap/>
          </w:tcPr>
          <w:p w:rsidRPr="00DC209C" w:rsidR="00A30E7B" w:rsidP="003206A4" w:rsidRDefault="00A30E7B" w14:paraId="266262B1" w14:textId="77777777">
            <w:pPr>
              <w:jc w:val="right"/>
              <w:rPr>
                <w:rFonts w:ascii="Arial" w:hAnsi="Arial" w:eastAsia="Times New Roman" w:cs="Arial"/>
                <w:sz w:val="20"/>
                <w:szCs w:val="20"/>
                <w:lang w:eastAsia="en-GB"/>
              </w:rPr>
            </w:pPr>
          </w:p>
        </w:tc>
      </w:tr>
      <w:tr w:rsidRPr="00DC209C" w:rsidR="00A30E7B" w:rsidTr="003206A4" w14:paraId="6806693B" w14:textId="77777777">
        <w:trPr>
          <w:trHeight w:val="300"/>
        </w:trPr>
        <w:tc>
          <w:tcPr>
            <w:tcW w:w="6804" w:type="dxa"/>
            <w:tcBorders>
              <w:top w:val="single" w:color="auto" w:sz="4" w:space="0"/>
              <w:left w:val="nil"/>
              <w:bottom w:val="nil"/>
              <w:right w:val="nil"/>
            </w:tcBorders>
            <w:noWrap/>
          </w:tcPr>
          <w:p w:rsidRPr="00DC209C" w:rsidR="00A30E7B" w:rsidP="003206A4" w:rsidRDefault="00A30E7B" w14:paraId="33F12BFC"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DC209C" w:rsidR="00A30E7B" w:rsidP="003206A4" w:rsidRDefault="00A30E7B" w14:paraId="46312FDF" w14:textId="77777777">
            <w:pPr>
              <w:jc w:val="center"/>
              <w:rPr>
                <w:rFonts w:ascii="Arial" w:hAnsi="Arial" w:eastAsia="Times New Roman" w:cs="Arial"/>
                <w:b/>
                <w:bCs/>
                <w:sz w:val="20"/>
                <w:szCs w:val="20"/>
                <w:lang w:eastAsia="en-GB"/>
              </w:rPr>
            </w:pPr>
          </w:p>
        </w:tc>
      </w:tr>
      <w:tr w:rsidRPr="00DC209C" w:rsidR="00A30E7B" w:rsidTr="003206A4" w14:paraId="74DDEB47" w14:textId="77777777">
        <w:trPr>
          <w:trHeight w:val="300"/>
        </w:trPr>
        <w:tc>
          <w:tcPr>
            <w:tcW w:w="6804" w:type="dxa"/>
            <w:tcBorders>
              <w:top w:val="nil"/>
              <w:left w:val="nil"/>
              <w:bottom w:val="nil"/>
              <w:right w:val="nil"/>
            </w:tcBorders>
            <w:noWrap/>
          </w:tcPr>
          <w:p w:rsidRPr="00DC209C" w:rsidR="00A30E7B" w:rsidP="003206A4" w:rsidRDefault="00A30E7B" w14:paraId="58FFF9DD" w14:textId="77777777">
            <w:pPr>
              <w:keepNext/>
              <w:keepLines/>
              <w:spacing w:before="47"/>
              <w:outlineLvl w:val="5"/>
              <w:rPr>
                <w:rFonts w:asciiTheme="majorHAnsi" w:hAnsiTheme="majorHAnsi" w:eastAsiaTheme="majorEastAsia" w:cstheme="majorBidi"/>
                <w:b/>
                <w:bCs/>
                <w:i/>
                <w:iCs/>
                <w:caps/>
                <w:spacing w:val="-2"/>
              </w:rPr>
            </w:pPr>
            <w:r w:rsidRPr="00DC209C">
              <w:rPr>
                <w:rFonts w:asciiTheme="majorHAnsi" w:hAnsiTheme="majorHAnsi"/>
                <w:b/>
                <w:i/>
                <w:caps/>
              </w:rPr>
              <w:t>Δείκτες δυνατότητας υποκατάστασης/υποδομής χρηματοπιστωτικού ιδρύματος</w:t>
            </w:r>
          </w:p>
          <w:p w:rsidRPr="00DC209C" w:rsidR="00A30E7B" w:rsidP="003206A4" w:rsidRDefault="00A30E7B" w14:paraId="6F216FAB"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DC209C" w:rsidR="00A30E7B" w:rsidP="003206A4" w:rsidRDefault="00A30E7B" w14:paraId="70C5F1E6" w14:textId="77777777">
            <w:pPr>
              <w:jc w:val="center"/>
              <w:rPr>
                <w:rFonts w:ascii="Arial" w:hAnsi="Arial" w:eastAsia="Times New Roman" w:cs="Arial"/>
                <w:b/>
                <w:bCs/>
                <w:sz w:val="20"/>
                <w:szCs w:val="20"/>
                <w:lang w:eastAsia="en-GB"/>
              </w:rPr>
            </w:pPr>
          </w:p>
        </w:tc>
      </w:tr>
      <w:tr w:rsidRPr="00DC209C" w:rsidR="00A30E7B" w:rsidTr="003206A4" w14:paraId="230FA837" w14:textId="77777777">
        <w:trPr>
          <w:trHeight w:val="300"/>
        </w:trPr>
        <w:tc>
          <w:tcPr>
            <w:tcW w:w="6804" w:type="dxa"/>
            <w:tcBorders>
              <w:left w:val="nil"/>
              <w:bottom w:val="single" w:color="auto" w:sz="4" w:space="0"/>
              <w:right w:val="nil"/>
            </w:tcBorders>
            <w:noWrap/>
          </w:tcPr>
          <w:p w:rsidRPr="00DC209C" w:rsidR="00A30E7B" w:rsidP="003206A4" w:rsidRDefault="00A30E7B" w14:paraId="00980433" w14:textId="77777777">
            <w:pPr>
              <w:rPr>
                <w:rFonts w:ascii="Arial" w:hAnsi="Arial" w:eastAsia="Times New Roman" w:cs="Arial"/>
                <w:sz w:val="20"/>
                <w:szCs w:val="20"/>
              </w:rPr>
            </w:pPr>
            <w:r w:rsidRPr="00DC209C">
              <w:rPr>
                <w:rFonts w:ascii="Arial" w:hAnsi="Arial"/>
                <w:b/>
                <w:sz w:val="20"/>
              </w:rPr>
              <w:t>Τμήμα 6 - Πληρωμές που πραγματοποιήθηκαν κατά το έτος παροχής των στοιχείων (εξαιρουμένων των ενδοομιλικών πληρωμών)</w:t>
            </w:r>
          </w:p>
        </w:tc>
        <w:tc>
          <w:tcPr>
            <w:tcW w:w="2745" w:type="dxa"/>
            <w:tcBorders>
              <w:left w:val="nil"/>
              <w:bottom w:val="single" w:color="auto" w:sz="4" w:space="0"/>
              <w:right w:val="nil"/>
            </w:tcBorders>
            <w:noWrap/>
          </w:tcPr>
          <w:p w:rsidRPr="00DC209C" w:rsidR="00A30E7B" w:rsidP="003206A4" w:rsidRDefault="00A30E7B" w14:paraId="62E5C050"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49B64E39" w14:textId="77777777">
        <w:trPr>
          <w:trHeight w:val="300"/>
        </w:trPr>
        <w:tc>
          <w:tcPr>
            <w:tcW w:w="6804" w:type="dxa"/>
            <w:tcBorders>
              <w:left w:val="nil"/>
              <w:right w:val="nil"/>
            </w:tcBorders>
            <w:noWrap/>
            <w:hideMark/>
          </w:tcPr>
          <w:p w:rsidRPr="00DC209C" w:rsidR="00A30E7B" w:rsidP="003206A4" w:rsidRDefault="00A30E7B" w14:paraId="2AB4FB2E" w14:textId="77777777">
            <w:pPr>
              <w:ind w:firstLine="200" w:firstLineChars="100"/>
              <w:rPr>
                <w:rFonts w:ascii="Arial" w:hAnsi="Arial" w:eastAsia="Times New Roman" w:cs="Arial"/>
                <w:sz w:val="20"/>
                <w:szCs w:val="20"/>
              </w:rPr>
            </w:pPr>
            <w:r w:rsidRPr="00DC209C">
              <w:rPr>
                <w:rFonts w:ascii="Arial" w:hAnsi="Arial"/>
                <w:sz w:val="20"/>
              </w:rPr>
              <w:t>α. Δολάρια Αυστραλίας (AUD)</w:t>
            </w:r>
          </w:p>
        </w:tc>
        <w:tc>
          <w:tcPr>
            <w:tcW w:w="2745" w:type="dxa"/>
            <w:tcBorders>
              <w:left w:val="nil"/>
              <w:right w:val="nil"/>
            </w:tcBorders>
            <w:noWrap/>
            <w:hideMark/>
          </w:tcPr>
          <w:p w:rsidRPr="00DC209C" w:rsidR="00A30E7B" w:rsidP="003206A4" w:rsidRDefault="00A30E7B" w14:paraId="7C14EC33"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1CED552" w14:textId="77777777">
        <w:trPr>
          <w:trHeight w:val="300"/>
        </w:trPr>
        <w:tc>
          <w:tcPr>
            <w:tcW w:w="6804" w:type="dxa"/>
            <w:tcBorders>
              <w:left w:val="nil"/>
              <w:right w:val="nil"/>
            </w:tcBorders>
            <w:noWrap/>
            <w:hideMark/>
          </w:tcPr>
          <w:p w:rsidRPr="00DC209C" w:rsidR="00A30E7B" w:rsidP="003206A4" w:rsidRDefault="00A30E7B" w14:paraId="71E3B78C" w14:textId="77777777">
            <w:pPr>
              <w:ind w:firstLine="200" w:firstLineChars="100"/>
              <w:rPr>
                <w:rFonts w:ascii="Arial" w:hAnsi="Arial" w:eastAsia="Times New Roman" w:cs="Arial"/>
                <w:sz w:val="20"/>
                <w:szCs w:val="20"/>
              </w:rPr>
            </w:pPr>
            <w:r w:rsidRPr="00DC209C">
              <w:rPr>
                <w:rFonts w:ascii="Arial" w:hAnsi="Arial"/>
                <w:sz w:val="20"/>
              </w:rPr>
              <w:t>β. Δολάρια Καναδά (CAD)</w:t>
            </w:r>
          </w:p>
        </w:tc>
        <w:tc>
          <w:tcPr>
            <w:tcW w:w="2745" w:type="dxa"/>
            <w:tcBorders>
              <w:left w:val="nil"/>
              <w:right w:val="nil"/>
            </w:tcBorders>
            <w:noWrap/>
            <w:hideMark/>
          </w:tcPr>
          <w:p w:rsidRPr="00DC209C" w:rsidR="00A30E7B" w:rsidP="003206A4" w:rsidRDefault="00A30E7B" w14:paraId="480563B4"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7F4A4C4" w14:textId="77777777">
        <w:trPr>
          <w:trHeight w:val="300"/>
        </w:trPr>
        <w:tc>
          <w:tcPr>
            <w:tcW w:w="6804" w:type="dxa"/>
            <w:tcBorders>
              <w:left w:val="nil"/>
              <w:right w:val="nil"/>
            </w:tcBorders>
            <w:noWrap/>
            <w:hideMark/>
          </w:tcPr>
          <w:p w:rsidRPr="00DC209C" w:rsidR="00A30E7B" w:rsidP="003206A4" w:rsidRDefault="00A30E7B" w14:paraId="46DA77F7" w14:textId="77777777">
            <w:pPr>
              <w:ind w:firstLine="200" w:firstLineChars="100"/>
              <w:rPr>
                <w:rFonts w:ascii="Arial" w:hAnsi="Arial" w:eastAsia="Times New Roman" w:cs="Arial"/>
                <w:sz w:val="20"/>
                <w:szCs w:val="20"/>
              </w:rPr>
            </w:pPr>
            <w:r w:rsidRPr="00DC209C">
              <w:rPr>
                <w:rFonts w:ascii="Arial" w:hAnsi="Arial"/>
                <w:sz w:val="20"/>
              </w:rPr>
              <w:t>γ. Ελβετικά φράγκα (CHF)</w:t>
            </w:r>
          </w:p>
        </w:tc>
        <w:tc>
          <w:tcPr>
            <w:tcW w:w="2745" w:type="dxa"/>
            <w:tcBorders>
              <w:left w:val="nil"/>
              <w:right w:val="nil"/>
            </w:tcBorders>
            <w:noWrap/>
            <w:hideMark/>
          </w:tcPr>
          <w:p w:rsidRPr="00DC209C" w:rsidR="00A30E7B" w:rsidP="003206A4" w:rsidRDefault="00A30E7B" w14:paraId="46391C04"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9FACEDE" w14:textId="77777777">
        <w:trPr>
          <w:trHeight w:val="300"/>
        </w:trPr>
        <w:tc>
          <w:tcPr>
            <w:tcW w:w="6804" w:type="dxa"/>
            <w:tcBorders>
              <w:left w:val="nil"/>
              <w:right w:val="nil"/>
            </w:tcBorders>
            <w:noWrap/>
            <w:hideMark/>
          </w:tcPr>
          <w:p w:rsidRPr="00DC209C" w:rsidR="00A30E7B" w:rsidP="003206A4" w:rsidRDefault="00A30E7B" w14:paraId="1F61A87B" w14:textId="77777777">
            <w:pPr>
              <w:ind w:firstLine="200" w:firstLineChars="100"/>
              <w:rPr>
                <w:rFonts w:ascii="Arial" w:hAnsi="Arial" w:eastAsia="Times New Roman" w:cs="Arial"/>
                <w:sz w:val="20"/>
                <w:szCs w:val="20"/>
              </w:rPr>
            </w:pPr>
            <w:r w:rsidRPr="00DC209C">
              <w:rPr>
                <w:rFonts w:ascii="Arial" w:hAnsi="Arial"/>
                <w:sz w:val="20"/>
              </w:rPr>
              <w:t>δ. Γιουάν Κίνας (CNY)</w:t>
            </w:r>
          </w:p>
        </w:tc>
        <w:tc>
          <w:tcPr>
            <w:tcW w:w="2745" w:type="dxa"/>
            <w:tcBorders>
              <w:left w:val="nil"/>
              <w:right w:val="nil"/>
            </w:tcBorders>
            <w:noWrap/>
            <w:hideMark/>
          </w:tcPr>
          <w:p w:rsidRPr="00DC209C" w:rsidR="00A30E7B" w:rsidP="003206A4" w:rsidRDefault="00A30E7B" w14:paraId="00892FC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4BE8DFE" w14:textId="77777777">
        <w:trPr>
          <w:trHeight w:val="300"/>
        </w:trPr>
        <w:tc>
          <w:tcPr>
            <w:tcW w:w="6804" w:type="dxa"/>
            <w:tcBorders>
              <w:left w:val="nil"/>
              <w:right w:val="nil"/>
            </w:tcBorders>
            <w:noWrap/>
            <w:hideMark/>
          </w:tcPr>
          <w:p w:rsidRPr="00DC209C" w:rsidR="00A30E7B" w:rsidP="003206A4" w:rsidRDefault="00A30E7B" w14:paraId="15DEF1DE" w14:textId="77777777">
            <w:pPr>
              <w:ind w:firstLine="200" w:firstLineChars="100"/>
              <w:rPr>
                <w:rFonts w:ascii="Arial" w:hAnsi="Arial" w:eastAsia="Times New Roman" w:cs="Arial"/>
                <w:sz w:val="20"/>
                <w:szCs w:val="20"/>
              </w:rPr>
            </w:pPr>
            <w:r w:rsidRPr="00DC209C">
              <w:rPr>
                <w:rFonts w:ascii="Arial" w:hAnsi="Arial"/>
                <w:sz w:val="20"/>
              </w:rPr>
              <w:t>ε. Ευρώ (EUR)</w:t>
            </w:r>
          </w:p>
        </w:tc>
        <w:tc>
          <w:tcPr>
            <w:tcW w:w="2745" w:type="dxa"/>
            <w:tcBorders>
              <w:left w:val="nil"/>
              <w:right w:val="nil"/>
            </w:tcBorders>
            <w:noWrap/>
            <w:hideMark/>
          </w:tcPr>
          <w:p w:rsidRPr="00DC209C" w:rsidR="00A30E7B" w:rsidP="003206A4" w:rsidRDefault="00A30E7B" w14:paraId="24F1A11D"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5BD8614" w14:textId="77777777">
        <w:trPr>
          <w:trHeight w:val="300"/>
        </w:trPr>
        <w:tc>
          <w:tcPr>
            <w:tcW w:w="6804" w:type="dxa"/>
            <w:tcBorders>
              <w:left w:val="nil"/>
              <w:right w:val="nil"/>
            </w:tcBorders>
            <w:noWrap/>
            <w:hideMark/>
          </w:tcPr>
          <w:p w:rsidRPr="00DC209C" w:rsidR="00A30E7B" w:rsidP="003206A4" w:rsidRDefault="00A30E7B" w14:paraId="7D5A3128" w14:textId="77777777">
            <w:pPr>
              <w:ind w:firstLine="200" w:firstLineChars="100"/>
              <w:rPr>
                <w:rFonts w:ascii="Arial" w:hAnsi="Arial" w:eastAsia="Times New Roman" w:cs="Arial"/>
                <w:sz w:val="20"/>
                <w:szCs w:val="20"/>
              </w:rPr>
            </w:pPr>
            <w:r w:rsidRPr="00DC209C">
              <w:rPr>
                <w:rFonts w:ascii="Arial" w:hAnsi="Arial"/>
                <w:sz w:val="20"/>
              </w:rPr>
              <w:t>στ. Λίρες Αγγλίας (GBP)</w:t>
            </w:r>
          </w:p>
        </w:tc>
        <w:tc>
          <w:tcPr>
            <w:tcW w:w="2745" w:type="dxa"/>
            <w:tcBorders>
              <w:left w:val="nil"/>
              <w:right w:val="nil"/>
            </w:tcBorders>
            <w:noWrap/>
            <w:hideMark/>
          </w:tcPr>
          <w:p w:rsidRPr="00DC209C" w:rsidR="00A30E7B" w:rsidP="003206A4" w:rsidRDefault="00A30E7B" w14:paraId="081CD90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0842F7E" w14:textId="77777777">
        <w:trPr>
          <w:trHeight w:val="300"/>
        </w:trPr>
        <w:tc>
          <w:tcPr>
            <w:tcW w:w="6804" w:type="dxa"/>
            <w:tcBorders>
              <w:left w:val="nil"/>
              <w:right w:val="nil"/>
            </w:tcBorders>
            <w:noWrap/>
            <w:hideMark/>
          </w:tcPr>
          <w:p w:rsidRPr="00DC209C" w:rsidR="00A30E7B" w:rsidP="003206A4" w:rsidRDefault="00A30E7B" w14:paraId="62CD8621" w14:textId="77777777">
            <w:pPr>
              <w:ind w:firstLine="200" w:firstLineChars="100"/>
              <w:rPr>
                <w:rFonts w:ascii="Arial" w:hAnsi="Arial" w:eastAsia="Times New Roman" w:cs="Arial"/>
                <w:sz w:val="20"/>
                <w:szCs w:val="20"/>
              </w:rPr>
            </w:pPr>
            <w:r w:rsidRPr="00DC209C">
              <w:rPr>
                <w:rFonts w:ascii="Arial" w:hAnsi="Arial"/>
                <w:sz w:val="20"/>
              </w:rPr>
              <w:t>ζ. Δολάρια Χονγκ Κονγκ (HKD)</w:t>
            </w:r>
          </w:p>
        </w:tc>
        <w:tc>
          <w:tcPr>
            <w:tcW w:w="2745" w:type="dxa"/>
            <w:tcBorders>
              <w:left w:val="nil"/>
              <w:right w:val="nil"/>
            </w:tcBorders>
            <w:noWrap/>
            <w:hideMark/>
          </w:tcPr>
          <w:p w:rsidRPr="00DC209C" w:rsidR="00A30E7B" w:rsidP="003206A4" w:rsidRDefault="00A30E7B" w14:paraId="019F8A2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8BA436E" w14:textId="77777777">
        <w:trPr>
          <w:trHeight w:val="300"/>
        </w:trPr>
        <w:tc>
          <w:tcPr>
            <w:tcW w:w="6804" w:type="dxa"/>
            <w:tcBorders>
              <w:left w:val="nil"/>
              <w:right w:val="nil"/>
            </w:tcBorders>
            <w:noWrap/>
            <w:hideMark/>
          </w:tcPr>
          <w:p w:rsidRPr="00DC209C" w:rsidR="00A30E7B" w:rsidP="003206A4" w:rsidRDefault="00A30E7B" w14:paraId="4A1EE47E" w14:textId="77777777">
            <w:pPr>
              <w:ind w:firstLine="200" w:firstLineChars="100"/>
              <w:rPr>
                <w:rFonts w:ascii="Arial" w:hAnsi="Arial" w:eastAsia="Times New Roman" w:cs="Arial"/>
                <w:sz w:val="20"/>
                <w:szCs w:val="20"/>
              </w:rPr>
            </w:pPr>
            <w:r w:rsidRPr="00DC209C">
              <w:rPr>
                <w:rFonts w:ascii="Arial" w:hAnsi="Arial"/>
                <w:sz w:val="20"/>
              </w:rPr>
              <w:t>η. Ρουπίες Ινδίας (INR)</w:t>
            </w:r>
          </w:p>
        </w:tc>
        <w:tc>
          <w:tcPr>
            <w:tcW w:w="2745" w:type="dxa"/>
            <w:tcBorders>
              <w:left w:val="nil"/>
              <w:right w:val="nil"/>
            </w:tcBorders>
            <w:noWrap/>
            <w:hideMark/>
          </w:tcPr>
          <w:p w:rsidRPr="00DC209C" w:rsidR="00A30E7B" w:rsidP="003206A4" w:rsidRDefault="00A30E7B" w14:paraId="1E30946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217907D" w14:textId="77777777">
        <w:trPr>
          <w:trHeight w:val="300"/>
        </w:trPr>
        <w:tc>
          <w:tcPr>
            <w:tcW w:w="6804" w:type="dxa"/>
            <w:tcBorders>
              <w:left w:val="nil"/>
              <w:right w:val="nil"/>
            </w:tcBorders>
            <w:noWrap/>
            <w:hideMark/>
          </w:tcPr>
          <w:p w:rsidRPr="00DC209C" w:rsidR="00A30E7B" w:rsidP="003206A4" w:rsidRDefault="00A30E7B" w14:paraId="2CB9B126" w14:textId="77777777">
            <w:pPr>
              <w:ind w:firstLine="200" w:firstLineChars="100"/>
              <w:rPr>
                <w:rFonts w:ascii="Arial" w:hAnsi="Arial" w:eastAsia="Times New Roman" w:cs="Arial"/>
                <w:sz w:val="20"/>
                <w:szCs w:val="20"/>
              </w:rPr>
            </w:pPr>
            <w:r w:rsidRPr="00DC209C">
              <w:rPr>
                <w:rFonts w:ascii="Arial" w:hAnsi="Arial"/>
                <w:sz w:val="20"/>
              </w:rPr>
              <w:t>θ. Γιεν Ιαπωνίας (JPY)</w:t>
            </w:r>
          </w:p>
        </w:tc>
        <w:tc>
          <w:tcPr>
            <w:tcW w:w="2745" w:type="dxa"/>
            <w:tcBorders>
              <w:left w:val="nil"/>
              <w:right w:val="nil"/>
            </w:tcBorders>
            <w:noWrap/>
            <w:hideMark/>
          </w:tcPr>
          <w:p w:rsidRPr="00DC209C" w:rsidR="00A30E7B" w:rsidP="003206A4" w:rsidRDefault="00A30E7B" w14:paraId="6ACDBEA4"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5F1ED1F" w14:textId="77777777">
        <w:trPr>
          <w:trHeight w:val="300"/>
        </w:trPr>
        <w:tc>
          <w:tcPr>
            <w:tcW w:w="6804" w:type="dxa"/>
            <w:tcBorders>
              <w:left w:val="nil"/>
              <w:right w:val="nil"/>
            </w:tcBorders>
            <w:noWrap/>
            <w:hideMark/>
          </w:tcPr>
          <w:p w:rsidRPr="00DC209C" w:rsidR="00A30E7B" w:rsidP="003206A4" w:rsidRDefault="00A30E7B" w14:paraId="0D0EEF71" w14:textId="77777777">
            <w:pPr>
              <w:ind w:firstLine="200" w:firstLineChars="100"/>
              <w:rPr>
                <w:rFonts w:ascii="Arial" w:hAnsi="Arial" w:eastAsia="Times New Roman" w:cs="Arial"/>
                <w:sz w:val="20"/>
                <w:szCs w:val="20"/>
              </w:rPr>
            </w:pPr>
            <w:r w:rsidRPr="00DC209C">
              <w:rPr>
                <w:rFonts w:ascii="Arial" w:hAnsi="Arial"/>
                <w:sz w:val="20"/>
              </w:rPr>
              <w:t>ι. Δολάρια Νέας Ζηλανδίας (NZD)</w:t>
            </w:r>
          </w:p>
        </w:tc>
        <w:tc>
          <w:tcPr>
            <w:tcW w:w="2745" w:type="dxa"/>
            <w:tcBorders>
              <w:left w:val="nil"/>
              <w:right w:val="nil"/>
            </w:tcBorders>
            <w:noWrap/>
            <w:hideMark/>
          </w:tcPr>
          <w:p w:rsidRPr="00DC209C" w:rsidR="00A30E7B" w:rsidP="003206A4" w:rsidRDefault="00A30E7B" w14:paraId="1104886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2F873C4" w14:textId="77777777">
        <w:trPr>
          <w:trHeight w:val="300"/>
        </w:trPr>
        <w:tc>
          <w:tcPr>
            <w:tcW w:w="6804" w:type="dxa"/>
            <w:tcBorders>
              <w:left w:val="nil"/>
              <w:right w:val="nil"/>
            </w:tcBorders>
            <w:noWrap/>
            <w:hideMark/>
          </w:tcPr>
          <w:p w:rsidRPr="00DC209C" w:rsidR="00A30E7B" w:rsidP="003206A4" w:rsidRDefault="00A30E7B" w14:paraId="5D22BB51" w14:textId="77777777">
            <w:pPr>
              <w:ind w:firstLine="200" w:firstLineChars="100"/>
              <w:rPr>
                <w:rFonts w:ascii="Arial" w:hAnsi="Arial" w:eastAsia="Times New Roman" w:cs="Arial"/>
                <w:sz w:val="20"/>
                <w:szCs w:val="20"/>
              </w:rPr>
            </w:pPr>
            <w:r w:rsidRPr="00DC209C">
              <w:rPr>
                <w:rFonts w:ascii="Arial" w:hAnsi="Arial"/>
                <w:sz w:val="20"/>
              </w:rPr>
              <w:t>ια. Σουηδική κορόνα (SEK)</w:t>
            </w:r>
          </w:p>
        </w:tc>
        <w:tc>
          <w:tcPr>
            <w:tcW w:w="2745" w:type="dxa"/>
            <w:tcBorders>
              <w:left w:val="nil"/>
              <w:right w:val="nil"/>
            </w:tcBorders>
            <w:noWrap/>
            <w:hideMark/>
          </w:tcPr>
          <w:p w:rsidRPr="00DC209C" w:rsidR="00A30E7B" w:rsidP="003206A4" w:rsidRDefault="00A30E7B" w14:paraId="1878F26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C246A57" w14:textId="77777777">
        <w:trPr>
          <w:trHeight w:val="300"/>
        </w:trPr>
        <w:tc>
          <w:tcPr>
            <w:tcW w:w="6804" w:type="dxa"/>
            <w:tcBorders>
              <w:left w:val="nil"/>
              <w:right w:val="nil"/>
            </w:tcBorders>
            <w:noWrap/>
            <w:hideMark/>
          </w:tcPr>
          <w:p w:rsidRPr="00DC209C" w:rsidR="00A30E7B" w:rsidP="003206A4" w:rsidRDefault="00A30E7B" w14:paraId="407E2D4D" w14:textId="77777777">
            <w:pPr>
              <w:ind w:firstLine="200" w:firstLineChars="100"/>
              <w:rPr>
                <w:rFonts w:ascii="Arial" w:hAnsi="Arial" w:eastAsia="Times New Roman" w:cs="Arial"/>
                <w:sz w:val="20"/>
                <w:szCs w:val="20"/>
              </w:rPr>
            </w:pPr>
            <w:r w:rsidRPr="00DC209C">
              <w:rPr>
                <w:rFonts w:ascii="Arial" w:hAnsi="Arial"/>
                <w:sz w:val="20"/>
              </w:rPr>
              <w:t>ιβ. Δολάρια ΗΠΑ (USD)</w:t>
            </w:r>
          </w:p>
        </w:tc>
        <w:tc>
          <w:tcPr>
            <w:tcW w:w="2745" w:type="dxa"/>
            <w:tcBorders>
              <w:left w:val="nil"/>
              <w:right w:val="nil"/>
            </w:tcBorders>
            <w:noWrap/>
            <w:hideMark/>
          </w:tcPr>
          <w:p w:rsidRPr="00DC209C" w:rsidR="00A30E7B" w:rsidP="003206A4" w:rsidRDefault="00A30E7B" w14:paraId="439CA9A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46DA5EB" w14:textId="77777777">
        <w:trPr>
          <w:trHeight w:val="300"/>
        </w:trPr>
        <w:tc>
          <w:tcPr>
            <w:tcW w:w="6804" w:type="dxa"/>
            <w:tcBorders>
              <w:left w:val="nil"/>
              <w:bottom w:val="single" w:color="auto" w:sz="4" w:space="0"/>
              <w:right w:val="nil"/>
            </w:tcBorders>
            <w:noWrap/>
            <w:hideMark/>
          </w:tcPr>
          <w:p w:rsidRPr="00DC209C" w:rsidR="00A30E7B" w:rsidP="003206A4" w:rsidRDefault="00A30E7B" w14:paraId="4C10782D" w14:textId="77777777">
            <w:pPr>
              <w:ind w:firstLine="200" w:firstLineChars="100"/>
              <w:rPr>
                <w:rFonts w:ascii="Arial" w:hAnsi="Arial" w:eastAsia="Times New Roman" w:cs="Arial"/>
                <w:sz w:val="20"/>
                <w:szCs w:val="20"/>
              </w:rPr>
            </w:pPr>
            <w:r w:rsidRPr="00DC209C">
              <w:rPr>
                <w:rFonts w:ascii="Arial" w:hAnsi="Arial"/>
                <w:sz w:val="20"/>
              </w:rPr>
              <w:t>ιγ. Δείκτης δραστηριότητας πληρωμών (άθροισμα στοιχείων 6.α έως 6.ιβ)</w:t>
            </w:r>
          </w:p>
        </w:tc>
        <w:tc>
          <w:tcPr>
            <w:tcW w:w="2745" w:type="dxa"/>
            <w:tcBorders>
              <w:left w:val="nil"/>
              <w:bottom w:val="single" w:color="auto" w:sz="4" w:space="0"/>
              <w:right w:val="nil"/>
            </w:tcBorders>
            <w:noWrap/>
            <w:hideMark/>
          </w:tcPr>
          <w:p w:rsidRPr="00DC209C" w:rsidR="00A30E7B" w:rsidP="003206A4" w:rsidRDefault="00A30E7B" w14:paraId="2EDF37D5" w14:textId="77777777">
            <w:pPr>
              <w:jc w:val="right"/>
              <w:rPr>
                <w:rFonts w:ascii="Arial" w:hAnsi="Arial" w:eastAsia="Times New Roman" w:cs="Arial"/>
                <w:sz w:val="20"/>
                <w:szCs w:val="20"/>
              </w:rPr>
            </w:pPr>
            <w:r w:rsidRPr="00DC209C">
              <w:rPr>
                <w:rFonts w:ascii="Arial" w:hAnsi="Arial"/>
                <w:sz w:val="20"/>
              </w:rPr>
              <w:t xml:space="preserve"> </w:t>
            </w:r>
          </w:p>
        </w:tc>
      </w:tr>
      <w:tr w:rsidRPr="00DC209C" w:rsidR="00A30E7B" w:rsidTr="003206A4" w14:paraId="7303C585" w14:textId="77777777">
        <w:trPr>
          <w:trHeight w:val="300"/>
        </w:trPr>
        <w:tc>
          <w:tcPr>
            <w:tcW w:w="6804" w:type="dxa"/>
            <w:tcBorders>
              <w:left w:val="nil"/>
              <w:bottom w:val="nil"/>
              <w:right w:val="nil"/>
            </w:tcBorders>
            <w:noWrap/>
          </w:tcPr>
          <w:p w:rsidRPr="00DC209C" w:rsidR="00A30E7B" w:rsidP="003206A4" w:rsidRDefault="00A30E7B" w14:paraId="3D830369"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6626A138" w14:textId="77777777">
            <w:pPr>
              <w:jc w:val="center"/>
              <w:rPr>
                <w:rFonts w:ascii="Arial" w:hAnsi="Arial" w:eastAsia="Times New Roman" w:cs="Arial"/>
                <w:b/>
                <w:bCs/>
                <w:sz w:val="20"/>
                <w:szCs w:val="20"/>
                <w:lang w:eastAsia="en-GB"/>
              </w:rPr>
            </w:pPr>
          </w:p>
        </w:tc>
      </w:tr>
      <w:tr w:rsidRPr="00DC209C" w:rsidR="00A30E7B" w:rsidTr="003206A4" w14:paraId="425CD793"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72BD79E5" w14:textId="77777777">
            <w:pPr>
              <w:rPr>
                <w:rFonts w:ascii="Arial" w:hAnsi="Arial" w:eastAsia="Times New Roman" w:cs="Arial"/>
                <w:b/>
                <w:bCs/>
                <w:sz w:val="20"/>
                <w:szCs w:val="20"/>
              </w:rPr>
            </w:pPr>
            <w:r w:rsidRPr="00DC209C">
              <w:rPr>
                <w:rFonts w:ascii="Arial" w:hAnsi="Arial"/>
                <w:b/>
                <w:sz w:val="20"/>
              </w:rPr>
              <w:t>Τμήμα 7 - Στοιχεία ενεργητικού υπό φύλαξη</w:t>
            </w:r>
          </w:p>
        </w:tc>
        <w:tc>
          <w:tcPr>
            <w:tcW w:w="2745" w:type="dxa"/>
            <w:tcBorders>
              <w:top w:val="nil"/>
              <w:left w:val="nil"/>
              <w:bottom w:val="single" w:color="auto" w:sz="4" w:space="0"/>
              <w:right w:val="nil"/>
            </w:tcBorders>
            <w:hideMark/>
          </w:tcPr>
          <w:p w:rsidRPr="00DC209C" w:rsidR="00A30E7B" w:rsidP="003206A4" w:rsidRDefault="00A30E7B" w14:paraId="69FA4CAF"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7F2D656D" w14:textId="77777777">
        <w:trPr>
          <w:trHeight w:val="300"/>
        </w:trPr>
        <w:tc>
          <w:tcPr>
            <w:tcW w:w="6804" w:type="dxa"/>
            <w:tcBorders>
              <w:left w:val="nil"/>
              <w:bottom w:val="single" w:color="auto" w:sz="4" w:space="0"/>
              <w:right w:val="nil"/>
            </w:tcBorders>
            <w:noWrap/>
            <w:hideMark/>
          </w:tcPr>
          <w:p w:rsidRPr="00DC209C" w:rsidR="00A30E7B" w:rsidP="003206A4" w:rsidRDefault="00A30E7B" w14:paraId="7EC701DC" w14:textId="77777777">
            <w:pPr>
              <w:ind w:firstLine="200" w:firstLineChars="100"/>
              <w:rPr>
                <w:rFonts w:ascii="Arial" w:hAnsi="Arial" w:eastAsia="Times New Roman" w:cs="Arial"/>
                <w:sz w:val="20"/>
                <w:szCs w:val="20"/>
              </w:rPr>
            </w:pPr>
            <w:r w:rsidRPr="00DC209C">
              <w:rPr>
                <w:rFonts w:ascii="Arial" w:hAnsi="Arial"/>
                <w:sz w:val="20"/>
              </w:rPr>
              <w:t>α. Δείκτης στοιχείων ενεργητικού υπό φύλαξη</w:t>
            </w:r>
          </w:p>
        </w:tc>
        <w:tc>
          <w:tcPr>
            <w:tcW w:w="2745" w:type="dxa"/>
            <w:tcBorders>
              <w:left w:val="nil"/>
              <w:bottom w:val="single" w:color="auto" w:sz="4" w:space="0"/>
              <w:right w:val="nil"/>
            </w:tcBorders>
            <w:noWrap/>
            <w:hideMark/>
          </w:tcPr>
          <w:p w:rsidRPr="00DC209C" w:rsidR="00A30E7B" w:rsidP="003206A4" w:rsidRDefault="00A30E7B" w14:paraId="339F3E7F"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636EC97" w14:textId="77777777">
        <w:trPr>
          <w:trHeight w:val="300"/>
        </w:trPr>
        <w:tc>
          <w:tcPr>
            <w:tcW w:w="6804" w:type="dxa"/>
            <w:tcBorders>
              <w:left w:val="nil"/>
              <w:bottom w:val="nil"/>
              <w:right w:val="nil"/>
            </w:tcBorders>
            <w:noWrap/>
          </w:tcPr>
          <w:p w:rsidRPr="00DC209C" w:rsidR="00A30E7B" w:rsidP="003206A4" w:rsidRDefault="00A30E7B" w14:paraId="0B98F7E5"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DC209C" w:rsidR="00A30E7B" w:rsidP="003206A4" w:rsidRDefault="00A30E7B" w14:paraId="066AB1E2" w14:textId="77777777">
            <w:pPr>
              <w:jc w:val="center"/>
              <w:rPr>
                <w:rFonts w:ascii="Arial" w:hAnsi="Arial" w:eastAsia="Times New Roman" w:cs="Arial"/>
                <w:b/>
                <w:bCs/>
                <w:sz w:val="20"/>
                <w:szCs w:val="20"/>
                <w:lang w:eastAsia="en-GB"/>
              </w:rPr>
            </w:pPr>
          </w:p>
        </w:tc>
      </w:tr>
      <w:tr w:rsidRPr="00DC209C" w:rsidR="00A30E7B" w:rsidTr="003206A4" w14:paraId="5FDDCA68"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441F2D41" w14:textId="77777777">
            <w:pPr>
              <w:rPr>
                <w:rFonts w:ascii="Arial" w:hAnsi="Arial" w:eastAsia="Times New Roman" w:cs="Arial"/>
                <w:sz w:val="20"/>
                <w:szCs w:val="20"/>
              </w:rPr>
            </w:pPr>
            <w:r w:rsidRPr="00DC209C">
              <w:rPr>
                <w:rFonts w:ascii="Arial" w:hAnsi="Arial"/>
                <w:b/>
                <w:sz w:val="20"/>
              </w:rPr>
              <w:t>Τμήμα 8 - Συναλλαγές αναδοχής εκδόσεων σε αγορές δανείων και μετοχών</w:t>
            </w:r>
          </w:p>
        </w:tc>
        <w:tc>
          <w:tcPr>
            <w:tcW w:w="2745" w:type="dxa"/>
            <w:tcBorders>
              <w:top w:val="nil"/>
              <w:left w:val="nil"/>
              <w:bottom w:val="single" w:color="auto" w:sz="4" w:space="0"/>
              <w:right w:val="nil"/>
            </w:tcBorders>
            <w:noWrap/>
          </w:tcPr>
          <w:p w:rsidRPr="00DC209C" w:rsidR="00A30E7B" w:rsidP="003206A4" w:rsidRDefault="00A30E7B" w14:paraId="7B17ECA1"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0559CB7A" w14:textId="77777777">
        <w:trPr>
          <w:trHeight w:val="300"/>
        </w:trPr>
        <w:tc>
          <w:tcPr>
            <w:tcW w:w="6804" w:type="dxa"/>
            <w:tcBorders>
              <w:left w:val="nil"/>
              <w:right w:val="nil"/>
            </w:tcBorders>
            <w:noWrap/>
            <w:hideMark/>
          </w:tcPr>
          <w:p w:rsidRPr="00DC209C" w:rsidR="00A30E7B" w:rsidP="003206A4" w:rsidRDefault="00A30E7B" w14:paraId="5AAAE39A" w14:textId="77777777">
            <w:pPr>
              <w:ind w:firstLine="200" w:firstLineChars="100"/>
              <w:rPr>
                <w:rFonts w:ascii="Arial" w:hAnsi="Arial" w:eastAsia="Times New Roman" w:cs="Arial"/>
                <w:sz w:val="20"/>
                <w:szCs w:val="20"/>
              </w:rPr>
            </w:pPr>
            <w:r w:rsidRPr="00DC209C">
              <w:rPr>
                <w:rFonts w:ascii="Arial" w:hAnsi="Arial"/>
                <w:sz w:val="20"/>
              </w:rPr>
              <w:t>α. Δραστηριότητα αναδοχής εκδόσεων μετοχών</w:t>
            </w:r>
          </w:p>
        </w:tc>
        <w:tc>
          <w:tcPr>
            <w:tcW w:w="2745" w:type="dxa"/>
            <w:tcBorders>
              <w:left w:val="nil"/>
              <w:right w:val="nil"/>
            </w:tcBorders>
            <w:noWrap/>
            <w:hideMark/>
          </w:tcPr>
          <w:p w:rsidRPr="00DC209C" w:rsidR="00A30E7B" w:rsidP="003206A4" w:rsidRDefault="00A30E7B" w14:paraId="68EA736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86182BF" w14:textId="77777777">
        <w:trPr>
          <w:trHeight w:val="300"/>
        </w:trPr>
        <w:tc>
          <w:tcPr>
            <w:tcW w:w="6804" w:type="dxa"/>
            <w:tcBorders>
              <w:left w:val="nil"/>
              <w:right w:val="nil"/>
            </w:tcBorders>
            <w:noWrap/>
            <w:hideMark/>
          </w:tcPr>
          <w:p w:rsidRPr="00DC209C" w:rsidR="00A30E7B" w:rsidP="003206A4" w:rsidRDefault="00A30E7B" w14:paraId="60DFBC5E" w14:textId="77777777">
            <w:pPr>
              <w:ind w:firstLine="200" w:firstLineChars="100"/>
              <w:rPr>
                <w:rFonts w:ascii="Arial" w:hAnsi="Arial" w:eastAsia="Times New Roman" w:cs="Arial"/>
                <w:sz w:val="20"/>
                <w:szCs w:val="20"/>
              </w:rPr>
            </w:pPr>
            <w:r w:rsidRPr="00DC209C">
              <w:rPr>
                <w:rFonts w:ascii="Arial" w:hAnsi="Arial"/>
                <w:sz w:val="20"/>
              </w:rPr>
              <w:t>β. Δραστηριότητα αναδοχής εκδόσεων χρεωστικών τίτλων</w:t>
            </w:r>
          </w:p>
        </w:tc>
        <w:tc>
          <w:tcPr>
            <w:tcW w:w="2745" w:type="dxa"/>
            <w:tcBorders>
              <w:left w:val="nil"/>
              <w:right w:val="nil"/>
            </w:tcBorders>
            <w:noWrap/>
            <w:hideMark/>
          </w:tcPr>
          <w:p w:rsidRPr="00DC209C" w:rsidR="00A30E7B" w:rsidP="003206A4" w:rsidRDefault="00A30E7B" w14:paraId="024A531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027A933" w14:textId="77777777">
        <w:trPr>
          <w:trHeight w:val="300"/>
        </w:trPr>
        <w:tc>
          <w:tcPr>
            <w:tcW w:w="6804" w:type="dxa"/>
            <w:tcBorders>
              <w:left w:val="nil"/>
              <w:bottom w:val="single" w:color="auto" w:sz="4" w:space="0"/>
              <w:right w:val="nil"/>
            </w:tcBorders>
            <w:noWrap/>
            <w:hideMark/>
          </w:tcPr>
          <w:p w:rsidRPr="00DC209C" w:rsidR="00A30E7B" w:rsidP="003206A4" w:rsidRDefault="00A30E7B" w14:paraId="4FE1D5D8" w14:textId="77777777">
            <w:pPr>
              <w:ind w:firstLine="200" w:firstLineChars="100"/>
              <w:rPr>
                <w:rFonts w:ascii="Arial" w:hAnsi="Arial" w:eastAsia="Times New Roman" w:cs="Arial"/>
                <w:sz w:val="20"/>
                <w:szCs w:val="20"/>
              </w:rPr>
            </w:pPr>
            <w:r w:rsidRPr="00DC209C">
              <w:rPr>
                <w:rFonts w:ascii="Arial" w:hAnsi="Arial"/>
                <w:sz w:val="20"/>
              </w:rPr>
              <w:t>γ. Δείκτης δραστηριότητας αναδοχής εκδόσεων (άθροισμα στοιχείων 8.α και 8.β)</w:t>
            </w:r>
          </w:p>
        </w:tc>
        <w:tc>
          <w:tcPr>
            <w:tcW w:w="2745" w:type="dxa"/>
            <w:tcBorders>
              <w:left w:val="nil"/>
              <w:bottom w:val="single" w:color="auto" w:sz="4" w:space="0"/>
              <w:right w:val="nil"/>
            </w:tcBorders>
            <w:noWrap/>
            <w:hideMark/>
          </w:tcPr>
          <w:p w:rsidRPr="00DC209C" w:rsidR="00A30E7B" w:rsidP="003206A4" w:rsidRDefault="00A30E7B" w14:paraId="25D5A50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7C87EC2" w14:textId="77777777">
        <w:trPr>
          <w:trHeight w:val="300"/>
        </w:trPr>
        <w:tc>
          <w:tcPr>
            <w:tcW w:w="6804" w:type="dxa"/>
            <w:tcBorders>
              <w:left w:val="nil"/>
              <w:bottom w:val="nil"/>
              <w:right w:val="nil"/>
            </w:tcBorders>
            <w:noWrap/>
          </w:tcPr>
          <w:p w:rsidRPr="00DC209C" w:rsidR="00A30E7B" w:rsidP="003206A4" w:rsidRDefault="00A30E7B" w14:paraId="5C92C5D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05BCD1C7" w14:textId="77777777">
            <w:pPr>
              <w:jc w:val="center"/>
              <w:rPr>
                <w:rFonts w:ascii="Arial" w:hAnsi="Arial" w:eastAsia="Times New Roman" w:cs="Arial"/>
                <w:b/>
                <w:bCs/>
                <w:sz w:val="20"/>
                <w:szCs w:val="20"/>
                <w:lang w:eastAsia="en-GB"/>
              </w:rPr>
            </w:pPr>
          </w:p>
        </w:tc>
      </w:tr>
      <w:tr w:rsidRPr="00DC209C" w:rsidR="00A30E7B" w:rsidTr="003206A4" w14:paraId="6AD281E3" w14:textId="77777777">
        <w:trPr>
          <w:trHeight w:val="300"/>
        </w:trPr>
        <w:tc>
          <w:tcPr>
            <w:tcW w:w="6804" w:type="dxa"/>
            <w:tcBorders>
              <w:top w:val="nil"/>
              <w:left w:val="nil"/>
              <w:right w:val="nil"/>
            </w:tcBorders>
            <w:noWrap/>
            <w:hideMark/>
          </w:tcPr>
          <w:p w:rsidRPr="00DC209C" w:rsidR="00A30E7B" w:rsidP="003206A4" w:rsidRDefault="00A30E7B" w14:paraId="21B3AC8C" w14:textId="77777777">
            <w:pPr>
              <w:rPr>
                <w:rFonts w:ascii="Arial" w:hAnsi="Arial" w:eastAsia="Times New Roman" w:cs="Arial"/>
                <w:b/>
                <w:bCs/>
                <w:sz w:val="20"/>
                <w:szCs w:val="20"/>
              </w:rPr>
            </w:pPr>
            <w:r w:rsidRPr="00DC209C">
              <w:rPr>
                <w:rFonts w:ascii="Arial" w:hAnsi="Arial"/>
                <w:b/>
                <w:sz w:val="20"/>
              </w:rPr>
              <w:t>Τμήμα 9 - Όγκος συναλλαγών</w:t>
            </w:r>
          </w:p>
        </w:tc>
        <w:tc>
          <w:tcPr>
            <w:tcW w:w="2745" w:type="dxa"/>
            <w:tcBorders>
              <w:top w:val="nil"/>
              <w:left w:val="nil"/>
              <w:right w:val="nil"/>
            </w:tcBorders>
            <w:hideMark/>
          </w:tcPr>
          <w:p w:rsidRPr="00DC209C" w:rsidR="00A30E7B" w:rsidP="003206A4" w:rsidRDefault="00A30E7B" w14:paraId="04EF490F"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04FA4612" w14:textId="77777777">
        <w:trPr>
          <w:trHeight w:val="300"/>
        </w:trPr>
        <w:tc>
          <w:tcPr>
            <w:tcW w:w="6804" w:type="dxa"/>
            <w:tcBorders>
              <w:left w:val="nil"/>
              <w:right w:val="nil"/>
            </w:tcBorders>
            <w:noWrap/>
          </w:tcPr>
          <w:p w:rsidRPr="00DC209C" w:rsidR="00A30E7B" w:rsidP="003206A4" w:rsidRDefault="00A30E7B" w14:paraId="28CDDF92" w14:textId="77777777">
            <w:pPr>
              <w:ind w:firstLine="162" w:firstLineChars="81"/>
              <w:rPr>
                <w:rFonts w:ascii="Arial" w:hAnsi="Arial" w:eastAsia="Times New Roman" w:cs="Arial"/>
                <w:sz w:val="20"/>
                <w:szCs w:val="20"/>
              </w:rPr>
            </w:pPr>
            <w:r w:rsidRPr="00DC209C">
              <w:rPr>
                <w:rFonts w:ascii="Arial" w:hAnsi="Arial"/>
                <w:sz w:val="20"/>
              </w:rPr>
              <w:t>α. Όγκος συναλλαγών τίτλων που έχουν εκδοθεί από λοιπές οντότητες του δημόσιου τομέα, εξαιρουμένων των ενδοομιλικών συναλλαγών</w:t>
            </w:r>
          </w:p>
        </w:tc>
        <w:tc>
          <w:tcPr>
            <w:tcW w:w="2745" w:type="dxa"/>
            <w:tcBorders>
              <w:left w:val="nil"/>
              <w:right w:val="nil"/>
            </w:tcBorders>
            <w:noWrap/>
          </w:tcPr>
          <w:p w:rsidRPr="00DC209C" w:rsidR="00A30E7B" w:rsidP="003206A4" w:rsidRDefault="00A30E7B" w14:paraId="7D06B27C" w14:textId="77777777">
            <w:pPr>
              <w:jc w:val="right"/>
              <w:rPr>
                <w:rFonts w:ascii="Arial" w:hAnsi="Arial" w:eastAsia="Times New Roman" w:cs="Arial"/>
                <w:sz w:val="20"/>
                <w:szCs w:val="20"/>
                <w:lang w:eastAsia="en-GB"/>
              </w:rPr>
            </w:pPr>
          </w:p>
        </w:tc>
      </w:tr>
      <w:tr w:rsidRPr="00DC209C" w:rsidR="00A30E7B" w:rsidTr="003206A4" w14:paraId="1AE7CE16" w14:textId="77777777">
        <w:trPr>
          <w:trHeight w:val="300"/>
        </w:trPr>
        <w:tc>
          <w:tcPr>
            <w:tcW w:w="6804" w:type="dxa"/>
            <w:tcBorders>
              <w:left w:val="nil"/>
              <w:bottom w:val="single" w:color="auto" w:sz="4" w:space="0"/>
              <w:right w:val="nil"/>
            </w:tcBorders>
            <w:noWrap/>
            <w:hideMark/>
          </w:tcPr>
          <w:p w:rsidRPr="00DC209C" w:rsidR="00A30E7B" w:rsidP="003206A4" w:rsidRDefault="00A30E7B" w14:paraId="105EE04E" w14:textId="77777777">
            <w:pPr>
              <w:ind w:firstLine="162" w:firstLineChars="81"/>
              <w:rPr>
                <w:rFonts w:ascii="Arial" w:hAnsi="Arial" w:eastAsia="Times New Roman" w:cs="Arial"/>
                <w:sz w:val="20"/>
                <w:szCs w:val="20"/>
              </w:rPr>
            </w:pPr>
            <w:r w:rsidRPr="00DC209C">
              <w:rPr>
                <w:rFonts w:ascii="Arial" w:hAnsi="Arial"/>
                <w:sz w:val="20"/>
              </w:rPr>
              <w:t>β. Όγκος συναλλαγών λοιπών τίτλων σταθερής απόδοσης, εξαιρουμένων των ενδοομιλικών συναλλαγών</w:t>
            </w:r>
          </w:p>
        </w:tc>
        <w:tc>
          <w:tcPr>
            <w:tcW w:w="2745" w:type="dxa"/>
            <w:tcBorders>
              <w:left w:val="nil"/>
              <w:right w:val="nil"/>
            </w:tcBorders>
            <w:noWrap/>
            <w:hideMark/>
          </w:tcPr>
          <w:p w:rsidRPr="00DC209C" w:rsidR="00A30E7B" w:rsidP="003206A4" w:rsidRDefault="00A30E7B" w14:paraId="22CFD9EB"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696FA7B" w14:textId="77777777">
        <w:trPr>
          <w:gridAfter w:val="1"/>
          <w:wAfter w:w="2745" w:type="dxa"/>
          <w:trHeight w:val="300"/>
        </w:trPr>
        <w:tc>
          <w:tcPr>
            <w:tcW w:w="6804" w:type="dxa"/>
            <w:tcBorders>
              <w:left w:val="nil"/>
              <w:bottom w:val="single" w:color="auto" w:sz="4" w:space="0"/>
              <w:right w:val="nil"/>
            </w:tcBorders>
            <w:noWrap/>
            <w:hideMark/>
          </w:tcPr>
          <w:p w:rsidRPr="00DC209C" w:rsidR="00A30E7B" w:rsidP="003206A4" w:rsidRDefault="00A30E7B" w14:paraId="49D9E0EF" w14:textId="77777777">
            <w:pPr>
              <w:ind w:firstLine="200" w:firstLineChars="100"/>
              <w:rPr>
                <w:rFonts w:ascii="Arial" w:hAnsi="Arial" w:eastAsia="Times New Roman" w:cs="Arial"/>
                <w:sz w:val="20"/>
                <w:szCs w:val="20"/>
              </w:rPr>
            </w:pPr>
            <w:r w:rsidRPr="00DC209C">
              <w:rPr>
                <w:rFonts w:ascii="Arial" w:hAnsi="Arial"/>
                <w:sz w:val="20"/>
              </w:rPr>
              <w:t>γ. Επιμέρους δείκτης όγκου συναλλαγών τίτλων σταθερής απόδοσης (άθροισμα των στοιχείων 9.α. και 9.β.)</w:t>
            </w:r>
          </w:p>
        </w:tc>
      </w:tr>
      <w:tr w:rsidRPr="00DC209C" w:rsidR="00A30E7B" w:rsidTr="003206A4" w14:paraId="312F9520" w14:textId="77777777">
        <w:trPr>
          <w:trHeight w:val="300"/>
        </w:trPr>
        <w:tc>
          <w:tcPr>
            <w:tcW w:w="6804" w:type="dxa"/>
            <w:tcBorders>
              <w:left w:val="nil"/>
              <w:right w:val="nil"/>
            </w:tcBorders>
            <w:noWrap/>
            <w:hideMark/>
          </w:tcPr>
          <w:p w:rsidRPr="00DC209C" w:rsidR="00A30E7B" w:rsidP="003206A4" w:rsidRDefault="00A30E7B" w14:paraId="2914095E" w14:textId="77777777">
            <w:pPr>
              <w:ind w:firstLine="200" w:firstLineChars="100"/>
              <w:rPr>
                <w:rFonts w:ascii="Arial" w:hAnsi="Arial" w:eastAsia="Times New Roman" w:cs="Arial"/>
                <w:sz w:val="20"/>
                <w:szCs w:val="20"/>
              </w:rPr>
            </w:pPr>
            <w:r w:rsidRPr="00DC209C">
              <w:rPr>
                <w:rFonts w:ascii="Arial" w:hAnsi="Arial"/>
                <w:sz w:val="20"/>
              </w:rPr>
              <w:t>δ. Όγκος συναλλαγών εισηγμένων μετοχικών τίτλων, εξαιρουμένων των ενδοομιλικών συναλλαγών</w:t>
            </w:r>
          </w:p>
        </w:tc>
        <w:tc>
          <w:tcPr>
            <w:tcW w:w="2745" w:type="dxa"/>
            <w:tcBorders>
              <w:left w:val="nil"/>
              <w:right w:val="nil"/>
            </w:tcBorders>
            <w:noWrap/>
            <w:hideMark/>
          </w:tcPr>
          <w:p w:rsidRPr="00DC209C" w:rsidR="00A30E7B" w:rsidP="003206A4" w:rsidRDefault="00A30E7B" w14:paraId="00B815F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3C64DA1" w14:textId="77777777">
        <w:trPr>
          <w:trHeight w:val="300"/>
        </w:trPr>
        <w:tc>
          <w:tcPr>
            <w:tcW w:w="6804" w:type="dxa"/>
            <w:tcBorders>
              <w:left w:val="nil"/>
              <w:bottom w:val="single" w:color="auto" w:sz="4" w:space="0"/>
              <w:right w:val="nil"/>
            </w:tcBorders>
            <w:noWrap/>
            <w:hideMark/>
          </w:tcPr>
          <w:p w:rsidRPr="00DC209C" w:rsidR="00A30E7B" w:rsidP="003206A4" w:rsidRDefault="00A30E7B" w14:paraId="0978B1CA" w14:textId="77777777">
            <w:pPr>
              <w:ind w:firstLine="162" w:firstLineChars="81"/>
              <w:rPr>
                <w:rFonts w:ascii="Arial" w:hAnsi="Arial" w:eastAsia="Times New Roman" w:cs="Arial"/>
                <w:sz w:val="20"/>
                <w:szCs w:val="20"/>
              </w:rPr>
            </w:pPr>
            <w:r w:rsidRPr="00DC209C">
              <w:rPr>
                <w:rFonts w:ascii="Arial" w:hAnsi="Arial"/>
                <w:sz w:val="20"/>
              </w:rPr>
              <w:t>ε. Όγκος συναλλαγών όλων των υπολοίπων τίτλων, εξαιρουμένων των ενδοομιλικών συναλλαγών</w:t>
            </w:r>
          </w:p>
        </w:tc>
        <w:tc>
          <w:tcPr>
            <w:tcW w:w="2745" w:type="dxa"/>
            <w:tcBorders>
              <w:left w:val="nil"/>
              <w:right w:val="nil"/>
            </w:tcBorders>
            <w:noWrap/>
            <w:hideMark/>
          </w:tcPr>
          <w:p w:rsidRPr="00DC209C" w:rsidR="00A30E7B" w:rsidP="003206A4" w:rsidRDefault="00A30E7B" w14:paraId="7649441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B066C03" w14:textId="77777777">
        <w:trPr>
          <w:gridAfter w:val="1"/>
          <w:wAfter w:w="2745" w:type="dxa"/>
          <w:trHeight w:val="300"/>
        </w:trPr>
        <w:tc>
          <w:tcPr>
            <w:tcW w:w="6804" w:type="dxa"/>
            <w:tcBorders>
              <w:left w:val="nil"/>
              <w:bottom w:val="single" w:color="auto" w:sz="4" w:space="0"/>
              <w:right w:val="nil"/>
            </w:tcBorders>
            <w:noWrap/>
            <w:hideMark/>
          </w:tcPr>
          <w:p w:rsidRPr="00DC209C" w:rsidR="00A30E7B" w:rsidP="003206A4" w:rsidRDefault="00A30E7B" w14:paraId="199D1A4B" w14:textId="77777777">
            <w:pPr>
              <w:ind w:firstLine="162" w:firstLineChars="81"/>
              <w:rPr>
                <w:rFonts w:ascii="Arial" w:hAnsi="Arial" w:eastAsia="Times New Roman" w:cs="Arial"/>
                <w:sz w:val="20"/>
                <w:szCs w:val="20"/>
              </w:rPr>
            </w:pPr>
            <w:r w:rsidRPr="00DC209C">
              <w:rPr>
                <w:rFonts w:ascii="Arial" w:hAnsi="Arial"/>
                <w:sz w:val="20"/>
              </w:rPr>
              <w:t>στ. Επιμέρους δείκτης όγκου συναλλαγών μετοχικών τίτλων και υπολοίπων τίτλων (άθροισμα στοιχείων 9.δ. και 9.ε.)</w:t>
            </w:r>
          </w:p>
        </w:tc>
      </w:tr>
      <w:tr w:rsidRPr="00DC209C" w:rsidR="00A30E7B" w:rsidTr="003206A4" w14:paraId="1DDF8A5C" w14:textId="77777777">
        <w:trPr>
          <w:trHeight w:val="403"/>
        </w:trPr>
        <w:tc>
          <w:tcPr>
            <w:tcW w:w="6804" w:type="dxa"/>
            <w:tcBorders>
              <w:left w:val="nil"/>
              <w:bottom w:val="nil"/>
              <w:right w:val="nil"/>
            </w:tcBorders>
            <w:noWrap/>
          </w:tcPr>
          <w:p w:rsidRPr="00DC209C" w:rsidR="00A30E7B" w:rsidP="003206A4" w:rsidRDefault="00A30E7B" w14:paraId="006A94D9"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DC209C" w:rsidR="00A30E7B" w:rsidP="003206A4" w:rsidRDefault="00A30E7B" w14:paraId="13DCEF93" w14:textId="77777777">
            <w:pPr>
              <w:rPr>
                <w:rFonts w:ascii="Arial" w:hAnsi="Arial" w:eastAsia="Times New Roman" w:cs="Arial"/>
                <w:sz w:val="20"/>
                <w:szCs w:val="20"/>
                <w:lang w:eastAsia="en-GB"/>
              </w:rPr>
            </w:pPr>
          </w:p>
        </w:tc>
      </w:tr>
      <w:tr w:rsidRPr="00DC209C" w:rsidR="00A30E7B" w:rsidTr="003206A4" w14:paraId="130B8DAF" w14:textId="77777777">
        <w:trPr>
          <w:trHeight w:val="403"/>
        </w:trPr>
        <w:tc>
          <w:tcPr>
            <w:tcW w:w="6804" w:type="dxa"/>
            <w:tcBorders>
              <w:top w:val="nil"/>
              <w:left w:val="nil"/>
              <w:bottom w:val="nil"/>
              <w:right w:val="nil"/>
            </w:tcBorders>
            <w:noWrap/>
            <w:hideMark/>
          </w:tcPr>
          <w:p w:rsidRPr="00DC209C" w:rsidR="00A30E7B" w:rsidP="003206A4" w:rsidRDefault="00A30E7B" w14:paraId="23CBB3FE" w14:textId="77777777">
            <w:pPr>
              <w:keepNext/>
              <w:keepLines/>
              <w:spacing w:before="47"/>
              <w:outlineLvl w:val="5"/>
              <w:rPr>
                <w:rFonts w:ascii="Arial" w:hAnsi="Arial" w:eastAsia="Times New Roman" w:cs="Arial"/>
                <w:sz w:val="20"/>
                <w:szCs w:val="20"/>
                <w:lang w:eastAsia="en-GB"/>
              </w:rPr>
            </w:pPr>
            <w:r w:rsidRPr="00DC209C">
              <w:rPr>
                <w:rFonts w:asciiTheme="majorHAnsi" w:hAnsiTheme="majorHAnsi"/>
                <w:b/>
                <w:i/>
                <w:caps/>
              </w:rPr>
              <w:t>Δείκτες πολυπλοκότητας</w:t>
            </w:r>
          </w:p>
        </w:tc>
        <w:tc>
          <w:tcPr>
            <w:tcW w:w="2745" w:type="dxa"/>
            <w:tcBorders>
              <w:top w:val="nil"/>
              <w:left w:val="nil"/>
              <w:bottom w:val="nil"/>
              <w:right w:val="nil"/>
            </w:tcBorders>
            <w:noWrap/>
            <w:hideMark/>
          </w:tcPr>
          <w:p w:rsidRPr="00DC209C" w:rsidR="00A30E7B" w:rsidP="003206A4" w:rsidRDefault="00A30E7B" w14:paraId="58C4DAD2" w14:textId="77777777">
            <w:pPr>
              <w:rPr>
                <w:rFonts w:ascii="Arial" w:hAnsi="Arial" w:eastAsia="Times New Roman" w:cs="Arial"/>
                <w:sz w:val="20"/>
                <w:szCs w:val="20"/>
              </w:rPr>
            </w:pPr>
            <w:r w:rsidRPr="00DC209C">
              <w:rPr>
                <w:rFonts w:ascii="Arial" w:hAnsi="Arial"/>
                <w:sz w:val="20"/>
              </w:rPr>
              <w:t> </w:t>
            </w:r>
          </w:p>
        </w:tc>
      </w:tr>
      <w:tr w:rsidRPr="00DC209C" w:rsidR="00A30E7B" w:rsidTr="003206A4" w14:paraId="4378BF0B" w14:textId="77777777">
        <w:trPr>
          <w:trHeight w:val="403"/>
        </w:trPr>
        <w:tc>
          <w:tcPr>
            <w:tcW w:w="6804" w:type="dxa"/>
            <w:tcBorders>
              <w:top w:val="nil"/>
              <w:left w:val="nil"/>
              <w:bottom w:val="single" w:color="auto" w:sz="4" w:space="0"/>
              <w:right w:val="nil"/>
            </w:tcBorders>
            <w:noWrap/>
          </w:tcPr>
          <w:p w:rsidRPr="00DC209C" w:rsidR="00A30E7B" w:rsidP="003206A4" w:rsidRDefault="00A30E7B" w14:paraId="3D473736"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DC209C" w:rsidR="00A30E7B" w:rsidP="003206A4" w:rsidRDefault="00A30E7B" w14:paraId="701DD4C7" w14:textId="77777777">
            <w:pPr>
              <w:rPr>
                <w:rFonts w:ascii="Arial" w:hAnsi="Arial" w:eastAsia="Times New Roman" w:cs="Arial"/>
                <w:sz w:val="20"/>
                <w:szCs w:val="20"/>
                <w:lang w:eastAsia="en-GB"/>
              </w:rPr>
            </w:pPr>
          </w:p>
        </w:tc>
      </w:tr>
      <w:tr w:rsidRPr="00DC209C" w:rsidR="00A30E7B" w:rsidTr="003206A4" w14:paraId="22086866" w14:textId="77777777">
        <w:trPr>
          <w:trHeight w:val="300"/>
        </w:trPr>
        <w:tc>
          <w:tcPr>
            <w:tcW w:w="6804" w:type="dxa"/>
            <w:tcBorders>
              <w:left w:val="nil"/>
              <w:right w:val="nil"/>
            </w:tcBorders>
            <w:noWrap/>
          </w:tcPr>
          <w:p w:rsidRPr="00DC209C" w:rsidR="00A30E7B" w:rsidP="003206A4" w:rsidRDefault="00A30E7B" w14:paraId="0A45E071" w14:textId="77777777">
            <w:pPr>
              <w:ind w:firstLine="201" w:firstLineChars="100"/>
              <w:rPr>
                <w:rFonts w:ascii="Arial" w:hAnsi="Arial" w:eastAsia="Times New Roman" w:cs="Arial"/>
                <w:sz w:val="20"/>
                <w:szCs w:val="20"/>
              </w:rPr>
            </w:pPr>
            <w:r w:rsidRPr="00DC209C">
              <w:rPr>
                <w:rFonts w:ascii="Arial" w:hAnsi="Arial"/>
                <w:b/>
                <w:sz w:val="20"/>
              </w:rPr>
              <w:t>Τμήμα 10 - Ονομαστική αξία των εξωχρηματιστηριακών παραγώγων</w:t>
            </w:r>
          </w:p>
        </w:tc>
        <w:tc>
          <w:tcPr>
            <w:tcW w:w="2745" w:type="dxa"/>
            <w:tcBorders>
              <w:left w:val="nil"/>
              <w:right w:val="nil"/>
            </w:tcBorders>
            <w:noWrap/>
          </w:tcPr>
          <w:p w:rsidRPr="00DC209C" w:rsidR="00A30E7B" w:rsidP="003206A4" w:rsidRDefault="00A30E7B" w14:paraId="35C0018E"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294FC01E" w14:textId="77777777">
        <w:trPr>
          <w:trHeight w:val="300"/>
        </w:trPr>
        <w:tc>
          <w:tcPr>
            <w:tcW w:w="6804" w:type="dxa"/>
            <w:tcBorders>
              <w:left w:val="nil"/>
              <w:right w:val="nil"/>
            </w:tcBorders>
            <w:noWrap/>
            <w:hideMark/>
          </w:tcPr>
          <w:p w:rsidRPr="00DC209C" w:rsidR="00A30E7B" w:rsidP="003206A4" w:rsidRDefault="00A30E7B" w14:paraId="3799D34B" w14:textId="77777777">
            <w:pPr>
              <w:ind w:firstLine="200" w:firstLineChars="100"/>
              <w:rPr>
                <w:rFonts w:ascii="Arial" w:hAnsi="Arial" w:eastAsia="Times New Roman" w:cs="Arial"/>
                <w:sz w:val="20"/>
                <w:szCs w:val="20"/>
              </w:rPr>
            </w:pPr>
            <w:r w:rsidRPr="00DC209C">
              <w:rPr>
                <w:rFonts w:ascii="Arial" w:hAnsi="Arial"/>
                <w:sz w:val="20"/>
              </w:rPr>
              <w:t>α. Εξωχρηματιστηριακά παράγωγα που εκκαθαρίστηκαν μέσω κεντρικού αντισυμβαλλόμενου</w:t>
            </w:r>
          </w:p>
        </w:tc>
        <w:tc>
          <w:tcPr>
            <w:tcW w:w="2745" w:type="dxa"/>
            <w:tcBorders>
              <w:left w:val="nil"/>
              <w:right w:val="nil"/>
            </w:tcBorders>
            <w:noWrap/>
            <w:hideMark/>
          </w:tcPr>
          <w:p w:rsidRPr="00DC209C" w:rsidR="00A30E7B" w:rsidP="003206A4" w:rsidRDefault="00A30E7B" w14:paraId="234BAD9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62C437C" w14:textId="77777777">
        <w:trPr>
          <w:trHeight w:val="300"/>
        </w:trPr>
        <w:tc>
          <w:tcPr>
            <w:tcW w:w="6804" w:type="dxa"/>
            <w:tcBorders>
              <w:left w:val="nil"/>
              <w:right w:val="nil"/>
            </w:tcBorders>
            <w:noWrap/>
            <w:hideMark/>
          </w:tcPr>
          <w:p w:rsidRPr="00DC209C" w:rsidR="00A30E7B" w:rsidP="003206A4" w:rsidRDefault="00A30E7B" w14:paraId="738A0A33" w14:textId="77777777">
            <w:pPr>
              <w:ind w:firstLine="200" w:firstLineChars="100"/>
              <w:rPr>
                <w:rFonts w:ascii="Arial" w:hAnsi="Arial" w:eastAsia="Times New Roman" w:cs="Arial"/>
                <w:sz w:val="20"/>
                <w:szCs w:val="20"/>
              </w:rPr>
            </w:pPr>
            <w:r w:rsidRPr="00DC209C">
              <w:rPr>
                <w:rFonts w:ascii="Arial" w:hAnsi="Arial"/>
                <w:sz w:val="20"/>
              </w:rPr>
              <w:t>β. Εξωχρηματιστηριακά παράγωγα που εκκαθαρίστηκαν διμερώς</w:t>
            </w:r>
          </w:p>
        </w:tc>
        <w:tc>
          <w:tcPr>
            <w:tcW w:w="2745" w:type="dxa"/>
            <w:tcBorders>
              <w:left w:val="nil"/>
              <w:right w:val="nil"/>
            </w:tcBorders>
            <w:noWrap/>
            <w:hideMark/>
          </w:tcPr>
          <w:p w:rsidRPr="00DC209C" w:rsidR="00A30E7B" w:rsidP="003206A4" w:rsidRDefault="00A30E7B" w14:paraId="11B6356D"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E56F421" w14:textId="77777777">
        <w:trPr>
          <w:trHeight w:val="300"/>
        </w:trPr>
        <w:tc>
          <w:tcPr>
            <w:tcW w:w="6804" w:type="dxa"/>
            <w:tcBorders>
              <w:left w:val="nil"/>
              <w:bottom w:val="single" w:color="auto" w:sz="4" w:space="0"/>
              <w:right w:val="nil"/>
            </w:tcBorders>
            <w:noWrap/>
          </w:tcPr>
          <w:p w:rsidRPr="00DC209C" w:rsidR="00A30E7B" w:rsidP="003206A4" w:rsidRDefault="00A30E7B" w14:paraId="3B2597F5" w14:textId="77777777">
            <w:pPr>
              <w:ind w:left="171" w:firstLine="28" w:firstLineChars="14"/>
              <w:rPr>
                <w:rFonts w:ascii="Arial" w:hAnsi="Arial" w:eastAsia="Times New Roman" w:cs="Arial"/>
                <w:sz w:val="20"/>
                <w:szCs w:val="20"/>
              </w:rPr>
            </w:pPr>
            <w:r w:rsidRPr="00DC209C">
              <w:rPr>
                <w:rFonts w:ascii="Arial" w:hAnsi="Arial"/>
                <w:sz w:val="20"/>
              </w:rPr>
              <w:t>γ. Δείκτης ονομαστικής αξίας των εξωχρηματιστηριακών παραγώγων, συμπεριλαμβανομένων των ασφαλιστικών θυγατρικών (άθροισμα στοιχείων 10.α. και 10.β.)</w:t>
            </w:r>
          </w:p>
        </w:tc>
        <w:tc>
          <w:tcPr>
            <w:tcW w:w="2745" w:type="dxa"/>
            <w:tcBorders>
              <w:left w:val="nil"/>
              <w:bottom w:val="single" w:color="auto" w:sz="4" w:space="0"/>
              <w:right w:val="nil"/>
            </w:tcBorders>
            <w:noWrap/>
          </w:tcPr>
          <w:p w:rsidRPr="00DC209C" w:rsidR="00A30E7B" w:rsidP="003206A4" w:rsidRDefault="00A30E7B" w14:paraId="2C43566A" w14:textId="77777777">
            <w:pPr>
              <w:jc w:val="right"/>
              <w:rPr>
                <w:rFonts w:ascii="Arial" w:hAnsi="Arial" w:eastAsia="Times New Roman" w:cs="Arial"/>
                <w:sz w:val="20"/>
                <w:szCs w:val="20"/>
                <w:lang w:eastAsia="en-GB"/>
              </w:rPr>
            </w:pPr>
          </w:p>
        </w:tc>
      </w:tr>
      <w:tr w:rsidRPr="00DC209C" w:rsidR="00A30E7B" w:rsidTr="003206A4" w14:paraId="2312A683" w14:textId="77777777">
        <w:trPr>
          <w:trHeight w:val="300"/>
        </w:trPr>
        <w:tc>
          <w:tcPr>
            <w:tcW w:w="6804" w:type="dxa"/>
            <w:tcBorders>
              <w:left w:val="nil"/>
              <w:bottom w:val="nil"/>
              <w:right w:val="nil"/>
            </w:tcBorders>
            <w:noWrap/>
          </w:tcPr>
          <w:p w:rsidRPr="00DC209C" w:rsidR="00A30E7B" w:rsidP="003206A4" w:rsidRDefault="00A30E7B" w14:paraId="58E064BD"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33857CD4" w14:textId="77777777">
            <w:pPr>
              <w:jc w:val="center"/>
              <w:rPr>
                <w:rFonts w:ascii="Arial" w:hAnsi="Arial" w:eastAsia="Times New Roman" w:cs="Arial"/>
                <w:b/>
                <w:bCs/>
                <w:sz w:val="20"/>
                <w:szCs w:val="20"/>
                <w:lang w:eastAsia="en-GB"/>
              </w:rPr>
            </w:pPr>
          </w:p>
        </w:tc>
      </w:tr>
      <w:tr w:rsidRPr="00DC209C" w:rsidR="00A30E7B" w:rsidTr="003206A4" w14:paraId="723C7E1D"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1D8AACBC" w14:textId="77777777">
            <w:pPr>
              <w:rPr>
                <w:rFonts w:ascii="Arial" w:hAnsi="Arial" w:eastAsia="Times New Roman" w:cs="Arial"/>
                <w:b/>
                <w:bCs/>
                <w:sz w:val="20"/>
                <w:szCs w:val="20"/>
              </w:rPr>
            </w:pPr>
            <w:r w:rsidRPr="00DC209C">
              <w:rPr>
                <w:rFonts w:ascii="Arial" w:hAnsi="Arial"/>
                <w:b/>
                <w:sz w:val="20"/>
              </w:rPr>
              <w:t>Τμήμα 11 - Εμπορικά και διαθέσιμα προς πώληση χρεόγραφα</w:t>
            </w:r>
          </w:p>
        </w:tc>
        <w:tc>
          <w:tcPr>
            <w:tcW w:w="2745" w:type="dxa"/>
            <w:tcBorders>
              <w:top w:val="nil"/>
              <w:left w:val="nil"/>
              <w:bottom w:val="single" w:color="auto" w:sz="4" w:space="0"/>
              <w:right w:val="nil"/>
            </w:tcBorders>
            <w:hideMark/>
          </w:tcPr>
          <w:p w:rsidRPr="00DC209C" w:rsidR="00A30E7B" w:rsidP="003206A4" w:rsidRDefault="00A30E7B" w14:paraId="6C11642A"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051AD254" w14:textId="77777777">
        <w:trPr>
          <w:trHeight w:val="300"/>
        </w:trPr>
        <w:tc>
          <w:tcPr>
            <w:tcW w:w="6804" w:type="dxa"/>
            <w:tcBorders>
              <w:left w:val="nil"/>
              <w:right w:val="nil"/>
            </w:tcBorders>
            <w:noWrap/>
            <w:hideMark/>
          </w:tcPr>
          <w:p w:rsidRPr="00DC209C" w:rsidR="00A30E7B" w:rsidP="003206A4" w:rsidRDefault="00A30E7B" w14:paraId="15BF1D3E" w14:textId="77777777">
            <w:pPr>
              <w:ind w:firstLine="200" w:firstLineChars="100"/>
              <w:rPr>
                <w:rFonts w:ascii="Arial" w:hAnsi="Arial" w:eastAsia="Times New Roman" w:cs="Arial"/>
                <w:sz w:val="20"/>
                <w:szCs w:val="20"/>
              </w:rPr>
            </w:pPr>
            <w:r w:rsidRPr="00DC209C">
              <w:rPr>
                <w:rFonts w:ascii="Arial" w:hAnsi="Arial"/>
                <w:sz w:val="20"/>
              </w:rPr>
              <w:t>α. Χρεόγραφα διακρατούμενα για εμπορική εκμετάλλευση</w:t>
            </w:r>
          </w:p>
        </w:tc>
        <w:tc>
          <w:tcPr>
            <w:tcW w:w="2745" w:type="dxa"/>
            <w:tcBorders>
              <w:left w:val="nil"/>
              <w:right w:val="nil"/>
            </w:tcBorders>
            <w:noWrap/>
            <w:hideMark/>
          </w:tcPr>
          <w:p w:rsidRPr="00DC209C" w:rsidR="00A30E7B" w:rsidP="003206A4" w:rsidRDefault="00A30E7B" w14:paraId="5FD18CFE"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9F7D338" w14:textId="77777777">
        <w:trPr>
          <w:trHeight w:val="300"/>
        </w:trPr>
        <w:tc>
          <w:tcPr>
            <w:tcW w:w="6804" w:type="dxa"/>
            <w:tcBorders>
              <w:left w:val="nil"/>
              <w:bottom w:val="single" w:color="auto" w:sz="4" w:space="0"/>
              <w:right w:val="nil"/>
            </w:tcBorders>
            <w:noWrap/>
            <w:hideMark/>
          </w:tcPr>
          <w:p w:rsidRPr="00DC209C" w:rsidR="00A30E7B" w:rsidP="003206A4" w:rsidRDefault="00A30E7B" w14:paraId="7103A320" w14:textId="77777777">
            <w:pPr>
              <w:ind w:firstLine="200" w:firstLineChars="100"/>
              <w:rPr>
                <w:rFonts w:ascii="Arial" w:hAnsi="Arial" w:eastAsia="Times New Roman" w:cs="Arial"/>
                <w:sz w:val="20"/>
                <w:szCs w:val="20"/>
              </w:rPr>
            </w:pPr>
            <w:r w:rsidRPr="00DC209C">
              <w:rPr>
                <w:rFonts w:ascii="Arial" w:hAnsi="Arial"/>
                <w:sz w:val="20"/>
              </w:rPr>
              <w:t>β. Χρεόγραφα διαθέσιμα προς πώληση</w:t>
            </w:r>
          </w:p>
        </w:tc>
        <w:tc>
          <w:tcPr>
            <w:tcW w:w="2745" w:type="dxa"/>
            <w:tcBorders>
              <w:left w:val="nil"/>
              <w:right w:val="nil"/>
            </w:tcBorders>
            <w:noWrap/>
            <w:hideMark/>
          </w:tcPr>
          <w:p w:rsidRPr="00DC209C" w:rsidR="00A30E7B" w:rsidP="003206A4" w:rsidRDefault="00A30E7B" w14:paraId="3395EED3"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3AF4A41" w14:textId="77777777">
        <w:trPr>
          <w:trHeight w:val="300"/>
        </w:trPr>
        <w:tc>
          <w:tcPr>
            <w:tcW w:w="6804" w:type="dxa"/>
            <w:tcBorders>
              <w:left w:val="nil"/>
              <w:bottom w:val="single" w:color="auto" w:sz="4" w:space="0"/>
              <w:right w:val="nil"/>
            </w:tcBorders>
            <w:noWrap/>
          </w:tcPr>
          <w:p w:rsidRPr="00DC209C" w:rsidR="00A30E7B" w:rsidP="003206A4" w:rsidRDefault="00A30E7B" w14:paraId="536ED885" w14:textId="77777777">
            <w:pPr>
              <w:ind w:firstLine="200" w:firstLineChars="100"/>
              <w:rPr>
                <w:rFonts w:ascii="Arial" w:hAnsi="Arial" w:eastAsia="Times New Roman" w:cs="Arial"/>
                <w:sz w:val="20"/>
                <w:szCs w:val="20"/>
              </w:rPr>
            </w:pPr>
            <w:r w:rsidRPr="00DC209C">
              <w:rPr>
                <w:rFonts w:ascii="Arial" w:hAnsi="Arial"/>
                <w:sz w:val="20"/>
              </w:rPr>
              <w:t>γ. Εμπορικά και διαθέσιμα προς πώληση χρεόγραφα που ανταποκρίνονται στον ορισμό των στοιχείων ενεργητικού 1ου επιπέδου</w:t>
            </w:r>
          </w:p>
        </w:tc>
        <w:tc>
          <w:tcPr>
            <w:tcW w:w="2745" w:type="dxa"/>
            <w:tcBorders>
              <w:left w:val="nil"/>
              <w:right w:val="nil"/>
            </w:tcBorders>
            <w:noWrap/>
          </w:tcPr>
          <w:p w:rsidRPr="00DC209C" w:rsidR="00A30E7B" w:rsidP="003206A4" w:rsidRDefault="00A30E7B" w14:paraId="5E75439A" w14:textId="77777777">
            <w:pPr>
              <w:jc w:val="right"/>
              <w:rPr>
                <w:rFonts w:ascii="Arial" w:hAnsi="Arial" w:eastAsia="Times New Roman" w:cs="Arial"/>
                <w:sz w:val="20"/>
                <w:szCs w:val="20"/>
                <w:lang w:eastAsia="en-GB"/>
              </w:rPr>
            </w:pPr>
          </w:p>
        </w:tc>
      </w:tr>
      <w:tr w:rsidRPr="00DC209C" w:rsidR="00A30E7B" w:rsidTr="003206A4" w14:paraId="74C47A53" w14:textId="77777777">
        <w:trPr>
          <w:trHeight w:val="300"/>
        </w:trPr>
        <w:tc>
          <w:tcPr>
            <w:tcW w:w="6804" w:type="dxa"/>
            <w:tcBorders>
              <w:left w:val="nil"/>
              <w:bottom w:val="single" w:color="auto" w:sz="4" w:space="0"/>
              <w:right w:val="nil"/>
            </w:tcBorders>
            <w:noWrap/>
          </w:tcPr>
          <w:p w:rsidRPr="00DC209C" w:rsidR="00A30E7B" w:rsidP="003206A4" w:rsidRDefault="00A30E7B" w14:paraId="06C07B41" w14:textId="77777777">
            <w:pPr>
              <w:ind w:firstLine="162" w:firstLineChars="81"/>
              <w:rPr>
                <w:rFonts w:ascii="Arial" w:hAnsi="Arial" w:eastAsia="Times New Roman" w:cs="Arial"/>
                <w:sz w:val="20"/>
                <w:szCs w:val="20"/>
              </w:rPr>
            </w:pPr>
            <w:r w:rsidRPr="00DC209C">
              <w:rPr>
                <w:rFonts w:ascii="Arial" w:hAnsi="Arial"/>
                <w:sz w:val="20"/>
              </w:rPr>
              <w:t>δ. Εμπορικά και διαθέσιμα προς πώληση χρεόγραφα που ανταποκρίνονται στον ορισμό των στοιχείων ενεργητικού 2ου επιπέδου με απομείωση</w:t>
            </w:r>
          </w:p>
        </w:tc>
        <w:tc>
          <w:tcPr>
            <w:tcW w:w="2745" w:type="dxa"/>
            <w:tcBorders>
              <w:left w:val="nil"/>
              <w:right w:val="nil"/>
            </w:tcBorders>
            <w:noWrap/>
          </w:tcPr>
          <w:p w:rsidRPr="00DC209C" w:rsidR="00A30E7B" w:rsidP="003206A4" w:rsidRDefault="00A30E7B" w14:paraId="214525B6" w14:textId="77777777">
            <w:pPr>
              <w:jc w:val="right"/>
              <w:rPr>
                <w:rFonts w:ascii="Arial" w:hAnsi="Arial" w:eastAsia="Times New Roman" w:cs="Arial"/>
                <w:sz w:val="20"/>
                <w:szCs w:val="20"/>
                <w:lang w:eastAsia="en-GB"/>
              </w:rPr>
            </w:pPr>
          </w:p>
        </w:tc>
      </w:tr>
      <w:tr w:rsidRPr="00DC209C" w:rsidR="00A30E7B" w:rsidTr="003206A4" w14:paraId="412BDB26" w14:textId="77777777">
        <w:trPr>
          <w:trHeight w:val="300"/>
        </w:trPr>
        <w:tc>
          <w:tcPr>
            <w:tcW w:w="6804" w:type="dxa"/>
            <w:tcBorders>
              <w:left w:val="nil"/>
              <w:bottom w:val="single" w:color="auto" w:sz="4" w:space="0"/>
              <w:right w:val="nil"/>
            </w:tcBorders>
            <w:noWrap/>
          </w:tcPr>
          <w:p w:rsidRPr="00DC209C" w:rsidR="00A30E7B" w:rsidP="003206A4" w:rsidRDefault="00A30E7B" w14:paraId="3095BFBC" w14:textId="77777777">
            <w:pPr>
              <w:ind w:firstLine="162" w:firstLineChars="81"/>
              <w:rPr>
                <w:rFonts w:ascii="Arial" w:hAnsi="Arial" w:eastAsia="Times New Roman" w:cs="Arial"/>
                <w:sz w:val="20"/>
                <w:szCs w:val="20"/>
              </w:rPr>
            </w:pPr>
            <w:r w:rsidRPr="00DC209C">
              <w:rPr>
                <w:rFonts w:ascii="Arial" w:hAnsi="Arial"/>
                <w:sz w:val="20"/>
              </w:rPr>
              <w:t>ε. Δείκτης εμπορικών και διαθέσιμων προς πώληση χρεογράφων (άθροισμα στοιχείων 11.α και 11.β, μείον το άθροισμα των στοιχείων 11.γ και 11.δ)</w:t>
            </w:r>
          </w:p>
        </w:tc>
        <w:tc>
          <w:tcPr>
            <w:tcW w:w="2745" w:type="dxa"/>
            <w:tcBorders>
              <w:left w:val="nil"/>
              <w:bottom w:val="single" w:color="auto" w:sz="4" w:space="0"/>
              <w:right w:val="nil"/>
            </w:tcBorders>
            <w:noWrap/>
          </w:tcPr>
          <w:p w:rsidRPr="00DC209C" w:rsidR="00A30E7B" w:rsidP="003206A4" w:rsidRDefault="00A30E7B" w14:paraId="7BE95341" w14:textId="77777777">
            <w:pPr>
              <w:jc w:val="right"/>
              <w:rPr>
                <w:rFonts w:ascii="Arial" w:hAnsi="Arial" w:eastAsia="Times New Roman" w:cs="Arial"/>
                <w:sz w:val="20"/>
                <w:szCs w:val="20"/>
                <w:lang w:eastAsia="en-GB"/>
              </w:rPr>
            </w:pPr>
          </w:p>
        </w:tc>
      </w:tr>
      <w:tr w:rsidRPr="00DC209C" w:rsidR="00A30E7B" w:rsidTr="003206A4" w14:paraId="7E27654E" w14:textId="77777777">
        <w:trPr>
          <w:trHeight w:val="300"/>
        </w:trPr>
        <w:tc>
          <w:tcPr>
            <w:tcW w:w="6804" w:type="dxa"/>
            <w:tcBorders>
              <w:left w:val="nil"/>
              <w:bottom w:val="nil"/>
              <w:right w:val="nil"/>
            </w:tcBorders>
            <w:noWrap/>
          </w:tcPr>
          <w:p w:rsidRPr="00DC209C" w:rsidR="00A30E7B" w:rsidP="003206A4" w:rsidRDefault="00A30E7B" w14:paraId="4A83286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24B2E5D2" w14:textId="77777777">
            <w:pPr>
              <w:jc w:val="center"/>
              <w:rPr>
                <w:rFonts w:ascii="Arial" w:hAnsi="Arial" w:eastAsia="Times New Roman" w:cs="Arial"/>
                <w:b/>
                <w:bCs/>
                <w:sz w:val="20"/>
                <w:szCs w:val="20"/>
                <w:lang w:eastAsia="en-GB"/>
              </w:rPr>
            </w:pPr>
          </w:p>
        </w:tc>
      </w:tr>
      <w:tr w:rsidRPr="00DC209C" w:rsidR="00A30E7B" w:rsidTr="003206A4" w14:paraId="2AF2E28C"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48664E22" w14:textId="77777777">
            <w:pPr>
              <w:rPr>
                <w:rFonts w:ascii="Arial" w:hAnsi="Arial" w:eastAsia="Times New Roman" w:cs="Arial"/>
                <w:b/>
                <w:bCs/>
                <w:sz w:val="20"/>
                <w:szCs w:val="20"/>
              </w:rPr>
            </w:pPr>
            <w:r w:rsidRPr="00DC209C">
              <w:rPr>
                <w:rFonts w:ascii="Arial" w:hAnsi="Arial"/>
                <w:b/>
                <w:sz w:val="20"/>
              </w:rPr>
              <w:lastRenderedPageBreak/>
              <w:t>Τμήμα 12 - Στοιχεία ενεργητικού 3ου επιπέδου</w:t>
            </w:r>
          </w:p>
        </w:tc>
        <w:tc>
          <w:tcPr>
            <w:tcW w:w="2745" w:type="dxa"/>
            <w:tcBorders>
              <w:top w:val="nil"/>
              <w:left w:val="nil"/>
              <w:bottom w:val="single" w:color="auto" w:sz="4" w:space="0"/>
              <w:right w:val="nil"/>
            </w:tcBorders>
            <w:hideMark/>
          </w:tcPr>
          <w:p w:rsidRPr="00DC209C" w:rsidR="00A30E7B" w:rsidP="003206A4" w:rsidRDefault="00A30E7B" w14:paraId="17D03E4E"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2A1BE8FF" w14:textId="77777777">
        <w:trPr>
          <w:trHeight w:val="300"/>
        </w:trPr>
        <w:tc>
          <w:tcPr>
            <w:tcW w:w="6804" w:type="dxa"/>
            <w:tcBorders>
              <w:left w:val="nil"/>
              <w:bottom w:val="single" w:color="auto" w:sz="4" w:space="0"/>
              <w:right w:val="nil"/>
            </w:tcBorders>
            <w:noWrap/>
            <w:hideMark/>
          </w:tcPr>
          <w:p w:rsidRPr="00DC209C" w:rsidR="00A30E7B" w:rsidP="003206A4" w:rsidRDefault="00A30E7B" w14:paraId="42E9CEC7" w14:textId="77777777">
            <w:pPr>
              <w:ind w:firstLine="200" w:firstLineChars="100"/>
              <w:rPr>
                <w:rFonts w:ascii="Arial" w:hAnsi="Arial" w:eastAsia="Times New Roman" w:cs="Arial"/>
                <w:sz w:val="20"/>
                <w:szCs w:val="20"/>
              </w:rPr>
            </w:pPr>
            <w:r w:rsidRPr="00DC209C">
              <w:rPr>
                <w:rFonts w:ascii="Arial" w:hAnsi="Arial"/>
                <w:sz w:val="20"/>
              </w:rPr>
              <w:t xml:space="preserve">στ. Δείκτης στοιχείων ενεργητικού 3ου επιπέδου, συμπεριλαμβανομένων των ασφαλιστικών θυγατρικών </w:t>
            </w:r>
          </w:p>
        </w:tc>
        <w:tc>
          <w:tcPr>
            <w:tcW w:w="2745" w:type="dxa"/>
            <w:tcBorders>
              <w:left w:val="nil"/>
              <w:bottom w:val="single" w:color="auto" w:sz="4" w:space="0"/>
              <w:right w:val="nil"/>
            </w:tcBorders>
            <w:noWrap/>
            <w:hideMark/>
          </w:tcPr>
          <w:p w:rsidRPr="00DC209C" w:rsidR="00A30E7B" w:rsidP="003206A4" w:rsidRDefault="00A30E7B" w14:paraId="1EAE91CB"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1B80E93" w14:textId="77777777">
        <w:trPr>
          <w:trHeight w:val="300"/>
        </w:trPr>
        <w:tc>
          <w:tcPr>
            <w:tcW w:w="6804" w:type="dxa"/>
            <w:tcBorders>
              <w:left w:val="nil"/>
              <w:bottom w:val="nil"/>
              <w:right w:val="nil"/>
            </w:tcBorders>
            <w:noWrap/>
          </w:tcPr>
          <w:p w:rsidRPr="00DC209C" w:rsidR="00A30E7B" w:rsidP="003206A4" w:rsidRDefault="00A30E7B" w14:paraId="0BC646B9"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DC209C" w:rsidR="00A30E7B" w:rsidP="003206A4" w:rsidRDefault="00A30E7B" w14:paraId="5093D0A4" w14:textId="77777777">
            <w:pPr>
              <w:jc w:val="right"/>
              <w:rPr>
                <w:rFonts w:ascii="Arial" w:hAnsi="Arial" w:eastAsia="Times New Roman" w:cs="Arial"/>
                <w:sz w:val="20"/>
                <w:szCs w:val="20"/>
                <w:lang w:eastAsia="en-GB"/>
              </w:rPr>
            </w:pPr>
          </w:p>
        </w:tc>
      </w:tr>
      <w:tr w:rsidRPr="00DC209C" w:rsidR="00A30E7B" w:rsidTr="003206A4" w14:paraId="03358521" w14:textId="77777777">
        <w:trPr>
          <w:trHeight w:val="300"/>
        </w:trPr>
        <w:tc>
          <w:tcPr>
            <w:tcW w:w="6804" w:type="dxa"/>
            <w:tcBorders>
              <w:top w:val="nil"/>
              <w:left w:val="nil"/>
              <w:bottom w:val="nil"/>
              <w:right w:val="nil"/>
            </w:tcBorders>
            <w:noWrap/>
          </w:tcPr>
          <w:p w:rsidRPr="00DC209C" w:rsidR="00A30E7B" w:rsidP="003206A4" w:rsidRDefault="00A30E7B" w14:paraId="1D1405EE" w14:textId="77777777">
            <w:pPr>
              <w:ind w:firstLine="221" w:firstLineChars="100"/>
              <w:rPr>
                <w:rFonts w:ascii="Arial" w:hAnsi="Arial" w:eastAsia="Times New Roman" w:cs="Arial"/>
                <w:sz w:val="20"/>
                <w:szCs w:val="20"/>
              </w:rPr>
            </w:pPr>
            <w:r w:rsidRPr="00DC209C">
              <w:rPr>
                <w:rFonts w:asciiTheme="majorHAnsi" w:hAnsiTheme="majorHAnsi"/>
                <w:b/>
                <w:i/>
                <w:caps/>
              </w:rPr>
              <w:t>Δείκτες διακρατικής δραστηριότητας</w:t>
            </w:r>
          </w:p>
        </w:tc>
        <w:tc>
          <w:tcPr>
            <w:tcW w:w="2745" w:type="dxa"/>
            <w:tcBorders>
              <w:top w:val="nil"/>
              <w:left w:val="nil"/>
              <w:bottom w:val="nil"/>
              <w:right w:val="nil"/>
            </w:tcBorders>
            <w:noWrap/>
          </w:tcPr>
          <w:p w:rsidRPr="00DC209C" w:rsidR="00A30E7B" w:rsidP="003206A4" w:rsidRDefault="00A30E7B" w14:paraId="24343DD9" w14:textId="77777777">
            <w:pPr>
              <w:jc w:val="right"/>
              <w:rPr>
                <w:rFonts w:ascii="Arial" w:hAnsi="Arial" w:eastAsia="Times New Roman" w:cs="Arial"/>
                <w:sz w:val="20"/>
                <w:szCs w:val="20"/>
                <w:lang w:eastAsia="en-GB"/>
              </w:rPr>
            </w:pPr>
          </w:p>
        </w:tc>
      </w:tr>
      <w:tr w:rsidRPr="00DC209C" w:rsidR="00A30E7B" w:rsidTr="003206A4" w14:paraId="2AD8B212"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3740E78E"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DC209C" w:rsidR="00A30E7B" w:rsidP="003206A4" w:rsidRDefault="00A30E7B" w14:paraId="4FFFFEA4" w14:textId="77777777">
            <w:pPr>
              <w:jc w:val="right"/>
              <w:rPr>
                <w:rFonts w:ascii="Arial" w:hAnsi="Arial" w:eastAsia="Times New Roman" w:cs="Arial"/>
                <w:sz w:val="20"/>
                <w:szCs w:val="20"/>
                <w:lang w:eastAsia="en-GB"/>
              </w:rPr>
            </w:pPr>
          </w:p>
        </w:tc>
      </w:tr>
      <w:tr w:rsidRPr="00DC209C" w:rsidR="00A30E7B" w:rsidTr="003206A4" w14:paraId="2267B10B" w14:textId="77777777">
        <w:trPr>
          <w:trHeight w:val="300"/>
        </w:trPr>
        <w:tc>
          <w:tcPr>
            <w:tcW w:w="6804" w:type="dxa"/>
            <w:tcBorders>
              <w:left w:val="nil"/>
              <w:bottom w:val="single" w:color="auto" w:sz="4" w:space="0"/>
              <w:right w:val="nil"/>
            </w:tcBorders>
            <w:noWrap/>
            <w:hideMark/>
          </w:tcPr>
          <w:p w:rsidRPr="00DC209C" w:rsidR="00A30E7B" w:rsidP="003206A4" w:rsidRDefault="00A30E7B" w14:paraId="563423DF" w14:textId="77777777">
            <w:pPr>
              <w:rPr>
                <w:rFonts w:ascii="Arial" w:hAnsi="Arial" w:eastAsia="Times New Roman" w:cs="Arial"/>
                <w:b/>
                <w:bCs/>
                <w:sz w:val="20"/>
                <w:szCs w:val="20"/>
              </w:rPr>
            </w:pPr>
            <w:r w:rsidRPr="00DC209C">
              <w:rPr>
                <w:rFonts w:ascii="Arial" w:hAnsi="Arial"/>
                <w:b/>
                <w:sz w:val="20"/>
              </w:rPr>
              <w:t>Τμήμα 13 - Διακρατικές απαιτήσεις</w:t>
            </w:r>
          </w:p>
        </w:tc>
        <w:tc>
          <w:tcPr>
            <w:tcW w:w="2745" w:type="dxa"/>
            <w:tcBorders>
              <w:left w:val="nil"/>
              <w:bottom w:val="single" w:color="auto" w:sz="4" w:space="0"/>
              <w:right w:val="nil"/>
            </w:tcBorders>
            <w:hideMark/>
          </w:tcPr>
          <w:p w:rsidRPr="00DC209C" w:rsidR="00A30E7B" w:rsidP="003206A4" w:rsidRDefault="00A30E7B" w14:paraId="2950F8DB"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3FE4FAEA" w14:textId="77777777">
        <w:trPr>
          <w:trHeight w:val="300"/>
        </w:trPr>
        <w:tc>
          <w:tcPr>
            <w:tcW w:w="6804" w:type="dxa"/>
            <w:tcBorders>
              <w:left w:val="nil"/>
              <w:right w:val="nil"/>
            </w:tcBorders>
            <w:noWrap/>
            <w:hideMark/>
          </w:tcPr>
          <w:p w:rsidRPr="00DC209C" w:rsidR="00A30E7B" w:rsidP="003206A4" w:rsidRDefault="00A30E7B" w14:paraId="7EFFB168" w14:textId="77777777">
            <w:pPr>
              <w:ind w:firstLine="200" w:firstLineChars="100"/>
              <w:rPr>
                <w:rFonts w:ascii="Arial" w:hAnsi="Arial" w:eastAsia="Times New Roman" w:cs="Arial"/>
                <w:sz w:val="20"/>
                <w:szCs w:val="20"/>
              </w:rPr>
            </w:pPr>
            <w:r w:rsidRPr="00DC209C">
              <w:rPr>
                <w:rFonts w:ascii="Arial" w:hAnsi="Arial"/>
                <w:sz w:val="20"/>
              </w:rPr>
              <w:t>α. Σύνολο απαιτήσεων εξωτερικού με βάση τον τελικό κίνδυνο</w:t>
            </w:r>
          </w:p>
        </w:tc>
        <w:tc>
          <w:tcPr>
            <w:tcW w:w="2745" w:type="dxa"/>
            <w:tcBorders>
              <w:left w:val="nil"/>
              <w:right w:val="nil"/>
            </w:tcBorders>
            <w:noWrap/>
            <w:hideMark/>
          </w:tcPr>
          <w:p w:rsidRPr="00DC209C" w:rsidR="00A30E7B" w:rsidP="003206A4" w:rsidRDefault="00A30E7B" w14:paraId="3245EEC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7DA175D" w14:textId="77777777">
        <w:trPr>
          <w:trHeight w:val="300"/>
        </w:trPr>
        <w:tc>
          <w:tcPr>
            <w:tcW w:w="6804" w:type="dxa"/>
            <w:tcBorders>
              <w:left w:val="nil"/>
              <w:right w:val="nil"/>
            </w:tcBorders>
            <w:noWrap/>
            <w:hideMark/>
          </w:tcPr>
          <w:p w:rsidRPr="00DC209C" w:rsidR="00A30E7B" w:rsidP="003206A4" w:rsidRDefault="00A30E7B" w14:paraId="4E7AC191" w14:textId="77777777">
            <w:pPr>
              <w:ind w:firstLine="200" w:firstLineChars="100"/>
              <w:rPr>
                <w:rFonts w:ascii="Arial" w:hAnsi="Arial" w:eastAsia="Times New Roman" w:cs="Arial"/>
                <w:sz w:val="20"/>
                <w:szCs w:val="20"/>
              </w:rPr>
            </w:pPr>
            <w:r w:rsidRPr="00DC209C">
              <w:rPr>
                <w:rFonts w:ascii="Arial" w:hAnsi="Arial"/>
                <w:sz w:val="20"/>
              </w:rPr>
              <w:t>β. Απαιτήσεις παραγώγων από το εξωτερικό με βάση τον τελικό κίνδυνο</w:t>
            </w:r>
          </w:p>
        </w:tc>
        <w:tc>
          <w:tcPr>
            <w:tcW w:w="2745" w:type="dxa"/>
            <w:tcBorders>
              <w:left w:val="nil"/>
              <w:right w:val="nil"/>
            </w:tcBorders>
            <w:noWrap/>
            <w:hideMark/>
          </w:tcPr>
          <w:p w:rsidRPr="00DC209C" w:rsidR="00A30E7B" w:rsidP="003206A4" w:rsidRDefault="00A30E7B" w14:paraId="5660BA5B"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5B8CB1C" w14:textId="77777777">
        <w:trPr>
          <w:gridAfter w:val="1"/>
          <w:wAfter w:w="2745" w:type="dxa"/>
          <w:trHeight w:val="300"/>
        </w:trPr>
        <w:tc>
          <w:tcPr>
            <w:tcW w:w="6804" w:type="dxa"/>
            <w:tcBorders>
              <w:left w:val="nil"/>
              <w:bottom w:val="single" w:color="auto" w:sz="4" w:space="0"/>
              <w:right w:val="nil"/>
            </w:tcBorders>
            <w:hideMark/>
          </w:tcPr>
          <w:p w:rsidRPr="00DC209C" w:rsidR="00A30E7B" w:rsidP="003206A4" w:rsidRDefault="00A30E7B" w14:paraId="64BF309C" w14:textId="77777777">
            <w:pPr>
              <w:ind w:firstLine="200" w:firstLineChars="100"/>
              <w:rPr>
                <w:rFonts w:ascii="Arial" w:hAnsi="Arial" w:eastAsia="Times New Roman" w:cs="Arial"/>
                <w:sz w:val="20"/>
                <w:szCs w:val="20"/>
              </w:rPr>
            </w:pPr>
            <w:r w:rsidRPr="00DC209C">
              <w:rPr>
                <w:rFonts w:ascii="Arial" w:hAnsi="Arial"/>
                <w:sz w:val="20"/>
              </w:rPr>
              <w:t>γ. Δείκτης διακρατικών απαιτήσεων (άθροισμα στοιχείων 13.α και 13.β)</w:t>
            </w:r>
          </w:p>
        </w:tc>
      </w:tr>
      <w:tr w:rsidRPr="00DC209C" w:rsidR="00A30E7B" w:rsidTr="003206A4" w14:paraId="50A4305D" w14:textId="77777777">
        <w:trPr>
          <w:trHeight w:val="300"/>
        </w:trPr>
        <w:tc>
          <w:tcPr>
            <w:tcW w:w="6804" w:type="dxa"/>
            <w:tcBorders>
              <w:left w:val="nil"/>
              <w:bottom w:val="nil"/>
              <w:right w:val="nil"/>
            </w:tcBorders>
            <w:noWrap/>
          </w:tcPr>
          <w:p w:rsidRPr="00DC209C" w:rsidR="00A30E7B" w:rsidP="003206A4" w:rsidRDefault="00A30E7B" w14:paraId="6D549D0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6218132A" w14:textId="77777777">
            <w:pPr>
              <w:jc w:val="center"/>
              <w:rPr>
                <w:rFonts w:ascii="Arial" w:hAnsi="Arial" w:eastAsia="Times New Roman" w:cs="Arial"/>
                <w:b/>
                <w:bCs/>
                <w:sz w:val="20"/>
                <w:szCs w:val="20"/>
                <w:lang w:eastAsia="en-GB"/>
              </w:rPr>
            </w:pPr>
          </w:p>
        </w:tc>
      </w:tr>
      <w:tr w:rsidRPr="00DC209C" w:rsidR="00A30E7B" w:rsidTr="003206A4" w14:paraId="73B7A239"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45E02E29" w14:textId="77777777">
            <w:pPr>
              <w:rPr>
                <w:rFonts w:ascii="Arial" w:hAnsi="Arial" w:eastAsia="Times New Roman" w:cs="Arial"/>
                <w:b/>
                <w:bCs/>
                <w:sz w:val="20"/>
                <w:szCs w:val="20"/>
              </w:rPr>
            </w:pPr>
            <w:r w:rsidRPr="00DC209C">
              <w:rPr>
                <w:rFonts w:ascii="Arial" w:hAnsi="Arial"/>
                <w:b/>
                <w:sz w:val="20"/>
              </w:rPr>
              <w:t>Τμήμα 14 - Διακρατικές υποχρεώσεις</w:t>
            </w:r>
          </w:p>
        </w:tc>
        <w:tc>
          <w:tcPr>
            <w:tcW w:w="2745" w:type="dxa"/>
            <w:tcBorders>
              <w:top w:val="nil"/>
              <w:left w:val="nil"/>
              <w:right w:val="nil"/>
            </w:tcBorders>
            <w:hideMark/>
          </w:tcPr>
          <w:p w:rsidRPr="00DC209C" w:rsidR="00A30E7B" w:rsidP="003206A4" w:rsidRDefault="00A30E7B" w14:paraId="4457B495"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717202F0" w14:textId="77777777">
        <w:trPr>
          <w:gridAfter w:val="1"/>
          <w:wAfter w:w="2745" w:type="dxa"/>
          <w:trHeight w:val="300"/>
        </w:trPr>
        <w:tc>
          <w:tcPr>
            <w:tcW w:w="6804" w:type="dxa"/>
            <w:tcBorders>
              <w:left w:val="nil"/>
              <w:right w:val="nil"/>
            </w:tcBorders>
            <w:noWrap/>
            <w:hideMark/>
          </w:tcPr>
          <w:p w:rsidRPr="00DC209C" w:rsidR="00A30E7B" w:rsidP="003206A4" w:rsidRDefault="00A30E7B" w14:paraId="66D76CB3" w14:textId="77777777">
            <w:pPr>
              <w:ind w:firstLine="162" w:firstLineChars="81"/>
              <w:rPr>
                <w:rFonts w:ascii="Arial" w:hAnsi="Arial" w:eastAsia="Times New Roman" w:cs="Arial"/>
                <w:sz w:val="20"/>
                <w:szCs w:val="20"/>
              </w:rPr>
            </w:pPr>
            <w:r w:rsidRPr="00DC209C">
              <w:rPr>
                <w:rFonts w:ascii="Arial" w:hAnsi="Arial"/>
                <w:sz w:val="20"/>
              </w:rPr>
              <w:t>α. Υποχρεώσεις προς το εξωτερικό με βάση τον άμεσο κίνδυνο, εξαιρουμένων υποχρεώσεων παραγώγων και συμπεριλαμβανομένων των εγχώριων υποχρεώσεων στο εγχώριο νόμισμα</w:t>
            </w:r>
          </w:p>
        </w:tc>
      </w:tr>
      <w:tr w:rsidRPr="00DC209C" w:rsidR="00A30E7B" w:rsidTr="003206A4" w14:paraId="5E10FE3D" w14:textId="77777777">
        <w:trPr>
          <w:trHeight w:val="300"/>
        </w:trPr>
        <w:tc>
          <w:tcPr>
            <w:tcW w:w="6804" w:type="dxa"/>
            <w:tcBorders>
              <w:left w:val="nil"/>
              <w:right w:val="nil"/>
            </w:tcBorders>
            <w:noWrap/>
            <w:hideMark/>
          </w:tcPr>
          <w:p w:rsidRPr="00DC209C" w:rsidR="00A30E7B" w:rsidP="003206A4" w:rsidRDefault="00A30E7B" w14:paraId="3DE7B151" w14:textId="77777777">
            <w:pPr>
              <w:ind w:firstLine="162" w:firstLineChars="81"/>
              <w:rPr>
                <w:rFonts w:ascii="Arial" w:hAnsi="Arial" w:eastAsia="Times New Roman" w:cs="Arial"/>
                <w:sz w:val="20"/>
                <w:szCs w:val="20"/>
              </w:rPr>
            </w:pPr>
            <w:r w:rsidRPr="00DC209C">
              <w:rPr>
                <w:rFonts w:ascii="Arial" w:hAnsi="Arial"/>
                <w:sz w:val="20"/>
              </w:rPr>
              <w:t>β. Υποχρεώσεις παραγώγων προς το εξωτερικό με βάση τον άμεσο κίνδυνο</w:t>
            </w:r>
          </w:p>
        </w:tc>
        <w:tc>
          <w:tcPr>
            <w:tcW w:w="2745" w:type="dxa"/>
            <w:tcBorders>
              <w:left w:val="nil"/>
              <w:right w:val="nil"/>
            </w:tcBorders>
            <w:noWrap/>
            <w:hideMark/>
          </w:tcPr>
          <w:p w:rsidRPr="00DC209C" w:rsidR="00A30E7B" w:rsidP="003206A4" w:rsidRDefault="00A30E7B" w14:paraId="7C8A3B4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158E61E" w14:textId="77777777">
        <w:trPr>
          <w:gridAfter w:val="1"/>
          <w:wAfter w:w="2745" w:type="dxa"/>
          <w:trHeight w:val="300"/>
        </w:trPr>
        <w:tc>
          <w:tcPr>
            <w:tcW w:w="6804" w:type="dxa"/>
            <w:tcBorders>
              <w:left w:val="nil"/>
              <w:bottom w:val="single" w:color="auto" w:sz="4" w:space="0"/>
              <w:right w:val="nil"/>
            </w:tcBorders>
            <w:hideMark/>
          </w:tcPr>
          <w:p w:rsidRPr="00DC209C" w:rsidR="00A30E7B" w:rsidP="003206A4" w:rsidRDefault="00A30E7B" w14:paraId="4CF65648" w14:textId="77777777">
            <w:pPr>
              <w:ind w:firstLine="162" w:firstLineChars="81"/>
              <w:rPr>
                <w:rFonts w:ascii="Arial" w:hAnsi="Arial" w:eastAsia="Times New Roman" w:cs="Arial"/>
                <w:sz w:val="20"/>
                <w:szCs w:val="20"/>
              </w:rPr>
            </w:pPr>
            <w:r w:rsidRPr="00DC209C">
              <w:rPr>
                <w:rFonts w:ascii="Arial" w:hAnsi="Arial"/>
                <w:sz w:val="20"/>
              </w:rPr>
              <w:t>γ. Δείκτης διακρατικών υποχρεώσεων (άθροισμα στοιχείων 14.α και 14.β)</w:t>
            </w:r>
          </w:p>
        </w:tc>
      </w:tr>
      <w:tr w:rsidRPr="00DC209C" w:rsidR="00A30E7B" w:rsidTr="003206A4" w14:paraId="5C0B18BB" w14:textId="77777777">
        <w:trPr>
          <w:trHeight w:val="300"/>
        </w:trPr>
        <w:tc>
          <w:tcPr>
            <w:tcW w:w="6804" w:type="dxa"/>
            <w:tcBorders>
              <w:left w:val="nil"/>
              <w:bottom w:val="nil"/>
              <w:right w:val="nil"/>
            </w:tcBorders>
            <w:noWrap/>
          </w:tcPr>
          <w:p w:rsidRPr="00DC209C" w:rsidR="00A30E7B" w:rsidP="003206A4" w:rsidRDefault="00A30E7B" w14:paraId="6A80DE3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6CD90113" w14:textId="77777777">
            <w:pPr>
              <w:jc w:val="center"/>
              <w:rPr>
                <w:rFonts w:ascii="Arial" w:hAnsi="Arial" w:eastAsia="Times New Roman" w:cs="Arial"/>
                <w:b/>
                <w:bCs/>
                <w:sz w:val="20"/>
                <w:szCs w:val="20"/>
                <w:lang w:eastAsia="en-GB"/>
              </w:rPr>
            </w:pPr>
          </w:p>
        </w:tc>
      </w:tr>
      <w:tr w:rsidRPr="00DC209C" w:rsidR="00A30E7B" w:rsidTr="003206A4" w14:paraId="2256FC89" w14:textId="77777777">
        <w:trPr>
          <w:trHeight w:val="300"/>
        </w:trPr>
        <w:tc>
          <w:tcPr>
            <w:tcW w:w="6804" w:type="dxa"/>
            <w:tcBorders>
              <w:top w:val="nil"/>
              <w:left w:val="nil"/>
              <w:bottom w:val="nil"/>
              <w:right w:val="nil"/>
            </w:tcBorders>
            <w:noWrap/>
          </w:tcPr>
          <w:p w:rsidRPr="00DC209C" w:rsidR="00A30E7B" w:rsidP="003206A4" w:rsidRDefault="00A30E7B" w14:paraId="30C0AE41" w14:textId="77777777">
            <w:pPr>
              <w:keepNext/>
              <w:keepLines/>
              <w:spacing w:before="47"/>
              <w:outlineLvl w:val="5"/>
              <w:rPr>
                <w:rFonts w:ascii="Arial" w:hAnsi="Arial" w:eastAsia="Times New Roman" w:cs="Arial"/>
                <w:b/>
                <w:bCs/>
                <w:i/>
                <w:iCs/>
                <w:caps/>
                <w:color w:val="172B39" w:themeColor="accent1" w:themeShade="80"/>
                <w:sz w:val="20"/>
                <w:szCs w:val="20"/>
              </w:rPr>
            </w:pPr>
            <w:r w:rsidRPr="00DC209C">
              <w:rPr>
                <w:rFonts w:asciiTheme="majorHAnsi" w:hAnsiTheme="majorHAnsi"/>
                <w:b/>
                <w:i/>
                <w:caps/>
              </w:rPr>
              <w:t>ΕΠΙΚΟΥΡΙΚΑ ΣΤΟΙΧΕΙΑ</w:t>
            </w:r>
          </w:p>
        </w:tc>
        <w:tc>
          <w:tcPr>
            <w:tcW w:w="2745" w:type="dxa"/>
            <w:tcBorders>
              <w:top w:val="nil"/>
              <w:left w:val="nil"/>
              <w:bottom w:val="nil"/>
              <w:right w:val="nil"/>
            </w:tcBorders>
          </w:tcPr>
          <w:p w:rsidRPr="00DC209C" w:rsidR="00A30E7B" w:rsidP="003206A4" w:rsidRDefault="00A30E7B" w14:paraId="6AE9B1CD" w14:textId="77777777">
            <w:pPr>
              <w:jc w:val="center"/>
              <w:rPr>
                <w:rFonts w:ascii="Arial" w:hAnsi="Arial" w:eastAsia="Times New Roman" w:cs="Arial"/>
                <w:b/>
                <w:bCs/>
                <w:sz w:val="20"/>
                <w:szCs w:val="20"/>
                <w:lang w:eastAsia="en-GB"/>
              </w:rPr>
            </w:pPr>
          </w:p>
        </w:tc>
      </w:tr>
      <w:tr w:rsidRPr="00DC209C" w:rsidR="00A30E7B" w:rsidTr="003206A4" w14:paraId="23CEB122"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7E22DF5E"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DC209C" w:rsidR="00A30E7B" w:rsidP="003206A4" w:rsidRDefault="00A30E7B" w14:paraId="1AE023EB" w14:textId="77777777">
            <w:pPr>
              <w:jc w:val="center"/>
              <w:rPr>
                <w:rFonts w:ascii="Arial" w:hAnsi="Arial" w:eastAsia="Times New Roman" w:cs="Arial"/>
                <w:b/>
                <w:bCs/>
                <w:sz w:val="20"/>
                <w:szCs w:val="20"/>
                <w:lang w:eastAsia="en-GB"/>
              </w:rPr>
            </w:pPr>
          </w:p>
        </w:tc>
      </w:tr>
      <w:tr w:rsidRPr="00DC209C" w:rsidR="00A30E7B" w:rsidTr="003206A4" w14:paraId="2A52D634" w14:textId="77777777">
        <w:trPr>
          <w:trHeight w:val="300"/>
        </w:trPr>
        <w:tc>
          <w:tcPr>
            <w:tcW w:w="6804" w:type="dxa"/>
            <w:tcBorders>
              <w:left w:val="nil"/>
              <w:bottom w:val="single" w:color="auto" w:sz="4" w:space="0"/>
              <w:right w:val="nil"/>
            </w:tcBorders>
            <w:noWrap/>
            <w:hideMark/>
          </w:tcPr>
          <w:p w:rsidRPr="00DC209C" w:rsidR="00A30E7B" w:rsidP="003206A4" w:rsidRDefault="00A30E7B" w14:paraId="4B6E391F" w14:textId="77777777">
            <w:pPr>
              <w:rPr>
                <w:rFonts w:ascii="Arial" w:hAnsi="Arial" w:eastAsia="Times New Roman" w:cs="Arial"/>
                <w:b/>
                <w:bCs/>
                <w:sz w:val="20"/>
                <w:szCs w:val="20"/>
              </w:rPr>
            </w:pPr>
            <w:r w:rsidRPr="00DC209C">
              <w:rPr>
                <w:rFonts w:ascii="Arial" w:hAnsi="Arial"/>
                <w:b/>
                <w:sz w:val="20"/>
              </w:rPr>
              <w:t>Τμήμα 15 - Επικουρικοί δείκτες</w:t>
            </w:r>
          </w:p>
        </w:tc>
        <w:tc>
          <w:tcPr>
            <w:tcW w:w="2745" w:type="dxa"/>
            <w:tcBorders>
              <w:left w:val="nil"/>
              <w:bottom w:val="single" w:color="auto" w:sz="4" w:space="0"/>
              <w:right w:val="nil"/>
            </w:tcBorders>
            <w:hideMark/>
          </w:tcPr>
          <w:p w:rsidRPr="00DC209C" w:rsidR="00A30E7B" w:rsidP="003206A4" w:rsidRDefault="00A30E7B" w14:paraId="5E9236F2"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24C745F3" w14:textId="77777777">
        <w:trPr>
          <w:trHeight w:val="300"/>
        </w:trPr>
        <w:tc>
          <w:tcPr>
            <w:tcW w:w="6804" w:type="dxa"/>
            <w:tcBorders>
              <w:left w:val="nil"/>
              <w:right w:val="nil"/>
            </w:tcBorders>
            <w:noWrap/>
            <w:hideMark/>
          </w:tcPr>
          <w:p w:rsidRPr="00DC209C" w:rsidR="00A30E7B" w:rsidP="003206A4" w:rsidRDefault="00A30E7B" w14:paraId="46F05F22" w14:textId="77777777">
            <w:pPr>
              <w:ind w:firstLine="200" w:firstLineChars="100"/>
              <w:rPr>
                <w:rFonts w:ascii="Arial" w:hAnsi="Arial" w:eastAsia="Times New Roman" w:cs="Arial"/>
                <w:sz w:val="20"/>
                <w:szCs w:val="20"/>
              </w:rPr>
            </w:pPr>
            <w:r w:rsidRPr="00DC209C">
              <w:rPr>
                <w:rFonts w:ascii="Arial" w:hAnsi="Arial"/>
                <w:sz w:val="20"/>
              </w:rPr>
              <w:t>α. Σύνολο στοιχείων παθητικού</w:t>
            </w:r>
          </w:p>
        </w:tc>
        <w:tc>
          <w:tcPr>
            <w:tcW w:w="2745" w:type="dxa"/>
            <w:tcBorders>
              <w:left w:val="nil"/>
              <w:right w:val="nil"/>
            </w:tcBorders>
            <w:noWrap/>
            <w:hideMark/>
          </w:tcPr>
          <w:p w:rsidRPr="00DC209C" w:rsidR="00A30E7B" w:rsidP="003206A4" w:rsidRDefault="00A30E7B" w14:paraId="0E7E77D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556249F" w14:textId="77777777">
        <w:trPr>
          <w:trHeight w:val="300"/>
        </w:trPr>
        <w:tc>
          <w:tcPr>
            <w:tcW w:w="6804" w:type="dxa"/>
            <w:tcBorders>
              <w:left w:val="nil"/>
              <w:right w:val="nil"/>
            </w:tcBorders>
            <w:noWrap/>
            <w:hideMark/>
          </w:tcPr>
          <w:p w:rsidRPr="00DC209C" w:rsidR="00A30E7B" w:rsidP="003206A4" w:rsidRDefault="00A30E7B" w14:paraId="0BD33786" w14:textId="77777777">
            <w:pPr>
              <w:ind w:firstLine="200" w:firstLineChars="100"/>
              <w:rPr>
                <w:rFonts w:ascii="Arial" w:hAnsi="Arial" w:eastAsia="Times New Roman" w:cs="Arial"/>
                <w:sz w:val="20"/>
                <w:szCs w:val="20"/>
              </w:rPr>
            </w:pPr>
            <w:r w:rsidRPr="00DC209C">
              <w:rPr>
                <w:rFonts w:ascii="Arial" w:hAnsi="Arial"/>
                <w:sz w:val="20"/>
              </w:rPr>
              <w:t>β. Χρηματοδότηση λιανικής</w:t>
            </w:r>
          </w:p>
        </w:tc>
        <w:tc>
          <w:tcPr>
            <w:tcW w:w="2745" w:type="dxa"/>
            <w:tcBorders>
              <w:left w:val="nil"/>
              <w:right w:val="nil"/>
            </w:tcBorders>
            <w:noWrap/>
            <w:hideMark/>
          </w:tcPr>
          <w:p w:rsidRPr="00DC209C" w:rsidR="00A30E7B" w:rsidP="003206A4" w:rsidRDefault="00A30E7B" w14:paraId="4105C4A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7AF8F71" w14:textId="77777777">
        <w:trPr>
          <w:gridAfter w:val="1"/>
          <w:wAfter w:w="2745" w:type="dxa"/>
          <w:trHeight w:val="540"/>
        </w:trPr>
        <w:tc>
          <w:tcPr>
            <w:tcW w:w="6804" w:type="dxa"/>
            <w:tcBorders>
              <w:left w:val="nil"/>
              <w:right w:val="nil"/>
            </w:tcBorders>
            <w:noWrap/>
            <w:hideMark/>
          </w:tcPr>
          <w:p w:rsidRPr="00DC209C" w:rsidR="00A30E7B" w:rsidP="003206A4" w:rsidRDefault="00A30E7B" w14:paraId="24C79518" w14:textId="77777777">
            <w:pPr>
              <w:ind w:firstLine="162" w:firstLineChars="81"/>
              <w:rPr>
                <w:rFonts w:ascii="Arial" w:hAnsi="Arial" w:eastAsia="Times New Roman" w:cs="Arial"/>
                <w:sz w:val="20"/>
                <w:szCs w:val="20"/>
              </w:rPr>
            </w:pPr>
            <w:r w:rsidRPr="00DC209C">
              <w:rPr>
                <w:rFonts w:ascii="Arial" w:hAnsi="Arial"/>
                <w:sz w:val="20"/>
              </w:rPr>
              <w:t>γ. Δείκτης εξάρτησης της χρηματοδότησης χονδρικής (η διαφορά μεταξύ των στοιχείων 15.α και 15.β διαιρούμενη δια του 15.α)</w:t>
            </w:r>
          </w:p>
        </w:tc>
      </w:tr>
      <w:tr w:rsidRPr="00DC209C" w:rsidR="00A30E7B" w:rsidTr="003206A4" w14:paraId="155A9A3E" w14:textId="77777777">
        <w:trPr>
          <w:trHeight w:val="300"/>
        </w:trPr>
        <w:tc>
          <w:tcPr>
            <w:tcW w:w="6804" w:type="dxa"/>
            <w:tcBorders>
              <w:left w:val="nil"/>
              <w:right w:val="nil"/>
            </w:tcBorders>
            <w:noWrap/>
            <w:hideMark/>
          </w:tcPr>
          <w:p w:rsidRPr="00DC209C" w:rsidR="00A30E7B" w:rsidP="003206A4" w:rsidRDefault="00A30E7B" w14:paraId="451E8DBC" w14:textId="77777777">
            <w:pPr>
              <w:ind w:firstLine="162" w:firstLineChars="81"/>
              <w:rPr>
                <w:rFonts w:ascii="Arial" w:hAnsi="Arial" w:eastAsia="Times New Roman" w:cs="Arial"/>
                <w:sz w:val="20"/>
                <w:szCs w:val="20"/>
              </w:rPr>
            </w:pPr>
            <w:r w:rsidRPr="00DC209C">
              <w:rPr>
                <w:rFonts w:ascii="Arial" w:hAnsi="Arial"/>
                <w:sz w:val="20"/>
              </w:rPr>
              <w:t>δ. Συνολικά ακαθάριστα έσοδα</w:t>
            </w:r>
          </w:p>
        </w:tc>
        <w:tc>
          <w:tcPr>
            <w:tcW w:w="2745" w:type="dxa"/>
            <w:tcBorders>
              <w:left w:val="nil"/>
              <w:right w:val="nil"/>
            </w:tcBorders>
            <w:noWrap/>
            <w:hideMark/>
          </w:tcPr>
          <w:p w:rsidRPr="00DC209C" w:rsidR="00A30E7B" w:rsidP="003206A4" w:rsidRDefault="00A30E7B" w14:paraId="40303B2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FB258B7" w14:textId="77777777">
        <w:trPr>
          <w:trHeight w:val="300"/>
        </w:trPr>
        <w:tc>
          <w:tcPr>
            <w:tcW w:w="6804" w:type="dxa"/>
            <w:tcBorders>
              <w:left w:val="nil"/>
              <w:right w:val="nil"/>
            </w:tcBorders>
            <w:noWrap/>
            <w:hideMark/>
          </w:tcPr>
          <w:p w:rsidRPr="00DC209C" w:rsidR="00A30E7B" w:rsidP="003206A4" w:rsidRDefault="00A30E7B" w14:paraId="4FDC0A26" w14:textId="77777777">
            <w:pPr>
              <w:ind w:firstLine="162" w:firstLineChars="81"/>
              <w:rPr>
                <w:rFonts w:ascii="Arial" w:hAnsi="Arial" w:eastAsia="Times New Roman" w:cs="Arial"/>
                <w:sz w:val="20"/>
                <w:szCs w:val="20"/>
              </w:rPr>
            </w:pPr>
            <w:r w:rsidRPr="00DC209C">
              <w:rPr>
                <w:rFonts w:ascii="Arial" w:hAnsi="Arial"/>
                <w:sz w:val="20"/>
              </w:rPr>
              <w:t xml:space="preserve">ε. Συνολικά καθαρά έσοδα </w:t>
            </w:r>
          </w:p>
        </w:tc>
        <w:tc>
          <w:tcPr>
            <w:tcW w:w="2745" w:type="dxa"/>
            <w:tcBorders>
              <w:left w:val="nil"/>
              <w:right w:val="nil"/>
            </w:tcBorders>
            <w:noWrap/>
            <w:hideMark/>
          </w:tcPr>
          <w:p w:rsidRPr="00DC209C" w:rsidR="00A30E7B" w:rsidP="003206A4" w:rsidRDefault="00A30E7B" w14:paraId="477E348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3A25B5B" w14:textId="77777777">
        <w:trPr>
          <w:trHeight w:val="300"/>
        </w:trPr>
        <w:tc>
          <w:tcPr>
            <w:tcW w:w="6804" w:type="dxa"/>
            <w:tcBorders>
              <w:left w:val="nil"/>
              <w:right w:val="nil"/>
            </w:tcBorders>
            <w:noWrap/>
            <w:hideMark/>
          </w:tcPr>
          <w:p w:rsidRPr="00DC209C" w:rsidR="00A30E7B" w:rsidP="003206A4" w:rsidRDefault="00A30E7B" w14:paraId="0802425F" w14:textId="77777777">
            <w:pPr>
              <w:ind w:firstLine="162" w:firstLineChars="81"/>
              <w:rPr>
                <w:rFonts w:ascii="Arial" w:hAnsi="Arial" w:eastAsia="Times New Roman" w:cs="Arial"/>
                <w:sz w:val="20"/>
                <w:szCs w:val="20"/>
              </w:rPr>
            </w:pPr>
            <w:r w:rsidRPr="00DC209C">
              <w:rPr>
                <w:rFonts w:ascii="Arial" w:hAnsi="Arial"/>
                <w:sz w:val="20"/>
              </w:rPr>
              <w:t>στ. Καθαρά έσοδα στο εξωτερικό</w:t>
            </w:r>
          </w:p>
        </w:tc>
        <w:tc>
          <w:tcPr>
            <w:tcW w:w="2745" w:type="dxa"/>
            <w:tcBorders>
              <w:left w:val="nil"/>
              <w:right w:val="nil"/>
            </w:tcBorders>
            <w:noWrap/>
            <w:hideMark/>
          </w:tcPr>
          <w:p w:rsidRPr="00DC209C" w:rsidR="00A30E7B" w:rsidP="003206A4" w:rsidRDefault="00A30E7B" w14:paraId="59B8DA7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6081FBDD" w14:textId="77777777">
        <w:trPr>
          <w:trHeight w:val="300"/>
        </w:trPr>
        <w:tc>
          <w:tcPr>
            <w:tcW w:w="6804" w:type="dxa"/>
            <w:tcBorders>
              <w:left w:val="nil"/>
              <w:right w:val="nil"/>
            </w:tcBorders>
            <w:noWrap/>
          </w:tcPr>
          <w:p w:rsidRPr="00DC209C" w:rsidR="00A30E7B" w:rsidP="003206A4" w:rsidRDefault="00A30E7B" w14:paraId="26976E27" w14:textId="77777777">
            <w:pPr>
              <w:ind w:firstLine="162" w:firstLineChars="81"/>
              <w:rPr>
                <w:rFonts w:ascii="Arial" w:hAnsi="Arial" w:eastAsia="Times New Roman" w:cs="Arial"/>
                <w:sz w:val="20"/>
                <w:szCs w:val="20"/>
              </w:rPr>
            </w:pPr>
            <w:r w:rsidRPr="00DC209C">
              <w:rPr>
                <w:rFonts w:ascii="Arial" w:hAnsi="Arial"/>
                <w:sz w:val="20"/>
              </w:rPr>
              <w:t>ζ. Ακαθάριστη αξία διαθεσίμων που έχουν χορηγηθεί σε τρίτους και ακαθάριστη εύλογη αξία τίτλων που έχουν χορηγηθεί σε τρίτους σε συναλλαγές χρηματοδότησης τίτλων</w:t>
            </w:r>
          </w:p>
        </w:tc>
        <w:tc>
          <w:tcPr>
            <w:tcW w:w="2745" w:type="dxa"/>
            <w:tcBorders>
              <w:left w:val="nil"/>
              <w:right w:val="nil"/>
            </w:tcBorders>
            <w:noWrap/>
          </w:tcPr>
          <w:p w:rsidRPr="00DC209C" w:rsidR="00A30E7B" w:rsidP="003206A4" w:rsidRDefault="00A30E7B" w14:paraId="1A699B92" w14:textId="77777777">
            <w:pPr>
              <w:jc w:val="right"/>
              <w:rPr>
                <w:rFonts w:ascii="Arial" w:hAnsi="Arial" w:eastAsia="Times New Roman" w:cs="Arial"/>
                <w:sz w:val="20"/>
                <w:szCs w:val="20"/>
                <w:lang w:eastAsia="en-GB"/>
              </w:rPr>
            </w:pPr>
          </w:p>
        </w:tc>
      </w:tr>
      <w:tr w:rsidRPr="00DC209C" w:rsidR="00A30E7B" w:rsidTr="003206A4" w14:paraId="18239F3B" w14:textId="77777777">
        <w:trPr>
          <w:trHeight w:val="300"/>
        </w:trPr>
        <w:tc>
          <w:tcPr>
            <w:tcW w:w="6804" w:type="dxa"/>
            <w:tcBorders>
              <w:left w:val="nil"/>
              <w:right w:val="nil"/>
            </w:tcBorders>
            <w:noWrap/>
          </w:tcPr>
          <w:p w:rsidRPr="00DC209C" w:rsidR="00A30E7B" w:rsidP="003206A4" w:rsidRDefault="00A30E7B" w14:paraId="75A84697" w14:textId="77777777">
            <w:pPr>
              <w:ind w:firstLine="162" w:firstLineChars="81"/>
              <w:rPr>
                <w:rFonts w:ascii="Arial" w:hAnsi="Arial" w:eastAsia="Times New Roman" w:cs="Arial"/>
                <w:sz w:val="20"/>
                <w:szCs w:val="20"/>
              </w:rPr>
            </w:pPr>
            <w:r w:rsidRPr="00DC209C">
              <w:rPr>
                <w:rFonts w:ascii="Arial" w:hAnsi="Arial"/>
                <w:sz w:val="20"/>
              </w:rPr>
              <w:t>η. Ακαθάριστη αξία διαθεσίμων δανεισμένων από τρίτους και ακαθάριστη εύλογη αξία τίτλων δανεισμένων από τρίτους σε συναλλαγές χρηματοδότησης τίτλων</w:t>
            </w:r>
          </w:p>
        </w:tc>
        <w:tc>
          <w:tcPr>
            <w:tcW w:w="2745" w:type="dxa"/>
            <w:tcBorders>
              <w:left w:val="nil"/>
              <w:right w:val="nil"/>
            </w:tcBorders>
            <w:noWrap/>
          </w:tcPr>
          <w:p w:rsidRPr="00DC209C" w:rsidR="00A30E7B" w:rsidP="003206A4" w:rsidRDefault="00A30E7B" w14:paraId="53A911FB" w14:textId="77777777">
            <w:pPr>
              <w:jc w:val="right"/>
              <w:rPr>
                <w:rFonts w:ascii="Arial" w:hAnsi="Arial" w:eastAsia="Times New Roman" w:cs="Arial"/>
                <w:sz w:val="20"/>
                <w:szCs w:val="20"/>
                <w:lang w:eastAsia="en-GB"/>
              </w:rPr>
            </w:pPr>
          </w:p>
        </w:tc>
      </w:tr>
      <w:tr w:rsidRPr="00DC209C" w:rsidR="00A30E7B" w:rsidTr="003206A4" w14:paraId="4CE212BD" w14:textId="77777777">
        <w:trPr>
          <w:trHeight w:val="300"/>
        </w:trPr>
        <w:tc>
          <w:tcPr>
            <w:tcW w:w="6804" w:type="dxa"/>
            <w:tcBorders>
              <w:left w:val="nil"/>
              <w:right w:val="nil"/>
            </w:tcBorders>
            <w:noWrap/>
          </w:tcPr>
          <w:p w:rsidRPr="00DC209C" w:rsidR="00A30E7B" w:rsidP="003206A4" w:rsidRDefault="00A30E7B" w14:paraId="29A05421" w14:textId="77777777">
            <w:pPr>
              <w:ind w:firstLine="162" w:firstLineChars="81"/>
              <w:rPr>
                <w:rFonts w:ascii="Arial" w:hAnsi="Arial" w:eastAsia="Times New Roman" w:cs="Arial"/>
                <w:sz w:val="20"/>
                <w:szCs w:val="20"/>
              </w:rPr>
            </w:pPr>
            <w:r w:rsidRPr="00DC209C">
              <w:rPr>
                <w:rFonts w:ascii="Arial" w:hAnsi="Arial"/>
                <w:sz w:val="20"/>
              </w:rPr>
              <w:t>θ. Ακαθάριστη θετική εύλογη αξία συναλλαγών εξωχρηματιστηριακών παραγώγων</w:t>
            </w:r>
          </w:p>
        </w:tc>
        <w:tc>
          <w:tcPr>
            <w:tcW w:w="2745" w:type="dxa"/>
            <w:tcBorders>
              <w:left w:val="nil"/>
              <w:right w:val="nil"/>
            </w:tcBorders>
            <w:noWrap/>
          </w:tcPr>
          <w:p w:rsidRPr="00DC209C" w:rsidR="00A30E7B" w:rsidP="003206A4" w:rsidRDefault="00A30E7B" w14:paraId="06C84A96" w14:textId="77777777">
            <w:pPr>
              <w:jc w:val="right"/>
              <w:rPr>
                <w:rFonts w:ascii="Arial" w:hAnsi="Arial" w:eastAsia="Times New Roman" w:cs="Arial"/>
                <w:sz w:val="20"/>
                <w:szCs w:val="20"/>
                <w:lang w:eastAsia="en-GB"/>
              </w:rPr>
            </w:pPr>
          </w:p>
        </w:tc>
      </w:tr>
      <w:tr w:rsidRPr="00DC209C" w:rsidR="00A30E7B" w:rsidTr="003206A4" w14:paraId="3680E2F2" w14:textId="77777777">
        <w:trPr>
          <w:trHeight w:val="300"/>
        </w:trPr>
        <w:tc>
          <w:tcPr>
            <w:tcW w:w="6804" w:type="dxa"/>
            <w:tcBorders>
              <w:left w:val="nil"/>
              <w:bottom w:val="single" w:color="auto" w:sz="4" w:space="0"/>
              <w:right w:val="nil"/>
            </w:tcBorders>
            <w:noWrap/>
          </w:tcPr>
          <w:p w:rsidRPr="00DC209C" w:rsidR="00A30E7B" w:rsidP="003206A4" w:rsidRDefault="00A30E7B" w14:paraId="17F5C9FC" w14:textId="77777777">
            <w:pPr>
              <w:ind w:firstLine="162" w:firstLineChars="81"/>
              <w:rPr>
                <w:rFonts w:ascii="Arial" w:hAnsi="Arial" w:eastAsia="Times New Roman" w:cs="Arial"/>
                <w:sz w:val="20"/>
                <w:szCs w:val="20"/>
              </w:rPr>
            </w:pPr>
            <w:r w:rsidRPr="00DC209C">
              <w:rPr>
                <w:rFonts w:ascii="Arial" w:hAnsi="Arial"/>
                <w:sz w:val="20"/>
              </w:rPr>
              <w:t>ι. Ακαθάριστη αρνητική εύλογη αξία συναλλαγών εξωχρηματιστηριακών παραγώγων</w:t>
            </w:r>
          </w:p>
        </w:tc>
        <w:tc>
          <w:tcPr>
            <w:tcW w:w="2745" w:type="dxa"/>
            <w:tcBorders>
              <w:left w:val="nil"/>
              <w:bottom w:val="single" w:color="auto" w:sz="4" w:space="0"/>
              <w:right w:val="nil"/>
            </w:tcBorders>
            <w:noWrap/>
          </w:tcPr>
          <w:p w:rsidRPr="00DC209C" w:rsidR="00A30E7B" w:rsidP="003206A4" w:rsidRDefault="00A30E7B" w14:paraId="4B527C8C" w14:textId="77777777">
            <w:pPr>
              <w:jc w:val="right"/>
              <w:rPr>
                <w:rFonts w:ascii="Arial" w:hAnsi="Arial" w:eastAsia="Times New Roman" w:cs="Arial"/>
                <w:sz w:val="20"/>
                <w:szCs w:val="20"/>
                <w:lang w:eastAsia="en-GB"/>
              </w:rPr>
            </w:pPr>
          </w:p>
        </w:tc>
      </w:tr>
      <w:tr w:rsidRPr="00DC209C" w:rsidR="00A30E7B" w:rsidTr="003206A4" w14:paraId="10B7DD2F" w14:textId="77777777">
        <w:trPr>
          <w:trHeight w:val="300"/>
        </w:trPr>
        <w:tc>
          <w:tcPr>
            <w:tcW w:w="6804" w:type="dxa"/>
            <w:tcBorders>
              <w:left w:val="nil"/>
              <w:bottom w:val="single" w:color="auto" w:sz="4" w:space="0"/>
              <w:right w:val="nil"/>
            </w:tcBorders>
            <w:noWrap/>
            <w:hideMark/>
          </w:tcPr>
          <w:p w:rsidRPr="00DC209C" w:rsidR="00A30E7B" w:rsidP="003206A4" w:rsidRDefault="00A30E7B" w14:paraId="098F40D3" w14:textId="77777777">
            <w:pPr>
              <w:rPr>
                <w:rFonts w:ascii="Arial" w:hAnsi="Arial" w:eastAsia="Times New Roman" w:cs="Arial"/>
                <w:sz w:val="20"/>
                <w:szCs w:val="20"/>
              </w:rPr>
            </w:pPr>
            <w:r w:rsidRPr="00DC209C">
              <w:rPr>
                <w:rFonts w:ascii="Arial" w:hAnsi="Arial"/>
                <w:sz w:val="20"/>
              </w:rPr>
              <w:t> </w:t>
            </w:r>
          </w:p>
        </w:tc>
        <w:tc>
          <w:tcPr>
            <w:tcW w:w="2745" w:type="dxa"/>
            <w:tcBorders>
              <w:left w:val="nil"/>
              <w:bottom w:val="single" w:color="auto" w:sz="4" w:space="0"/>
              <w:right w:val="nil"/>
            </w:tcBorders>
            <w:hideMark/>
          </w:tcPr>
          <w:p w:rsidRPr="00DC209C" w:rsidR="00A30E7B" w:rsidP="003206A4" w:rsidRDefault="00A30E7B" w14:paraId="57B68923" w14:textId="77777777">
            <w:pPr>
              <w:jc w:val="center"/>
              <w:rPr>
                <w:rFonts w:ascii="Arial" w:hAnsi="Arial" w:eastAsia="Times New Roman" w:cs="Arial"/>
                <w:b/>
                <w:bCs/>
                <w:sz w:val="20"/>
                <w:szCs w:val="20"/>
              </w:rPr>
            </w:pPr>
            <w:r w:rsidRPr="00DC209C">
              <w:rPr>
                <w:rFonts w:ascii="Arial" w:hAnsi="Arial"/>
                <w:b/>
                <w:sz w:val="20"/>
              </w:rPr>
              <w:t>Ποσό σε μεμονωμένες μονάδες</w:t>
            </w:r>
          </w:p>
        </w:tc>
      </w:tr>
      <w:tr w:rsidRPr="00DC209C" w:rsidR="00A30E7B" w:rsidTr="003206A4" w14:paraId="0267EE5D" w14:textId="77777777">
        <w:trPr>
          <w:trHeight w:val="300"/>
        </w:trPr>
        <w:tc>
          <w:tcPr>
            <w:tcW w:w="6804" w:type="dxa"/>
            <w:tcBorders>
              <w:left w:val="nil"/>
              <w:bottom w:val="single" w:color="auto" w:sz="4" w:space="0"/>
              <w:right w:val="nil"/>
            </w:tcBorders>
            <w:noWrap/>
            <w:hideMark/>
          </w:tcPr>
          <w:p w:rsidRPr="00DC209C" w:rsidR="00A30E7B" w:rsidP="003206A4" w:rsidRDefault="00A30E7B" w14:paraId="78AD02E7" w14:textId="77777777">
            <w:pPr>
              <w:ind w:firstLine="200" w:firstLineChars="100"/>
              <w:rPr>
                <w:rFonts w:ascii="Arial" w:hAnsi="Arial" w:eastAsia="Times New Roman" w:cs="Arial"/>
                <w:sz w:val="20"/>
                <w:szCs w:val="20"/>
              </w:rPr>
            </w:pPr>
            <w:r w:rsidRPr="00DC209C">
              <w:rPr>
                <w:rFonts w:ascii="Arial" w:hAnsi="Arial"/>
                <w:sz w:val="20"/>
              </w:rPr>
              <w:t xml:space="preserve">ια. Αριθμός δικαιοδοσιών </w:t>
            </w:r>
          </w:p>
        </w:tc>
        <w:tc>
          <w:tcPr>
            <w:tcW w:w="2745" w:type="dxa"/>
            <w:tcBorders>
              <w:left w:val="nil"/>
              <w:bottom w:val="single" w:color="auto" w:sz="4" w:space="0"/>
              <w:right w:val="nil"/>
            </w:tcBorders>
            <w:noWrap/>
            <w:hideMark/>
          </w:tcPr>
          <w:p w:rsidRPr="00DC209C" w:rsidR="00A30E7B" w:rsidP="003206A4" w:rsidRDefault="00A30E7B" w14:paraId="205545EA"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0D296159" w14:textId="77777777">
        <w:trPr>
          <w:trHeight w:val="300"/>
        </w:trPr>
        <w:tc>
          <w:tcPr>
            <w:tcW w:w="6804" w:type="dxa"/>
            <w:tcBorders>
              <w:left w:val="nil"/>
              <w:bottom w:val="nil"/>
              <w:right w:val="nil"/>
            </w:tcBorders>
            <w:noWrap/>
          </w:tcPr>
          <w:p w:rsidRPr="00DC209C" w:rsidR="00A30E7B" w:rsidP="003206A4" w:rsidRDefault="00A30E7B" w14:paraId="68301CC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18CD0AF0" w14:textId="77777777">
            <w:pPr>
              <w:jc w:val="center"/>
              <w:rPr>
                <w:rFonts w:ascii="Arial" w:hAnsi="Arial" w:eastAsia="Times New Roman" w:cs="Arial"/>
                <w:b/>
                <w:bCs/>
                <w:sz w:val="20"/>
                <w:szCs w:val="20"/>
                <w:lang w:eastAsia="en-GB"/>
              </w:rPr>
            </w:pPr>
          </w:p>
        </w:tc>
      </w:tr>
      <w:tr w:rsidRPr="00DC209C" w:rsidR="00A30E7B" w:rsidTr="003206A4" w14:paraId="124502E3"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078843BD" w14:textId="77777777">
            <w:pPr>
              <w:rPr>
                <w:rFonts w:ascii="Arial" w:hAnsi="Arial" w:eastAsia="Times New Roman" w:cs="Arial"/>
                <w:b/>
                <w:bCs/>
                <w:sz w:val="20"/>
                <w:szCs w:val="20"/>
              </w:rPr>
            </w:pPr>
            <w:r w:rsidRPr="00DC209C">
              <w:rPr>
                <w:rFonts w:ascii="Arial" w:hAnsi="Arial"/>
                <w:b/>
                <w:sz w:val="20"/>
              </w:rPr>
              <w:t>Τμήμα 16 - Επικουρικά στοιχεία</w:t>
            </w:r>
          </w:p>
        </w:tc>
        <w:tc>
          <w:tcPr>
            <w:tcW w:w="2745" w:type="dxa"/>
            <w:tcBorders>
              <w:top w:val="nil"/>
              <w:left w:val="nil"/>
              <w:bottom w:val="single" w:color="auto" w:sz="4" w:space="0"/>
              <w:right w:val="nil"/>
            </w:tcBorders>
            <w:hideMark/>
          </w:tcPr>
          <w:p w:rsidRPr="00DC209C" w:rsidR="00A30E7B" w:rsidP="003206A4" w:rsidRDefault="00A30E7B" w14:paraId="119B6A2D"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01D6CFA2" w14:textId="77777777">
        <w:trPr>
          <w:trHeight w:val="300"/>
        </w:trPr>
        <w:tc>
          <w:tcPr>
            <w:tcW w:w="6804" w:type="dxa"/>
            <w:tcBorders>
              <w:left w:val="nil"/>
              <w:right w:val="nil"/>
            </w:tcBorders>
            <w:noWrap/>
            <w:hideMark/>
          </w:tcPr>
          <w:p w:rsidRPr="00DC209C" w:rsidR="00A30E7B" w:rsidP="003206A4" w:rsidRDefault="00A30E7B" w14:paraId="7C8C7D54" w14:textId="77777777">
            <w:pPr>
              <w:ind w:firstLine="200" w:firstLineChars="100"/>
              <w:rPr>
                <w:rFonts w:ascii="Arial" w:hAnsi="Arial" w:eastAsia="Times New Roman" w:cs="Arial"/>
                <w:sz w:val="20"/>
                <w:szCs w:val="20"/>
              </w:rPr>
            </w:pPr>
            <w:r w:rsidRPr="00DC209C">
              <w:rPr>
                <w:rFonts w:ascii="Arial" w:hAnsi="Arial"/>
                <w:sz w:val="20"/>
              </w:rPr>
              <w:t>α. Χρεόγραφα διακρατούμενα έως τη λήξη</w:t>
            </w:r>
          </w:p>
        </w:tc>
        <w:tc>
          <w:tcPr>
            <w:tcW w:w="2745" w:type="dxa"/>
            <w:tcBorders>
              <w:left w:val="nil"/>
              <w:right w:val="nil"/>
            </w:tcBorders>
            <w:noWrap/>
            <w:hideMark/>
          </w:tcPr>
          <w:p w:rsidRPr="00DC209C" w:rsidR="00A30E7B" w:rsidP="003206A4" w:rsidRDefault="00A30E7B" w14:paraId="34B0E89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52CDE4D" w14:textId="77777777">
        <w:trPr>
          <w:trHeight w:val="300"/>
        </w:trPr>
        <w:tc>
          <w:tcPr>
            <w:tcW w:w="6804" w:type="dxa"/>
            <w:tcBorders>
              <w:left w:val="nil"/>
              <w:right w:val="nil"/>
            </w:tcBorders>
            <w:noWrap/>
            <w:hideMark/>
          </w:tcPr>
          <w:p w:rsidRPr="00DC209C" w:rsidR="00A30E7B" w:rsidP="003206A4" w:rsidRDefault="00A30E7B" w14:paraId="28E81BDF" w14:textId="77777777">
            <w:pPr>
              <w:ind w:firstLine="200" w:firstLineChars="100"/>
              <w:rPr>
                <w:rFonts w:ascii="Arial" w:hAnsi="Arial" w:eastAsia="Times New Roman" w:cs="Arial"/>
                <w:sz w:val="20"/>
                <w:szCs w:val="20"/>
              </w:rPr>
            </w:pPr>
            <w:r w:rsidRPr="00DC209C">
              <w:rPr>
                <w:rFonts w:ascii="Arial" w:hAnsi="Arial"/>
                <w:sz w:val="20"/>
              </w:rPr>
              <w:t>β. Πληρωμές που πραγματοποιήθηκαν κατά το έτος παροχής των στοιχείων</w:t>
            </w:r>
          </w:p>
        </w:tc>
        <w:tc>
          <w:tcPr>
            <w:tcW w:w="2745" w:type="dxa"/>
            <w:tcBorders>
              <w:left w:val="nil"/>
              <w:right w:val="nil"/>
            </w:tcBorders>
            <w:noWrap/>
            <w:hideMark/>
          </w:tcPr>
          <w:p w:rsidRPr="00DC209C" w:rsidR="00A30E7B" w:rsidP="003206A4" w:rsidRDefault="00A30E7B" w14:paraId="6B81FF52" w14:textId="77777777">
            <w:pPr>
              <w:ind w:firstLine="200" w:firstLineChars="100"/>
              <w:rPr>
                <w:rFonts w:ascii="Arial" w:hAnsi="Arial" w:eastAsia="Times New Roman" w:cs="Arial"/>
                <w:sz w:val="20"/>
                <w:szCs w:val="20"/>
              </w:rPr>
            </w:pPr>
            <w:r w:rsidRPr="00DC209C">
              <w:rPr>
                <w:rFonts w:ascii="Arial" w:hAnsi="Arial"/>
                <w:sz w:val="20"/>
              </w:rPr>
              <w:t> </w:t>
            </w:r>
          </w:p>
        </w:tc>
      </w:tr>
      <w:tr w:rsidRPr="00DC209C" w:rsidR="00A30E7B" w:rsidTr="003206A4" w14:paraId="5E6A2E94" w14:textId="77777777">
        <w:trPr>
          <w:trHeight w:val="300"/>
        </w:trPr>
        <w:tc>
          <w:tcPr>
            <w:tcW w:w="6804" w:type="dxa"/>
            <w:tcBorders>
              <w:left w:val="nil"/>
              <w:right w:val="nil"/>
            </w:tcBorders>
            <w:noWrap/>
            <w:hideMark/>
          </w:tcPr>
          <w:p w:rsidRPr="00DC209C" w:rsidR="00A30E7B" w:rsidP="003206A4" w:rsidRDefault="00A30E7B" w14:paraId="5559375E" w14:textId="77777777">
            <w:pPr>
              <w:ind w:firstLine="400" w:firstLineChars="200"/>
              <w:rPr>
                <w:rFonts w:ascii="Arial" w:hAnsi="Arial" w:eastAsia="Times New Roman" w:cs="Arial"/>
                <w:sz w:val="20"/>
                <w:szCs w:val="20"/>
              </w:rPr>
            </w:pPr>
            <w:r w:rsidRPr="00DC209C">
              <w:rPr>
                <w:rFonts w:ascii="Arial" w:hAnsi="Arial"/>
                <w:sz w:val="20"/>
                <w:lang w:eastAsia="en-GB"/>
              </w:rPr>
              <w:lastRenderedPageBreak/>
              <w:t xml:space="preserve">(1) </w:t>
            </w:r>
            <w:r w:rsidRPr="00DC209C">
              <w:rPr>
                <w:rFonts w:ascii="Arial" w:hAnsi="Arial"/>
                <w:sz w:val="20"/>
              </w:rPr>
              <w:t>Ρεάλ Βραζιλίας (BRL)</w:t>
            </w:r>
          </w:p>
        </w:tc>
        <w:tc>
          <w:tcPr>
            <w:tcW w:w="2745" w:type="dxa"/>
            <w:tcBorders>
              <w:left w:val="nil"/>
              <w:right w:val="nil"/>
            </w:tcBorders>
            <w:noWrap/>
            <w:hideMark/>
          </w:tcPr>
          <w:p w:rsidRPr="00DC209C" w:rsidR="00A30E7B" w:rsidP="003206A4" w:rsidRDefault="00A30E7B" w14:paraId="5AADF3AE"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8DE890E" w14:textId="77777777">
        <w:trPr>
          <w:trHeight w:val="300"/>
        </w:trPr>
        <w:tc>
          <w:tcPr>
            <w:tcW w:w="6804" w:type="dxa"/>
            <w:tcBorders>
              <w:left w:val="nil"/>
              <w:right w:val="nil"/>
            </w:tcBorders>
            <w:noWrap/>
            <w:hideMark/>
          </w:tcPr>
          <w:p w:rsidRPr="00DC209C" w:rsidR="00A30E7B" w:rsidP="003206A4" w:rsidRDefault="00A30E7B" w14:paraId="2A89D1D6" w14:textId="77777777">
            <w:pPr>
              <w:ind w:firstLine="400" w:firstLineChars="200"/>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Πέσο Μεξικού (MXN)</w:t>
            </w:r>
          </w:p>
        </w:tc>
        <w:tc>
          <w:tcPr>
            <w:tcW w:w="2745" w:type="dxa"/>
            <w:tcBorders>
              <w:left w:val="nil"/>
              <w:right w:val="nil"/>
            </w:tcBorders>
            <w:noWrap/>
            <w:hideMark/>
          </w:tcPr>
          <w:p w:rsidRPr="00DC209C" w:rsidR="00A30E7B" w:rsidP="003206A4" w:rsidRDefault="00A30E7B" w14:paraId="0443D21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C52E23D" w14:textId="77777777">
        <w:trPr>
          <w:trHeight w:val="300"/>
        </w:trPr>
        <w:tc>
          <w:tcPr>
            <w:tcW w:w="6804" w:type="dxa"/>
            <w:tcBorders>
              <w:left w:val="nil"/>
              <w:right w:val="nil"/>
            </w:tcBorders>
            <w:noWrap/>
            <w:hideMark/>
          </w:tcPr>
          <w:p w:rsidRPr="00DC209C" w:rsidR="00A30E7B" w:rsidP="003206A4" w:rsidRDefault="00A30E7B" w14:paraId="4C3C9E60" w14:textId="77777777">
            <w:pPr>
              <w:ind w:firstLine="400" w:firstLineChars="200"/>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Νορβηγική κορόνα (NOK)</w:t>
            </w:r>
          </w:p>
        </w:tc>
        <w:tc>
          <w:tcPr>
            <w:tcW w:w="2745" w:type="dxa"/>
            <w:tcBorders>
              <w:left w:val="nil"/>
              <w:right w:val="nil"/>
            </w:tcBorders>
            <w:noWrap/>
            <w:hideMark/>
          </w:tcPr>
          <w:p w:rsidRPr="00DC209C" w:rsidR="00A30E7B" w:rsidP="003206A4" w:rsidRDefault="00A30E7B" w14:paraId="4C949CDF"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8860830" w14:textId="77777777">
        <w:trPr>
          <w:trHeight w:val="300"/>
        </w:trPr>
        <w:tc>
          <w:tcPr>
            <w:tcW w:w="6804" w:type="dxa"/>
            <w:tcBorders>
              <w:left w:val="nil"/>
              <w:right w:val="nil"/>
            </w:tcBorders>
            <w:noWrap/>
            <w:hideMark/>
          </w:tcPr>
          <w:p w:rsidRPr="00DC209C" w:rsidR="00A30E7B" w:rsidP="003206A4" w:rsidRDefault="00A30E7B" w14:paraId="12BE2617" w14:textId="77777777">
            <w:pPr>
              <w:ind w:firstLine="400" w:firstLineChars="200"/>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Ρούβλια Ρωσίας (RUB)</w:t>
            </w:r>
          </w:p>
        </w:tc>
        <w:tc>
          <w:tcPr>
            <w:tcW w:w="2745" w:type="dxa"/>
            <w:tcBorders>
              <w:left w:val="nil"/>
              <w:right w:val="nil"/>
            </w:tcBorders>
            <w:noWrap/>
            <w:hideMark/>
          </w:tcPr>
          <w:p w:rsidRPr="00DC209C" w:rsidR="00A30E7B" w:rsidP="003206A4" w:rsidRDefault="00A30E7B" w14:paraId="23C7F170"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52B226C9" w14:textId="77777777">
        <w:trPr>
          <w:trHeight w:val="300"/>
        </w:trPr>
        <w:tc>
          <w:tcPr>
            <w:tcW w:w="6804" w:type="dxa"/>
            <w:tcBorders>
              <w:left w:val="nil"/>
              <w:right w:val="nil"/>
            </w:tcBorders>
            <w:noWrap/>
            <w:hideMark/>
          </w:tcPr>
          <w:p w:rsidRPr="00DC209C" w:rsidR="00A30E7B" w:rsidP="003206A4" w:rsidRDefault="00A30E7B" w14:paraId="58F5039C" w14:textId="77777777">
            <w:pPr>
              <w:ind w:firstLine="400" w:firstLineChars="200"/>
              <w:rPr>
                <w:rFonts w:ascii="Arial" w:hAnsi="Arial" w:eastAsia="Times New Roman" w:cs="Arial"/>
                <w:sz w:val="20"/>
                <w:szCs w:val="20"/>
              </w:rPr>
            </w:pPr>
            <w:r w:rsidRPr="00DC209C">
              <w:rPr>
                <w:rFonts w:ascii="Arial" w:hAnsi="Arial"/>
                <w:sz w:val="20"/>
                <w:lang w:eastAsia="en-GB"/>
              </w:rPr>
              <w:t xml:space="preserve">(5) </w:t>
            </w:r>
            <w:r w:rsidRPr="00DC209C">
              <w:rPr>
                <w:rFonts w:ascii="Arial" w:hAnsi="Arial"/>
                <w:sz w:val="20"/>
              </w:rPr>
              <w:t>Δολάριο Σινγκαπούρης (SGD)</w:t>
            </w:r>
          </w:p>
        </w:tc>
        <w:tc>
          <w:tcPr>
            <w:tcW w:w="2745" w:type="dxa"/>
            <w:tcBorders>
              <w:left w:val="nil"/>
              <w:right w:val="nil"/>
            </w:tcBorders>
            <w:noWrap/>
            <w:hideMark/>
          </w:tcPr>
          <w:p w:rsidRPr="00DC209C" w:rsidR="00A30E7B" w:rsidP="003206A4" w:rsidRDefault="00A30E7B" w14:paraId="4A98604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3204B57" w14:textId="77777777">
        <w:trPr>
          <w:trHeight w:val="300"/>
        </w:trPr>
        <w:tc>
          <w:tcPr>
            <w:tcW w:w="6804" w:type="dxa"/>
            <w:tcBorders>
              <w:left w:val="nil"/>
              <w:bottom w:val="single" w:color="auto" w:sz="4" w:space="0"/>
              <w:right w:val="nil"/>
            </w:tcBorders>
            <w:noWrap/>
            <w:hideMark/>
          </w:tcPr>
          <w:p w:rsidRPr="00DC209C" w:rsidR="00A30E7B" w:rsidP="003206A4" w:rsidRDefault="00A30E7B" w14:paraId="1786C031" w14:textId="77777777">
            <w:pPr>
              <w:ind w:firstLine="400" w:firstLineChars="200"/>
              <w:rPr>
                <w:rFonts w:ascii="Arial" w:hAnsi="Arial" w:eastAsia="Times New Roman" w:cs="Arial"/>
                <w:sz w:val="20"/>
                <w:szCs w:val="20"/>
              </w:rPr>
            </w:pPr>
            <w:r w:rsidRPr="00DC209C">
              <w:rPr>
                <w:rFonts w:ascii="Arial" w:hAnsi="Arial"/>
                <w:sz w:val="20"/>
                <w:lang w:eastAsia="en-GB"/>
              </w:rPr>
              <w:t xml:space="preserve">(6) </w:t>
            </w:r>
            <w:r w:rsidRPr="00DC209C">
              <w:rPr>
                <w:rFonts w:ascii="Arial" w:hAnsi="Arial"/>
                <w:sz w:val="20"/>
              </w:rPr>
              <w:t>Γουόν Νότιας Κορέας (KRW)</w:t>
            </w:r>
          </w:p>
        </w:tc>
        <w:tc>
          <w:tcPr>
            <w:tcW w:w="2745" w:type="dxa"/>
            <w:tcBorders>
              <w:left w:val="nil"/>
              <w:bottom w:val="single" w:color="auto" w:sz="4" w:space="0"/>
              <w:right w:val="nil"/>
            </w:tcBorders>
            <w:noWrap/>
            <w:hideMark/>
          </w:tcPr>
          <w:p w:rsidRPr="00DC209C" w:rsidR="00A30E7B" w:rsidP="003206A4" w:rsidRDefault="00A30E7B" w14:paraId="2787E31B" w14:textId="77777777">
            <w:pPr>
              <w:jc w:val="right"/>
              <w:rPr>
                <w:rFonts w:ascii="Arial" w:hAnsi="Arial" w:eastAsia="Times New Roman" w:cs="Arial"/>
                <w:sz w:val="20"/>
                <w:szCs w:val="20"/>
              </w:rPr>
            </w:pPr>
            <w:r w:rsidRPr="00DC209C">
              <w:rPr>
                <w:rFonts w:ascii="Arial" w:hAnsi="Arial"/>
                <w:sz w:val="20"/>
              </w:rPr>
              <w:t> </w:t>
            </w:r>
          </w:p>
        </w:tc>
      </w:tr>
    </w:tbl>
    <w:p w:rsidR="00A30E7B" w:rsidP="00A30E7B" w:rsidRDefault="00A30E7B" w14:paraId="28F71BDA" w14:textId="77777777">
      <w:r>
        <w:br w:type="page"/>
      </w:r>
    </w:p>
    <w:tbl>
      <w:tblPr>
        <w:tblStyle w:val="TableGrid1"/>
        <w:tblW w:w="9549" w:type="dxa"/>
        <w:tblLook w:val="04A0" w:firstRow="1" w:lastRow="0" w:firstColumn="1" w:lastColumn="0" w:noHBand="0" w:noVBand="1"/>
      </w:tblPr>
      <w:tblGrid>
        <w:gridCol w:w="6804"/>
        <w:gridCol w:w="2745"/>
      </w:tblGrid>
      <w:tr w:rsidRPr="00DC209C" w:rsidR="00A30E7B" w:rsidTr="003206A4" w14:paraId="4FA465FC" w14:textId="77777777">
        <w:trPr>
          <w:trHeight w:val="403"/>
        </w:trPr>
        <w:tc>
          <w:tcPr>
            <w:tcW w:w="6804" w:type="dxa"/>
            <w:tcBorders>
              <w:left w:val="nil"/>
              <w:bottom w:val="nil"/>
              <w:right w:val="nil"/>
            </w:tcBorders>
            <w:noWrap/>
            <w:hideMark/>
          </w:tcPr>
          <w:p w:rsidRPr="00DC209C" w:rsidR="00A30E7B" w:rsidP="003206A4" w:rsidRDefault="00A30E7B" w14:paraId="2AF44C78" w14:textId="77777777">
            <w:pPr>
              <w:rPr>
                <w:rFonts w:ascii="Arial" w:hAnsi="Arial" w:eastAsia="Times New Roman" w:cs="Arial"/>
                <w:sz w:val="20"/>
                <w:szCs w:val="20"/>
              </w:rPr>
            </w:pPr>
            <w:r w:rsidRPr="00DC209C">
              <w:rPr>
                <w:rFonts w:ascii="Arial" w:hAnsi="Arial"/>
                <w:sz w:val="20"/>
              </w:rPr>
              <w:lastRenderedPageBreak/>
              <w:t> </w:t>
            </w:r>
          </w:p>
        </w:tc>
        <w:tc>
          <w:tcPr>
            <w:tcW w:w="2745" w:type="dxa"/>
            <w:tcBorders>
              <w:left w:val="nil"/>
              <w:bottom w:val="nil"/>
              <w:right w:val="nil"/>
            </w:tcBorders>
            <w:noWrap/>
            <w:hideMark/>
          </w:tcPr>
          <w:p w:rsidRPr="00DC209C" w:rsidR="00A30E7B" w:rsidP="003206A4" w:rsidRDefault="00A30E7B" w14:paraId="79265C00" w14:textId="77777777">
            <w:pPr>
              <w:rPr>
                <w:rFonts w:ascii="Arial" w:hAnsi="Arial" w:eastAsia="Times New Roman" w:cs="Arial"/>
                <w:sz w:val="20"/>
                <w:szCs w:val="20"/>
              </w:rPr>
            </w:pPr>
            <w:r w:rsidRPr="00DC209C">
              <w:rPr>
                <w:rFonts w:ascii="Arial" w:hAnsi="Arial"/>
                <w:sz w:val="20"/>
              </w:rPr>
              <w:t> </w:t>
            </w:r>
          </w:p>
        </w:tc>
      </w:tr>
      <w:tr w:rsidRPr="00DC209C" w:rsidR="00A30E7B" w:rsidTr="003206A4" w14:paraId="6609F7EF" w14:textId="77777777">
        <w:trPr>
          <w:trHeight w:val="403"/>
        </w:trPr>
        <w:tc>
          <w:tcPr>
            <w:tcW w:w="6804" w:type="dxa"/>
            <w:tcBorders>
              <w:top w:val="nil"/>
              <w:left w:val="nil"/>
              <w:bottom w:val="nil"/>
              <w:right w:val="nil"/>
            </w:tcBorders>
            <w:noWrap/>
            <w:hideMark/>
          </w:tcPr>
          <w:p w:rsidRPr="00DC209C" w:rsidR="00A30E7B" w:rsidP="003206A4" w:rsidRDefault="00A30E7B" w14:paraId="70E9434B" w14:textId="77777777">
            <w:pPr>
              <w:rPr>
                <w:rFonts w:asciiTheme="majorHAnsi" w:hAnsiTheme="majorHAnsi" w:eastAsiaTheme="majorEastAsia" w:cstheme="majorBidi"/>
                <w:b/>
                <w:bCs/>
                <w:i/>
                <w:iCs/>
                <w:caps/>
                <w:spacing w:val="-2"/>
              </w:rPr>
            </w:pPr>
            <w:r w:rsidRPr="00DC209C">
              <w:rPr>
                <w:rFonts w:asciiTheme="majorHAnsi" w:hAnsiTheme="majorHAnsi"/>
                <w:b/>
                <w:i/>
                <w:caps/>
              </w:rPr>
              <w:t>Υπομνηματικά στοιχεία</w:t>
            </w:r>
          </w:p>
        </w:tc>
        <w:tc>
          <w:tcPr>
            <w:tcW w:w="2745" w:type="dxa"/>
            <w:tcBorders>
              <w:top w:val="nil"/>
              <w:left w:val="nil"/>
              <w:bottom w:val="nil"/>
              <w:right w:val="nil"/>
            </w:tcBorders>
            <w:noWrap/>
            <w:hideMark/>
          </w:tcPr>
          <w:p w:rsidRPr="00DC209C" w:rsidR="00A30E7B" w:rsidP="003206A4" w:rsidRDefault="00A30E7B" w14:paraId="3FC790C7" w14:textId="77777777">
            <w:pPr>
              <w:rPr>
                <w:rFonts w:ascii="Arial" w:hAnsi="Arial" w:eastAsia="Times New Roman" w:cs="Arial"/>
                <w:b/>
                <w:bCs/>
                <w:sz w:val="24"/>
                <w:szCs w:val="24"/>
              </w:rPr>
            </w:pPr>
            <w:r w:rsidRPr="00DC209C">
              <w:rPr>
                <w:rFonts w:ascii="Arial" w:hAnsi="Arial"/>
                <w:b/>
                <w:sz w:val="24"/>
              </w:rPr>
              <w:t> </w:t>
            </w:r>
          </w:p>
        </w:tc>
      </w:tr>
      <w:tr w:rsidRPr="0056103C" w:rsidR="00A30E7B" w:rsidTr="003206A4" w14:paraId="50AE2CE9" w14:textId="77777777">
        <w:trPr>
          <w:trHeight w:val="193"/>
        </w:trPr>
        <w:tc>
          <w:tcPr>
            <w:tcW w:w="6804" w:type="dxa"/>
            <w:tcBorders>
              <w:top w:val="nil"/>
              <w:left w:val="nil"/>
              <w:bottom w:val="single" w:color="auto" w:sz="4" w:space="0"/>
              <w:right w:val="nil"/>
            </w:tcBorders>
            <w:noWrap/>
            <w:hideMark/>
          </w:tcPr>
          <w:p w:rsidRPr="0056103C" w:rsidR="00A30E7B" w:rsidP="003206A4" w:rsidRDefault="00A30E7B" w14:paraId="27797D44" w14:textId="77777777">
            <w:pPr>
              <w:rPr>
                <w:rFonts w:ascii="Arial" w:hAnsi="Arial" w:eastAsia="Times New Roman" w:cs="Arial"/>
                <w:sz w:val="20"/>
                <w:szCs w:val="20"/>
              </w:rPr>
            </w:pPr>
            <w:r w:rsidRPr="0056103C">
              <w:rPr>
                <w:rFonts w:ascii="Arial" w:hAnsi="Arial" w:eastAsia="Times New Roman" w:cs="Arial"/>
                <w:sz w:val="20"/>
                <w:szCs w:val="20"/>
              </w:rPr>
              <w:t> </w:t>
            </w:r>
          </w:p>
        </w:tc>
        <w:tc>
          <w:tcPr>
            <w:tcW w:w="2745" w:type="dxa"/>
            <w:tcBorders>
              <w:top w:val="nil"/>
              <w:left w:val="nil"/>
              <w:bottom w:val="single" w:color="auto" w:sz="4" w:space="0"/>
              <w:right w:val="nil"/>
            </w:tcBorders>
            <w:noWrap/>
            <w:hideMark/>
          </w:tcPr>
          <w:p w:rsidRPr="0056103C" w:rsidR="00A30E7B" w:rsidP="003206A4" w:rsidRDefault="00A30E7B" w14:paraId="7AC773B0" w14:textId="77777777">
            <w:pPr>
              <w:rPr>
                <w:rFonts w:ascii="Arial" w:hAnsi="Arial" w:eastAsia="Times New Roman" w:cs="Arial"/>
                <w:sz w:val="20"/>
                <w:szCs w:val="20"/>
              </w:rPr>
            </w:pPr>
            <w:r w:rsidRPr="0056103C">
              <w:rPr>
                <w:rFonts w:ascii="Arial" w:hAnsi="Arial" w:eastAsia="Times New Roman" w:cs="Arial"/>
                <w:sz w:val="20"/>
                <w:szCs w:val="20"/>
              </w:rPr>
              <w:t> </w:t>
            </w:r>
          </w:p>
        </w:tc>
      </w:tr>
      <w:tr w:rsidRPr="00DC209C" w:rsidR="00A30E7B" w:rsidTr="003206A4" w14:paraId="68C83EEA" w14:textId="77777777">
        <w:trPr>
          <w:trHeight w:val="300"/>
        </w:trPr>
        <w:tc>
          <w:tcPr>
            <w:tcW w:w="6804" w:type="dxa"/>
            <w:tcBorders>
              <w:left w:val="nil"/>
              <w:right w:val="nil"/>
            </w:tcBorders>
            <w:noWrap/>
            <w:hideMark/>
          </w:tcPr>
          <w:p w:rsidRPr="00DC209C" w:rsidR="00A30E7B" w:rsidP="003206A4" w:rsidRDefault="00A30E7B" w14:paraId="44FDB7CB" w14:textId="77777777">
            <w:pPr>
              <w:rPr>
                <w:rFonts w:ascii="Arial" w:hAnsi="Arial" w:eastAsia="Times New Roman" w:cs="Arial"/>
                <w:b/>
                <w:bCs/>
                <w:sz w:val="20"/>
                <w:szCs w:val="20"/>
              </w:rPr>
            </w:pPr>
            <w:r w:rsidRPr="00DC209C">
              <w:rPr>
                <w:rFonts w:ascii="Arial" w:hAnsi="Arial"/>
                <w:b/>
                <w:sz w:val="20"/>
              </w:rPr>
              <w:t>Τμήμα 17 - Στοιχεία μεγέθους</w:t>
            </w:r>
          </w:p>
        </w:tc>
        <w:tc>
          <w:tcPr>
            <w:tcW w:w="2745" w:type="dxa"/>
            <w:tcBorders>
              <w:left w:val="nil"/>
              <w:right w:val="nil"/>
            </w:tcBorders>
            <w:hideMark/>
          </w:tcPr>
          <w:p w:rsidRPr="00DC209C" w:rsidR="00A30E7B" w:rsidP="003206A4" w:rsidRDefault="00A30E7B" w14:paraId="5480B5B8"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788EC120" w14:textId="77777777">
        <w:trPr>
          <w:gridAfter w:val="1"/>
          <w:wAfter w:w="2745" w:type="dxa"/>
          <w:trHeight w:val="300"/>
        </w:trPr>
        <w:tc>
          <w:tcPr>
            <w:tcW w:w="6804" w:type="dxa"/>
            <w:tcBorders>
              <w:left w:val="nil"/>
              <w:right w:val="nil"/>
            </w:tcBorders>
            <w:noWrap/>
            <w:hideMark/>
          </w:tcPr>
          <w:p w:rsidRPr="00DC209C" w:rsidR="00A30E7B" w:rsidP="003206A4" w:rsidRDefault="00A30E7B" w14:paraId="65228680" w14:textId="77777777">
            <w:pPr>
              <w:ind w:left="171" w:firstLine="28" w:firstLineChars="14"/>
              <w:rPr>
                <w:rFonts w:ascii="Arial" w:hAnsi="Arial" w:eastAsia="Times New Roman" w:cs="Arial"/>
                <w:sz w:val="20"/>
                <w:szCs w:val="20"/>
              </w:rPr>
            </w:pPr>
            <w:r w:rsidRPr="00DC209C">
              <w:rPr>
                <w:rFonts w:ascii="Arial" w:hAnsi="Arial"/>
                <w:sz w:val="20"/>
              </w:rPr>
              <w:t>α. Άνοιγμα ασφαλιστικών θυγατρικών που περιλαμβάνονται ήδη στο εποπτικό κανονιστικό πεδίο ενοποίησης</w:t>
            </w:r>
          </w:p>
        </w:tc>
      </w:tr>
      <w:tr w:rsidRPr="00DC209C" w:rsidR="00A30E7B" w:rsidTr="003206A4" w14:paraId="6812A03D" w14:textId="77777777">
        <w:trPr>
          <w:trHeight w:val="300"/>
        </w:trPr>
        <w:tc>
          <w:tcPr>
            <w:tcW w:w="6804" w:type="dxa"/>
            <w:tcBorders>
              <w:left w:val="nil"/>
              <w:right w:val="nil"/>
            </w:tcBorders>
            <w:noWrap/>
            <w:hideMark/>
          </w:tcPr>
          <w:p w:rsidRPr="00DC209C" w:rsidR="00A30E7B" w:rsidP="003206A4" w:rsidRDefault="00A30E7B" w14:paraId="1793E6A8" w14:textId="77777777">
            <w:pPr>
              <w:ind w:firstLine="200" w:firstLineChars="100"/>
              <w:rPr>
                <w:rFonts w:ascii="Arial" w:hAnsi="Arial" w:eastAsia="Times New Roman" w:cs="Arial"/>
                <w:sz w:val="20"/>
                <w:szCs w:val="20"/>
              </w:rPr>
            </w:pPr>
            <w:r w:rsidRPr="00DC209C">
              <w:rPr>
                <w:rFonts w:ascii="Arial" w:hAnsi="Arial"/>
                <w:sz w:val="20"/>
              </w:rPr>
              <w:t xml:space="preserve">β. Τριμηνιαία μέση τιμή συνολικών ανοιγμάτων </w:t>
            </w:r>
          </w:p>
        </w:tc>
        <w:tc>
          <w:tcPr>
            <w:tcW w:w="2745" w:type="dxa"/>
            <w:tcBorders>
              <w:left w:val="nil"/>
              <w:right w:val="nil"/>
            </w:tcBorders>
            <w:noWrap/>
            <w:hideMark/>
          </w:tcPr>
          <w:p w:rsidRPr="00DC209C" w:rsidR="00A30E7B" w:rsidP="003206A4" w:rsidRDefault="00A30E7B" w14:paraId="20048297"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E0A4BB9" w14:textId="77777777">
        <w:trPr>
          <w:trHeight w:val="300"/>
        </w:trPr>
        <w:tc>
          <w:tcPr>
            <w:tcW w:w="6804" w:type="dxa"/>
            <w:tcBorders>
              <w:left w:val="nil"/>
              <w:bottom w:val="single" w:color="auto" w:sz="4" w:space="0"/>
              <w:right w:val="nil"/>
            </w:tcBorders>
            <w:noWrap/>
            <w:hideMark/>
          </w:tcPr>
          <w:p w:rsidRPr="00DC209C" w:rsidR="00A30E7B" w:rsidP="003206A4" w:rsidRDefault="00A30E7B" w14:paraId="2D9A25A5" w14:textId="77777777">
            <w:pPr>
              <w:ind w:firstLine="200" w:firstLineChars="100"/>
              <w:rPr>
                <w:rFonts w:ascii="Arial" w:hAnsi="Arial" w:eastAsia="Times New Roman" w:cs="Arial"/>
                <w:sz w:val="20"/>
                <w:szCs w:val="20"/>
              </w:rPr>
            </w:pPr>
            <w:r w:rsidRPr="00DC209C">
              <w:rPr>
                <w:rFonts w:ascii="Arial" w:hAnsi="Arial"/>
                <w:sz w:val="20"/>
              </w:rPr>
              <w:t xml:space="preserve">γ. Μηνιαία μέση τιμή των συνολικών ανοιγμάτων </w:t>
            </w:r>
          </w:p>
        </w:tc>
        <w:tc>
          <w:tcPr>
            <w:tcW w:w="2745" w:type="dxa"/>
            <w:tcBorders>
              <w:left w:val="nil"/>
              <w:bottom w:val="single" w:color="auto" w:sz="4" w:space="0"/>
              <w:right w:val="nil"/>
            </w:tcBorders>
            <w:noWrap/>
            <w:hideMark/>
          </w:tcPr>
          <w:p w:rsidRPr="00DC209C" w:rsidR="00A30E7B" w:rsidP="003206A4" w:rsidRDefault="00A30E7B" w14:paraId="0DA2EA7C"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FD06375" w14:textId="77777777">
        <w:trPr>
          <w:trHeight w:val="300"/>
        </w:trPr>
        <w:tc>
          <w:tcPr>
            <w:tcW w:w="6804" w:type="dxa"/>
            <w:tcBorders>
              <w:left w:val="nil"/>
              <w:bottom w:val="nil"/>
              <w:right w:val="nil"/>
            </w:tcBorders>
            <w:noWrap/>
          </w:tcPr>
          <w:p w:rsidRPr="00DC209C" w:rsidR="00A30E7B" w:rsidP="003206A4" w:rsidRDefault="00A30E7B" w14:paraId="2C07C649"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414E9C56" w14:textId="77777777">
            <w:pPr>
              <w:jc w:val="center"/>
              <w:rPr>
                <w:rFonts w:ascii="Arial" w:hAnsi="Arial" w:eastAsia="Times New Roman" w:cs="Arial"/>
                <w:b/>
                <w:bCs/>
                <w:sz w:val="20"/>
                <w:szCs w:val="20"/>
                <w:lang w:eastAsia="en-GB"/>
              </w:rPr>
            </w:pPr>
          </w:p>
        </w:tc>
      </w:tr>
      <w:tr w:rsidRPr="00DC209C" w:rsidR="00A30E7B" w:rsidTr="003206A4" w14:paraId="484E11C0" w14:textId="77777777">
        <w:trPr>
          <w:trHeight w:val="300"/>
        </w:trPr>
        <w:tc>
          <w:tcPr>
            <w:tcW w:w="6804" w:type="dxa"/>
            <w:tcBorders>
              <w:top w:val="nil"/>
              <w:left w:val="nil"/>
              <w:right w:val="nil"/>
            </w:tcBorders>
            <w:noWrap/>
            <w:hideMark/>
          </w:tcPr>
          <w:p w:rsidRPr="00DC209C" w:rsidR="00A30E7B" w:rsidP="003206A4" w:rsidRDefault="00A30E7B" w14:paraId="788485FF" w14:textId="77777777">
            <w:pPr>
              <w:rPr>
                <w:rFonts w:ascii="Arial" w:hAnsi="Arial" w:eastAsia="Times New Roman" w:cs="Arial"/>
                <w:b/>
                <w:bCs/>
                <w:sz w:val="20"/>
                <w:szCs w:val="20"/>
              </w:rPr>
            </w:pPr>
            <w:r w:rsidRPr="00DC209C">
              <w:rPr>
                <w:rFonts w:ascii="Arial" w:hAnsi="Arial"/>
                <w:b/>
                <w:sz w:val="20"/>
              </w:rPr>
              <w:t>Τμήμα 18 - Στοιχεία διασύνδεσης</w:t>
            </w:r>
          </w:p>
        </w:tc>
        <w:tc>
          <w:tcPr>
            <w:tcW w:w="2745" w:type="dxa"/>
            <w:tcBorders>
              <w:top w:val="nil"/>
              <w:left w:val="nil"/>
              <w:right w:val="nil"/>
            </w:tcBorders>
            <w:hideMark/>
          </w:tcPr>
          <w:p w:rsidRPr="00DC209C" w:rsidR="00A30E7B" w:rsidP="003206A4" w:rsidRDefault="00A30E7B" w14:paraId="0F1589A4"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4B50375C" w14:textId="77777777">
        <w:trPr>
          <w:trHeight w:val="300"/>
        </w:trPr>
        <w:tc>
          <w:tcPr>
            <w:tcW w:w="6804" w:type="dxa"/>
            <w:tcBorders>
              <w:left w:val="nil"/>
              <w:right w:val="nil"/>
            </w:tcBorders>
            <w:noWrap/>
            <w:hideMark/>
          </w:tcPr>
          <w:p w:rsidRPr="00DC209C" w:rsidR="00A30E7B" w:rsidP="003206A4" w:rsidRDefault="00A30E7B" w14:paraId="760BBCED" w14:textId="77777777">
            <w:pPr>
              <w:ind w:firstLine="200" w:firstLineChars="100"/>
              <w:rPr>
                <w:rFonts w:ascii="Arial" w:hAnsi="Arial" w:eastAsia="Times New Roman" w:cs="Arial"/>
                <w:sz w:val="20"/>
                <w:szCs w:val="20"/>
              </w:rPr>
            </w:pPr>
            <w:r w:rsidRPr="00DC209C">
              <w:rPr>
                <w:rFonts w:ascii="Arial" w:hAnsi="Arial"/>
                <w:sz w:val="20"/>
              </w:rPr>
              <w:t>α. Δείκτης στοιχείων ενεργητικού εντός του χρηματοοικονομικού συστήματος (παλαιός δείκτης)</w:t>
            </w:r>
          </w:p>
        </w:tc>
        <w:tc>
          <w:tcPr>
            <w:tcW w:w="2745" w:type="dxa"/>
            <w:tcBorders>
              <w:left w:val="nil"/>
              <w:right w:val="nil"/>
            </w:tcBorders>
            <w:noWrap/>
            <w:hideMark/>
          </w:tcPr>
          <w:p w:rsidRPr="00DC209C" w:rsidR="00A30E7B" w:rsidP="003206A4" w:rsidRDefault="00A30E7B" w14:paraId="3B5BC98F"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DF8F18F" w14:textId="77777777">
        <w:trPr>
          <w:trHeight w:val="300"/>
        </w:trPr>
        <w:tc>
          <w:tcPr>
            <w:tcW w:w="6804" w:type="dxa"/>
            <w:tcBorders>
              <w:left w:val="nil"/>
              <w:right w:val="nil"/>
            </w:tcBorders>
            <w:noWrap/>
            <w:hideMark/>
          </w:tcPr>
          <w:p w:rsidRPr="00DC209C" w:rsidR="00A30E7B" w:rsidP="003206A4" w:rsidRDefault="00A30E7B" w14:paraId="5F68980A" w14:textId="77777777">
            <w:pPr>
              <w:ind w:firstLine="200" w:firstLineChars="100"/>
              <w:rPr>
                <w:rFonts w:ascii="Arial" w:hAnsi="Arial" w:eastAsia="Times New Roman" w:cs="Arial"/>
                <w:sz w:val="20"/>
                <w:szCs w:val="20"/>
              </w:rPr>
            </w:pPr>
            <w:r w:rsidRPr="00DC209C">
              <w:rPr>
                <w:rFonts w:ascii="Arial" w:hAnsi="Arial"/>
                <w:sz w:val="20"/>
              </w:rPr>
              <w:t xml:space="preserve">β. Τριμηνιαία μέση τιμή των στοιχείων ενεργητικού εντός του χρηματοοικονομικού συστήματος </w:t>
            </w:r>
          </w:p>
        </w:tc>
        <w:tc>
          <w:tcPr>
            <w:tcW w:w="2745" w:type="dxa"/>
            <w:tcBorders>
              <w:left w:val="nil"/>
              <w:right w:val="nil"/>
            </w:tcBorders>
            <w:noWrap/>
            <w:hideMark/>
          </w:tcPr>
          <w:p w:rsidRPr="00DC209C" w:rsidR="00A30E7B" w:rsidP="003206A4" w:rsidRDefault="00A30E7B" w14:paraId="4A9DACBF"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0D1FBCD" w14:textId="77777777">
        <w:trPr>
          <w:trHeight w:val="300"/>
        </w:trPr>
        <w:tc>
          <w:tcPr>
            <w:tcW w:w="6804" w:type="dxa"/>
            <w:tcBorders>
              <w:left w:val="nil"/>
              <w:right w:val="nil"/>
            </w:tcBorders>
            <w:noWrap/>
            <w:hideMark/>
          </w:tcPr>
          <w:p w:rsidRPr="00DC209C" w:rsidR="00A30E7B" w:rsidP="003206A4" w:rsidRDefault="00A30E7B" w14:paraId="7257AA14" w14:textId="77777777">
            <w:pPr>
              <w:ind w:firstLine="200" w:firstLineChars="100"/>
              <w:rPr>
                <w:rFonts w:ascii="Arial" w:hAnsi="Arial" w:eastAsia="Times New Roman" w:cs="Arial"/>
                <w:sz w:val="20"/>
                <w:szCs w:val="20"/>
              </w:rPr>
            </w:pPr>
            <w:r w:rsidRPr="00DC209C">
              <w:rPr>
                <w:rFonts w:ascii="Arial" w:hAnsi="Arial"/>
                <w:sz w:val="20"/>
              </w:rPr>
              <w:t xml:space="preserve">γ. Μηνιαία μέση τιμή των στοιχείων ενεργητικού εντός του χρηματοοικονομικού συστήματος </w:t>
            </w:r>
          </w:p>
        </w:tc>
        <w:tc>
          <w:tcPr>
            <w:tcW w:w="2745" w:type="dxa"/>
            <w:tcBorders>
              <w:left w:val="nil"/>
              <w:right w:val="nil"/>
            </w:tcBorders>
            <w:noWrap/>
            <w:hideMark/>
          </w:tcPr>
          <w:p w:rsidRPr="00DC209C" w:rsidR="00A30E7B" w:rsidP="003206A4" w:rsidRDefault="00A30E7B" w14:paraId="2824A4C6"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708B5357" w14:textId="77777777">
        <w:trPr>
          <w:trHeight w:val="300"/>
        </w:trPr>
        <w:tc>
          <w:tcPr>
            <w:tcW w:w="6804" w:type="dxa"/>
            <w:tcBorders>
              <w:left w:val="nil"/>
              <w:right w:val="nil"/>
            </w:tcBorders>
            <w:noWrap/>
            <w:hideMark/>
          </w:tcPr>
          <w:p w:rsidRPr="00DC209C" w:rsidR="00A30E7B" w:rsidP="003206A4" w:rsidRDefault="00A30E7B" w14:paraId="32B59FF8" w14:textId="77777777">
            <w:pPr>
              <w:ind w:firstLine="200" w:firstLineChars="100"/>
              <w:rPr>
                <w:rFonts w:ascii="Arial" w:hAnsi="Arial" w:eastAsia="Times New Roman" w:cs="Arial"/>
                <w:sz w:val="20"/>
                <w:szCs w:val="20"/>
              </w:rPr>
            </w:pPr>
            <w:r w:rsidRPr="00DC209C">
              <w:rPr>
                <w:rFonts w:ascii="Arial" w:hAnsi="Arial"/>
                <w:sz w:val="20"/>
              </w:rPr>
              <w:t>δ. Δείκτης υποχρεώσεων εντός του χρηματοοικονομικού συστήματος (παλαιός δείκτης)</w:t>
            </w:r>
          </w:p>
        </w:tc>
        <w:tc>
          <w:tcPr>
            <w:tcW w:w="2745" w:type="dxa"/>
            <w:tcBorders>
              <w:left w:val="nil"/>
              <w:right w:val="nil"/>
            </w:tcBorders>
            <w:noWrap/>
            <w:hideMark/>
          </w:tcPr>
          <w:p w:rsidRPr="00DC209C" w:rsidR="00A30E7B" w:rsidP="003206A4" w:rsidRDefault="00A30E7B" w14:paraId="7CC6C54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24373E93" w14:textId="77777777">
        <w:trPr>
          <w:trHeight w:val="300"/>
        </w:trPr>
        <w:tc>
          <w:tcPr>
            <w:tcW w:w="6804" w:type="dxa"/>
            <w:tcBorders>
              <w:left w:val="nil"/>
              <w:right w:val="nil"/>
            </w:tcBorders>
            <w:noWrap/>
            <w:hideMark/>
          </w:tcPr>
          <w:p w:rsidRPr="00DC209C" w:rsidR="00A30E7B" w:rsidP="003206A4" w:rsidRDefault="00A30E7B" w14:paraId="2C0917EF" w14:textId="77777777">
            <w:pPr>
              <w:ind w:firstLine="200" w:firstLineChars="100"/>
              <w:rPr>
                <w:rFonts w:ascii="Arial" w:hAnsi="Arial" w:eastAsia="Times New Roman" w:cs="Arial"/>
                <w:sz w:val="20"/>
                <w:szCs w:val="20"/>
              </w:rPr>
            </w:pPr>
            <w:r w:rsidRPr="00DC209C">
              <w:rPr>
                <w:rFonts w:ascii="Arial" w:hAnsi="Arial"/>
                <w:sz w:val="20"/>
              </w:rPr>
              <w:t xml:space="preserve">ε. Τριμηνιαία μέση τιμή των υποχρεώσεων εντός του χρηματοοικονομικού συστήματος </w:t>
            </w:r>
          </w:p>
        </w:tc>
        <w:tc>
          <w:tcPr>
            <w:tcW w:w="2745" w:type="dxa"/>
            <w:tcBorders>
              <w:left w:val="nil"/>
              <w:right w:val="nil"/>
            </w:tcBorders>
            <w:noWrap/>
            <w:hideMark/>
          </w:tcPr>
          <w:p w:rsidRPr="00DC209C" w:rsidR="00A30E7B" w:rsidP="003206A4" w:rsidRDefault="00A30E7B" w14:paraId="73E7F1E1"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BF70F01" w14:textId="77777777">
        <w:trPr>
          <w:trHeight w:val="300"/>
        </w:trPr>
        <w:tc>
          <w:tcPr>
            <w:tcW w:w="6804" w:type="dxa"/>
            <w:tcBorders>
              <w:left w:val="nil"/>
              <w:right w:val="nil"/>
            </w:tcBorders>
            <w:noWrap/>
            <w:hideMark/>
          </w:tcPr>
          <w:p w:rsidRPr="00DC209C" w:rsidR="00A30E7B" w:rsidP="003206A4" w:rsidRDefault="00A30E7B" w14:paraId="76684E5D" w14:textId="77777777">
            <w:pPr>
              <w:ind w:firstLine="200" w:firstLineChars="100"/>
              <w:rPr>
                <w:rFonts w:ascii="Arial" w:hAnsi="Arial" w:eastAsia="Times New Roman" w:cs="Arial"/>
                <w:sz w:val="20"/>
                <w:szCs w:val="20"/>
              </w:rPr>
            </w:pPr>
            <w:r w:rsidRPr="00DC209C">
              <w:rPr>
                <w:rFonts w:ascii="Arial" w:hAnsi="Arial"/>
                <w:sz w:val="20"/>
              </w:rPr>
              <w:t xml:space="preserve">στ. Μηνιαία μέση τιμή των υποχρεώσεων εντός του χρηματοοικονομικού συστήματος </w:t>
            </w:r>
          </w:p>
        </w:tc>
        <w:tc>
          <w:tcPr>
            <w:tcW w:w="2745" w:type="dxa"/>
            <w:tcBorders>
              <w:left w:val="nil"/>
              <w:right w:val="nil"/>
            </w:tcBorders>
            <w:noWrap/>
            <w:hideMark/>
          </w:tcPr>
          <w:p w:rsidRPr="00DC209C" w:rsidR="00A30E7B" w:rsidP="003206A4" w:rsidRDefault="00A30E7B" w14:paraId="1A93322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3F2ECF2" w14:textId="77777777">
        <w:trPr>
          <w:trHeight w:val="300"/>
        </w:trPr>
        <w:tc>
          <w:tcPr>
            <w:tcW w:w="6804" w:type="dxa"/>
            <w:tcBorders>
              <w:left w:val="nil"/>
              <w:right w:val="nil"/>
            </w:tcBorders>
            <w:noWrap/>
            <w:hideMark/>
          </w:tcPr>
          <w:p w:rsidRPr="00DC209C" w:rsidR="00A30E7B" w:rsidP="003206A4" w:rsidRDefault="00A30E7B" w14:paraId="70076C3B" w14:textId="77777777">
            <w:pPr>
              <w:ind w:firstLine="200" w:firstLineChars="100"/>
              <w:rPr>
                <w:rFonts w:ascii="Arial" w:hAnsi="Arial" w:eastAsia="Times New Roman" w:cs="Arial"/>
                <w:sz w:val="20"/>
                <w:szCs w:val="20"/>
              </w:rPr>
            </w:pPr>
            <w:r w:rsidRPr="00DC209C">
              <w:rPr>
                <w:rFonts w:ascii="Arial" w:hAnsi="Arial"/>
                <w:sz w:val="20"/>
              </w:rPr>
              <w:t>ζ. Δείκτης κυκλοφορούντων χρεογράφων (παλαιός δείκτης)</w:t>
            </w:r>
          </w:p>
        </w:tc>
        <w:tc>
          <w:tcPr>
            <w:tcW w:w="2745" w:type="dxa"/>
            <w:tcBorders>
              <w:left w:val="nil"/>
              <w:right w:val="nil"/>
            </w:tcBorders>
            <w:noWrap/>
            <w:hideMark/>
          </w:tcPr>
          <w:p w:rsidRPr="00DC209C" w:rsidR="00A30E7B" w:rsidP="003206A4" w:rsidRDefault="00A30E7B" w14:paraId="67D00F96"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4459CE0D" w14:textId="77777777">
        <w:trPr>
          <w:trHeight w:val="300"/>
        </w:trPr>
        <w:tc>
          <w:tcPr>
            <w:tcW w:w="6804" w:type="dxa"/>
            <w:tcBorders>
              <w:left w:val="nil"/>
              <w:right w:val="nil"/>
            </w:tcBorders>
            <w:noWrap/>
            <w:hideMark/>
          </w:tcPr>
          <w:p w:rsidRPr="00DC209C" w:rsidR="00A30E7B" w:rsidP="003206A4" w:rsidRDefault="00A30E7B" w14:paraId="0978D8A2" w14:textId="77777777">
            <w:pPr>
              <w:ind w:firstLine="200" w:firstLineChars="100"/>
              <w:rPr>
                <w:rFonts w:ascii="Arial" w:hAnsi="Arial" w:eastAsia="Times New Roman" w:cs="Arial"/>
                <w:sz w:val="20"/>
                <w:szCs w:val="20"/>
              </w:rPr>
            </w:pPr>
            <w:r w:rsidRPr="00DC209C">
              <w:rPr>
                <w:rFonts w:ascii="Arial" w:hAnsi="Arial"/>
                <w:sz w:val="20"/>
              </w:rPr>
              <w:t xml:space="preserve">η. Τριμηνιαία μέση τιμή κυκλοφορούντων χρεογράφων </w:t>
            </w:r>
          </w:p>
        </w:tc>
        <w:tc>
          <w:tcPr>
            <w:tcW w:w="2745" w:type="dxa"/>
            <w:tcBorders>
              <w:left w:val="nil"/>
              <w:right w:val="nil"/>
            </w:tcBorders>
            <w:noWrap/>
            <w:hideMark/>
          </w:tcPr>
          <w:p w:rsidRPr="00DC209C" w:rsidR="00A30E7B" w:rsidP="003206A4" w:rsidRDefault="00A30E7B" w14:paraId="7C1B74B9"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02E430DF" w14:textId="77777777">
        <w:trPr>
          <w:trHeight w:val="300"/>
        </w:trPr>
        <w:tc>
          <w:tcPr>
            <w:tcW w:w="6804" w:type="dxa"/>
            <w:tcBorders>
              <w:left w:val="nil"/>
              <w:bottom w:val="single" w:color="auto" w:sz="4" w:space="0"/>
              <w:right w:val="nil"/>
            </w:tcBorders>
            <w:noWrap/>
            <w:hideMark/>
          </w:tcPr>
          <w:p w:rsidRPr="00DC209C" w:rsidR="00A30E7B" w:rsidP="003206A4" w:rsidRDefault="00A30E7B" w14:paraId="4442917A" w14:textId="77777777">
            <w:pPr>
              <w:ind w:firstLine="200" w:firstLineChars="100"/>
              <w:rPr>
                <w:rFonts w:ascii="Arial" w:hAnsi="Arial" w:eastAsia="Times New Roman" w:cs="Arial"/>
                <w:sz w:val="20"/>
                <w:szCs w:val="20"/>
              </w:rPr>
            </w:pPr>
            <w:r w:rsidRPr="00DC209C">
              <w:rPr>
                <w:rFonts w:ascii="Arial" w:hAnsi="Arial"/>
                <w:sz w:val="20"/>
              </w:rPr>
              <w:t xml:space="preserve">θ. Μηνιαία μέση τιμή κυκλοφορούντων χρεογράφων </w:t>
            </w:r>
          </w:p>
        </w:tc>
        <w:tc>
          <w:tcPr>
            <w:tcW w:w="2745" w:type="dxa"/>
            <w:tcBorders>
              <w:left w:val="nil"/>
              <w:bottom w:val="single" w:color="auto" w:sz="4" w:space="0"/>
              <w:right w:val="nil"/>
            </w:tcBorders>
            <w:noWrap/>
            <w:hideMark/>
          </w:tcPr>
          <w:p w:rsidRPr="00DC209C" w:rsidR="00A30E7B" w:rsidP="003206A4" w:rsidRDefault="00A30E7B" w14:paraId="48D3DD7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13AB4A5" w14:textId="77777777">
        <w:trPr>
          <w:trHeight w:val="300"/>
        </w:trPr>
        <w:tc>
          <w:tcPr>
            <w:tcW w:w="6804" w:type="dxa"/>
            <w:tcBorders>
              <w:left w:val="nil"/>
              <w:bottom w:val="nil"/>
              <w:right w:val="nil"/>
            </w:tcBorders>
            <w:noWrap/>
          </w:tcPr>
          <w:p w:rsidRPr="00DC209C" w:rsidR="00A30E7B" w:rsidP="003206A4" w:rsidRDefault="00A30E7B" w14:paraId="07337A3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5CE32621" w14:textId="77777777">
            <w:pPr>
              <w:jc w:val="center"/>
              <w:rPr>
                <w:rFonts w:ascii="Arial" w:hAnsi="Arial" w:eastAsia="Times New Roman" w:cs="Arial"/>
                <w:b/>
                <w:bCs/>
                <w:sz w:val="20"/>
                <w:szCs w:val="20"/>
                <w:lang w:eastAsia="en-GB"/>
              </w:rPr>
            </w:pPr>
          </w:p>
        </w:tc>
      </w:tr>
      <w:tr w:rsidRPr="00DC209C" w:rsidR="00A30E7B" w:rsidTr="003206A4" w14:paraId="51301399" w14:textId="77777777">
        <w:trPr>
          <w:trHeight w:val="300"/>
        </w:trPr>
        <w:tc>
          <w:tcPr>
            <w:tcW w:w="6804" w:type="dxa"/>
            <w:tcBorders>
              <w:top w:val="nil"/>
              <w:left w:val="nil"/>
              <w:bottom w:val="single" w:color="auto" w:sz="4" w:space="0"/>
              <w:right w:val="nil"/>
            </w:tcBorders>
            <w:noWrap/>
            <w:hideMark/>
          </w:tcPr>
          <w:p w:rsidRPr="00DC209C" w:rsidR="00A30E7B" w:rsidP="003206A4" w:rsidRDefault="00A30E7B" w14:paraId="1430E161" w14:textId="77777777">
            <w:pPr>
              <w:rPr>
                <w:rFonts w:ascii="Arial" w:hAnsi="Arial" w:eastAsia="Times New Roman" w:cs="Arial"/>
                <w:b/>
                <w:bCs/>
                <w:sz w:val="20"/>
                <w:szCs w:val="20"/>
              </w:rPr>
            </w:pPr>
            <w:r w:rsidRPr="00DC209C">
              <w:rPr>
                <w:rFonts w:ascii="Arial" w:hAnsi="Arial"/>
                <w:b/>
                <w:sz w:val="20"/>
              </w:rPr>
              <w:t>Τμήμα 19 - Στοιχεία δυνατότητας υποκατάστασης/χρηματοπιστωτικής υποδομής</w:t>
            </w:r>
          </w:p>
        </w:tc>
        <w:tc>
          <w:tcPr>
            <w:tcW w:w="2745" w:type="dxa"/>
            <w:tcBorders>
              <w:top w:val="nil"/>
              <w:left w:val="nil"/>
              <w:right w:val="nil"/>
            </w:tcBorders>
            <w:hideMark/>
          </w:tcPr>
          <w:p w:rsidRPr="00DC209C" w:rsidR="00A30E7B" w:rsidP="003206A4" w:rsidRDefault="00A30E7B" w14:paraId="32430BFF"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27281423" w14:textId="77777777">
        <w:trPr>
          <w:trHeight w:val="300"/>
        </w:trPr>
        <w:tc>
          <w:tcPr>
            <w:tcW w:w="6804" w:type="dxa"/>
            <w:tcBorders>
              <w:left w:val="nil"/>
              <w:right w:val="nil"/>
            </w:tcBorders>
            <w:noWrap/>
          </w:tcPr>
          <w:p w:rsidRPr="00DC209C" w:rsidR="00A30E7B" w:rsidP="003206A4" w:rsidRDefault="00A30E7B" w14:paraId="3C6CA5E1" w14:textId="77777777">
            <w:pPr>
              <w:ind w:firstLine="162" w:firstLineChars="81"/>
              <w:rPr>
                <w:rFonts w:ascii="Arial" w:hAnsi="Arial" w:eastAsia="Times New Roman" w:cs="Arial"/>
                <w:sz w:val="20"/>
                <w:szCs w:val="20"/>
              </w:rPr>
            </w:pPr>
            <w:r w:rsidRPr="00DC209C">
              <w:rPr>
                <w:rFonts w:ascii="Arial" w:hAnsi="Arial"/>
                <w:sz w:val="20"/>
              </w:rPr>
              <w:t>α. Όγκος συναλλαγών κρατικών τίτλων, εξαιρουμένων των ενδοομιλικών συναλλαγών</w:t>
            </w:r>
          </w:p>
        </w:tc>
        <w:tc>
          <w:tcPr>
            <w:tcW w:w="2745" w:type="dxa"/>
            <w:tcBorders>
              <w:left w:val="nil"/>
              <w:right w:val="nil"/>
            </w:tcBorders>
            <w:noWrap/>
          </w:tcPr>
          <w:p w:rsidRPr="00DC209C" w:rsidR="00A30E7B" w:rsidP="003206A4" w:rsidRDefault="00A30E7B" w14:paraId="2F2485A7" w14:textId="77777777">
            <w:pPr>
              <w:jc w:val="right"/>
              <w:rPr>
                <w:rFonts w:ascii="Arial" w:hAnsi="Arial" w:eastAsia="Times New Roman" w:cs="Arial"/>
                <w:sz w:val="20"/>
                <w:szCs w:val="20"/>
                <w:lang w:eastAsia="en-GB"/>
              </w:rPr>
            </w:pPr>
          </w:p>
        </w:tc>
      </w:tr>
      <w:tr w:rsidRPr="00DC209C" w:rsidR="00A30E7B" w:rsidTr="003206A4" w14:paraId="59EEF3A7" w14:textId="77777777">
        <w:trPr>
          <w:trHeight w:val="300"/>
        </w:trPr>
        <w:tc>
          <w:tcPr>
            <w:tcW w:w="6804" w:type="dxa"/>
            <w:tcBorders>
              <w:left w:val="nil"/>
              <w:right w:val="nil"/>
            </w:tcBorders>
            <w:noWrap/>
          </w:tcPr>
          <w:p w:rsidRPr="00DC209C" w:rsidR="00A30E7B" w:rsidP="003206A4" w:rsidRDefault="00A30E7B" w14:paraId="47994C98" w14:textId="77777777">
            <w:pPr>
              <w:ind w:firstLine="162" w:firstLineChars="81"/>
              <w:rPr>
                <w:rFonts w:ascii="Arial" w:hAnsi="Arial" w:eastAsia="Times New Roman" w:cs="Arial"/>
                <w:sz w:val="20"/>
                <w:szCs w:val="20"/>
              </w:rPr>
            </w:pPr>
            <w:r w:rsidRPr="00DC209C">
              <w:rPr>
                <w:rFonts w:ascii="Arial" w:hAnsi="Arial"/>
                <w:sz w:val="20"/>
              </w:rPr>
              <w:t>β. Αρχικό περιθώριο που κατατίθεται στους κεντρικούς αντισυμβαλλομένους για λογαριασμό πελατών</w:t>
            </w:r>
          </w:p>
        </w:tc>
        <w:tc>
          <w:tcPr>
            <w:tcW w:w="2745" w:type="dxa"/>
            <w:tcBorders>
              <w:left w:val="nil"/>
              <w:right w:val="nil"/>
            </w:tcBorders>
            <w:noWrap/>
          </w:tcPr>
          <w:p w:rsidRPr="00DC209C" w:rsidR="00A30E7B" w:rsidP="003206A4" w:rsidRDefault="00A30E7B" w14:paraId="5F1C40CD" w14:textId="77777777">
            <w:pPr>
              <w:jc w:val="right"/>
              <w:rPr>
                <w:rFonts w:ascii="Arial" w:hAnsi="Arial" w:eastAsia="Times New Roman" w:cs="Arial"/>
                <w:sz w:val="20"/>
                <w:szCs w:val="20"/>
                <w:lang w:eastAsia="en-GB"/>
              </w:rPr>
            </w:pPr>
          </w:p>
        </w:tc>
      </w:tr>
      <w:tr w:rsidRPr="00DC209C" w:rsidR="00A30E7B" w:rsidTr="003206A4" w14:paraId="7FBD4164" w14:textId="77777777">
        <w:trPr>
          <w:trHeight w:val="300"/>
        </w:trPr>
        <w:tc>
          <w:tcPr>
            <w:tcW w:w="6804" w:type="dxa"/>
            <w:tcBorders>
              <w:left w:val="nil"/>
              <w:right w:val="nil"/>
            </w:tcBorders>
            <w:noWrap/>
          </w:tcPr>
          <w:p w:rsidRPr="00DC209C" w:rsidR="00A30E7B" w:rsidP="003206A4" w:rsidRDefault="00A30E7B" w14:paraId="3F063F2F" w14:textId="77777777">
            <w:pPr>
              <w:ind w:firstLine="162" w:firstLineChars="81"/>
              <w:rPr>
                <w:rFonts w:ascii="Arial" w:hAnsi="Arial" w:eastAsia="Times New Roman" w:cs="Arial"/>
                <w:sz w:val="20"/>
                <w:szCs w:val="20"/>
              </w:rPr>
            </w:pPr>
            <w:r w:rsidRPr="00DC209C">
              <w:rPr>
                <w:rFonts w:ascii="Arial" w:hAnsi="Arial"/>
                <w:sz w:val="20"/>
              </w:rPr>
              <w:t>γ. Αρχικό περιθώριο που κατατίθεται στους κεντρικούς αντισυμβαλλομένους για λογαριασμό του ομίλου</w:t>
            </w:r>
          </w:p>
        </w:tc>
        <w:tc>
          <w:tcPr>
            <w:tcW w:w="2745" w:type="dxa"/>
            <w:tcBorders>
              <w:left w:val="nil"/>
              <w:right w:val="nil"/>
            </w:tcBorders>
            <w:noWrap/>
          </w:tcPr>
          <w:p w:rsidRPr="00DC209C" w:rsidR="00A30E7B" w:rsidP="003206A4" w:rsidRDefault="00A30E7B" w14:paraId="6DB2CF07" w14:textId="77777777">
            <w:pPr>
              <w:jc w:val="right"/>
              <w:rPr>
                <w:rFonts w:ascii="Arial" w:hAnsi="Arial" w:eastAsia="Times New Roman" w:cs="Arial"/>
                <w:sz w:val="20"/>
                <w:szCs w:val="20"/>
                <w:lang w:eastAsia="en-GB"/>
              </w:rPr>
            </w:pPr>
          </w:p>
        </w:tc>
      </w:tr>
      <w:tr w:rsidRPr="00DC209C" w:rsidR="00A30E7B" w:rsidTr="003206A4" w14:paraId="63F1E08D" w14:textId="77777777">
        <w:trPr>
          <w:trHeight w:val="300"/>
        </w:trPr>
        <w:tc>
          <w:tcPr>
            <w:tcW w:w="6804" w:type="dxa"/>
            <w:tcBorders>
              <w:left w:val="nil"/>
              <w:right w:val="nil"/>
            </w:tcBorders>
            <w:noWrap/>
            <w:hideMark/>
          </w:tcPr>
          <w:p w:rsidRPr="00DC209C" w:rsidR="00A30E7B" w:rsidP="003206A4" w:rsidRDefault="00A30E7B" w14:paraId="1A82914A" w14:textId="77777777">
            <w:pPr>
              <w:ind w:firstLine="162" w:firstLineChars="81"/>
              <w:rPr>
                <w:rFonts w:ascii="Arial" w:hAnsi="Arial" w:eastAsia="Times New Roman" w:cs="Arial"/>
                <w:sz w:val="20"/>
                <w:szCs w:val="20"/>
              </w:rPr>
            </w:pPr>
            <w:r w:rsidRPr="00DC209C">
              <w:rPr>
                <w:rFonts w:ascii="Arial" w:hAnsi="Arial"/>
                <w:sz w:val="20"/>
              </w:rPr>
              <w:t>δ. Εισφορές υπέρ κεφαλαίου εκκαθάρισης προς τους κεντρικούς αντισυμβαλλομένους</w:t>
            </w:r>
          </w:p>
        </w:tc>
        <w:tc>
          <w:tcPr>
            <w:tcW w:w="2745" w:type="dxa"/>
            <w:tcBorders>
              <w:left w:val="nil"/>
              <w:right w:val="nil"/>
            </w:tcBorders>
            <w:noWrap/>
            <w:hideMark/>
          </w:tcPr>
          <w:p w:rsidRPr="00DC209C" w:rsidR="00A30E7B" w:rsidP="003206A4" w:rsidRDefault="00A30E7B" w14:paraId="1E0C9662"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E240F93" w14:textId="77777777">
        <w:trPr>
          <w:trHeight w:val="300"/>
        </w:trPr>
        <w:tc>
          <w:tcPr>
            <w:tcW w:w="6804" w:type="dxa"/>
            <w:tcBorders>
              <w:left w:val="nil"/>
              <w:right w:val="nil"/>
            </w:tcBorders>
            <w:noWrap/>
            <w:hideMark/>
          </w:tcPr>
          <w:p w:rsidRPr="00DC209C" w:rsidR="00A30E7B" w:rsidP="003206A4" w:rsidRDefault="00A30E7B" w14:paraId="51406ED8" w14:textId="77777777">
            <w:pPr>
              <w:ind w:firstLine="162" w:firstLineChars="81"/>
              <w:rPr>
                <w:rFonts w:ascii="Arial" w:hAnsi="Arial" w:eastAsia="Times New Roman" w:cs="Arial"/>
                <w:sz w:val="20"/>
                <w:szCs w:val="20"/>
              </w:rPr>
            </w:pPr>
            <w:r w:rsidRPr="00DC209C">
              <w:rPr>
                <w:rFonts w:ascii="Arial" w:hAnsi="Arial"/>
                <w:sz w:val="20"/>
              </w:rPr>
              <w:t>ε. Λοιπές διευκολύνσεις προς κεντρικούς αντισυμβαλλομένους</w:t>
            </w:r>
          </w:p>
        </w:tc>
        <w:tc>
          <w:tcPr>
            <w:tcW w:w="2745" w:type="dxa"/>
            <w:tcBorders>
              <w:left w:val="nil"/>
              <w:right w:val="nil"/>
            </w:tcBorders>
            <w:noWrap/>
            <w:hideMark/>
          </w:tcPr>
          <w:p w:rsidRPr="00DC209C" w:rsidR="00A30E7B" w:rsidP="003206A4" w:rsidRDefault="00A30E7B" w14:paraId="2FE92458"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1A60302E" w14:textId="77777777">
        <w:trPr>
          <w:gridAfter w:val="1"/>
          <w:wAfter w:w="2745" w:type="dxa"/>
          <w:trHeight w:val="300"/>
        </w:trPr>
        <w:tc>
          <w:tcPr>
            <w:tcW w:w="6804" w:type="dxa"/>
            <w:tcBorders>
              <w:left w:val="nil"/>
              <w:right w:val="nil"/>
            </w:tcBorders>
            <w:noWrap/>
            <w:hideMark/>
          </w:tcPr>
          <w:p w:rsidRPr="00DC209C" w:rsidR="00A30E7B" w:rsidP="003206A4" w:rsidRDefault="00A30E7B" w14:paraId="68763871" w14:textId="77777777">
            <w:pPr>
              <w:ind w:firstLine="162" w:firstLineChars="81"/>
              <w:rPr>
                <w:rFonts w:ascii="Arial" w:hAnsi="Arial" w:eastAsia="Times New Roman" w:cs="Arial"/>
                <w:sz w:val="20"/>
                <w:szCs w:val="20"/>
              </w:rPr>
            </w:pPr>
            <w:r w:rsidRPr="00DC209C">
              <w:rPr>
                <w:rFonts w:ascii="Arial" w:hAnsi="Arial"/>
                <w:sz w:val="20"/>
              </w:rPr>
              <w:t>στ. Παροχή υπηρεσιών διακανονισμού για συναλλαγές που εκκαθαρίζονται κεντρικά</w:t>
            </w:r>
          </w:p>
        </w:tc>
      </w:tr>
      <w:tr w:rsidRPr="00DC209C" w:rsidR="00A30E7B" w:rsidTr="003206A4" w14:paraId="607BE97E" w14:textId="77777777">
        <w:trPr>
          <w:trHeight w:val="300"/>
        </w:trPr>
        <w:tc>
          <w:tcPr>
            <w:tcW w:w="6804" w:type="dxa"/>
            <w:tcBorders>
              <w:left w:val="nil"/>
              <w:right w:val="nil"/>
            </w:tcBorders>
            <w:noWrap/>
            <w:hideMark/>
          </w:tcPr>
          <w:p w:rsidRPr="00DC209C" w:rsidR="00A30E7B" w:rsidP="003206A4" w:rsidRDefault="00A30E7B" w14:paraId="7725021D" w14:textId="77777777">
            <w:pPr>
              <w:ind w:firstLine="200" w:firstLineChars="100"/>
              <w:rPr>
                <w:rFonts w:ascii="Arial" w:hAnsi="Arial" w:eastAsia="Times New Roman" w:cs="Arial"/>
                <w:sz w:val="20"/>
                <w:szCs w:val="20"/>
              </w:rPr>
            </w:pPr>
            <w:r w:rsidRPr="00DC209C">
              <w:rPr>
                <w:rFonts w:ascii="Arial" w:hAnsi="Arial"/>
                <w:sz w:val="20"/>
              </w:rPr>
              <w:t xml:space="preserve">ζ. Τριμηνιαία μέση τιμή των στοιχείων ενεργητικού υπό φύλαξη </w:t>
            </w:r>
          </w:p>
        </w:tc>
        <w:tc>
          <w:tcPr>
            <w:tcW w:w="2745" w:type="dxa"/>
            <w:tcBorders>
              <w:left w:val="nil"/>
              <w:right w:val="nil"/>
            </w:tcBorders>
            <w:noWrap/>
            <w:hideMark/>
          </w:tcPr>
          <w:p w:rsidRPr="00DC209C" w:rsidR="00A30E7B" w:rsidP="003206A4" w:rsidRDefault="00A30E7B" w14:paraId="61CF159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3838EE39" w14:textId="77777777">
        <w:trPr>
          <w:trHeight w:val="300"/>
        </w:trPr>
        <w:tc>
          <w:tcPr>
            <w:tcW w:w="6804" w:type="dxa"/>
            <w:tcBorders>
              <w:left w:val="nil"/>
              <w:bottom w:val="single" w:color="auto" w:sz="4" w:space="0"/>
              <w:right w:val="nil"/>
            </w:tcBorders>
            <w:noWrap/>
            <w:hideMark/>
          </w:tcPr>
          <w:p w:rsidRPr="00DC209C" w:rsidR="00A30E7B" w:rsidP="003206A4" w:rsidRDefault="00A30E7B" w14:paraId="0CB963FD" w14:textId="77777777">
            <w:pPr>
              <w:ind w:firstLine="200" w:firstLineChars="100"/>
              <w:rPr>
                <w:rFonts w:ascii="Arial" w:hAnsi="Arial" w:eastAsia="Times New Roman" w:cs="Arial"/>
                <w:sz w:val="20"/>
                <w:szCs w:val="20"/>
              </w:rPr>
            </w:pPr>
            <w:r w:rsidRPr="00DC209C">
              <w:rPr>
                <w:rFonts w:ascii="Arial" w:hAnsi="Arial"/>
                <w:sz w:val="20"/>
              </w:rPr>
              <w:t xml:space="preserve">η. Μηνιαία μέση τιμή των στοιχείων ενεργητικού υπό φύλαξη </w:t>
            </w:r>
          </w:p>
        </w:tc>
        <w:tc>
          <w:tcPr>
            <w:tcW w:w="2745" w:type="dxa"/>
            <w:tcBorders>
              <w:left w:val="nil"/>
              <w:bottom w:val="single" w:color="auto" w:sz="4" w:space="0"/>
              <w:right w:val="nil"/>
            </w:tcBorders>
            <w:noWrap/>
            <w:hideMark/>
          </w:tcPr>
          <w:p w:rsidRPr="00DC209C" w:rsidR="00A30E7B" w:rsidP="003206A4" w:rsidRDefault="00A30E7B" w14:paraId="3F3D92E3"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099D7525" w14:textId="77777777">
        <w:trPr>
          <w:trHeight w:val="300"/>
        </w:trPr>
        <w:tc>
          <w:tcPr>
            <w:tcW w:w="6804" w:type="dxa"/>
            <w:tcBorders>
              <w:left w:val="nil"/>
              <w:bottom w:val="nil"/>
              <w:right w:val="nil"/>
            </w:tcBorders>
            <w:noWrap/>
          </w:tcPr>
          <w:p w:rsidRPr="00DC209C" w:rsidR="00A30E7B" w:rsidP="003206A4" w:rsidRDefault="00A30E7B" w14:paraId="7B17DFC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DC209C" w:rsidR="00A30E7B" w:rsidP="003206A4" w:rsidRDefault="00A30E7B" w14:paraId="5DF1357A" w14:textId="77777777">
            <w:pPr>
              <w:jc w:val="center"/>
              <w:rPr>
                <w:rFonts w:ascii="Arial" w:hAnsi="Arial" w:eastAsia="Times New Roman" w:cs="Arial"/>
                <w:b/>
                <w:bCs/>
                <w:sz w:val="20"/>
                <w:szCs w:val="20"/>
                <w:lang w:eastAsia="en-GB"/>
              </w:rPr>
            </w:pPr>
          </w:p>
        </w:tc>
      </w:tr>
      <w:tr w:rsidRPr="00DC209C" w:rsidR="00A30E7B" w:rsidTr="003206A4" w14:paraId="3A0E6424" w14:textId="77777777">
        <w:trPr>
          <w:trHeight w:val="300"/>
        </w:trPr>
        <w:tc>
          <w:tcPr>
            <w:tcW w:w="6804" w:type="dxa"/>
            <w:tcBorders>
              <w:top w:val="nil"/>
              <w:left w:val="nil"/>
              <w:right w:val="nil"/>
            </w:tcBorders>
            <w:noWrap/>
            <w:hideMark/>
          </w:tcPr>
          <w:p w:rsidRPr="00DC209C" w:rsidR="00A30E7B" w:rsidP="003206A4" w:rsidRDefault="00A30E7B" w14:paraId="78A3CE86" w14:textId="77777777">
            <w:pPr>
              <w:rPr>
                <w:rFonts w:ascii="Arial" w:hAnsi="Arial" w:eastAsia="Times New Roman" w:cs="Arial"/>
                <w:b/>
                <w:bCs/>
                <w:sz w:val="20"/>
                <w:szCs w:val="20"/>
              </w:rPr>
            </w:pPr>
            <w:r w:rsidRPr="00DC209C">
              <w:rPr>
                <w:rFonts w:ascii="Arial" w:hAnsi="Arial"/>
                <w:b/>
                <w:sz w:val="20"/>
              </w:rPr>
              <w:t>Τμήμα 20 - Στοιχεία πολυπλοκότητας</w:t>
            </w:r>
          </w:p>
        </w:tc>
        <w:tc>
          <w:tcPr>
            <w:tcW w:w="2745" w:type="dxa"/>
            <w:tcBorders>
              <w:top w:val="nil"/>
              <w:left w:val="nil"/>
              <w:right w:val="nil"/>
            </w:tcBorders>
            <w:hideMark/>
          </w:tcPr>
          <w:p w:rsidRPr="00DC209C" w:rsidR="00A30E7B" w:rsidP="003206A4" w:rsidRDefault="00A30E7B" w14:paraId="3F36F2D3"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13D07C86" w14:textId="77777777">
        <w:trPr>
          <w:trHeight w:val="300"/>
        </w:trPr>
        <w:tc>
          <w:tcPr>
            <w:tcW w:w="6804" w:type="dxa"/>
            <w:tcBorders>
              <w:left w:val="nil"/>
              <w:right w:val="nil"/>
            </w:tcBorders>
            <w:noWrap/>
            <w:hideMark/>
          </w:tcPr>
          <w:p w:rsidRPr="00DC209C" w:rsidR="00A30E7B" w:rsidP="003206A4" w:rsidRDefault="00A30E7B" w14:paraId="55248A99" w14:textId="77777777">
            <w:pPr>
              <w:ind w:firstLine="200" w:firstLineChars="100"/>
              <w:rPr>
                <w:rFonts w:ascii="Arial" w:hAnsi="Arial" w:eastAsia="Times New Roman" w:cs="Arial"/>
                <w:sz w:val="20"/>
                <w:szCs w:val="20"/>
              </w:rPr>
            </w:pPr>
            <w:r w:rsidRPr="00DC209C">
              <w:rPr>
                <w:rFonts w:ascii="Arial" w:hAnsi="Arial"/>
                <w:sz w:val="20"/>
              </w:rPr>
              <w:t>α. Δείκτης εξωχρηματιστηριακών παραγώγων (παλαιός δείκτης)</w:t>
            </w:r>
          </w:p>
        </w:tc>
        <w:tc>
          <w:tcPr>
            <w:tcW w:w="2745" w:type="dxa"/>
            <w:tcBorders>
              <w:left w:val="nil"/>
              <w:right w:val="nil"/>
            </w:tcBorders>
            <w:noWrap/>
            <w:hideMark/>
          </w:tcPr>
          <w:p w:rsidRPr="00DC209C" w:rsidR="00A30E7B" w:rsidP="003206A4" w:rsidRDefault="00A30E7B" w14:paraId="75E60165" w14:textId="77777777">
            <w:pPr>
              <w:jc w:val="right"/>
              <w:rPr>
                <w:rFonts w:ascii="Arial" w:hAnsi="Arial" w:eastAsia="Times New Roman" w:cs="Arial"/>
                <w:sz w:val="20"/>
                <w:szCs w:val="20"/>
              </w:rPr>
            </w:pPr>
            <w:r w:rsidRPr="00DC209C">
              <w:rPr>
                <w:rFonts w:ascii="Arial" w:hAnsi="Arial"/>
                <w:sz w:val="20"/>
              </w:rPr>
              <w:t> </w:t>
            </w:r>
          </w:p>
        </w:tc>
      </w:tr>
      <w:tr w:rsidRPr="00DC209C" w:rsidR="00A30E7B" w:rsidTr="003206A4" w14:paraId="0B0C5DBC" w14:textId="77777777">
        <w:trPr>
          <w:trHeight w:val="300"/>
        </w:trPr>
        <w:tc>
          <w:tcPr>
            <w:tcW w:w="6804" w:type="dxa"/>
            <w:tcBorders>
              <w:left w:val="nil"/>
              <w:right w:val="nil"/>
            </w:tcBorders>
            <w:noWrap/>
          </w:tcPr>
          <w:p w:rsidRPr="00DC209C" w:rsidR="00A30E7B" w:rsidP="003206A4" w:rsidRDefault="00A30E7B" w14:paraId="4045EBD5" w14:textId="77777777">
            <w:pPr>
              <w:ind w:left="171" w:firstLine="28" w:firstLineChars="14"/>
              <w:rPr>
                <w:rFonts w:ascii="Arial" w:hAnsi="Arial" w:eastAsia="Times New Roman" w:cs="Arial"/>
                <w:sz w:val="20"/>
                <w:szCs w:val="20"/>
              </w:rPr>
            </w:pPr>
            <w:r w:rsidRPr="00DC209C">
              <w:rPr>
                <w:rFonts w:ascii="Arial" w:hAnsi="Arial"/>
                <w:sz w:val="20"/>
              </w:rPr>
              <w:t>β. Ονομαστικό ποσό εξωχρηματιστηριακών παραγώγων,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55752B56" w14:textId="77777777">
            <w:pPr>
              <w:jc w:val="right"/>
              <w:rPr>
                <w:rFonts w:ascii="Arial" w:hAnsi="Arial" w:eastAsia="Times New Roman" w:cs="Arial"/>
                <w:sz w:val="20"/>
                <w:szCs w:val="20"/>
                <w:lang w:eastAsia="en-GB"/>
              </w:rPr>
            </w:pPr>
          </w:p>
        </w:tc>
      </w:tr>
      <w:tr w:rsidRPr="00DC209C" w:rsidR="00A30E7B" w:rsidTr="003206A4" w14:paraId="5F39548B" w14:textId="77777777">
        <w:trPr>
          <w:trHeight w:val="300"/>
        </w:trPr>
        <w:tc>
          <w:tcPr>
            <w:tcW w:w="6804" w:type="dxa"/>
            <w:tcBorders>
              <w:left w:val="nil"/>
              <w:right w:val="nil"/>
            </w:tcBorders>
            <w:noWrap/>
          </w:tcPr>
          <w:p w:rsidRPr="00DC209C" w:rsidR="00A30E7B" w:rsidP="003206A4" w:rsidRDefault="00A30E7B" w14:paraId="7474A074" w14:textId="77777777">
            <w:pPr>
              <w:ind w:left="313"/>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 xml:space="preserve">Εκκαθαριζόμενα μέσω κεντρικού αντισυμβαλλομένου όπου ο όμιλος (συμπεριλαμβανομένων των ασφαλιστικών θυγατρικών) ενεργεί </w:t>
            </w:r>
            <w:r w:rsidRPr="00DC209C">
              <w:rPr>
                <w:rFonts w:ascii="Arial" w:hAnsi="Arial"/>
                <w:sz w:val="20"/>
              </w:rPr>
              <w:lastRenderedPageBreak/>
              <w:t>ως χρηματοπιστωτικός διαμεσολαβητής (σκέλος κεντρικού αντισυμβαλλόμενου)</w:t>
            </w:r>
          </w:p>
        </w:tc>
        <w:tc>
          <w:tcPr>
            <w:tcW w:w="2745" w:type="dxa"/>
            <w:tcBorders>
              <w:left w:val="nil"/>
              <w:right w:val="nil"/>
            </w:tcBorders>
            <w:noWrap/>
          </w:tcPr>
          <w:p w:rsidRPr="00DC209C" w:rsidR="00A30E7B" w:rsidP="003206A4" w:rsidRDefault="00A30E7B" w14:paraId="393C73F5" w14:textId="77777777">
            <w:pPr>
              <w:jc w:val="right"/>
              <w:rPr>
                <w:rFonts w:ascii="Arial" w:hAnsi="Arial" w:eastAsia="Times New Roman" w:cs="Arial"/>
                <w:sz w:val="20"/>
                <w:szCs w:val="20"/>
                <w:lang w:eastAsia="en-GB"/>
              </w:rPr>
            </w:pPr>
          </w:p>
        </w:tc>
      </w:tr>
      <w:tr w:rsidRPr="00DC209C" w:rsidR="00A30E7B" w:rsidTr="003206A4" w14:paraId="74D6E9E5" w14:textId="77777777">
        <w:trPr>
          <w:trHeight w:val="300"/>
        </w:trPr>
        <w:tc>
          <w:tcPr>
            <w:tcW w:w="6804" w:type="dxa"/>
            <w:tcBorders>
              <w:left w:val="nil"/>
              <w:right w:val="nil"/>
            </w:tcBorders>
            <w:noWrap/>
          </w:tcPr>
          <w:p w:rsidRPr="00DC209C" w:rsidR="00A30E7B" w:rsidP="003206A4" w:rsidRDefault="00A30E7B" w14:paraId="356D50D5" w14:textId="77777777">
            <w:pPr>
              <w:ind w:left="313" w:firstLine="58" w:firstLineChars="29"/>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 xml:space="preserve">Εκκαθαριζόμενα μέσω κεντρικού αντισυμβαλλομένου όπου ο όμιλος (συμπεριλαμβανομένων των ασφαλιστικών θυγατρικών) ενεργεί ως χρηματοπιστωτικός διαμεσολαβητής (σκέλος πελάτη) </w:t>
            </w:r>
          </w:p>
        </w:tc>
        <w:tc>
          <w:tcPr>
            <w:tcW w:w="2745" w:type="dxa"/>
            <w:tcBorders>
              <w:left w:val="nil"/>
              <w:right w:val="nil"/>
            </w:tcBorders>
            <w:noWrap/>
          </w:tcPr>
          <w:p w:rsidRPr="00DC209C" w:rsidR="00A30E7B" w:rsidP="003206A4" w:rsidRDefault="00A30E7B" w14:paraId="3DC2CA47" w14:textId="77777777">
            <w:pPr>
              <w:jc w:val="right"/>
              <w:rPr>
                <w:rFonts w:ascii="Arial" w:hAnsi="Arial" w:eastAsia="Times New Roman" w:cs="Arial"/>
                <w:sz w:val="20"/>
                <w:szCs w:val="20"/>
                <w:lang w:eastAsia="en-GB"/>
              </w:rPr>
            </w:pPr>
          </w:p>
        </w:tc>
      </w:tr>
      <w:tr w:rsidRPr="00DC209C" w:rsidR="00A30E7B" w:rsidTr="003206A4" w14:paraId="2B75F57E" w14:textId="77777777">
        <w:trPr>
          <w:trHeight w:val="300"/>
        </w:trPr>
        <w:tc>
          <w:tcPr>
            <w:tcW w:w="6804" w:type="dxa"/>
            <w:tcBorders>
              <w:left w:val="nil"/>
              <w:right w:val="nil"/>
            </w:tcBorders>
            <w:noWrap/>
          </w:tcPr>
          <w:p w:rsidRPr="00DC209C" w:rsidR="00A30E7B" w:rsidP="003206A4" w:rsidRDefault="00A30E7B" w14:paraId="73D7E9CE" w14:textId="77777777">
            <w:pPr>
              <w:ind w:left="313"/>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 xml:space="preserve">Εκκαθαριζόμενα μέσω κεντρικού αντισυμβαλλομένου όπου ο όμιλος, συμπεριλαμβανομένων των ασφαλιστικών θυγατρικών, ενεργεί ως αντιπρόσωπος </w:t>
            </w:r>
          </w:p>
        </w:tc>
        <w:tc>
          <w:tcPr>
            <w:tcW w:w="2745" w:type="dxa"/>
            <w:tcBorders>
              <w:left w:val="nil"/>
              <w:right w:val="nil"/>
            </w:tcBorders>
            <w:noWrap/>
          </w:tcPr>
          <w:p w:rsidRPr="00DC209C" w:rsidR="00A30E7B" w:rsidP="003206A4" w:rsidRDefault="00A30E7B" w14:paraId="3D31682A" w14:textId="77777777">
            <w:pPr>
              <w:jc w:val="right"/>
              <w:rPr>
                <w:rFonts w:ascii="Arial" w:hAnsi="Arial" w:eastAsia="Times New Roman" w:cs="Arial"/>
                <w:sz w:val="20"/>
                <w:szCs w:val="20"/>
                <w:lang w:eastAsia="en-GB"/>
              </w:rPr>
            </w:pPr>
          </w:p>
        </w:tc>
      </w:tr>
      <w:tr w:rsidRPr="00DC209C" w:rsidR="00A30E7B" w:rsidTr="003206A4" w14:paraId="59B47BCC" w14:textId="77777777">
        <w:trPr>
          <w:trHeight w:val="300"/>
        </w:trPr>
        <w:tc>
          <w:tcPr>
            <w:tcW w:w="6804" w:type="dxa"/>
            <w:tcBorders>
              <w:left w:val="nil"/>
              <w:right w:val="nil"/>
            </w:tcBorders>
            <w:noWrap/>
          </w:tcPr>
          <w:p w:rsidRPr="00DC209C" w:rsidR="00A30E7B" w:rsidP="003206A4" w:rsidRDefault="00A30E7B" w14:paraId="67579B44" w14:textId="77777777">
            <w:pPr>
              <w:ind w:left="313" w:hanging="1"/>
              <w:rPr>
                <w:rFonts w:ascii="Arial" w:hAnsi="Arial" w:eastAsia="Times New Roman" w:cs="Arial"/>
                <w:sz w:val="20"/>
                <w:szCs w:val="20"/>
              </w:rPr>
            </w:pPr>
            <w:r w:rsidRPr="00DC209C">
              <w:rPr>
                <w:rFonts w:ascii="Arial" w:hAnsi="Arial"/>
                <w:sz w:val="20"/>
                <w:lang w:eastAsia="en-GB"/>
              </w:rPr>
              <w:t xml:space="preserve">(4) </w:t>
            </w:r>
            <w:r w:rsidRPr="00DC209C">
              <w:rPr>
                <w:rFonts w:ascii="Arial" w:hAnsi="Arial"/>
                <w:sz w:val="20"/>
              </w:rPr>
              <w:t>Εκκαθαριζόμενα μέσω κεντρικού αντισυμβαλλομένου όπου ο όμιλος, συμπεριλαμβανομένων των ασφαλιστικών θυγατρικών, συναλλάσσεται για δικό του λογαριασμό</w:t>
            </w:r>
          </w:p>
        </w:tc>
        <w:tc>
          <w:tcPr>
            <w:tcW w:w="2745" w:type="dxa"/>
            <w:tcBorders>
              <w:left w:val="nil"/>
              <w:right w:val="nil"/>
            </w:tcBorders>
            <w:noWrap/>
          </w:tcPr>
          <w:p w:rsidRPr="00DC209C" w:rsidR="00A30E7B" w:rsidP="003206A4" w:rsidRDefault="00A30E7B" w14:paraId="26EC7E42" w14:textId="77777777">
            <w:pPr>
              <w:jc w:val="right"/>
              <w:rPr>
                <w:rFonts w:ascii="Arial" w:hAnsi="Arial" w:eastAsia="Times New Roman" w:cs="Arial"/>
                <w:sz w:val="20"/>
                <w:szCs w:val="20"/>
                <w:lang w:eastAsia="en-GB"/>
              </w:rPr>
            </w:pPr>
          </w:p>
        </w:tc>
      </w:tr>
      <w:tr w:rsidRPr="00DC209C" w:rsidR="00A30E7B" w:rsidTr="003206A4" w14:paraId="2E0C9123" w14:textId="77777777">
        <w:trPr>
          <w:trHeight w:val="300"/>
        </w:trPr>
        <w:tc>
          <w:tcPr>
            <w:tcW w:w="6804" w:type="dxa"/>
            <w:tcBorders>
              <w:left w:val="nil"/>
              <w:right w:val="nil"/>
            </w:tcBorders>
            <w:noWrap/>
          </w:tcPr>
          <w:p w:rsidRPr="00DC209C" w:rsidR="00A30E7B" w:rsidP="003206A4" w:rsidRDefault="00A30E7B" w14:paraId="7BFE286F" w14:textId="77777777">
            <w:pPr>
              <w:ind w:left="171" w:firstLine="28" w:firstLineChars="14"/>
              <w:rPr>
                <w:rFonts w:ascii="Arial" w:hAnsi="Arial" w:eastAsia="Times New Roman" w:cs="Arial"/>
                <w:sz w:val="20"/>
                <w:szCs w:val="20"/>
              </w:rPr>
            </w:pPr>
            <w:r w:rsidRPr="00DC209C">
              <w:rPr>
                <w:rFonts w:ascii="Arial" w:hAnsi="Arial"/>
                <w:sz w:val="20"/>
              </w:rPr>
              <w:t>γ. Εξωχρηματιστηριακά παράγωγα εκκαθαριζόμενα μέσω κεντρικού αντισυμβαλλομένου (εξαίρεση μετάβασης σε LIBOR)</w:t>
            </w:r>
          </w:p>
        </w:tc>
        <w:tc>
          <w:tcPr>
            <w:tcW w:w="2745" w:type="dxa"/>
            <w:tcBorders>
              <w:left w:val="nil"/>
              <w:right w:val="nil"/>
            </w:tcBorders>
            <w:noWrap/>
          </w:tcPr>
          <w:p w:rsidRPr="00DC209C" w:rsidR="00A30E7B" w:rsidP="003206A4" w:rsidRDefault="00A30E7B" w14:paraId="606216AB" w14:textId="77777777">
            <w:pPr>
              <w:jc w:val="right"/>
              <w:rPr>
                <w:rFonts w:ascii="Arial" w:hAnsi="Arial" w:eastAsia="Times New Roman" w:cs="Arial"/>
                <w:sz w:val="20"/>
                <w:szCs w:val="20"/>
                <w:lang w:eastAsia="en-GB"/>
              </w:rPr>
            </w:pPr>
          </w:p>
        </w:tc>
      </w:tr>
      <w:tr w:rsidRPr="00DC209C" w:rsidR="00A30E7B" w:rsidTr="003206A4" w14:paraId="360F0789" w14:textId="77777777">
        <w:trPr>
          <w:trHeight w:val="300"/>
        </w:trPr>
        <w:tc>
          <w:tcPr>
            <w:tcW w:w="6804" w:type="dxa"/>
            <w:tcBorders>
              <w:left w:val="nil"/>
              <w:right w:val="nil"/>
            </w:tcBorders>
            <w:noWrap/>
          </w:tcPr>
          <w:p w:rsidRPr="00DC209C" w:rsidR="00A30E7B" w:rsidP="003206A4" w:rsidRDefault="00A30E7B" w14:paraId="3328BE96" w14:textId="77777777">
            <w:pPr>
              <w:ind w:left="171" w:firstLine="28" w:firstLineChars="14"/>
              <w:rPr>
                <w:rFonts w:ascii="Arial" w:hAnsi="Arial" w:eastAsia="Times New Roman" w:cs="Arial"/>
                <w:sz w:val="20"/>
                <w:szCs w:val="20"/>
              </w:rPr>
            </w:pPr>
            <w:r w:rsidRPr="00DC209C">
              <w:rPr>
                <w:rFonts w:ascii="Arial" w:hAnsi="Arial"/>
                <w:sz w:val="20"/>
              </w:rPr>
              <w:t xml:space="preserve">δ. Τριμηνιαία μέση αξία του ονομαστικού ποσού εξωχρηματιστηριακών παραγώγων </w:t>
            </w:r>
          </w:p>
        </w:tc>
        <w:tc>
          <w:tcPr>
            <w:tcW w:w="2745" w:type="dxa"/>
            <w:tcBorders>
              <w:left w:val="nil"/>
              <w:right w:val="nil"/>
            </w:tcBorders>
            <w:noWrap/>
          </w:tcPr>
          <w:p w:rsidRPr="00DC209C" w:rsidR="00A30E7B" w:rsidP="003206A4" w:rsidRDefault="00A30E7B" w14:paraId="3D245649" w14:textId="77777777">
            <w:pPr>
              <w:jc w:val="right"/>
              <w:rPr>
                <w:rFonts w:ascii="Arial" w:hAnsi="Arial" w:eastAsia="Times New Roman" w:cs="Arial"/>
                <w:sz w:val="20"/>
                <w:szCs w:val="20"/>
                <w:lang w:eastAsia="en-GB"/>
              </w:rPr>
            </w:pPr>
          </w:p>
        </w:tc>
      </w:tr>
      <w:tr w:rsidRPr="00DC209C" w:rsidR="00A30E7B" w:rsidTr="003206A4" w14:paraId="328CD351" w14:textId="77777777">
        <w:trPr>
          <w:trHeight w:val="300"/>
        </w:trPr>
        <w:tc>
          <w:tcPr>
            <w:tcW w:w="6804" w:type="dxa"/>
            <w:tcBorders>
              <w:left w:val="nil"/>
              <w:right w:val="nil"/>
            </w:tcBorders>
            <w:noWrap/>
          </w:tcPr>
          <w:p w:rsidRPr="00DC209C" w:rsidR="00A30E7B" w:rsidP="003206A4" w:rsidRDefault="00A30E7B" w14:paraId="79A0E483" w14:textId="77777777">
            <w:pPr>
              <w:ind w:left="171" w:firstLine="28" w:firstLineChars="14"/>
              <w:rPr>
                <w:rFonts w:ascii="Arial" w:hAnsi="Arial" w:eastAsia="Times New Roman" w:cs="Arial"/>
                <w:sz w:val="20"/>
                <w:szCs w:val="20"/>
              </w:rPr>
            </w:pPr>
            <w:r w:rsidRPr="00DC209C">
              <w:rPr>
                <w:rFonts w:ascii="Arial" w:hAnsi="Arial"/>
                <w:sz w:val="20"/>
              </w:rPr>
              <w:t xml:space="preserve">ε. Μηνιαία μέση τιμή του ονομαστικού ποσού εξωχρηματιστηριακών παραγώγων </w:t>
            </w:r>
          </w:p>
        </w:tc>
        <w:tc>
          <w:tcPr>
            <w:tcW w:w="2745" w:type="dxa"/>
            <w:tcBorders>
              <w:left w:val="nil"/>
              <w:right w:val="nil"/>
            </w:tcBorders>
            <w:noWrap/>
          </w:tcPr>
          <w:p w:rsidRPr="00DC209C" w:rsidR="00A30E7B" w:rsidP="003206A4" w:rsidRDefault="00A30E7B" w14:paraId="2C6B7C50" w14:textId="77777777">
            <w:pPr>
              <w:jc w:val="right"/>
              <w:rPr>
                <w:rFonts w:ascii="Arial" w:hAnsi="Arial" w:eastAsia="Times New Roman" w:cs="Arial"/>
                <w:sz w:val="20"/>
                <w:szCs w:val="20"/>
                <w:lang w:eastAsia="en-GB"/>
              </w:rPr>
            </w:pPr>
          </w:p>
        </w:tc>
      </w:tr>
      <w:tr w:rsidRPr="00DC209C" w:rsidR="00A30E7B" w:rsidTr="003206A4" w14:paraId="0E95F7F1" w14:textId="77777777">
        <w:trPr>
          <w:trHeight w:val="300"/>
        </w:trPr>
        <w:tc>
          <w:tcPr>
            <w:tcW w:w="6804" w:type="dxa"/>
            <w:tcBorders>
              <w:left w:val="nil"/>
              <w:right w:val="nil"/>
            </w:tcBorders>
            <w:noWrap/>
          </w:tcPr>
          <w:p w:rsidRPr="00DC209C" w:rsidR="00A30E7B" w:rsidP="003206A4" w:rsidRDefault="00A30E7B" w14:paraId="5F93A47D" w14:textId="77777777">
            <w:pPr>
              <w:ind w:left="171" w:firstLine="28" w:firstLineChars="14"/>
              <w:rPr>
                <w:rFonts w:ascii="Arial" w:hAnsi="Arial" w:eastAsia="Times New Roman" w:cs="Arial"/>
                <w:sz w:val="20"/>
                <w:szCs w:val="20"/>
              </w:rPr>
            </w:pPr>
            <w:r w:rsidRPr="00DC209C">
              <w:rPr>
                <w:rFonts w:ascii="Arial" w:hAnsi="Arial"/>
                <w:sz w:val="20"/>
              </w:rPr>
              <w:t xml:space="preserve">στ. Τριμηνιαία μέση τιμή εμπορικών και διαθέσιμων προς πώληση χρεογράφων </w:t>
            </w:r>
          </w:p>
        </w:tc>
        <w:tc>
          <w:tcPr>
            <w:tcW w:w="2745" w:type="dxa"/>
            <w:tcBorders>
              <w:left w:val="nil"/>
              <w:right w:val="nil"/>
            </w:tcBorders>
            <w:noWrap/>
          </w:tcPr>
          <w:p w:rsidRPr="00DC209C" w:rsidR="00A30E7B" w:rsidP="003206A4" w:rsidRDefault="00A30E7B" w14:paraId="3E1A35FD" w14:textId="77777777">
            <w:pPr>
              <w:jc w:val="right"/>
              <w:rPr>
                <w:rFonts w:ascii="Arial" w:hAnsi="Arial" w:eastAsia="Times New Roman" w:cs="Arial"/>
                <w:sz w:val="20"/>
                <w:szCs w:val="20"/>
                <w:lang w:eastAsia="en-GB"/>
              </w:rPr>
            </w:pPr>
          </w:p>
        </w:tc>
      </w:tr>
      <w:tr w:rsidRPr="00DC209C" w:rsidR="00A30E7B" w:rsidTr="003206A4" w14:paraId="0917C0AE" w14:textId="77777777">
        <w:trPr>
          <w:trHeight w:val="300"/>
        </w:trPr>
        <w:tc>
          <w:tcPr>
            <w:tcW w:w="6804" w:type="dxa"/>
            <w:tcBorders>
              <w:left w:val="nil"/>
              <w:right w:val="nil"/>
            </w:tcBorders>
            <w:noWrap/>
          </w:tcPr>
          <w:p w:rsidRPr="00DC209C" w:rsidR="00A30E7B" w:rsidP="003206A4" w:rsidRDefault="00A30E7B" w14:paraId="2A55818A" w14:textId="77777777">
            <w:pPr>
              <w:ind w:left="171" w:firstLine="28" w:firstLineChars="14"/>
              <w:rPr>
                <w:rFonts w:ascii="Arial" w:hAnsi="Arial" w:eastAsia="Times New Roman" w:cs="Arial"/>
                <w:sz w:val="20"/>
                <w:szCs w:val="20"/>
              </w:rPr>
            </w:pPr>
            <w:r w:rsidRPr="00DC209C">
              <w:rPr>
                <w:rFonts w:ascii="Arial" w:hAnsi="Arial"/>
                <w:sz w:val="20"/>
              </w:rPr>
              <w:t xml:space="preserve">ζ. Μηνιαία μέση τιμή εμπορικών και διαθέσιμων προς πώληση χρεογράφων </w:t>
            </w:r>
          </w:p>
        </w:tc>
        <w:tc>
          <w:tcPr>
            <w:tcW w:w="2745" w:type="dxa"/>
            <w:tcBorders>
              <w:left w:val="nil"/>
              <w:right w:val="nil"/>
            </w:tcBorders>
            <w:noWrap/>
          </w:tcPr>
          <w:p w:rsidRPr="00DC209C" w:rsidR="00A30E7B" w:rsidP="003206A4" w:rsidRDefault="00A30E7B" w14:paraId="2D574C52" w14:textId="77777777">
            <w:pPr>
              <w:jc w:val="right"/>
              <w:rPr>
                <w:rFonts w:ascii="Arial" w:hAnsi="Arial" w:eastAsia="Times New Roman" w:cs="Arial"/>
                <w:sz w:val="20"/>
                <w:szCs w:val="20"/>
                <w:lang w:eastAsia="en-GB"/>
              </w:rPr>
            </w:pPr>
          </w:p>
        </w:tc>
      </w:tr>
      <w:tr w:rsidRPr="00DC209C" w:rsidR="00A30E7B" w:rsidTr="003206A4" w14:paraId="3D3924A9" w14:textId="77777777">
        <w:trPr>
          <w:trHeight w:val="300"/>
        </w:trPr>
        <w:tc>
          <w:tcPr>
            <w:tcW w:w="6804" w:type="dxa"/>
            <w:tcBorders>
              <w:left w:val="nil"/>
              <w:right w:val="nil"/>
            </w:tcBorders>
            <w:noWrap/>
          </w:tcPr>
          <w:p w:rsidRPr="00DC209C" w:rsidR="00A30E7B" w:rsidP="003206A4" w:rsidRDefault="00A30E7B" w14:paraId="6F479359" w14:textId="77777777">
            <w:pPr>
              <w:ind w:firstLine="200" w:firstLineChars="100"/>
              <w:rPr>
                <w:rFonts w:ascii="Arial" w:hAnsi="Arial" w:eastAsia="Times New Roman" w:cs="Arial"/>
                <w:sz w:val="20"/>
                <w:szCs w:val="20"/>
              </w:rPr>
            </w:pPr>
            <w:r w:rsidRPr="00DC209C">
              <w:rPr>
                <w:rFonts w:ascii="Arial" w:hAnsi="Arial"/>
                <w:sz w:val="20"/>
              </w:rPr>
              <w:t>η. Δείκτης στοιχείων ενεργητικού 3ου επιπέδου (παλαιός δείκτης)</w:t>
            </w:r>
          </w:p>
        </w:tc>
        <w:tc>
          <w:tcPr>
            <w:tcW w:w="2745" w:type="dxa"/>
            <w:tcBorders>
              <w:left w:val="nil"/>
              <w:right w:val="nil"/>
            </w:tcBorders>
            <w:noWrap/>
          </w:tcPr>
          <w:p w:rsidRPr="00DC209C" w:rsidR="00A30E7B" w:rsidP="003206A4" w:rsidRDefault="00A30E7B" w14:paraId="27ECA9C1" w14:textId="77777777">
            <w:pPr>
              <w:jc w:val="right"/>
              <w:rPr>
                <w:rFonts w:ascii="Arial" w:hAnsi="Arial" w:eastAsia="Times New Roman" w:cs="Arial"/>
                <w:sz w:val="20"/>
                <w:szCs w:val="20"/>
                <w:lang w:eastAsia="en-GB"/>
              </w:rPr>
            </w:pPr>
          </w:p>
        </w:tc>
      </w:tr>
      <w:tr w:rsidRPr="00DC209C" w:rsidR="00A30E7B" w:rsidTr="003206A4" w14:paraId="73EB6155" w14:textId="77777777">
        <w:trPr>
          <w:trHeight w:val="300"/>
        </w:trPr>
        <w:tc>
          <w:tcPr>
            <w:tcW w:w="6804" w:type="dxa"/>
            <w:tcBorders>
              <w:left w:val="nil"/>
              <w:right w:val="nil"/>
            </w:tcBorders>
            <w:noWrap/>
          </w:tcPr>
          <w:p w:rsidRPr="00DC209C" w:rsidR="00A30E7B" w:rsidP="003206A4" w:rsidRDefault="00A30E7B" w14:paraId="54402F2D" w14:textId="77777777">
            <w:pPr>
              <w:ind w:firstLine="200" w:firstLineChars="100"/>
              <w:rPr>
                <w:rFonts w:ascii="Arial" w:hAnsi="Arial" w:eastAsia="Times New Roman" w:cs="Arial"/>
                <w:sz w:val="20"/>
                <w:szCs w:val="20"/>
              </w:rPr>
            </w:pPr>
            <w:r w:rsidRPr="00DC209C">
              <w:rPr>
                <w:rFonts w:ascii="Arial" w:hAnsi="Arial"/>
                <w:sz w:val="20"/>
              </w:rPr>
              <w:t xml:space="preserve">θ. Τριμηνιαία μέση αξία στοιχείων ενεργητικού 3ου επιπέδου </w:t>
            </w:r>
          </w:p>
        </w:tc>
        <w:tc>
          <w:tcPr>
            <w:tcW w:w="2745" w:type="dxa"/>
            <w:tcBorders>
              <w:left w:val="nil"/>
              <w:right w:val="nil"/>
            </w:tcBorders>
            <w:noWrap/>
          </w:tcPr>
          <w:p w:rsidRPr="00DC209C" w:rsidR="00A30E7B" w:rsidP="003206A4" w:rsidRDefault="00A30E7B" w14:paraId="3D5EABA3" w14:textId="77777777">
            <w:pPr>
              <w:jc w:val="right"/>
              <w:rPr>
                <w:rFonts w:ascii="Arial" w:hAnsi="Arial" w:eastAsia="Times New Roman" w:cs="Arial"/>
                <w:sz w:val="20"/>
                <w:szCs w:val="20"/>
                <w:lang w:eastAsia="en-GB"/>
              </w:rPr>
            </w:pPr>
          </w:p>
        </w:tc>
      </w:tr>
      <w:tr w:rsidRPr="00DC209C" w:rsidR="00A30E7B" w:rsidTr="003206A4" w14:paraId="77464CF8" w14:textId="77777777">
        <w:trPr>
          <w:trHeight w:val="300"/>
        </w:trPr>
        <w:tc>
          <w:tcPr>
            <w:tcW w:w="6804" w:type="dxa"/>
            <w:tcBorders>
              <w:left w:val="nil"/>
              <w:right w:val="nil"/>
            </w:tcBorders>
            <w:noWrap/>
          </w:tcPr>
          <w:p w:rsidRPr="00DC209C" w:rsidR="00A30E7B" w:rsidP="003206A4" w:rsidRDefault="00A30E7B" w14:paraId="2801E0E8" w14:textId="77777777">
            <w:pPr>
              <w:ind w:firstLine="200" w:firstLineChars="100"/>
              <w:rPr>
                <w:rFonts w:ascii="Arial" w:hAnsi="Arial" w:eastAsia="Times New Roman" w:cs="Arial"/>
                <w:sz w:val="20"/>
                <w:szCs w:val="20"/>
              </w:rPr>
            </w:pPr>
            <w:r w:rsidRPr="00DC209C">
              <w:rPr>
                <w:rFonts w:ascii="Arial" w:hAnsi="Arial"/>
                <w:sz w:val="20"/>
              </w:rPr>
              <w:t xml:space="preserve">ι. Μηνιαία μέση τιμή στοιχείων ενεργητικού 3ου επιπέδου  </w:t>
            </w:r>
          </w:p>
        </w:tc>
        <w:tc>
          <w:tcPr>
            <w:tcW w:w="2745" w:type="dxa"/>
            <w:tcBorders>
              <w:left w:val="nil"/>
              <w:right w:val="nil"/>
            </w:tcBorders>
            <w:noWrap/>
          </w:tcPr>
          <w:p w:rsidRPr="00DC209C" w:rsidR="00A30E7B" w:rsidP="003206A4" w:rsidRDefault="00A30E7B" w14:paraId="6B1DF4D4" w14:textId="77777777">
            <w:pPr>
              <w:jc w:val="right"/>
              <w:rPr>
                <w:rFonts w:ascii="Arial" w:hAnsi="Arial" w:eastAsia="Times New Roman" w:cs="Arial"/>
                <w:sz w:val="20"/>
                <w:szCs w:val="20"/>
                <w:lang w:eastAsia="en-GB"/>
              </w:rPr>
            </w:pPr>
          </w:p>
        </w:tc>
      </w:tr>
      <w:tr w:rsidRPr="00DC209C" w:rsidR="00A30E7B" w:rsidTr="003206A4" w14:paraId="0716A0E8" w14:textId="77777777">
        <w:trPr>
          <w:trHeight w:val="300"/>
        </w:trPr>
        <w:tc>
          <w:tcPr>
            <w:tcW w:w="6804" w:type="dxa"/>
            <w:tcBorders>
              <w:left w:val="nil"/>
              <w:right w:val="nil"/>
            </w:tcBorders>
            <w:noWrap/>
          </w:tcPr>
          <w:p w:rsidRPr="00DC209C" w:rsidR="00A30E7B" w:rsidP="003206A4" w:rsidRDefault="00A30E7B" w14:paraId="5F03ABEB" w14:textId="77777777">
            <w:pPr>
              <w:ind w:firstLine="200" w:firstLineChars="100"/>
              <w:rPr>
                <w:rFonts w:ascii="Arial" w:hAnsi="Arial" w:eastAsia="Times New Roman" w:cs="Arial"/>
                <w:sz w:val="20"/>
                <w:szCs w:val="20"/>
              </w:rPr>
            </w:pPr>
            <w:r w:rsidRPr="00DC209C">
              <w:rPr>
                <w:rFonts w:ascii="Arial" w:hAnsi="Arial"/>
                <w:sz w:val="20"/>
              </w:rPr>
              <w:t>ια. Στοιχεία ενεργητικού 2ου επιπέδου,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2AE750E1" w14:textId="77777777">
            <w:pPr>
              <w:jc w:val="right"/>
              <w:rPr>
                <w:rFonts w:ascii="Arial" w:hAnsi="Arial" w:eastAsia="Times New Roman" w:cs="Arial"/>
                <w:sz w:val="20"/>
                <w:szCs w:val="20"/>
                <w:lang w:eastAsia="en-GB"/>
              </w:rPr>
            </w:pPr>
          </w:p>
        </w:tc>
      </w:tr>
      <w:tr w:rsidRPr="00DC209C" w:rsidR="00A30E7B" w:rsidTr="003206A4" w14:paraId="272731AB" w14:textId="77777777">
        <w:trPr>
          <w:trHeight w:val="300"/>
        </w:trPr>
        <w:tc>
          <w:tcPr>
            <w:tcW w:w="6804" w:type="dxa"/>
            <w:tcBorders>
              <w:left w:val="nil"/>
              <w:right w:val="nil"/>
            </w:tcBorders>
            <w:noWrap/>
          </w:tcPr>
          <w:p w:rsidRPr="00DC209C" w:rsidR="00A30E7B" w:rsidP="003206A4" w:rsidRDefault="00A30E7B" w14:paraId="0A279D9B" w14:textId="77777777">
            <w:pPr>
              <w:ind w:left="454" w:hanging="141"/>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Στοιχεία ενεργητικού 2ου επιπέδου, συμπεριλαμβανομένων των ασφαλιστικών θυγατρικών, εκκαθαριζόμενα μέσω κεντρικού αντισυμβαλλομένου</w:t>
            </w:r>
          </w:p>
        </w:tc>
        <w:tc>
          <w:tcPr>
            <w:tcW w:w="2745" w:type="dxa"/>
            <w:tcBorders>
              <w:left w:val="nil"/>
              <w:right w:val="nil"/>
            </w:tcBorders>
            <w:noWrap/>
          </w:tcPr>
          <w:p w:rsidRPr="00DC209C" w:rsidR="00A30E7B" w:rsidP="003206A4" w:rsidRDefault="00A30E7B" w14:paraId="2CD5F510" w14:textId="77777777">
            <w:pPr>
              <w:jc w:val="right"/>
              <w:rPr>
                <w:rFonts w:ascii="Arial" w:hAnsi="Arial" w:eastAsia="Times New Roman" w:cs="Arial"/>
                <w:sz w:val="20"/>
                <w:szCs w:val="20"/>
                <w:lang w:eastAsia="en-GB"/>
              </w:rPr>
            </w:pPr>
          </w:p>
        </w:tc>
      </w:tr>
      <w:tr w:rsidRPr="00DC209C" w:rsidR="00A30E7B" w:rsidTr="003206A4" w14:paraId="4E7A4E4F" w14:textId="77777777">
        <w:trPr>
          <w:trHeight w:val="300"/>
        </w:trPr>
        <w:tc>
          <w:tcPr>
            <w:tcW w:w="6804" w:type="dxa"/>
            <w:tcBorders>
              <w:left w:val="nil"/>
              <w:right w:val="nil"/>
            </w:tcBorders>
            <w:noWrap/>
          </w:tcPr>
          <w:p w:rsidRPr="00DC209C" w:rsidR="00A30E7B" w:rsidP="003206A4" w:rsidRDefault="00A30E7B" w14:paraId="25A93235" w14:textId="77777777">
            <w:pPr>
              <w:ind w:left="454" w:hanging="141"/>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Στοιχεία ενεργητικού 2ου επιπέδου, συμπεριλαμβανομένων των ασφαλιστικών θυγατρικών, εκκαθαριζόμενα σε διμερές επίπεδο</w:t>
            </w:r>
          </w:p>
        </w:tc>
        <w:tc>
          <w:tcPr>
            <w:tcW w:w="2745" w:type="dxa"/>
            <w:tcBorders>
              <w:left w:val="nil"/>
              <w:right w:val="nil"/>
            </w:tcBorders>
            <w:noWrap/>
          </w:tcPr>
          <w:p w:rsidRPr="00DC209C" w:rsidR="00A30E7B" w:rsidP="003206A4" w:rsidRDefault="00A30E7B" w14:paraId="66F7E0DC" w14:textId="77777777">
            <w:pPr>
              <w:jc w:val="right"/>
              <w:rPr>
                <w:rFonts w:ascii="Arial" w:hAnsi="Arial" w:eastAsia="Times New Roman" w:cs="Arial"/>
                <w:sz w:val="20"/>
                <w:szCs w:val="20"/>
                <w:lang w:eastAsia="en-GB"/>
              </w:rPr>
            </w:pPr>
          </w:p>
        </w:tc>
      </w:tr>
      <w:tr w:rsidRPr="00DC209C" w:rsidR="00A30E7B" w:rsidTr="003206A4" w14:paraId="65BCE9A9" w14:textId="77777777">
        <w:trPr>
          <w:trHeight w:val="300"/>
        </w:trPr>
        <w:tc>
          <w:tcPr>
            <w:tcW w:w="6804" w:type="dxa"/>
            <w:tcBorders>
              <w:left w:val="nil"/>
              <w:right w:val="nil"/>
            </w:tcBorders>
            <w:noWrap/>
          </w:tcPr>
          <w:p w:rsidRPr="00DC209C" w:rsidR="00A30E7B" w:rsidP="003206A4" w:rsidRDefault="00A30E7B" w14:paraId="451B063D" w14:textId="77777777">
            <w:pPr>
              <w:ind w:left="454" w:hanging="141"/>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Λοιπά στοιχεία ενεργητικού 2ου επιπέδου,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38CB2E53" w14:textId="77777777">
            <w:pPr>
              <w:jc w:val="right"/>
              <w:rPr>
                <w:rFonts w:ascii="Arial" w:hAnsi="Arial" w:eastAsia="Times New Roman" w:cs="Arial"/>
                <w:sz w:val="20"/>
                <w:szCs w:val="20"/>
                <w:lang w:eastAsia="en-GB"/>
              </w:rPr>
            </w:pPr>
          </w:p>
        </w:tc>
      </w:tr>
      <w:tr w:rsidRPr="00DC209C" w:rsidR="00A30E7B" w:rsidTr="003206A4" w14:paraId="0A614F24" w14:textId="77777777">
        <w:trPr>
          <w:trHeight w:val="300"/>
        </w:trPr>
        <w:tc>
          <w:tcPr>
            <w:tcW w:w="6804" w:type="dxa"/>
            <w:tcBorders>
              <w:left w:val="nil"/>
              <w:bottom w:val="single" w:color="auto" w:sz="4" w:space="0"/>
              <w:right w:val="nil"/>
            </w:tcBorders>
            <w:noWrap/>
          </w:tcPr>
          <w:p w:rsidRPr="00DC209C" w:rsidR="00A30E7B" w:rsidP="003206A4" w:rsidRDefault="00A30E7B" w14:paraId="1B5CEB7D" w14:textId="77777777">
            <w:pPr>
              <w:ind w:firstLine="200" w:firstLineChars="100"/>
              <w:rPr>
                <w:rFonts w:ascii="Arial" w:hAnsi="Arial" w:eastAsia="Times New Roman" w:cs="Arial"/>
                <w:sz w:val="20"/>
                <w:szCs w:val="20"/>
              </w:rPr>
            </w:pPr>
            <w:r w:rsidRPr="00DC209C">
              <w:rPr>
                <w:rFonts w:ascii="Arial" w:hAnsi="Arial"/>
                <w:sz w:val="20"/>
              </w:rPr>
              <w:t>ιβ. Μέση τιμή στοιχείων ενεργητικού 2ου επιπέδου, συμπεριλαμβανομένων των ασφαλιστικών θυγατρικών</w:t>
            </w:r>
          </w:p>
        </w:tc>
        <w:tc>
          <w:tcPr>
            <w:tcW w:w="2745" w:type="dxa"/>
            <w:tcBorders>
              <w:left w:val="nil"/>
              <w:bottom w:val="single" w:color="auto" w:sz="4" w:space="0"/>
              <w:right w:val="nil"/>
            </w:tcBorders>
            <w:noWrap/>
          </w:tcPr>
          <w:p w:rsidRPr="00DC209C" w:rsidR="00A30E7B" w:rsidP="003206A4" w:rsidRDefault="00A30E7B" w14:paraId="56C2CDE3" w14:textId="77777777">
            <w:pPr>
              <w:jc w:val="right"/>
              <w:rPr>
                <w:rFonts w:ascii="Arial" w:hAnsi="Arial" w:eastAsia="Times New Roman" w:cs="Arial"/>
                <w:sz w:val="20"/>
                <w:szCs w:val="20"/>
                <w:lang w:eastAsia="en-GB"/>
              </w:rPr>
            </w:pPr>
          </w:p>
        </w:tc>
      </w:tr>
      <w:tr w:rsidRPr="00DC209C" w:rsidR="00A30E7B" w:rsidTr="003206A4" w14:paraId="4C14BA06" w14:textId="77777777">
        <w:trPr>
          <w:trHeight w:val="300"/>
        </w:trPr>
        <w:tc>
          <w:tcPr>
            <w:tcW w:w="6804" w:type="dxa"/>
            <w:tcBorders>
              <w:left w:val="nil"/>
              <w:bottom w:val="nil"/>
              <w:right w:val="nil"/>
            </w:tcBorders>
            <w:noWrap/>
          </w:tcPr>
          <w:p w:rsidRPr="00DC209C" w:rsidR="00A30E7B" w:rsidP="003206A4" w:rsidRDefault="00A30E7B" w14:paraId="5225CB1A"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DC209C" w:rsidR="00A30E7B" w:rsidP="003206A4" w:rsidRDefault="00A30E7B" w14:paraId="0EED9909" w14:textId="77777777">
            <w:pPr>
              <w:jc w:val="center"/>
              <w:rPr>
                <w:rFonts w:ascii="Arial" w:hAnsi="Arial" w:eastAsia="Times New Roman" w:cs="Arial"/>
                <w:b/>
                <w:bCs/>
                <w:sz w:val="20"/>
                <w:szCs w:val="20"/>
                <w:lang w:eastAsia="en-GB"/>
              </w:rPr>
            </w:pPr>
          </w:p>
        </w:tc>
      </w:tr>
      <w:tr w:rsidRPr="00DC209C" w:rsidR="00A30E7B" w:rsidTr="003206A4" w14:paraId="61F41E06" w14:textId="77777777">
        <w:trPr>
          <w:trHeight w:val="300"/>
        </w:trPr>
        <w:tc>
          <w:tcPr>
            <w:tcW w:w="6804" w:type="dxa"/>
            <w:tcBorders>
              <w:top w:val="nil"/>
              <w:left w:val="nil"/>
              <w:right w:val="nil"/>
            </w:tcBorders>
            <w:noWrap/>
          </w:tcPr>
          <w:p w:rsidRPr="00DC209C" w:rsidR="00A30E7B" w:rsidP="003206A4" w:rsidRDefault="00A30E7B" w14:paraId="52314428" w14:textId="77777777">
            <w:pPr>
              <w:rPr>
                <w:rFonts w:ascii="Arial" w:hAnsi="Arial" w:eastAsia="Times New Roman" w:cs="Arial"/>
                <w:sz w:val="20"/>
                <w:szCs w:val="20"/>
              </w:rPr>
            </w:pPr>
            <w:r w:rsidRPr="00DC209C">
              <w:rPr>
                <w:rFonts w:ascii="Arial" w:hAnsi="Arial"/>
                <w:b/>
                <w:sz w:val="20"/>
              </w:rPr>
              <w:t>Τμήμα 21 - Στοιχεία διακρατικής δραστηριότητας</w:t>
            </w:r>
          </w:p>
        </w:tc>
        <w:tc>
          <w:tcPr>
            <w:tcW w:w="2745" w:type="dxa"/>
            <w:tcBorders>
              <w:top w:val="nil"/>
              <w:left w:val="nil"/>
              <w:right w:val="nil"/>
            </w:tcBorders>
            <w:noWrap/>
          </w:tcPr>
          <w:p w:rsidRPr="00DC209C" w:rsidR="00A30E7B" w:rsidP="003206A4" w:rsidRDefault="00A30E7B" w14:paraId="4710936A" w14:textId="77777777">
            <w:pPr>
              <w:jc w:val="center"/>
              <w:rPr>
                <w:rFonts w:ascii="Arial" w:hAnsi="Arial" w:eastAsia="Times New Roman" w:cs="Arial"/>
                <w:b/>
                <w:bCs/>
                <w:sz w:val="20"/>
                <w:szCs w:val="20"/>
              </w:rPr>
            </w:pPr>
            <w:r w:rsidRPr="00DC209C">
              <w:rPr>
                <w:rFonts w:ascii="Arial" w:hAnsi="Arial"/>
                <w:b/>
                <w:sz w:val="20"/>
              </w:rPr>
              <w:t>Ποσό</w:t>
            </w:r>
          </w:p>
        </w:tc>
      </w:tr>
      <w:tr w:rsidRPr="00DC209C" w:rsidR="00A30E7B" w:rsidTr="003206A4" w14:paraId="5FC03617" w14:textId="77777777">
        <w:trPr>
          <w:trHeight w:val="300"/>
        </w:trPr>
        <w:tc>
          <w:tcPr>
            <w:tcW w:w="6804" w:type="dxa"/>
            <w:tcBorders>
              <w:left w:val="nil"/>
              <w:right w:val="nil"/>
            </w:tcBorders>
            <w:noWrap/>
          </w:tcPr>
          <w:p w:rsidRPr="00DC209C" w:rsidR="00A30E7B" w:rsidP="003206A4" w:rsidRDefault="00A30E7B" w14:paraId="6D30C82F" w14:textId="77777777">
            <w:pPr>
              <w:rPr>
                <w:rFonts w:ascii="Arial" w:hAnsi="Arial" w:eastAsia="Times New Roman" w:cs="Arial"/>
                <w:sz w:val="20"/>
                <w:szCs w:val="20"/>
              </w:rPr>
            </w:pPr>
            <w:r w:rsidRPr="00DC209C">
              <w:rPr>
                <w:rFonts w:ascii="Arial" w:hAnsi="Arial"/>
                <w:sz w:val="20"/>
              </w:rPr>
              <w:t>Α. Δείκτης διακρατικών υποχρεώσεων (παλαιός δείκτης)</w:t>
            </w:r>
          </w:p>
        </w:tc>
        <w:tc>
          <w:tcPr>
            <w:tcW w:w="2745" w:type="dxa"/>
            <w:tcBorders>
              <w:left w:val="nil"/>
              <w:right w:val="nil"/>
            </w:tcBorders>
            <w:noWrap/>
          </w:tcPr>
          <w:p w:rsidRPr="00DC209C" w:rsidR="00A30E7B" w:rsidP="003206A4" w:rsidRDefault="00A30E7B" w14:paraId="037CA485" w14:textId="77777777">
            <w:pPr>
              <w:jc w:val="right"/>
              <w:rPr>
                <w:rFonts w:ascii="Arial" w:hAnsi="Arial" w:eastAsia="Times New Roman" w:cs="Arial"/>
                <w:sz w:val="20"/>
                <w:szCs w:val="20"/>
                <w:lang w:eastAsia="en-GB"/>
              </w:rPr>
            </w:pPr>
          </w:p>
        </w:tc>
      </w:tr>
      <w:tr w:rsidRPr="00DC209C" w:rsidR="00A30E7B" w:rsidTr="003206A4" w14:paraId="46772173" w14:textId="77777777">
        <w:trPr>
          <w:trHeight w:val="300"/>
        </w:trPr>
        <w:tc>
          <w:tcPr>
            <w:tcW w:w="6804" w:type="dxa"/>
            <w:tcBorders>
              <w:left w:val="nil"/>
              <w:right w:val="nil"/>
            </w:tcBorders>
            <w:noWrap/>
          </w:tcPr>
          <w:p w:rsidRPr="00DC209C" w:rsidR="00A30E7B" w:rsidP="003206A4" w:rsidRDefault="00A30E7B" w14:paraId="6BE7FDE6" w14:textId="77777777">
            <w:pPr>
              <w:ind w:left="313"/>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Υποχρεώσεις προς το εξωτερικό (εξαιρουμένων υποχρεώσεων παραγώγων και εγχώριων υποχρεώσεων στο εγχώριο νόμισμα)</w:t>
            </w:r>
          </w:p>
        </w:tc>
        <w:tc>
          <w:tcPr>
            <w:tcW w:w="2745" w:type="dxa"/>
            <w:tcBorders>
              <w:left w:val="nil"/>
              <w:right w:val="nil"/>
            </w:tcBorders>
            <w:noWrap/>
          </w:tcPr>
          <w:p w:rsidRPr="00DC209C" w:rsidR="00A30E7B" w:rsidP="003206A4" w:rsidRDefault="00A30E7B" w14:paraId="3E044FD3" w14:textId="77777777">
            <w:pPr>
              <w:jc w:val="right"/>
              <w:rPr>
                <w:rFonts w:ascii="Arial" w:hAnsi="Arial" w:eastAsia="Times New Roman" w:cs="Arial"/>
                <w:sz w:val="20"/>
                <w:szCs w:val="20"/>
                <w:lang w:eastAsia="en-GB"/>
              </w:rPr>
            </w:pPr>
          </w:p>
        </w:tc>
      </w:tr>
      <w:tr w:rsidRPr="00DC209C" w:rsidR="00A30E7B" w:rsidTr="003206A4" w14:paraId="576389E4" w14:textId="77777777">
        <w:trPr>
          <w:trHeight w:val="300"/>
        </w:trPr>
        <w:tc>
          <w:tcPr>
            <w:tcW w:w="6804" w:type="dxa"/>
            <w:tcBorders>
              <w:left w:val="nil"/>
              <w:right w:val="nil"/>
            </w:tcBorders>
            <w:noWrap/>
          </w:tcPr>
          <w:p w:rsidRPr="00DC209C" w:rsidR="00A30E7B" w:rsidP="003206A4" w:rsidRDefault="00A30E7B" w14:paraId="634B23C6" w14:textId="77777777">
            <w:pPr>
              <w:ind w:left="-2" w:leftChars="-1" w:firstLine="312" w:firstLineChars="156"/>
              <w:rPr>
                <w:rFonts w:ascii="Arial" w:hAnsi="Arial" w:eastAsia="Times New Roman" w:cs="Arial"/>
                <w:sz w:val="20"/>
                <w:szCs w:val="20"/>
              </w:rPr>
            </w:pPr>
            <w:r w:rsidRPr="00DC209C">
              <w:rPr>
                <w:rFonts w:ascii="Arial" w:hAnsi="Arial"/>
                <w:sz w:val="20"/>
                <w:lang w:eastAsia="en-GB"/>
              </w:rPr>
              <w:t xml:space="preserve">(2) </w:t>
            </w:r>
            <w:r w:rsidRPr="00DC209C">
              <w:rPr>
                <w:rFonts w:ascii="Arial" w:hAnsi="Arial"/>
                <w:sz w:val="20"/>
              </w:rPr>
              <w:t>Τυχόν υποχρεώσεις προς το εξωτερικό σε αρμόδια γραφεία που περιλαμβάνονται στο στοιχείο 21.α.(1)</w:t>
            </w:r>
          </w:p>
        </w:tc>
        <w:tc>
          <w:tcPr>
            <w:tcW w:w="2745" w:type="dxa"/>
            <w:tcBorders>
              <w:left w:val="nil"/>
              <w:right w:val="nil"/>
            </w:tcBorders>
            <w:noWrap/>
          </w:tcPr>
          <w:p w:rsidRPr="00DC209C" w:rsidR="00A30E7B" w:rsidP="003206A4" w:rsidRDefault="00A30E7B" w14:paraId="54A84B74" w14:textId="77777777">
            <w:pPr>
              <w:jc w:val="right"/>
              <w:rPr>
                <w:rFonts w:ascii="Arial" w:hAnsi="Arial" w:eastAsia="Times New Roman" w:cs="Arial"/>
                <w:sz w:val="20"/>
                <w:szCs w:val="20"/>
                <w:lang w:eastAsia="en-GB"/>
              </w:rPr>
            </w:pPr>
          </w:p>
        </w:tc>
      </w:tr>
      <w:tr w:rsidRPr="00DC209C" w:rsidR="00A30E7B" w:rsidTr="003206A4" w14:paraId="746612DA" w14:textId="77777777">
        <w:trPr>
          <w:trHeight w:val="300"/>
        </w:trPr>
        <w:tc>
          <w:tcPr>
            <w:tcW w:w="6804" w:type="dxa"/>
            <w:tcBorders>
              <w:left w:val="nil"/>
              <w:right w:val="nil"/>
            </w:tcBorders>
            <w:noWrap/>
          </w:tcPr>
          <w:p w:rsidRPr="00DC209C" w:rsidR="00A30E7B" w:rsidP="003206A4" w:rsidRDefault="00A30E7B" w14:paraId="20ADC71F" w14:textId="77777777">
            <w:pPr>
              <w:ind w:left="-2" w:leftChars="-1" w:firstLine="312" w:firstLineChars="156"/>
              <w:rPr>
                <w:rFonts w:ascii="Arial" w:hAnsi="Arial" w:eastAsia="Times New Roman" w:cs="Arial"/>
                <w:sz w:val="20"/>
                <w:szCs w:val="20"/>
              </w:rPr>
            </w:pPr>
            <w:r w:rsidRPr="00DC209C">
              <w:rPr>
                <w:rFonts w:ascii="Arial" w:hAnsi="Arial"/>
                <w:sz w:val="20"/>
                <w:lang w:eastAsia="en-GB"/>
              </w:rPr>
              <w:t xml:space="preserve">(3) </w:t>
            </w:r>
            <w:r w:rsidRPr="00DC209C">
              <w:rPr>
                <w:rFonts w:ascii="Arial" w:hAnsi="Arial"/>
                <w:sz w:val="20"/>
              </w:rPr>
              <w:t>Εγχώριες υποχρεώσεις στο εγχώριο νόμισμα (εξαιρουμένης της δραστηριότητας παραγώγων)</w:t>
            </w:r>
          </w:p>
        </w:tc>
        <w:tc>
          <w:tcPr>
            <w:tcW w:w="2745" w:type="dxa"/>
            <w:tcBorders>
              <w:left w:val="nil"/>
              <w:right w:val="nil"/>
            </w:tcBorders>
            <w:noWrap/>
          </w:tcPr>
          <w:p w:rsidRPr="00DC209C" w:rsidR="00A30E7B" w:rsidP="003206A4" w:rsidRDefault="00A30E7B" w14:paraId="45BCBB31" w14:textId="77777777">
            <w:pPr>
              <w:jc w:val="right"/>
              <w:rPr>
                <w:rFonts w:ascii="Arial" w:hAnsi="Arial" w:eastAsia="Times New Roman" w:cs="Arial"/>
                <w:sz w:val="20"/>
                <w:szCs w:val="20"/>
                <w:lang w:eastAsia="en-GB"/>
              </w:rPr>
            </w:pPr>
          </w:p>
        </w:tc>
      </w:tr>
      <w:tr w:rsidRPr="00DC209C" w:rsidR="00A30E7B" w:rsidTr="003206A4" w14:paraId="1E04193D" w14:textId="77777777">
        <w:trPr>
          <w:trHeight w:val="300"/>
        </w:trPr>
        <w:tc>
          <w:tcPr>
            <w:tcW w:w="6804" w:type="dxa"/>
            <w:tcBorders>
              <w:left w:val="nil"/>
              <w:right w:val="nil"/>
            </w:tcBorders>
            <w:noWrap/>
          </w:tcPr>
          <w:p w:rsidRPr="00DC209C" w:rsidR="00A30E7B" w:rsidP="003206A4" w:rsidRDefault="00A30E7B" w14:paraId="0AEE1D0D" w14:textId="77777777">
            <w:pPr>
              <w:ind w:firstLine="200" w:firstLineChars="100"/>
              <w:rPr>
                <w:rFonts w:ascii="Arial" w:hAnsi="Arial" w:eastAsia="Times New Roman" w:cs="Arial"/>
                <w:sz w:val="20"/>
                <w:szCs w:val="20"/>
              </w:rPr>
            </w:pPr>
            <w:r w:rsidRPr="00DC209C">
              <w:rPr>
                <w:rFonts w:ascii="Arial" w:hAnsi="Arial"/>
                <w:sz w:val="20"/>
              </w:rPr>
              <w:t>β. Εγχώριες υποχρεώσεις στο εγχώριο νόμισμα (περιλαμβανομένης της δραστηριότητας παραγώγων)</w:t>
            </w:r>
          </w:p>
        </w:tc>
        <w:tc>
          <w:tcPr>
            <w:tcW w:w="2745" w:type="dxa"/>
            <w:tcBorders>
              <w:left w:val="nil"/>
              <w:right w:val="nil"/>
            </w:tcBorders>
            <w:noWrap/>
          </w:tcPr>
          <w:p w:rsidRPr="00DC209C" w:rsidR="00A30E7B" w:rsidP="003206A4" w:rsidRDefault="00A30E7B" w14:paraId="6BDD25E8" w14:textId="77777777">
            <w:pPr>
              <w:jc w:val="right"/>
              <w:rPr>
                <w:rFonts w:ascii="Arial" w:hAnsi="Arial" w:eastAsia="Times New Roman" w:cs="Arial"/>
                <w:sz w:val="20"/>
                <w:szCs w:val="20"/>
                <w:lang w:eastAsia="en-GB"/>
              </w:rPr>
            </w:pPr>
          </w:p>
        </w:tc>
      </w:tr>
      <w:tr w:rsidRPr="00DC209C" w:rsidR="00A30E7B" w:rsidTr="003206A4" w14:paraId="1C69DE5D" w14:textId="77777777">
        <w:trPr>
          <w:trHeight w:val="300"/>
        </w:trPr>
        <w:tc>
          <w:tcPr>
            <w:tcW w:w="6804" w:type="dxa"/>
            <w:tcBorders>
              <w:left w:val="nil"/>
              <w:right w:val="nil"/>
            </w:tcBorders>
            <w:noWrap/>
          </w:tcPr>
          <w:p w:rsidRPr="00DC209C" w:rsidR="00A30E7B" w:rsidP="003206A4" w:rsidRDefault="00A30E7B" w14:paraId="1E48F8A0" w14:textId="77777777">
            <w:pPr>
              <w:ind w:firstLine="200" w:firstLineChars="100"/>
              <w:rPr>
                <w:rFonts w:ascii="Arial" w:hAnsi="Arial" w:eastAsia="Times New Roman" w:cs="Arial"/>
                <w:sz w:val="20"/>
                <w:szCs w:val="20"/>
              </w:rPr>
            </w:pPr>
            <w:r w:rsidRPr="00DC209C">
              <w:rPr>
                <w:rFonts w:ascii="Arial" w:hAnsi="Arial"/>
                <w:sz w:val="20"/>
              </w:rPr>
              <w:t>γ. Διακρατικές εγχώριες απαιτήσεις σε εγχώριο νόμισμα (εξαιρουμένης της δραστηριότητας παραγώγων)</w:t>
            </w:r>
          </w:p>
        </w:tc>
        <w:tc>
          <w:tcPr>
            <w:tcW w:w="2745" w:type="dxa"/>
            <w:tcBorders>
              <w:left w:val="nil"/>
              <w:right w:val="nil"/>
            </w:tcBorders>
            <w:noWrap/>
          </w:tcPr>
          <w:p w:rsidRPr="00DC209C" w:rsidR="00A30E7B" w:rsidP="003206A4" w:rsidRDefault="00A30E7B" w14:paraId="7076E631" w14:textId="77777777">
            <w:pPr>
              <w:jc w:val="right"/>
              <w:rPr>
                <w:rFonts w:ascii="Arial" w:hAnsi="Arial" w:eastAsia="Times New Roman" w:cs="Arial"/>
                <w:sz w:val="20"/>
                <w:szCs w:val="20"/>
                <w:lang w:eastAsia="en-GB"/>
              </w:rPr>
            </w:pPr>
          </w:p>
        </w:tc>
      </w:tr>
      <w:tr w:rsidRPr="00DC209C" w:rsidR="00A30E7B" w:rsidTr="003206A4" w14:paraId="5CA0F6D4" w14:textId="77777777">
        <w:trPr>
          <w:trHeight w:val="300"/>
        </w:trPr>
        <w:tc>
          <w:tcPr>
            <w:tcW w:w="6804" w:type="dxa"/>
            <w:tcBorders>
              <w:left w:val="nil"/>
              <w:right w:val="nil"/>
            </w:tcBorders>
            <w:noWrap/>
          </w:tcPr>
          <w:p w:rsidRPr="00DC209C" w:rsidR="00A30E7B" w:rsidP="003206A4" w:rsidRDefault="00A30E7B" w14:paraId="2484534E" w14:textId="77777777">
            <w:pPr>
              <w:ind w:firstLine="200" w:firstLineChars="100"/>
              <w:rPr>
                <w:rFonts w:ascii="Arial" w:hAnsi="Arial" w:eastAsia="Times New Roman" w:cs="Arial"/>
                <w:sz w:val="20"/>
                <w:szCs w:val="20"/>
              </w:rPr>
            </w:pPr>
            <w:r w:rsidRPr="00DC209C">
              <w:rPr>
                <w:rFonts w:ascii="Arial" w:hAnsi="Arial"/>
                <w:sz w:val="20"/>
              </w:rPr>
              <w:t>δ. Διακρατικές εγχώριες απαιτήσεις σε εγχώριο νόμισμα (περιλαμβανομένης της δραστηριότητας παραγώγων)</w:t>
            </w:r>
          </w:p>
        </w:tc>
        <w:tc>
          <w:tcPr>
            <w:tcW w:w="2745" w:type="dxa"/>
            <w:tcBorders>
              <w:left w:val="nil"/>
              <w:right w:val="nil"/>
            </w:tcBorders>
            <w:noWrap/>
          </w:tcPr>
          <w:p w:rsidRPr="00DC209C" w:rsidR="00A30E7B" w:rsidP="003206A4" w:rsidRDefault="00A30E7B" w14:paraId="037C8FB0" w14:textId="77777777">
            <w:pPr>
              <w:jc w:val="right"/>
              <w:rPr>
                <w:rFonts w:ascii="Arial" w:hAnsi="Arial" w:eastAsia="Times New Roman" w:cs="Arial"/>
                <w:sz w:val="20"/>
                <w:szCs w:val="20"/>
                <w:lang w:eastAsia="en-GB"/>
              </w:rPr>
            </w:pPr>
          </w:p>
        </w:tc>
      </w:tr>
      <w:tr w:rsidRPr="00DC209C" w:rsidR="00A30E7B" w:rsidTr="003206A4" w14:paraId="05B20180" w14:textId="77777777">
        <w:trPr>
          <w:trHeight w:val="300"/>
        </w:trPr>
        <w:tc>
          <w:tcPr>
            <w:tcW w:w="6804" w:type="dxa"/>
            <w:tcBorders>
              <w:left w:val="nil"/>
              <w:right w:val="nil"/>
            </w:tcBorders>
            <w:noWrap/>
          </w:tcPr>
          <w:p w:rsidRPr="00DC209C" w:rsidR="00A30E7B" w:rsidP="003206A4" w:rsidRDefault="00A30E7B" w14:paraId="2629FD15" w14:textId="77777777">
            <w:pPr>
              <w:ind w:firstLine="200" w:firstLineChars="100"/>
              <w:rPr>
                <w:rFonts w:ascii="Arial" w:hAnsi="Arial" w:eastAsia="Times New Roman" w:cs="Arial"/>
                <w:sz w:val="20"/>
                <w:szCs w:val="20"/>
              </w:rPr>
            </w:pPr>
            <w:r w:rsidRPr="00DC209C">
              <w:rPr>
                <w:rFonts w:ascii="Arial" w:hAnsi="Arial"/>
                <w:sz w:val="20"/>
              </w:rPr>
              <w:t>ε. Σύνολο απαιτήσεων από το εξωτερικό βάσει τελικού κινδύνου (θεωρώντας τον ΕΜΕ ως ενιαία δικαιοδοσία)</w:t>
            </w:r>
          </w:p>
        </w:tc>
        <w:tc>
          <w:tcPr>
            <w:tcW w:w="2745" w:type="dxa"/>
            <w:tcBorders>
              <w:left w:val="nil"/>
              <w:right w:val="nil"/>
            </w:tcBorders>
            <w:noWrap/>
          </w:tcPr>
          <w:p w:rsidRPr="00DC209C" w:rsidR="00A30E7B" w:rsidP="003206A4" w:rsidRDefault="00A30E7B" w14:paraId="33DECED8" w14:textId="77777777">
            <w:pPr>
              <w:jc w:val="right"/>
              <w:rPr>
                <w:rFonts w:ascii="Arial" w:hAnsi="Arial" w:eastAsia="Times New Roman" w:cs="Arial"/>
                <w:sz w:val="20"/>
                <w:szCs w:val="20"/>
                <w:lang w:eastAsia="en-GB"/>
              </w:rPr>
            </w:pPr>
          </w:p>
        </w:tc>
      </w:tr>
      <w:tr w:rsidRPr="00DC209C" w:rsidR="00A30E7B" w:rsidTr="003206A4" w14:paraId="58F8A878" w14:textId="77777777">
        <w:trPr>
          <w:trHeight w:val="300"/>
        </w:trPr>
        <w:tc>
          <w:tcPr>
            <w:tcW w:w="6804" w:type="dxa"/>
            <w:tcBorders>
              <w:left w:val="nil"/>
              <w:right w:val="nil"/>
            </w:tcBorders>
            <w:noWrap/>
          </w:tcPr>
          <w:p w:rsidRPr="00DC209C" w:rsidR="00A30E7B" w:rsidP="003206A4" w:rsidRDefault="00A30E7B" w14:paraId="18F0347D" w14:textId="77777777">
            <w:pPr>
              <w:ind w:firstLine="200" w:firstLineChars="100"/>
              <w:rPr>
                <w:rFonts w:ascii="Arial" w:hAnsi="Arial" w:eastAsia="Times New Roman" w:cs="Arial"/>
                <w:sz w:val="20"/>
                <w:szCs w:val="20"/>
              </w:rPr>
            </w:pPr>
            <w:r w:rsidRPr="00DC209C">
              <w:rPr>
                <w:rFonts w:ascii="Arial" w:hAnsi="Arial"/>
                <w:sz w:val="20"/>
              </w:rPr>
              <w:lastRenderedPageBreak/>
              <w:t>στ. Απαιτήσεις επί παραγώγων από το εξωτερικό βάσει τελικού κινδύνου (θεωρώντας τον ΕΜΕ ως ενιαία δικαιοδοσία)</w:t>
            </w:r>
          </w:p>
        </w:tc>
        <w:tc>
          <w:tcPr>
            <w:tcW w:w="2745" w:type="dxa"/>
            <w:tcBorders>
              <w:left w:val="nil"/>
              <w:right w:val="nil"/>
            </w:tcBorders>
            <w:noWrap/>
          </w:tcPr>
          <w:p w:rsidRPr="00DC209C" w:rsidR="00A30E7B" w:rsidP="003206A4" w:rsidRDefault="00A30E7B" w14:paraId="521A6099" w14:textId="77777777">
            <w:pPr>
              <w:jc w:val="right"/>
              <w:rPr>
                <w:rFonts w:ascii="Arial" w:hAnsi="Arial" w:eastAsia="Times New Roman" w:cs="Arial"/>
                <w:sz w:val="20"/>
                <w:szCs w:val="20"/>
                <w:lang w:eastAsia="en-GB"/>
              </w:rPr>
            </w:pPr>
          </w:p>
        </w:tc>
      </w:tr>
      <w:tr w:rsidRPr="00DC209C" w:rsidR="00A30E7B" w:rsidTr="003206A4" w14:paraId="1205438D" w14:textId="77777777">
        <w:trPr>
          <w:trHeight w:val="300"/>
        </w:trPr>
        <w:tc>
          <w:tcPr>
            <w:tcW w:w="6804" w:type="dxa"/>
            <w:tcBorders>
              <w:left w:val="nil"/>
              <w:right w:val="nil"/>
            </w:tcBorders>
            <w:noWrap/>
          </w:tcPr>
          <w:p w:rsidRPr="00DC209C" w:rsidR="00A30E7B" w:rsidP="003206A4" w:rsidRDefault="00A30E7B" w14:paraId="5663EA18" w14:textId="77777777">
            <w:pPr>
              <w:ind w:firstLine="200" w:firstLineChars="100"/>
              <w:rPr>
                <w:rFonts w:ascii="Arial" w:hAnsi="Arial" w:eastAsia="Times New Roman" w:cs="Arial"/>
                <w:sz w:val="20"/>
                <w:szCs w:val="20"/>
              </w:rPr>
            </w:pPr>
            <w:r w:rsidRPr="00DC209C">
              <w:rPr>
                <w:rFonts w:ascii="Arial" w:hAnsi="Arial"/>
                <w:sz w:val="20"/>
              </w:rPr>
              <w:t>ζ. Υποχρεώσεις προς το εξωτερικό βάσει άμεσου κινδύνου, περιλαμβανομένων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52188724" w14:textId="77777777">
            <w:pPr>
              <w:jc w:val="right"/>
              <w:rPr>
                <w:rFonts w:ascii="Arial" w:hAnsi="Arial" w:eastAsia="Times New Roman" w:cs="Arial"/>
                <w:sz w:val="20"/>
                <w:szCs w:val="20"/>
                <w:lang w:eastAsia="en-GB"/>
              </w:rPr>
            </w:pPr>
          </w:p>
        </w:tc>
      </w:tr>
      <w:tr w:rsidRPr="00DC209C" w:rsidR="00A30E7B" w:rsidTr="003206A4" w14:paraId="2A61A3F5" w14:textId="77777777">
        <w:trPr>
          <w:trHeight w:val="300"/>
        </w:trPr>
        <w:tc>
          <w:tcPr>
            <w:tcW w:w="6804" w:type="dxa"/>
            <w:tcBorders>
              <w:left w:val="nil"/>
              <w:right w:val="nil"/>
            </w:tcBorders>
            <w:noWrap/>
          </w:tcPr>
          <w:p w:rsidRPr="00DC209C" w:rsidR="00A30E7B" w:rsidP="003206A4" w:rsidRDefault="00A30E7B" w14:paraId="6EFD3908" w14:textId="77777777">
            <w:pPr>
              <w:ind w:left="171" w:firstLine="28" w:firstLineChars="14"/>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Στοιχεία παθητικού παραγώγων από το εξωτερικό βάσει άμεσου κινδύνου (θεωρώντας τον ΕΜΕ ως ενιαία δικαιοδοσία)</w:t>
            </w:r>
          </w:p>
        </w:tc>
        <w:tc>
          <w:tcPr>
            <w:tcW w:w="2745" w:type="dxa"/>
            <w:tcBorders>
              <w:left w:val="nil"/>
              <w:right w:val="nil"/>
            </w:tcBorders>
            <w:noWrap/>
          </w:tcPr>
          <w:p w:rsidRPr="00DC209C" w:rsidR="00A30E7B" w:rsidP="003206A4" w:rsidRDefault="00A30E7B" w14:paraId="0381ECAF" w14:textId="77777777">
            <w:pPr>
              <w:jc w:val="right"/>
              <w:rPr>
                <w:rFonts w:ascii="Arial" w:hAnsi="Arial" w:eastAsia="Times New Roman" w:cs="Arial"/>
                <w:sz w:val="20"/>
                <w:szCs w:val="20"/>
                <w:lang w:eastAsia="en-GB"/>
              </w:rPr>
            </w:pPr>
          </w:p>
        </w:tc>
      </w:tr>
      <w:tr w:rsidRPr="00DC209C" w:rsidR="00A30E7B" w:rsidTr="003206A4" w14:paraId="07996325" w14:textId="77777777">
        <w:trPr>
          <w:trHeight w:val="300"/>
        </w:trPr>
        <w:tc>
          <w:tcPr>
            <w:tcW w:w="6804" w:type="dxa"/>
            <w:tcBorders>
              <w:left w:val="nil"/>
              <w:right w:val="nil"/>
            </w:tcBorders>
            <w:noWrap/>
          </w:tcPr>
          <w:p w:rsidRPr="00DC209C" w:rsidR="00A30E7B" w:rsidP="003206A4" w:rsidRDefault="00A30E7B" w14:paraId="7EDBB22F" w14:textId="77777777">
            <w:pPr>
              <w:ind w:firstLine="200" w:firstLineChars="100"/>
              <w:rPr>
                <w:rFonts w:ascii="Arial" w:hAnsi="Arial" w:eastAsia="Times New Roman" w:cs="Arial"/>
                <w:sz w:val="20"/>
                <w:szCs w:val="20"/>
              </w:rPr>
            </w:pPr>
            <w:r w:rsidRPr="00DC209C">
              <w:rPr>
                <w:rFonts w:ascii="Arial" w:hAnsi="Arial"/>
                <w:sz w:val="20"/>
              </w:rPr>
              <w:t>η. Διακρατικές εγχώριες απαιτήσεις σε εγχώριο νόμισμα, εξαιρουμένης της δραστηριότητας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4D4FC084" w14:textId="77777777">
            <w:pPr>
              <w:jc w:val="right"/>
              <w:rPr>
                <w:rFonts w:ascii="Arial" w:hAnsi="Arial" w:eastAsia="Times New Roman" w:cs="Arial"/>
                <w:sz w:val="20"/>
                <w:szCs w:val="20"/>
                <w:lang w:eastAsia="en-GB"/>
              </w:rPr>
            </w:pPr>
          </w:p>
        </w:tc>
      </w:tr>
      <w:tr w:rsidRPr="00DC209C" w:rsidR="00A30E7B" w:rsidTr="003206A4" w14:paraId="2A416037" w14:textId="77777777">
        <w:trPr>
          <w:trHeight w:val="300"/>
        </w:trPr>
        <w:tc>
          <w:tcPr>
            <w:tcW w:w="6804" w:type="dxa"/>
            <w:tcBorders>
              <w:left w:val="nil"/>
              <w:right w:val="nil"/>
            </w:tcBorders>
            <w:noWrap/>
          </w:tcPr>
          <w:p w:rsidRPr="00DC209C" w:rsidR="00A30E7B" w:rsidP="003206A4" w:rsidRDefault="00A30E7B" w14:paraId="227D3818" w14:textId="77777777">
            <w:pPr>
              <w:ind w:firstLine="200" w:firstLineChars="100"/>
              <w:rPr>
                <w:rFonts w:ascii="Arial" w:hAnsi="Arial" w:eastAsia="Times New Roman" w:cs="Arial"/>
                <w:sz w:val="20"/>
                <w:szCs w:val="20"/>
              </w:rPr>
            </w:pPr>
            <w:r w:rsidRPr="00DC209C">
              <w:rPr>
                <w:rFonts w:ascii="Arial" w:hAnsi="Arial"/>
                <w:sz w:val="20"/>
              </w:rPr>
              <w:t>θ. Διακρατικές εγχώριες απαιτήσεις σε εγχώριο νόμισμα, περιλαμβανομένης της δραστηριότητας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38DDA64B" w14:textId="77777777">
            <w:pPr>
              <w:jc w:val="right"/>
              <w:rPr>
                <w:rFonts w:ascii="Arial" w:hAnsi="Arial" w:eastAsia="Times New Roman" w:cs="Arial"/>
                <w:sz w:val="20"/>
                <w:szCs w:val="20"/>
                <w:lang w:eastAsia="en-GB"/>
              </w:rPr>
            </w:pPr>
          </w:p>
        </w:tc>
      </w:tr>
      <w:tr w:rsidRPr="00DC209C" w:rsidR="00A30E7B" w:rsidTr="003206A4" w14:paraId="432F07DA" w14:textId="77777777">
        <w:trPr>
          <w:trHeight w:val="300"/>
        </w:trPr>
        <w:tc>
          <w:tcPr>
            <w:tcW w:w="6804" w:type="dxa"/>
            <w:tcBorders>
              <w:left w:val="nil"/>
              <w:right w:val="nil"/>
            </w:tcBorders>
            <w:noWrap/>
          </w:tcPr>
          <w:p w:rsidRPr="00DC209C" w:rsidR="00A30E7B" w:rsidP="003206A4" w:rsidRDefault="00A30E7B" w14:paraId="2914F712" w14:textId="77777777">
            <w:pPr>
              <w:ind w:firstLine="200" w:firstLineChars="100"/>
              <w:rPr>
                <w:rFonts w:ascii="Arial" w:hAnsi="Arial" w:eastAsia="Times New Roman" w:cs="Arial"/>
                <w:sz w:val="20"/>
                <w:szCs w:val="20"/>
              </w:rPr>
            </w:pPr>
            <w:r w:rsidRPr="00DC209C">
              <w:rPr>
                <w:rFonts w:ascii="Arial" w:hAnsi="Arial"/>
                <w:sz w:val="20"/>
              </w:rPr>
              <w:t>ι. Υποχρεώσεις προς το εξωτερικό, εξαιρουμένων υποχρεώσεων παραγώγων και εγχώριων υποχρεώσεων στο εγχώριο νόμισμα (θεωρώντας τον ΕΜΕ ως ενιαία δικαιοδοσία)</w:t>
            </w:r>
          </w:p>
        </w:tc>
        <w:tc>
          <w:tcPr>
            <w:tcW w:w="2745" w:type="dxa"/>
            <w:tcBorders>
              <w:left w:val="nil"/>
              <w:right w:val="nil"/>
            </w:tcBorders>
            <w:noWrap/>
          </w:tcPr>
          <w:p w:rsidRPr="00DC209C" w:rsidR="00A30E7B" w:rsidP="003206A4" w:rsidRDefault="00A30E7B" w14:paraId="24574642" w14:textId="77777777">
            <w:pPr>
              <w:jc w:val="right"/>
              <w:rPr>
                <w:rFonts w:ascii="Arial" w:hAnsi="Arial" w:eastAsia="Times New Roman" w:cs="Arial"/>
                <w:sz w:val="20"/>
                <w:szCs w:val="20"/>
                <w:lang w:eastAsia="en-GB"/>
              </w:rPr>
            </w:pPr>
          </w:p>
        </w:tc>
      </w:tr>
      <w:tr w:rsidRPr="00DC209C" w:rsidR="00A30E7B" w:rsidTr="003206A4" w14:paraId="3A80FD6E" w14:textId="77777777">
        <w:trPr>
          <w:trHeight w:val="300"/>
        </w:trPr>
        <w:tc>
          <w:tcPr>
            <w:tcW w:w="6804" w:type="dxa"/>
            <w:tcBorders>
              <w:left w:val="nil"/>
              <w:right w:val="nil"/>
            </w:tcBorders>
            <w:noWrap/>
          </w:tcPr>
          <w:p w:rsidRPr="00DC209C" w:rsidR="00A30E7B" w:rsidP="003206A4" w:rsidRDefault="00A30E7B" w14:paraId="7E4D00AC" w14:textId="77777777">
            <w:pPr>
              <w:ind w:left="171" w:firstLine="28" w:firstLineChars="14"/>
              <w:rPr>
                <w:rFonts w:ascii="Arial" w:hAnsi="Arial" w:eastAsia="Times New Roman" w:cs="Arial"/>
                <w:sz w:val="20"/>
                <w:szCs w:val="20"/>
              </w:rPr>
            </w:pPr>
            <w:r w:rsidRPr="00DC209C">
              <w:rPr>
                <w:rFonts w:ascii="Arial" w:hAnsi="Arial"/>
                <w:sz w:val="20"/>
                <w:lang w:eastAsia="en-GB"/>
              </w:rPr>
              <w:t xml:space="preserve">(1) </w:t>
            </w:r>
            <w:r w:rsidRPr="00DC209C">
              <w:rPr>
                <w:rFonts w:ascii="Arial" w:hAnsi="Arial"/>
                <w:sz w:val="20"/>
              </w:rPr>
              <w:t>Τυχόν υποχρεώσεις προς το εξωτερικό σε αρμόδια γραφεία που περιλαμβάνονται στο στοιχείο 20.ι. (θεωρώντας τον ΕΜΕ ως ενιαία δικαιοδοσία)</w:t>
            </w:r>
          </w:p>
        </w:tc>
        <w:tc>
          <w:tcPr>
            <w:tcW w:w="2745" w:type="dxa"/>
            <w:tcBorders>
              <w:left w:val="nil"/>
              <w:right w:val="nil"/>
            </w:tcBorders>
            <w:noWrap/>
          </w:tcPr>
          <w:p w:rsidRPr="00DC209C" w:rsidR="00A30E7B" w:rsidP="003206A4" w:rsidRDefault="00A30E7B" w14:paraId="6B1FB573" w14:textId="77777777">
            <w:pPr>
              <w:jc w:val="right"/>
              <w:rPr>
                <w:rFonts w:ascii="Arial" w:hAnsi="Arial" w:eastAsia="Times New Roman" w:cs="Arial"/>
                <w:sz w:val="20"/>
                <w:szCs w:val="20"/>
                <w:lang w:eastAsia="en-GB"/>
              </w:rPr>
            </w:pPr>
          </w:p>
        </w:tc>
      </w:tr>
      <w:tr w:rsidRPr="00DC209C" w:rsidR="00A30E7B" w:rsidTr="003206A4" w14:paraId="09478F9D" w14:textId="77777777">
        <w:trPr>
          <w:trHeight w:val="300"/>
        </w:trPr>
        <w:tc>
          <w:tcPr>
            <w:tcW w:w="6804" w:type="dxa"/>
            <w:tcBorders>
              <w:left w:val="nil"/>
              <w:right w:val="nil"/>
            </w:tcBorders>
            <w:noWrap/>
          </w:tcPr>
          <w:p w:rsidRPr="00DC209C" w:rsidR="00A30E7B" w:rsidP="003206A4" w:rsidRDefault="00A30E7B" w14:paraId="01873A29" w14:textId="77777777">
            <w:pPr>
              <w:ind w:firstLine="168" w:firstLineChars="84"/>
              <w:rPr>
                <w:rFonts w:ascii="Arial" w:hAnsi="Arial" w:eastAsia="Times New Roman" w:cs="Arial"/>
                <w:sz w:val="20"/>
                <w:szCs w:val="20"/>
              </w:rPr>
            </w:pPr>
            <w:r w:rsidRPr="00DC209C">
              <w:rPr>
                <w:rFonts w:ascii="Arial" w:hAnsi="Arial"/>
                <w:sz w:val="20"/>
              </w:rPr>
              <w:t>ια. Εγχώριες υποχρεώσεις σε εγχώριο νόμισμα εξαιρουμένων των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3BCED82A" w14:textId="77777777">
            <w:pPr>
              <w:jc w:val="right"/>
              <w:rPr>
                <w:rFonts w:ascii="Arial" w:hAnsi="Arial" w:eastAsia="Times New Roman" w:cs="Arial"/>
                <w:sz w:val="20"/>
                <w:szCs w:val="20"/>
                <w:lang w:eastAsia="en-GB"/>
              </w:rPr>
            </w:pPr>
          </w:p>
        </w:tc>
      </w:tr>
      <w:tr w:rsidRPr="00DC209C" w:rsidR="00A30E7B" w:rsidTr="003206A4" w14:paraId="3556B9DD" w14:textId="77777777">
        <w:trPr>
          <w:trHeight w:val="300"/>
        </w:trPr>
        <w:tc>
          <w:tcPr>
            <w:tcW w:w="6804" w:type="dxa"/>
            <w:tcBorders>
              <w:left w:val="nil"/>
              <w:right w:val="nil"/>
            </w:tcBorders>
            <w:noWrap/>
          </w:tcPr>
          <w:p w:rsidRPr="00DC209C" w:rsidR="00A30E7B" w:rsidP="003206A4" w:rsidRDefault="00A30E7B" w14:paraId="195D3C80" w14:textId="77777777">
            <w:pPr>
              <w:ind w:firstLine="168" w:firstLineChars="84"/>
              <w:rPr>
                <w:rFonts w:ascii="Arial" w:hAnsi="Arial" w:eastAsia="Times New Roman" w:cs="Arial"/>
                <w:sz w:val="20"/>
                <w:szCs w:val="20"/>
              </w:rPr>
            </w:pPr>
            <w:r w:rsidRPr="00DC209C">
              <w:rPr>
                <w:rFonts w:ascii="Arial" w:hAnsi="Arial"/>
                <w:sz w:val="20"/>
              </w:rPr>
              <w:t>ιβ. Εγχώριες υποχρεώσεις σε εγχώριο νόμισμα περιλαμβανομένων των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28E6B266" w14:textId="77777777">
            <w:pPr>
              <w:jc w:val="right"/>
              <w:rPr>
                <w:rFonts w:ascii="Arial" w:hAnsi="Arial" w:eastAsia="Times New Roman" w:cs="Arial"/>
                <w:sz w:val="20"/>
                <w:szCs w:val="20"/>
                <w:lang w:eastAsia="en-GB"/>
              </w:rPr>
            </w:pPr>
          </w:p>
        </w:tc>
      </w:tr>
      <w:tr w:rsidRPr="00DC209C" w:rsidR="00A30E7B" w:rsidTr="003206A4" w14:paraId="07F99093" w14:textId="77777777">
        <w:trPr>
          <w:trHeight w:val="300"/>
        </w:trPr>
        <w:tc>
          <w:tcPr>
            <w:tcW w:w="6804" w:type="dxa"/>
            <w:tcBorders>
              <w:left w:val="nil"/>
              <w:right w:val="nil"/>
            </w:tcBorders>
            <w:noWrap/>
          </w:tcPr>
          <w:p w:rsidRPr="00DC209C" w:rsidR="00A30E7B" w:rsidP="003206A4" w:rsidRDefault="00A30E7B" w14:paraId="5B251FB6" w14:textId="77777777">
            <w:pPr>
              <w:ind w:firstLine="168" w:firstLineChars="84"/>
              <w:rPr>
                <w:rFonts w:ascii="Arial" w:hAnsi="Arial" w:eastAsia="Times New Roman" w:cs="Arial"/>
                <w:sz w:val="20"/>
                <w:szCs w:val="20"/>
              </w:rPr>
            </w:pPr>
            <w:r w:rsidRPr="00DC209C">
              <w:rPr>
                <w:rFonts w:ascii="Arial" w:hAnsi="Arial"/>
                <w:sz w:val="20"/>
              </w:rPr>
              <w:t>ιγ. Σύνολο καθαρών εγχώριων θέσεων σε εγχώριο νόμισμα περιλαμβανομένων των παραγώγων, εάν είναι καθαρά θετικό</w:t>
            </w:r>
          </w:p>
        </w:tc>
        <w:tc>
          <w:tcPr>
            <w:tcW w:w="2745" w:type="dxa"/>
            <w:tcBorders>
              <w:left w:val="nil"/>
              <w:right w:val="nil"/>
            </w:tcBorders>
            <w:noWrap/>
          </w:tcPr>
          <w:p w:rsidRPr="00DC209C" w:rsidR="00A30E7B" w:rsidP="003206A4" w:rsidRDefault="00A30E7B" w14:paraId="3A3E6D72" w14:textId="77777777">
            <w:pPr>
              <w:jc w:val="right"/>
              <w:rPr>
                <w:rFonts w:ascii="Arial" w:hAnsi="Arial" w:eastAsia="Times New Roman" w:cs="Arial"/>
                <w:sz w:val="20"/>
                <w:szCs w:val="20"/>
                <w:lang w:eastAsia="en-GB"/>
              </w:rPr>
            </w:pPr>
          </w:p>
        </w:tc>
      </w:tr>
      <w:tr w:rsidRPr="00DC209C" w:rsidR="00A30E7B" w:rsidTr="003206A4" w14:paraId="38297361" w14:textId="77777777">
        <w:trPr>
          <w:trHeight w:val="300"/>
        </w:trPr>
        <w:tc>
          <w:tcPr>
            <w:tcW w:w="6804" w:type="dxa"/>
            <w:tcBorders>
              <w:left w:val="nil"/>
              <w:right w:val="nil"/>
            </w:tcBorders>
            <w:noWrap/>
          </w:tcPr>
          <w:p w:rsidRPr="00DC209C" w:rsidR="00A30E7B" w:rsidP="003206A4" w:rsidRDefault="00A30E7B" w14:paraId="0C2C08EF" w14:textId="77777777">
            <w:pPr>
              <w:ind w:firstLine="168" w:firstLineChars="84"/>
              <w:rPr>
                <w:rFonts w:ascii="Arial" w:hAnsi="Arial" w:eastAsia="Times New Roman" w:cs="Arial"/>
                <w:sz w:val="20"/>
                <w:szCs w:val="20"/>
              </w:rPr>
            </w:pPr>
            <w:r w:rsidRPr="00DC209C">
              <w:rPr>
                <w:rFonts w:ascii="Arial" w:hAnsi="Arial"/>
                <w:sz w:val="20"/>
              </w:rPr>
              <w:t>ιδ. Σύνολο καθαρών εγχώριων θέσεων σε εγχώριο νόμισμα περιλαμβανομένων των παραγώγων, εάν είναι καθαρά αρνητικό</w:t>
            </w:r>
          </w:p>
        </w:tc>
        <w:tc>
          <w:tcPr>
            <w:tcW w:w="2745" w:type="dxa"/>
            <w:tcBorders>
              <w:left w:val="nil"/>
              <w:right w:val="nil"/>
            </w:tcBorders>
            <w:noWrap/>
          </w:tcPr>
          <w:p w:rsidRPr="00DC209C" w:rsidR="00A30E7B" w:rsidP="003206A4" w:rsidRDefault="00A30E7B" w14:paraId="105F6EC7" w14:textId="77777777">
            <w:pPr>
              <w:jc w:val="right"/>
              <w:rPr>
                <w:rFonts w:ascii="Arial" w:hAnsi="Arial" w:eastAsia="Times New Roman" w:cs="Arial"/>
                <w:sz w:val="20"/>
                <w:szCs w:val="20"/>
                <w:lang w:eastAsia="en-GB"/>
              </w:rPr>
            </w:pPr>
          </w:p>
        </w:tc>
      </w:tr>
      <w:tr w:rsidRPr="00DC209C" w:rsidR="00A30E7B" w:rsidTr="003206A4" w14:paraId="25AA77BD" w14:textId="77777777">
        <w:trPr>
          <w:trHeight w:val="300"/>
        </w:trPr>
        <w:tc>
          <w:tcPr>
            <w:tcW w:w="6804" w:type="dxa"/>
            <w:tcBorders>
              <w:left w:val="nil"/>
              <w:right w:val="nil"/>
            </w:tcBorders>
            <w:noWrap/>
          </w:tcPr>
          <w:p w:rsidRPr="00DC209C" w:rsidR="00A30E7B" w:rsidP="003206A4" w:rsidRDefault="00A30E7B" w14:paraId="293C14B9" w14:textId="77777777">
            <w:pPr>
              <w:ind w:firstLine="168" w:firstLineChars="84"/>
              <w:rPr>
                <w:rFonts w:ascii="Arial" w:hAnsi="Arial" w:eastAsia="Times New Roman" w:cs="Arial"/>
                <w:sz w:val="20"/>
                <w:szCs w:val="20"/>
              </w:rPr>
            </w:pPr>
            <w:r w:rsidRPr="00DC209C">
              <w:rPr>
                <w:rFonts w:ascii="Arial" w:hAnsi="Arial"/>
                <w:sz w:val="20"/>
              </w:rPr>
              <w:t>ιε. Σύνολο καθαρών εγχώριων θέσεων σε εγχώριο νόμισμα σε χώρες εκτός ΕΜΕ, περιλαμβανομένων των παραγώγων, εάν είναι καθαρά θετικό (θεωρώντας τον ΕΜΕ ως ενιαία δικαιοδοσία)</w:t>
            </w:r>
          </w:p>
        </w:tc>
        <w:tc>
          <w:tcPr>
            <w:tcW w:w="2745" w:type="dxa"/>
            <w:tcBorders>
              <w:left w:val="nil"/>
              <w:right w:val="nil"/>
            </w:tcBorders>
            <w:noWrap/>
          </w:tcPr>
          <w:p w:rsidRPr="00DC209C" w:rsidR="00A30E7B" w:rsidP="003206A4" w:rsidRDefault="00A30E7B" w14:paraId="00F3D7CD" w14:textId="77777777">
            <w:pPr>
              <w:jc w:val="right"/>
              <w:rPr>
                <w:rFonts w:ascii="Arial" w:hAnsi="Arial" w:eastAsia="Times New Roman" w:cs="Arial"/>
                <w:sz w:val="20"/>
                <w:szCs w:val="20"/>
                <w:lang w:eastAsia="en-GB"/>
              </w:rPr>
            </w:pPr>
          </w:p>
        </w:tc>
      </w:tr>
      <w:tr w:rsidRPr="00DC209C" w:rsidR="00A30E7B" w:rsidTr="003206A4" w14:paraId="4E6E5955" w14:textId="77777777">
        <w:trPr>
          <w:trHeight w:val="300"/>
        </w:trPr>
        <w:tc>
          <w:tcPr>
            <w:tcW w:w="6804" w:type="dxa"/>
            <w:tcBorders>
              <w:left w:val="nil"/>
              <w:right w:val="nil"/>
            </w:tcBorders>
            <w:noWrap/>
          </w:tcPr>
          <w:p w:rsidRPr="00DC209C" w:rsidR="00A30E7B" w:rsidP="003206A4" w:rsidRDefault="00A30E7B" w14:paraId="17C06435" w14:textId="77777777">
            <w:pPr>
              <w:ind w:firstLine="168" w:firstLineChars="84"/>
              <w:rPr>
                <w:rFonts w:ascii="Arial" w:hAnsi="Arial" w:eastAsia="Times New Roman" w:cs="Arial"/>
                <w:sz w:val="20"/>
                <w:szCs w:val="20"/>
              </w:rPr>
            </w:pPr>
            <w:r w:rsidRPr="00DC209C">
              <w:rPr>
                <w:rFonts w:ascii="Arial" w:hAnsi="Arial"/>
                <w:sz w:val="20"/>
              </w:rPr>
              <w:t>ιστ. Σύνολο καθαρών εγχώριων θέσεων σε εγχώριο νόμισμα σε χώρες εκτός ΕΜΕ, περιλαμβανομένων των παραγώγων, εάν είναι καθαρά αρνητικό (θεωρώντας τον ΕΜΕ ως ενιαία δικαιοδοσία)</w:t>
            </w:r>
          </w:p>
        </w:tc>
        <w:tc>
          <w:tcPr>
            <w:tcW w:w="2745" w:type="dxa"/>
            <w:tcBorders>
              <w:left w:val="nil"/>
              <w:right w:val="nil"/>
            </w:tcBorders>
            <w:noWrap/>
          </w:tcPr>
          <w:p w:rsidRPr="00DC209C" w:rsidR="00A30E7B" w:rsidP="003206A4" w:rsidRDefault="00A30E7B" w14:paraId="4AD0FC5D" w14:textId="77777777">
            <w:pPr>
              <w:jc w:val="right"/>
              <w:rPr>
                <w:rFonts w:ascii="Arial" w:hAnsi="Arial" w:eastAsia="Times New Roman" w:cs="Arial"/>
                <w:sz w:val="20"/>
                <w:szCs w:val="20"/>
                <w:lang w:eastAsia="en-GB"/>
              </w:rPr>
            </w:pPr>
          </w:p>
        </w:tc>
      </w:tr>
      <w:tr w:rsidRPr="00DC209C" w:rsidR="00A30E7B" w:rsidTr="003206A4" w14:paraId="3E7E9EC8" w14:textId="77777777">
        <w:trPr>
          <w:trHeight w:val="300"/>
        </w:trPr>
        <w:tc>
          <w:tcPr>
            <w:tcW w:w="6804" w:type="dxa"/>
            <w:tcBorders>
              <w:left w:val="nil"/>
              <w:right w:val="nil"/>
            </w:tcBorders>
            <w:noWrap/>
          </w:tcPr>
          <w:p w:rsidRPr="00DC209C" w:rsidR="00A30E7B" w:rsidP="003206A4" w:rsidRDefault="00A30E7B" w14:paraId="7A65F66E" w14:textId="77777777">
            <w:pPr>
              <w:ind w:firstLine="168" w:firstLineChars="84"/>
              <w:rPr>
                <w:rFonts w:ascii="Arial" w:hAnsi="Arial" w:eastAsia="Times New Roman" w:cs="Arial"/>
                <w:sz w:val="20"/>
                <w:szCs w:val="20"/>
              </w:rPr>
            </w:pPr>
            <w:r w:rsidRPr="00DC209C">
              <w:rPr>
                <w:rFonts w:ascii="Arial" w:hAnsi="Arial"/>
                <w:sz w:val="20"/>
              </w:rPr>
              <w:t>ιζ. Σύνολο καθαρών εγχώριων θέσεων σε εγχώριο νόμισμα σε χώρες του ΕΜΕ, περιλαμβανομένων των παραγώγων (θεωρώντας τον ΕΜΕ ως ενιαία δικαιοδοσία)</w:t>
            </w:r>
          </w:p>
        </w:tc>
        <w:tc>
          <w:tcPr>
            <w:tcW w:w="2745" w:type="dxa"/>
            <w:tcBorders>
              <w:left w:val="nil"/>
              <w:right w:val="nil"/>
            </w:tcBorders>
            <w:noWrap/>
          </w:tcPr>
          <w:p w:rsidRPr="00DC209C" w:rsidR="00A30E7B" w:rsidP="003206A4" w:rsidRDefault="00A30E7B" w14:paraId="34ABD106" w14:textId="77777777">
            <w:pPr>
              <w:jc w:val="right"/>
              <w:rPr>
                <w:rFonts w:ascii="Arial" w:hAnsi="Arial" w:eastAsia="Times New Roman" w:cs="Arial"/>
                <w:sz w:val="20"/>
                <w:szCs w:val="20"/>
                <w:lang w:eastAsia="en-GB"/>
              </w:rPr>
            </w:pPr>
          </w:p>
        </w:tc>
      </w:tr>
      <w:tr w:rsidRPr="00DC209C" w:rsidR="00A30E7B" w:rsidTr="003206A4" w14:paraId="6A4DFE2B" w14:textId="77777777">
        <w:trPr>
          <w:trHeight w:val="300"/>
        </w:trPr>
        <w:tc>
          <w:tcPr>
            <w:tcW w:w="6804" w:type="dxa"/>
            <w:tcBorders>
              <w:left w:val="nil"/>
              <w:right w:val="nil"/>
            </w:tcBorders>
            <w:noWrap/>
          </w:tcPr>
          <w:p w:rsidRPr="00DC209C" w:rsidR="00A30E7B" w:rsidP="003206A4" w:rsidRDefault="00A30E7B" w14:paraId="1A9E4310" w14:textId="77777777">
            <w:pPr>
              <w:ind w:firstLine="200" w:firstLineChars="100"/>
              <w:rPr>
                <w:rFonts w:ascii="Arial" w:hAnsi="Arial" w:eastAsia="Times New Roman" w:cs="Arial"/>
                <w:sz w:val="20"/>
                <w:szCs w:val="20"/>
              </w:rPr>
            </w:pPr>
            <w:r w:rsidRPr="00DC209C">
              <w:rPr>
                <w:rFonts w:ascii="Arial" w:hAnsi="Arial"/>
                <w:sz w:val="20"/>
              </w:rPr>
              <w:t xml:space="preserve">ιη. Εσωτερικές απαιτήσεις μεταξύ τμημάτων που έχουν εγγραφεί από αλλοδαπές θυγατρικές </w:t>
            </w:r>
          </w:p>
        </w:tc>
        <w:tc>
          <w:tcPr>
            <w:tcW w:w="2745" w:type="dxa"/>
            <w:tcBorders>
              <w:left w:val="nil"/>
              <w:right w:val="nil"/>
            </w:tcBorders>
            <w:noWrap/>
          </w:tcPr>
          <w:p w:rsidRPr="00DC209C" w:rsidR="00A30E7B" w:rsidP="003206A4" w:rsidRDefault="00A30E7B" w14:paraId="447F7F93" w14:textId="77777777">
            <w:pPr>
              <w:jc w:val="right"/>
              <w:rPr>
                <w:rFonts w:ascii="Arial" w:hAnsi="Arial" w:eastAsia="Times New Roman" w:cs="Arial"/>
                <w:sz w:val="20"/>
                <w:szCs w:val="20"/>
                <w:lang w:eastAsia="en-GB"/>
              </w:rPr>
            </w:pPr>
          </w:p>
        </w:tc>
      </w:tr>
      <w:tr w:rsidRPr="00DC209C" w:rsidR="00A30E7B" w:rsidTr="003206A4" w14:paraId="38F86063" w14:textId="77777777">
        <w:trPr>
          <w:trHeight w:val="300"/>
        </w:trPr>
        <w:tc>
          <w:tcPr>
            <w:tcW w:w="6804" w:type="dxa"/>
            <w:tcBorders>
              <w:left w:val="nil"/>
              <w:right w:val="nil"/>
            </w:tcBorders>
            <w:noWrap/>
          </w:tcPr>
          <w:p w:rsidRPr="00DC209C" w:rsidR="00A30E7B" w:rsidP="003206A4" w:rsidRDefault="00A30E7B" w14:paraId="4D1CBAAC" w14:textId="77777777">
            <w:pPr>
              <w:ind w:firstLine="200" w:firstLineChars="100"/>
              <w:rPr>
                <w:rFonts w:ascii="Arial" w:hAnsi="Arial" w:eastAsia="Times New Roman" w:cs="Arial"/>
                <w:sz w:val="20"/>
                <w:szCs w:val="20"/>
              </w:rPr>
            </w:pPr>
            <w:r w:rsidRPr="00DC209C">
              <w:rPr>
                <w:rFonts w:ascii="Arial" w:hAnsi="Arial"/>
                <w:sz w:val="20"/>
              </w:rPr>
              <w:t xml:space="preserve">ιθ. Εσωτερικές απαιτήσεις μεταξύ τμημάτων που έχουν εγγραφεί από αλλοδαπά υποκαταστήματα </w:t>
            </w:r>
          </w:p>
        </w:tc>
        <w:tc>
          <w:tcPr>
            <w:tcW w:w="2745" w:type="dxa"/>
            <w:tcBorders>
              <w:left w:val="nil"/>
              <w:right w:val="nil"/>
            </w:tcBorders>
            <w:noWrap/>
          </w:tcPr>
          <w:p w:rsidRPr="00DC209C" w:rsidR="00A30E7B" w:rsidP="003206A4" w:rsidRDefault="00A30E7B" w14:paraId="62322668" w14:textId="77777777">
            <w:pPr>
              <w:jc w:val="right"/>
              <w:rPr>
                <w:rFonts w:ascii="Arial" w:hAnsi="Arial" w:eastAsia="Times New Roman" w:cs="Arial"/>
                <w:sz w:val="20"/>
                <w:szCs w:val="20"/>
                <w:lang w:eastAsia="en-GB"/>
              </w:rPr>
            </w:pPr>
          </w:p>
        </w:tc>
      </w:tr>
      <w:tr w:rsidRPr="00DC209C" w:rsidR="00A30E7B" w:rsidTr="003206A4" w14:paraId="1B8905CB" w14:textId="77777777">
        <w:trPr>
          <w:trHeight w:val="300"/>
        </w:trPr>
        <w:tc>
          <w:tcPr>
            <w:tcW w:w="6804" w:type="dxa"/>
            <w:tcBorders>
              <w:left w:val="nil"/>
              <w:right w:val="nil"/>
            </w:tcBorders>
            <w:noWrap/>
          </w:tcPr>
          <w:p w:rsidRPr="00DC209C" w:rsidR="00A30E7B" w:rsidP="003206A4" w:rsidRDefault="00A30E7B" w14:paraId="2B96926E" w14:textId="77777777">
            <w:pPr>
              <w:ind w:firstLine="200" w:firstLineChars="100"/>
              <w:rPr>
                <w:rFonts w:ascii="Arial" w:hAnsi="Arial" w:eastAsia="Times New Roman" w:cs="Arial"/>
                <w:sz w:val="20"/>
                <w:szCs w:val="20"/>
              </w:rPr>
            </w:pPr>
            <w:r w:rsidRPr="00DC209C">
              <w:rPr>
                <w:rFonts w:ascii="Arial" w:hAnsi="Arial"/>
                <w:sz w:val="20"/>
              </w:rPr>
              <w:t>κ. Εσωτερικές υποχρεώσεις μεταξύ τμημάτων που έχουν εγγραφεί από αλλοδαπές θυγατρικές</w:t>
            </w:r>
          </w:p>
        </w:tc>
        <w:tc>
          <w:tcPr>
            <w:tcW w:w="2745" w:type="dxa"/>
            <w:tcBorders>
              <w:left w:val="nil"/>
              <w:right w:val="nil"/>
            </w:tcBorders>
            <w:noWrap/>
          </w:tcPr>
          <w:p w:rsidRPr="00DC209C" w:rsidR="00A30E7B" w:rsidP="003206A4" w:rsidRDefault="00A30E7B" w14:paraId="4A7C3EFB" w14:textId="77777777">
            <w:pPr>
              <w:jc w:val="right"/>
              <w:rPr>
                <w:rFonts w:ascii="Arial" w:hAnsi="Arial" w:eastAsia="Times New Roman" w:cs="Arial"/>
                <w:sz w:val="20"/>
                <w:szCs w:val="20"/>
                <w:lang w:eastAsia="en-GB"/>
              </w:rPr>
            </w:pPr>
          </w:p>
        </w:tc>
      </w:tr>
      <w:tr w:rsidRPr="00DC209C" w:rsidR="00A30E7B" w:rsidTr="003206A4" w14:paraId="3B598497" w14:textId="77777777">
        <w:trPr>
          <w:trHeight w:val="300"/>
        </w:trPr>
        <w:tc>
          <w:tcPr>
            <w:tcW w:w="6804" w:type="dxa"/>
            <w:tcBorders>
              <w:left w:val="nil"/>
              <w:right w:val="nil"/>
            </w:tcBorders>
            <w:noWrap/>
          </w:tcPr>
          <w:p w:rsidRPr="00DC209C" w:rsidR="00A30E7B" w:rsidP="003206A4" w:rsidRDefault="00A30E7B" w14:paraId="72AFF1B8" w14:textId="77777777">
            <w:pPr>
              <w:ind w:firstLine="200" w:firstLineChars="100"/>
              <w:rPr>
                <w:rFonts w:ascii="Arial" w:hAnsi="Arial" w:eastAsia="Times New Roman" w:cs="Arial"/>
                <w:sz w:val="20"/>
                <w:szCs w:val="20"/>
              </w:rPr>
            </w:pPr>
            <w:r w:rsidRPr="00DC209C">
              <w:rPr>
                <w:rFonts w:ascii="Arial" w:hAnsi="Arial"/>
                <w:sz w:val="20"/>
              </w:rPr>
              <w:t xml:space="preserve">κα. Εσωτερικές υποχρεώσεις μεταξύ τμημάτων που έχουν εγγραφεί από αλλοδαπά υποκαταστήματα </w:t>
            </w:r>
          </w:p>
        </w:tc>
        <w:tc>
          <w:tcPr>
            <w:tcW w:w="2745" w:type="dxa"/>
            <w:tcBorders>
              <w:left w:val="nil"/>
              <w:right w:val="nil"/>
            </w:tcBorders>
            <w:noWrap/>
          </w:tcPr>
          <w:p w:rsidRPr="00DC209C" w:rsidR="00A30E7B" w:rsidP="003206A4" w:rsidRDefault="00A30E7B" w14:paraId="62D909CA" w14:textId="77777777">
            <w:pPr>
              <w:jc w:val="right"/>
              <w:rPr>
                <w:rFonts w:ascii="Arial" w:hAnsi="Arial" w:eastAsia="Times New Roman" w:cs="Arial"/>
                <w:sz w:val="20"/>
                <w:szCs w:val="20"/>
                <w:lang w:eastAsia="en-GB"/>
              </w:rPr>
            </w:pPr>
          </w:p>
        </w:tc>
      </w:tr>
      <w:tr w:rsidRPr="00DC209C" w:rsidR="00A30E7B" w:rsidTr="003206A4" w14:paraId="2CFB1063" w14:textId="77777777">
        <w:trPr>
          <w:trHeight w:val="300"/>
        </w:trPr>
        <w:tc>
          <w:tcPr>
            <w:tcW w:w="6804" w:type="dxa"/>
            <w:tcBorders>
              <w:left w:val="nil"/>
              <w:right w:val="nil"/>
            </w:tcBorders>
            <w:noWrap/>
          </w:tcPr>
          <w:p w:rsidRPr="00DC209C" w:rsidR="00A30E7B" w:rsidP="003206A4" w:rsidRDefault="00A30E7B" w14:paraId="74407882" w14:textId="77777777">
            <w:pPr>
              <w:ind w:firstLine="200" w:firstLineChars="100"/>
              <w:rPr>
                <w:rFonts w:ascii="Arial" w:hAnsi="Arial" w:eastAsia="Times New Roman" w:cs="Arial"/>
                <w:sz w:val="20"/>
                <w:szCs w:val="20"/>
              </w:rPr>
            </w:pPr>
            <w:r w:rsidRPr="00DC209C">
              <w:rPr>
                <w:rFonts w:ascii="Arial" w:hAnsi="Arial"/>
                <w:sz w:val="20"/>
              </w:rPr>
              <w:t xml:space="preserve">κβ. Τριμηνιαία μέση τιμή των διακρατικών απαιτήσεων </w:t>
            </w:r>
          </w:p>
        </w:tc>
        <w:tc>
          <w:tcPr>
            <w:tcW w:w="2745" w:type="dxa"/>
            <w:tcBorders>
              <w:left w:val="nil"/>
              <w:right w:val="nil"/>
            </w:tcBorders>
            <w:noWrap/>
          </w:tcPr>
          <w:p w:rsidRPr="00DC209C" w:rsidR="00A30E7B" w:rsidP="003206A4" w:rsidRDefault="00A30E7B" w14:paraId="685C0364" w14:textId="77777777">
            <w:pPr>
              <w:jc w:val="right"/>
              <w:rPr>
                <w:rFonts w:ascii="Arial" w:hAnsi="Arial" w:eastAsia="Times New Roman" w:cs="Arial"/>
                <w:sz w:val="20"/>
                <w:szCs w:val="20"/>
                <w:lang w:eastAsia="en-GB"/>
              </w:rPr>
            </w:pPr>
          </w:p>
        </w:tc>
      </w:tr>
      <w:tr w:rsidRPr="00DC209C" w:rsidR="00A30E7B" w:rsidTr="003206A4" w14:paraId="4CE9B4BD" w14:textId="77777777">
        <w:trPr>
          <w:trHeight w:val="300"/>
        </w:trPr>
        <w:tc>
          <w:tcPr>
            <w:tcW w:w="6804" w:type="dxa"/>
            <w:tcBorders>
              <w:left w:val="nil"/>
              <w:right w:val="nil"/>
            </w:tcBorders>
            <w:noWrap/>
          </w:tcPr>
          <w:p w:rsidRPr="00DC209C" w:rsidR="00A30E7B" w:rsidP="003206A4" w:rsidRDefault="00A30E7B" w14:paraId="36B05F83" w14:textId="77777777">
            <w:pPr>
              <w:ind w:firstLine="200" w:firstLineChars="100"/>
              <w:rPr>
                <w:rFonts w:ascii="Arial" w:hAnsi="Arial" w:eastAsia="Times New Roman" w:cs="Arial"/>
                <w:sz w:val="20"/>
                <w:szCs w:val="20"/>
              </w:rPr>
            </w:pPr>
            <w:r w:rsidRPr="00DC209C">
              <w:rPr>
                <w:rFonts w:ascii="Arial" w:hAnsi="Arial"/>
                <w:sz w:val="20"/>
              </w:rPr>
              <w:t xml:space="preserve">κγ. Μηνιαία μέση τιμή των διακρατικών απαιτήσεων </w:t>
            </w:r>
          </w:p>
        </w:tc>
        <w:tc>
          <w:tcPr>
            <w:tcW w:w="2745" w:type="dxa"/>
            <w:tcBorders>
              <w:left w:val="nil"/>
              <w:right w:val="nil"/>
            </w:tcBorders>
            <w:noWrap/>
          </w:tcPr>
          <w:p w:rsidRPr="00DC209C" w:rsidR="00A30E7B" w:rsidP="003206A4" w:rsidRDefault="00A30E7B" w14:paraId="274CEB40" w14:textId="77777777">
            <w:pPr>
              <w:jc w:val="right"/>
              <w:rPr>
                <w:rFonts w:ascii="Arial" w:hAnsi="Arial" w:eastAsia="Times New Roman" w:cs="Arial"/>
                <w:sz w:val="20"/>
                <w:szCs w:val="20"/>
                <w:lang w:eastAsia="en-GB"/>
              </w:rPr>
            </w:pPr>
          </w:p>
        </w:tc>
      </w:tr>
      <w:tr w:rsidRPr="00DC209C" w:rsidR="00A30E7B" w:rsidTr="003206A4" w14:paraId="6476EA0A" w14:textId="77777777">
        <w:trPr>
          <w:trHeight w:val="300"/>
        </w:trPr>
        <w:tc>
          <w:tcPr>
            <w:tcW w:w="6804" w:type="dxa"/>
            <w:tcBorders>
              <w:left w:val="nil"/>
              <w:right w:val="nil"/>
            </w:tcBorders>
            <w:noWrap/>
          </w:tcPr>
          <w:p w:rsidRPr="00DC209C" w:rsidR="00A30E7B" w:rsidP="003206A4" w:rsidRDefault="00A30E7B" w14:paraId="3CC7A33B" w14:textId="77777777">
            <w:pPr>
              <w:ind w:firstLine="200" w:firstLineChars="100"/>
              <w:rPr>
                <w:rFonts w:ascii="Arial" w:hAnsi="Arial" w:eastAsia="Times New Roman" w:cs="Arial"/>
                <w:sz w:val="20"/>
                <w:szCs w:val="20"/>
              </w:rPr>
            </w:pPr>
            <w:r w:rsidRPr="00DC209C">
              <w:rPr>
                <w:rFonts w:ascii="Arial" w:hAnsi="Arial"/>
                <w:sz w:val="20"/>
              </w:rPr>
              <w:t xml:space="preserve">κδ. Τριμηνιαία μέση τιμή των διακρατικών υποχρεώσεων </w:t>
            </w:r>
          </w:p>
        </w:tc>
        <w:tc>
          <w:tcPr>
            <w:tcW w:w="2745" w:type="dxa"/>
            <w:tcBorders>
              <w:left w:val="nil"/>
              <w:right w:val="nil"/>
            </w:tcBorders>
            <w:noWrap/>
          </w:tcPr>
          <w:p w:rsidRPr="00DC209C" w:rsidR="00A30E7B" w:rsidP="003206A4" w:rsidRDefault="00A30E7B" w14:paraId="51CDEFD7" w14:textId="77777777">
            <w:pPr>
              <w:jc w:val="right"/>
              <w:rPr>
                <w:rFonts w:ascii="Arial" w:hAnsi="Arial" w:eastAsia="Times New Roman" w:cs="Arial"/>
                <w:sz w:val="20"/>
                <w:szCs w:val="20"/>
                <w:lang w:eastAsia="en-GB"/>
              </w:rPr>
            </w:pPr>
          </w:p>
        </w:tc>
      </w:tr>
      <w:tr w:rsidRPr="00DC209C" w:rsidR="00A30E7B" w:rsidTr="003206A4" w14:paraId="1B18121E" w14:textId="77777777">
        <w:trPr>
          <w:trHeight w:val="300"/>
        </w:trPr>
        <w:tc>
          <w:tcPr>
            <w:tcW w:w="6804" w:type="dxa"/>
            <w:tcBorders>
              <w:left w:val="nil"/>
              <w:bottom w:val="single" w:color="auto" w:sz="4" w:space="0"/>
              <w:right w:val="nil"/>
            </w:tcBorders>
            <w:noWrap/>
          </w:tcPr>
          <w:p w:rsidRPr="00DC209C" w:rsidR="00A30E7B" w:rsidP="003206A4" w:rsidRDefault="00A30E7B" w14:paraId="40FD60CB" w14:textId="77777777">
            <w:pPr>
              <w:ind w:firstLine="200" w:firstLineChars="100"/>
              <w:rPr>
                <w:rFonts w:ascii="Arial" w:hAnsi="Arial" w:eastAsia="Times New Roman" w:cs="Arial"/>
                <w:sz w:val="20"/>
                <w:szCs w:val="20"/>
              </w:rPr>
            </w:pPr>
            <w:r w:rsidRPr="00DC209C">
              <w:rPr>
                <w:rFonts w:ascii="Arial" w:hAnsi="Arial"/>
                <w:sz w:val="20"/>
              </w:rPr>
              <w:t xml:space="preserve">κε. Μηνιαία μέση τιμή των διακρατικών υποχρεώσεων </w:t>
            </w:r>
          </w:p>
        </w:tc>
        <w:tc>
          <w:tcPr>
            <w:tcW w:w="2745" w:type="dxa"/>
            <w:tcBorders>
              <w:left w:val="nil"/>
              <w:bottom w:val="single" w:color="auto" w:sz="4" w:space="0"/>
              <w:right w:val="nil"/>
            </w:tcBorders>
            <w:noWrap/>
          </w:tcPr>
          <w:p w:rsidRPr="00DC209C" w:rsidR="00A30E7B" w:rsidP="003206A4" w:rsidRDefault="00A30E7B" w14:paraId="53771972" w14:textId="77777777">
            <w:pPr>
              <w:jc w:val="right"/>
              <w:rPr>
                <w:rFonts w:ascii="Arial" w:hAnsi="Arial" w:eastAsia="Times New Roman" w:cs="Arial"/>
                <w:sz w:val="20"/>
                <w:szCs w:val="20"/>
                <w:lang w:eastAsia="en-GB"/>
              </w:rPr>
            </w:pPr>
          </w:p>
        </w:tc>
      </w:tr>
      <w:tr w:rsidRPr="00DC209C" w:rsidR="00A30E7B" w:rsidTr="003206A4" w14:paraId="10B10E62" w14:textId="77777777">
        <w:trPr>
          <w:trHeight w:val="300"/>
        </w:trPr>
        <w:tc>
          <w:tcPr>
            <w:tcW w:w="6804" w:type="dxa"/>
            <w:tcBorders>
              <w:left w:val="nil"/>
              <w:bottom w:val="nil"/>
              <w:right w:val="nil"/>
            </w:tcBorders>
            <w:noWrap/>
          </w:tcPr>
          <w:p w:rsidRPr="00DC209C" w:rsidR="00A30E7B" w:rsidP="003206A4" w:rsidRDefault="00A30E7B" w14:paraId="057BCB5D"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DC209C" w:rsidR="00A30E7B" w:rsidP="003206A4" w:rsidRDefault="00A30E7B" w14:paraId="793566AE" w14:textId="77777777">
            <w:pPr>
              <w:jc w:val="right"/>
              <w:rPr>
                <w:rFonts w:ascii="Arial" w:hAnsi="Arial" w:eastAsia="Times New Roman" w:cs="Arial"/>
                <w:sz w:val="20"/>
                <w:szCs w:val="20"/>
                <w:lang w:eastAsia="en-GB"/>
              </w:rPr>
            </w:pPr>
          </w:p>
        </w:tc>
      </w:tr>
      <w:tr w:rsidRPr="00DC209C" w:rsidR="00A30E7B" w:rsidTr="003206A4" w14:paraId="36AA890F" w14:textId="77777777">
        <w:trPr>
          <w:trHeight w:val="300"/>
        </w:trPr>
        <w:tc>
          <w:tcPr>
            <w:tcW w:w="6804" w:type="dxa"/>
            <w:tcBorders>
              <w:top w:val="nil"/>
              <w:left w:val="nil"/>
              <w:right w:val="nil"/>
            </w:tcBorders>
            <w:noWrap/>
          </w:tcPr>
          <w:p w:rsidRPr="00DC209C" w:rsidR="00A30E7B" w:rsidP="003206A4" w:rsidRDefault="00A30E7B" w14:paraId="7381921A" w14:textId="77777777">
            <w:pPr>
              <w:rPr>
                <w:rFonts w:ascii="Arial" w:hAnsi="Arial" w:eastAsia="Times New Roman" w:cs="Arial"/>
                <w:sz w:val="20"/>
                <w:szCs w:val="20"/>
              </w:rPr>
            </w:pPr>
            <w:r w:rsidRPr="00DC209C">
              <w:rPr>
                <w:rFonts w:ascii="Arial" w:hAnsi="Arial"/>
                <w:b/>
                <w:sz w:val="20"/>
              </w:rPr>
              <w:t>Τμήμα 22 - Επικουρικοί δείκτες</w:t>
            </w:r>
          </w:p>
        </w:tc>
        <w:tc>
          <w:tcPr>
            <w:tcW w:w="2745" w:type="dxa"/>
            <w:tcBorders>
              <w:top w:val="nil"/>
              <w:left w:val="nil"/>
              <w:right w:val="nil"/>
            </w:tcBorders>
            <w:noWrap/>
          </w:tcPr>
          <w:p w:rsidRPr="00DC209C" w:rsidR="00A30E7B" w:rsidP="003206A4" w:rsidRDefault="00A30E7B" w14:paraId="4CCEDABE" w14:textId="77777777">
            <w:pPr>
              <w:jc w:val="right"/>
              <w:rPr>
                <w:rFonts w:ascii="Arial" w:hAnsi="Arial" w:eastAsia="Times New Roman" w:cs="Arial"/>
                <w:sz w:val="20"/>
                <w:szCs w:val="20"/>
                <w:lang w:eastAsia="en-GB"/>
              </w:rPr>
            </w:pPr>
          </w:p>
        </w:tc>
      </w:tr>
      <w:tr w:rsidRPr="00DC209C" w:rsidR="00A30E7B" w:rsidTr="003206A4" w14:paraId="36270746" w14:textId="77777777">
        <w:trPr>
          <w:trHeight w:val="300"/>
        </w:trPr>
        <w:tc>
          <w:tcPr>
            <w:tcW w:w="6804" w:type="dxa"/>
            <w:tcBorders>
              <w:left w:val="nil"/>
              <w:right w:val="nil"/>
            </w:tcBorders>
            <w:noWrap/>
          </w:tcPr>
          <w:p w:rsidRPr="00DC209C" w:rsidR="00A30E7B" w:rsidP="003206A4" w:rsidRDefault="00A30E7B" w14:paraId="4758DCB7" w14:textId="77777777">
            <w:pPr>
              <w:ind w:firstLine="200" w:firstLineChars="100"/>
              <w:rPr>
                <w:rFonts w:ascii="Arial" w:hAnsi="Arial" w:eastAsia="Times New Roman" w:cs="Arial"/>
                <w:sz w:val="20"/>
                <w:szCs w:val="20"/>
              </w:rPr>
            </w:pPr>
            <w:r w:rsidRPr="00DC209C">
              <w:rPr>
                <w:rFonts w:ascii="Arial" w:hAnsi="Arial"/>
                <w:sz w:val="20"/>
              </w:rPr>
              <w:t>α. Καθαρά έσοδα στο εξωτερικό (θεωρώντας τον ΕΜΕ ως ενιαία δικαιοδοσία)</w:t>
            </w:r>
          </w:p>
        </w:tc>
        <w:tc>
          <w:tcPr>
            <w:tcW w:w="2745" w:type="dxa"/>
            <w:tcBorders>
              <w:left w:val="nil"/>
              <w:right w:val="nil"/>
            </w:tcBorders>
            <w:noWrap/>
          </w:tcPr>
          <w:p w:rsidRPr="00DC209C" w:rsidR="00A30E7B" w:rsidP="003206A4" w:rsidRDefault="00A30E7B" w14:paraId="37183145" w14:textId="77777777">
            <w:pPr>
              <w:jc w:val="right"/>
              <w:rPr>
                <w:rFonts w:ascii="Arial" w:hAnsi="Arial" w:eastAsia="Times New Roman" w:cs="Arial"/>
                <w:sz w:val="20"/>
                <w:szCs w:val="20"/>
                <w:lang w:eastAsia="en-GB"/>
              </w:rPr>
            </w:pPr>
          </w:p>
        </w:tc>
      </w:tr>
      <w:tr w:rsidRPr="00DC209C" w:rsidR="00A30E7B" w:rsidTr="003206A4" w14:paraId="1DC89A7B" w14:textId="77777777">
        <w:trPr>
          <w:trHeight w:val="300"/>
        </w:trPr>
        <w:tc>
          <w:tcPr>
            <w:tcW w:w="6804" w:type="dxa"/>
            <w:tcBorders>
              <w:left w:val="nil"/>
              <w:bottom w:val="single" w:color="auto" w:sz="4" w:space="0"/>
              <w:right w:val="nil"/>
            </w:tcBorders>
            <w:noWrap/>
          </w:tcPr>
          <w:p w:rsidRPr="00DC209C" w:rsidR="00A30E7B" w:rsidP="003206A4" w:rsidRDefault="00A30E7B" w14:paraId="124ECECA" w14:textId="77777777">
            <w:pPr>
              <w:ind w:firstLine="200" w:firstLineChars="100"/>
              <w:rPr>
                <w:rFonts w:ascii="Arial" w:hAnsi="Arial" w:eastAsia="Times New Roman" w:cs="Arial"/>
                <w:sz w:val="20"/>
                <w:szCs w:val="20"/>
              </w:rPr>
            </w:pPr>
            <w:r w:rsidRPr="00DC209C">
              <w:rPr>
                <w:rFonts w:ascii="Arial" w:hAnsi="Arial"/>
                <w:sz w:val="20"/>
              </w:rPr>
              <w:t>β. Αριθμός δικαιοδοσιών (θεωρώντας τον ΕΜΕ ως ενιαία δικαιοδοσία)</w:t>
            </w:r>
          </w:p>
        </w:tc>
        <w:tc>
          <w:tcPr>
            <w:tcW w:w="2745" w:type="dxa"/>
            <w:tcBorders>
              <w:left w:val="nil"/>
              <w:right w:val="nil"/>
            </w:tcBorders>
            <w:noWrap/>
          </w:tcPr>
          <w:p w:rsidRPr="00DC209C" w:rsidR="00A30E7B" w:rsidP="003206A4" w:rsidRDefault="00A30E7B" w14:paraId="745FE45C" w14:textId="77777777">
            <w:pPr>
              <w:jc w:val="right"/>
              <w:rPr>
                <w:rFonts w:ascii="Arial" w:hAnsi="Arial" w:eastAsia="Times New Roman" w:cs="Arial"/>
                <w:sz w:val="20"/>
                <w:szCs w:val="20"/>
                <w:lang w:eastAsia="en-GB"/>
              </w:rPr>
            </w:pPr>
          </w:p>
        </w:tc>
      </w:tr>
      <w:tr w:rsidRPr="00DC209C" w:rsidR="00A30E7B" w:rsidTr="003206A4" w14:paraId="74DE9119" w14:textId="77777777">
        <w:trPr>
          <w:trHeight w:val="300"/>
        </w:trPr>
        <w:tc>
          <w:tcPr>
            <w:tcW w:w="6804" w:type="dxa"/>
            <w:tcBorders>
              <w:left w:val="nil"/>
              <w:bottom w:val="nil"/>
              <w:right w:val="nil"/>
            </w:tcBorders>
            <w:noWrap/>
          </w:tcPr>
          <w:p w:rsidRPr="00DC209C" w:rsidR="00A30E7B" w:rsidP="003206A4" w:rsidRDefault="00A30E7B" w14:paraId="33DB1A4E"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DC209C" w:rsidR="00A30E7B" w:rsidP="003206A4" w:rsidRDefault="00A30E7B" w14:paraId="778CEFF5" w14:textId="77777777">
            <w:pPr>
              <w:jc w:val="right"/>
              <w:rPr>
                <w:rFonts w:ascii="Arial" w:hAnsi="Arial" w:eastAsia="Times New Roman" w:cs="Arial"/>
                <w:sz w:val="20"/>
                <w:szCs w:val="20"/>
                <w:lang w:eastAsia="en-GB"/>
              </w:rPr>
            </w:pPr>
          </w:p>
        </w:tc>
      </w:tr>
      <w:tr w:rsidRPr="00DC209C" w:rsidR="00A30E7B" w:rsidTr="003206A4" w14:paraId="7DE4730C" w14:textId="77777777">
        <w:trPr>
          <w:trHeight w:val="300"/>
        </w:trPr>
        <w:tc>
          <w:tcPr>
            <w:tcW w:w="6804" w:type="dxa"/>
            <w:tcBorders>
              <w:top w:val="nil"/>
              <w:left w:val="nil"/>
              <w:bottom w:val="nil"/>
              <w:right w:val="nil"/>
            </w:tcBorders>
            <w:noWrap/>
          </w:tcPr>
          <w:p w:rsidRPr="00DC209C" w:rsidR="00A30E7B" w:rsidP="003206A4" w:rsidRDefault="00A30E7B" w14:paraId="1971591B" w14:textId="77777777">
            <w:pPr>
              <w:ind w:firstLine="221" w:firstLineChars="100"/>
              <w:rPr>
                <w:rFonts w:ascii="Arial" w:hAnsi="Arial" w:eastAsia="Times New Roman" w:cs="Arial"/>
                <w:sz w:val="20"/>
                <w:szCs w:val="20"/>
              </w:rPr>
            </w:pPr>
            <w:r w:rsidRPr="00DC209C">
              <w:rPr>
                <w:rFonts w:asciiTheme="majorHAnsi" w:hAnsiTheme="majorHAnsi"/>
                <w:b/>
                <w:i/>
                <w:caps/>
              </w:rPr>
              <w:t>Σύνοψη ελέγχων</w:t>
            </w:r>
          </w:p>
        </w:tc>
        <w:tc>
          <w:tcPr>
            <w:tcW w:w="2745" w:type="dxa"/>
            <w:tcBorders>
              <w:top w:val="nil"/>
              <w:left w:val="nil"/>
              <w:bottom w:val="nil"/>
              <w:right w:val="nil"/>
            </w:tcBorders>
            <w:noWrap/>
          </w:tcPr>
          <w:p w:rsidRPr="00DC209C" w:rsidR="00A30E7B" w:rsidP="003206A4" w:rsidRDefault="00A30E7B" w14:paraId="2C741F60" w14:textId="77777777">
            <w:pPr>
              <w:jc w:val="right"/>
              <w:rPr>
                <w:rFonts w:ascii="Arial" w:hAnsi="Arial" w:eastAsia="Times New Roman" w:cs="Arial"/>
                <w:sz w:val="20"/>
                <w:szCs w:val="20"/>
                <w:lang w:eastAsia="en-GB"/>
              </w:rPr>
            </w:pPr>
          </w:p>
        </w:tc>
      </w:tr>
      <w:tr w:rsidRPr="00DC209C" w:rsidR="00A30E7B" w:rsidTr="003206A4" w14:paraId="79E19FC6" w14:textId="77777777">
        <w:trPr>
          <w:trHeight w:val="300"/>
        </w:trPr>
        <w:tc>
          <w:tcPr>
            <w:tcW w:w="6804" w:type="dxa"/>
            <w:tcBorders>
              <w:top w:val="nil"/>
              <w:left w:val="nil"/>
              <w:bottom w:val="single" w:color="auto" w:sz="4" w:space="0"/>
              <w:right w:val="nil"/>
            </w:tcBorders>
            <w:noWrap/>
          </w:tcPr>
          <w:p w:rsidRPr="00DC209C" w:rsidR="00A30E7B" w:rsidP="003206A4" w:rsidRDefault="00A30E7B" w14:paraId="401E9702"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DC209C" w:rsidR="00A30E7B" w:rsidP="003206A4" w:rsidRDefault="00A30E7B" w14:paraId="7094071C" w14:textId="77777777">
            <w:pPr>
              <w:jc w:val="right"/>
              <w:rPr>
                <w:rFonts w:ascii="Arial" w:hAnsi="Arial" w:eastAsia="Times New Roman" w:cs="Arial"/>
                <w:sz w:val="20"/>
                <w:szCs w:val="20"/>
                <w:lang w:eastAsia="en-GB"/>
              </w:rPr>
            </w:pPr>
          </w:p>
        </w:tc>
      </w:tr>
      <w:tr w:rsidRPr="00DC209C" w:rsidR="00A30E7B" w:rsidTr="003206A4" w14:paraId="12EC0E42" w14:textId="77777777">
        <w:trPr>
          <w:trHeight w:val="300"/>
        </w:trPr>
        <w:tc>
          <w:tcPr>
            <w:tcW w:w="6804" w:type="dxa"/>
            <w:tcBorders>
              <w:left w:val="nil"/>
              <w:bottom w:val="single" w:color="auto" w:sz="4" w:space="0"/>
              <w:right w:val="nil"/>
            </w:tcBorders>
            <w:noWrap/>
          </w:tcPr>
          <w:p w:rsidRPr="00DC209C" w:rsidR="00A30E7B" w:rsidP="003206A4" w:rsidRDefault="00A30E7B" w14:paraId="5FBB70A1" w14:textId="77777777">
            <w:pPr>
              <w:rPr>
                <w:rFonts w:ascii="Arial" w:hAnsi="Arial" w:eastAsia="Times New Roman" w:cs="Arial"/>
                <w:sz w:val="20"/>
                <w:szCs w:val="20"/>
              </w:rPr>
            </w:pPr>
            <w:r w:rsidRPr="00DC209C">
              <w:rPr>
                <w:b/>
              </w:rPr>
              <w:t>Τμήμα 23 – Τιμές δεικτών (Αναθεωρημένη μεθοδολογία)</w:t>
            </w:r>
          </w:p>
        </w:tc>
        <w:tc>
          <w:tcPr>
            <w:tcW w:w="2745" w:type="dxa"/>
            <w:tcBorders>
              <w:left w:val="nil"/>
              <w:right w:val="nil"/>
            </w:tcBorders>
            <w:noWrap/>
          </w:tcPr>
          <w:p w:rsidRPr="00DC209C" w:rsidR="00A30E7B" w:rsidP="003206A4" w:rsidRDefault="00A30E7B" w14:paraId="34DCBA83" w14:textId="77777777">
            <w:pPr>
              <w:jc w:val="center"/>
              <w:rPr>
                <w:rFonts w:ascii="Arial" w:hAnsi="Arial" w:eastAsia="Times New Roman" w:cs="Arial"/>
                <w:sz w:val="20"/>
                <w:szCs w:val="20"/>
              </w:rPr>
            </w:pPr>
            <w:r w:rsidRPr="00DC209C">
              <w:rPr>
                <w:b/>
              </w:rPr>
              <w:t>Τιμή δεικτών στο νόμισμα αναφοράς</w:t>
            </w:r>
          </w:p>
        </w:tc>
      </w:tr>
      <w:tr w:rsidRPr="00DC209C" w:rsidR="00A30E7B" w:rsidTr="003206A4" w14:paraId="7D38E0FA" w14:textId="77777777">
        <w:trPr>
          <w:trHeight w:val="300"/>
        </w:trPr>
        <w:tc>
          <w:tcPr>
            <w:tcW w:w="6804" w:type="dxa"/>
            <w:tcBorders>
              <w:left w:val="nil"/>
              <w:bottom w:val="single" w:color="auto" w:sz="4" w:space="0"/>
              <w:right w:val="nil"/>
            </w:tcBorders>
            <w:noWrap/>
          </w:tcPr>
          <w:p w:rsidRPr="00DC209C" w:rsidR="00A30E7B" w:rsidP="003206A4" w:rsidRDefault="00A30E7B" w14:paraId="04EBA537" w14:textId="77777777">
            <w:pPr>
              <w:ind w:left="30" w:firstLine="187" w:firstLineChars="85"/>
              <w:rPr>
                <w:rFonts w:ascii="Arial" w:hAnsi="Arial" w:eastAsia="Times New Roman" w:cs="Arial"/>
                <w:sz w:val="20"/>
                <w:szCs w:val="20"/>
              </w:rPr>
            </w:pPr>
            <w:r w:rsidRPr="00DC209C">
              <w:t>α. Τμήμα 2 - Δείκτης συνόλου ανοιγμάτων,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5F2DDB09" w14:textId="77777777">
            <w:pPr>
              <w:jc w:val="right"/>
              <w:rPr>
                <w:rFonts w:ascii="Arial" w:hAnsi="Arial" w:eastAsia="Times New Roman" w:cs="Arial"/>
                <w:sz w:val="20"/>
                <w:szCs w:val="20"/>
                <w:lang w:eastAsia="en-GB"/>
              </w:rPr>
            </w:pPr>
          </w:p>
        </w:tc>
      </w:tr>
      <w:tr w:rsidRPr="00DC209C" w:rsidR="00A30E7B" w:rsidTr="003206A4" w14:paraId="3BD9B96E" w14:textId="77777777">
        <w:trPr>
          <w:trHeight w:val="300"/>
        </w:trPr>
        <w:tc>
          <w:tcPr>
            <w:tcW w:w="6804" w:type="dxa"/>
            <w:tcBorders>
              <w:left w:val="nil"/>
              <w:bottom w:val="single" w:color="auto" w:sz="4" w:space="0"/>
              <w:right w:val="nil"/>
            </w:tcBorders>
            <w:noWrap/>
          </w:tcPr>
          <w:p w:rsidRPr="00DC209C" w:rsidR="00A30E7B" w:rsidP="003206A4" w:rsidRDefault="00A30E7B" w14:paraId="0A1BC891" w14:textId="77777777">
            <w:pPr>
              <w:ind w:left="28" w:firstLine="187" w:firstLineChars="85"/>
              <w:rPr>
                <w:rFonts w:ascii="Arial" w:hAnsi="Arial" w:eastAsia="Times New Roman" w:cs="Arial"/>
                <w:sz w:val="20"/>
                <w:szCs w:val="20"/>
              </w:rPr>
            </w:pPr>
            <w:r w:rsidRPr="00DC209C">
              <w:t>Β. Τμήμα 3 — Δείκτης στοιχείων ενεργητικού εντός του χρηματοοικονομικού συστήματος,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66EA0BF6" w14:textId="77777777">
            <w:pPr>
              <w:jc w:val="right"/>
              <w:rPr>
                <w:rFonts w:ascii="Arial" w:hAnsi="Arial" w:eastAsia="Times New Roman" w:cs="Arial"/>
                <w:sz w:val="20"/>
                <w:szCs w:val="20"/>
                <w:lang w:eastAsia="en-GB"/>
              </w:rPr>
            </w:pPr>
          </w:p>
        </w:tc>
      </w:tr>
      <w:tr w:rsidRPr="00DC209C" w:rsidR="00A30E7B" w:rsidTr="003206A4" w14:paraId="4F47AB5B" w14:textId="77777777">
        <w:trPr>
          <w:trHeight w:val="300"/>
        </w:trPr>
        <w:tc>
          <w:tcPr>
            <w:tcW w:w="6804" w:type="dxa"/>
            <w:tcBorders>
              <w:left w:val="nil"/>
              <w:bottom w:val="single" w:color="auto" w:sz="4" w:space="0"/>
              <w:right w:val="nil"/>
            </w:tcBorders>
            <w:noWrap/>
          </w:tcPr>
          <w:p w:rsidRPr="00DC209C" w:rsidR="00A30E7B" w:rsidP="003206A4" w:rsidRDefault="00A30E7B" w14:paraId="2AAB7B5E" w14:textId="77777777">
            <w:pPr>
              <w:ind w:left="30" w:firstLine="187" w:firstLineChars="85"/>
              <w:rPr>
                <w:rFonts w:ascii="Arial" w:hAnsi="Arial" w:eastAsia="Times New Roman" w:cs="Arial"/>
                <w:sz w:val="20"/>
                <w:szCs w:val="20"/>
              </w:rPr>
            </w:pPr>
            <w:r w:rsidRPr="00DC209C">
              <w:t>γ. Τμήμα 4 - Δείκτης υποχρεώσεων εντός του χρηματοοικονομικού συστήματος,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0FA886CA" w14:textId="77777777">
            <w:pPr>
              <w:jc w:val="right"/>
              <w:rPr>
                <w:rFonts w:ascii="Arial" w:hAnsi="Arial" w:eastAsia="Times New Roman" w:cs="Arial"/>
                <w:sz w:val="20"/>
                <w:szCs w:val="20"/>
                <w:lang w:eastAsia="en-GB"/>
              </w:rPr>
            </w:pPr>
          </w:p>
        </w:tc>
      </w:tr>
      <w:tr w:rsidRPr="00DC209C" w:rsidR="00A30E7B" w:rsidTr="003206A4" w14:paraId="7A262A0F" w14:textId="77777777">
        <w:trPr>
          <w:trHeight w:val="300"/>
        </w:trPr>
        <w:tc>
          <w:tcPr>
            <w:tcW w:w="6804" w:type="dxa"/>
            <w:tcBorders>
              <w:left w:val="nil"/>
              <w:bottom w:val="single" w:color="auto" w:sz="4" w:space="0"/>
              <w:right w:val="nil"/>
            </w:tcBorders>
            <w:noWrap/>
          </w:tcPr>
          <w:p w:rsidRPr="00DC209C" w:rsidR="00A30E7B" w:rsidP="003206A4" w:rsidRDefault="00A30E7B" w14:paraId="0B858FD6" w14:textId="77777777">
            <w:pPr>
              <w:ind w:left="30" w:firstLine="187" w:firstLineChars="85"/>
              <w:rPr>
                <w:rFonts w:ascii="Arial" w:hAnsi="Arial" w:eastAsia="Times New Roman" w:cs="Arial"/>
                <w:sz w:val="20"/>
                <w:szCs w:val="20"/>
              </w:rPr>
            </w:pPr>
            <w:r w:rsidRPr="00DC209C">
              <w:t>δ. τμήμα 5 — Δείκτης κυκλοφορούντων χρεογράφων,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1DEBCD0D" w14:textId="77777777">
            <w:pPr>
              <w:jc w:val="right"/>
              <w:rPr>
                <w:rFonts w:ascii="Arial" w:hAnsi="Arial" w:eastAsia="Times New Roman" w:cs="Arial"/>
                <w:sz w:val="20"/>
                <w:szCs w:val="20"/>
                <w:lang w:eastAsia="en-GB"/>
              </w:rPr>
            </w:pPr>
          </w:p>
        </w:tc>
      </w:tr>
      <w:tr w:rsidRPr="00DC209C" w:rsidR="00A30E7B" w:rsidTr="003206A4" w14:paraId="7A90FCDD" w14:textId="77777777">
        <w:trPr>
          <w:trHeight w:val="300"/>
        </w:trPr>
        <w:tc>
          <w:tcPr>
            <w:tcW w:w="6804" w:type="dxa"/>
            <w:tcBorders>
              <w:left w:val="nil"/>
              <w:bottom w:val="single" w:color="auto" w:sz="4" w:space="0"/>
              <w:right w:val="nil"/>
            </w:tcBorders>
            <w:noWrap/>
          </w:tcPr>
          <w:p w:rsidRPr="00DC209C" w:rsidR="00A30E7B" w:rsidP="003206A4" w:rsidRDefault="00A30E7B" w14:paraId="25288673" w14:textId="77777777">
            <w:pPr>
              <w:ind w:left="30" w:firstLine="187" w:firstLineChars="85"/>
              <w:rPr>
                <w:rFonts w:ascii="Arial" w:hAnsi="Arial" w:eastAsia="Times New Roman" w:cs="Arial"/>
                <w:sz w:val="20"/>
                <w:szCs w:val="20"/>
              </w:rPr>
            </w:pPr>
            <w:r w:rsidRPr="00DC209C">
              <w:t>ε. Τμήμα 6 - Δείκτης δραστηριότητας πληρωμών</w:t>
            </w:r>
          </w:p>
        </w:tc>
        <w:tc>
          <w:tcPr>
            <w:tcW w:w="2745" w:type="dxa"/>
            <w:tcBorders>
              <w:left w:val="nil"/>
              <w:right w:val="nil"/>
            </w:tcBorders>
            <w:noWrap/>
          </w:tcPr>
          <w:p w:rsidRPr="00DC209C" w:rsidR="00A30E7B" w:rsidP="003206A4" w:rsidRDefault="00A30E7B" w14:paraId="1EBAAD24" w14:textId="77777777">
            <w:pPr>
              <w:jc w:val="right"/>
              <w:rPr>
                <w:rFonts w:ascii="Arial" w:hAnsi="Arial" w:eastAsia="Times New Roman" w:cs="Arial"/>
                <w:sz w:val="20"/>
                <w:szCs w:val="20"/>
                <w:lang w:eastAsia="en-GB"/>
              </w:rPr>
            </w:pPr>
          </w:p>
        </w:tc>
      </w:tr>
      <w:tr w:rsidRPr="00DC209C" w:rsidR="00A30E7B" w:rsidTr="003206A4" w14:paraId="29C911DD" w14:textId="77777777">
        <w:trPr>
          <w:trHeight w:val="300"/>
        </w:trPr>
        <w:tc>
          <w:tcPr>
            <w:tcW w:w="6804" w:type="dxa"/>
            <w:tcBorders>
              <w:left w:val="nil"/>
              <w:bottom w:val="single" w:color="auto" w:sz="4" w:space="0"/>
              <w:right w:val="nil"/>
            </w:tcBorders>
            <w:noWrap/>
          </w:tcPr>
          <w:p w:rsidRPr="00DC209C" w:rsidR="00A30E7B" w:rsidP="003206A4" w:rsidRDefault="00A30E7B" w14:paraId="2741B2BB" w14:textId="77777777">
            <w:pPr>
              <w:ind w:left="30" w:firstLine="187" w:firstLineChars="85"/>
              <w:rPr>
                <w:rFonts w:ascii="Arial" w:hAnsi="Arial" w:eastAsia="Times New Roman" w:cs="Arial"/>
                <w:sz w:val="20"/>
                <w:szCs w:val="20"/>
              </w:rPr>
            </w:pPr>
            <w:r w:rsidRPr="00DC209C">
              <w:t>στ. Τμήμα 7 - Δείκτης στοιχείων ενεργητικού υπό φύλαξη</w:t>
            </w:r>
          </w:p>
        </w:tc>
        <w:tc>
          <w:tcPr>
            <w:tcW w:w="2745" w:type="dxa"/>
            <w:tcBorders>
              <w:left w:val="nil"/>
              <w:right w:val="nil"/>
            </w:tcBorders>
            <w:noWrap/>
          </w:tcPr>
          <w:p w:rsidRPr="00DC209C" w:rsidR="00A30E7B" w:rsidP="003206A4" w:rsidRDefault="00A30E7B" w14:paraId="1E7280EF" w14:textId="77777777">
            <w:pPr>
              <w:jc w:val="right"/>
              <w:rPr>
                <w:rFonts w:ascii="Arial" w:hAnsi="Arial" w:eastAsia="Times New Roman" w:cs="Arial"/>
                <w:sz w:val="20"/>
                <w:szCs w:val="20"/>
                <w:lang w:eastAsia="en-GB"/>
              </w:rPr>
            </w:pPr>
          </w:p>
        </w:tc>
      </w:tr>
      <w:tr w:rsidRPr="00DC209C" w:rsidR="00A30E7B" w:rsidTr="003206A4" w14:paraId="2EE22DCE" w14:textId="77777777">
        <w:trPr>
          <w:trHeight w:val="300"/>
        </w:trPr>
        <w:tc>
          <w:tcPr>
            <w:tcW w:w="6804" w:type="dxa"/>
            <w:tcBorders>
              <w:left w:val="nil"/>
              <w:bottom w:val="single" w:color="auto" w:sz="4" w:space="0"/>
              <w:right w:val="nil"/>
            </w:tcBorders>
            <w:noWrap/>
          </w:tcPr>
          <w:p w:rsidRPr="00DC209C" w:rsidR="00A30E7B" w:rsidP="003206A4" w:rsidRDefault="00A30E7B" w14:paraId="21BF183D" w14:textId="77777777">
            <w:pPr>
              <w:ind w:left="30" w:firstLine="187" w:firstLineChars="85"/>
              <w:rPr>
                <w:rFonts w:ascii="Arial" w:hAnsi="Arial" w:eastAsia="Times New Roman" w:cs="Arial"/>
                <w:sz w:val="20"/>
                <w:szCs w:val="20"/>
              </w:rPr>
            </w:pPr>
            <w:r w:rsidRPr="00DC209C">
              <w:t>ζ. Τμήμα 8 - Δείκτης δραστηριότητας αναδοχής εκδόσεων</w:t>
            </w:r>
          </w:p>
        </w:tc>
        <w:tc>
          <w:tcPr>
            <w:tcW w:w="2745" w:type="dxa"/>
            <w:tcBorders>
              <w:left w:val="nil"/>
              <w:right w:val="nil"/>
            </w:tcBorders>
            <w:noWrap/>
          </w:tcPr>
          <w:p w:rsidRPr="00DC209C" w:rsidR="00A30E7B" w:rsidP="003206A4" w:rsidRDefault="00A30E7B" w14:paraId="3B11A48B" w14:textId="77777777">
            <w:pPr>
              <w:jc w:val="right"/>
              <w:rPr>
                <w:rFonts w:ascii="Arial" w:hAnsi="Arial" w:eastAsia="Times New Roman" w:cs="Arial"/>
                <w:sz w:val="20"/>
                <w:szCs w:val="20"/>
                <w:lang w:eastAsia="en-GB"/>
              </w:rPr>
            </w:pPr>
          </w:p>
        </w:tc>
      </w:tr>
      <w:tr w:rsidRPr="00DC209C" w:rsidR="00A30E7B" w:rsidTr="003206A4" w14:paraId="319FDFB9" w14:textId="77777777">
        <w:trPr>
          <w:trHeight w:val="300"/>
        </w:trPr>
        <w:tc>
          <w:tcPr>
            <w:tcW w:w="6804" w:type="dxa"/>
            <w:tcBorders>
              <w:left w:val="nil"/>
              <w:bottom w:val="single" w:color="auto" w:sz="4" w:space="0"/>
              <w:right w:val="nil"/>
            </w:tcBorders>
            <w:noWrap/>
          </w:tcPr>
          <w:p w:rsidRPr="00DC209C" w:rsidR="00A30E7B" w:rsidP="003206A4" w:rsidRDefault="00A30E7B" w14:paraId="3604125A" w14:textId="77777777">
            <w:pPr>
              <w:ind w:left="30" w:firstLine="187" w:firstLineChars="85"/>
              <w:rPr>
                <w:rFonts w:ascii="Arial" w:hAnsi="Arial" w:eastAsia="Times New Roman" w:cs="Arial"/>
                <w:sz w:val="20"/>
                <w:szCs w:val="20"/>
              </w:rPr>
            </w:pPr>
            <w:r w:rsidRPr="00DC209C">
              <w:t>η. Τμήμα 9.γ - Επιμέρους δείκτης όγκου των χρηματικών συναλλαγών - σταθερού εισοδήματος</w:t>
            </w:r>
          </w:p>
        </w:tc>
        <w:tc>
          <w:tcPr>
            <w:tcW w:w="2745" w:type="dxa"/>
            <w:tcBorders>
              <w:left w:val="nil"/>
              <w:right w:val="nil"/>
            </w:tcBorders>
            <w:noWrap/>
          </w:tcPr>
          <w:p w:rsidRPr="00DC209C" w:rsidR="00A30E7B" w:rsidP="003206A4" w:rsidRDefault="00A30E7B" w14:paraId="5540CA5B" w14:textId="77777777">
            <w:pPr>
              <w:jc w:val="right"/>
              <w:rPr>
                <w:rFonts w:ascii="Arial" w:hAnsi="Arial" w:eastAsia="Times New Roman" w:cs="Arial"/>
                <w:sz w:val="20"/>
                <w:szCs w:val="20"/>
                <w:lang w:eastAsia="en-GB"/>
              </w:rPr>
            </w:pPr>
          </w:p>
        </w:tc>
      </w:tr>
      <w:tr w:rsidRPr="00DC209C" w:rsidR="00A30E7B" w:rsidTr="003206A4" w14:paraId="5849B852" w14:textId="77777777">
        <w:trPr>
          <w:trHeight w:val="300"/>
        </w:trPr>
        <w:tc>
          <w:tcPr>
            <w:tcW w:w="6804" w:type="dxa"/>
            <w:tcBorders>
              <w:left w:val="nil"/>
              <w:bottom w:val="single" w:color="auto" w:sz="4" w:space="0"/>
              <w:right w:val="nil"/>
            </w:tcBorders>
            <w:noWrap/>
          </w:tcPr>
          <w:p w:rsidRPr="00DC209C" w:rsidR="00A30E7B" w:rsidP="003206A4" w:rsidRDefault="00A30E7B" w14:paraId="5D568DCD" w14:textId="77777777">
            <w:pPr>
              <w:ind w:left="30" w:firstLine="187" w:firstLineChars="85"/>
              <w:rPr>
                <w:rFonts w:ascii="Arial" w:hAnsi="Arial" w:eastAsia="Times New Roman" w:cs="Arial"/>
                <w:sz w:val="20"/>
                <w:szCs w:val="20"/>
              </w:rPr>
            </w:pPr>
            <w:r w:rsidRPr="00DC209C">
              <w:t>θ. Τμήμα 9.στ - Επιμέρους δείκτης όγκου των χρηματικών συναλλαγών – μετοχικοί τίτλοι και άλλα χρεόγραφα</w:t>
            </w:r>
          </w:p>
        </w:tc>
        <w:tc>
          <w:tcPr>
            <w:tcW w:w="2745" w:type="dxa"/>
            <w:tcBorders>
              <w:left w:val="nil"/>
              <w:right w:val="nil"/>
            </w:tcBorders>
            <w:noWrap/>
          </w:tcPr>
          <w:p w:rsidRPr="00DC209C" w:rsidR="00A30E7B" w:rsidP="003206A4" w:rsidRDefault="00A30E7B" w14:paraId="5C8AEA41" w14:textId="77777777">
            <w:pPr>
              <w:jc w:val="right"/>
              <w:rPr>
                <w:rFonts w:ascii="Arial" w:hAnsi="Arial" w:eastAsia="Times New Roman" w:cs="Arial"/>
                <w:sz w:val="20"/>
                <w:szCs w:val="20"/>
                <w:lang w:eastAsia="en-GB"/>
              </w:rPr>
            </w:pPr>
          </w:p>
        </w:tc>
      </w:tr>
      <w:tr w:rsidRPr="00DC209C" w:rsidR="00A30E7B" w:rsidTr="003206A4" w14:paraId="48ECEE68" w14:textId="77777777">
        <w:trPr>
          <w:trHeight w:val="300"/>
        </w:trPr>
        <w:tc>
          <w:tcPr>
            <w:tcW w:w="6804" w:type="dxa"/>
            <w:tcBorders>
              <w:left w:val="nil"/>
              <w:bottom w:val="single" w:color="auto" w:sz="4" w:space="0"/>
              <w:right w:val="nil"/>
            </w:tcBorders>
            <w:noWrap/>
          </w:tcPr>
          <w:p w:rsidRPr="00DC209C" w:rsidR="00A30E7B" w:rsidP="003206A4" w:rsidRDefault="00A30E7B" w14:paraId="1F311388" w14:textId="77777777">
            <w:pPr>
              <w:ind w:left="30" w:firstLine="187" w:firstLineChars="85"/>
              <w:rPr>
                <w:rFonts w:ascii="Arial" w:hAnsi="Arial" w:eastAsia="Times New Roman" w:cs="Arial"/>
                <w:sz w:val="20"/>
                <w:szCs w:val="20"/>
              </w:rPr>
            </w:pPr>
            <w:r w:rsidRPr="00DC209C">
              <w:t>ι. Τμήμα 10 — Δείκτης εξωχρηματιστηριακών παραγώγων,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38C717E8" w14:textId="77777777">
            <w:pPr>
              <w:jc w:val="right"/>
              <w:rPr>
                <w:rFonts w:ascii="Arial" w:hAnsi="Arial" w:eastAsia="Times New Roman" w:cs="Arial"/>
                <w:sz w:val="20"/>
                <w:szCs w:val="20"/>
                <w:lang w:eastAsia="en-GB"/>
              </w:rPr>
            </w:pPr>
          </w:p>
        </w:tc>
      </w:tr>
      <w:tr w:rsidRPr="00DC209C" w:rsidR="00A30E7B" w:rsidTr="003206A4" w14:paraId="565A8435" w14:textId="77777777">
        <w:trPr>
          <w:trHeight w:val="300"/>
        </w:trPr>
        <w:tc>
          <w:tcPr>
            <w:tcW w:w="6804" w:type="dxa"/>
            <w:tcBorders>
              <w:left w:val="nil"/>
              <w:bottom w:val="single" w:color="auto" w:sz="4" w:space="0"/>
              <w:right w:val="nil"/>
            </w:tcBorders>
            <w:noWrap/>
          </w:tcPr>
          <w:p w:rsidRPr="00DC209C" w:rsidR="00A30E7B" w:rsidP="003206A4" w:rsidRDefault="00A30E7B" w14:paraId="4482DE6D" w14:textId="77777777">
            <w:pPr>
              <w:ind w:left="30" w:firstLine="187" w:firstLineChars="85"/>
              <w:rPr>
                <w:rFonts w:ascii="Arial" w:hAnsi="Arial" w:eastAsia="Times New Roman" w:cs="Arial"/>
                <w:sz w:val="20"/>
                <w:szCs w:val="20"/>
              </w:rPr>
            </w:pPr>
            <w:r w:rsidRPr="00DC209C">
              <w:t>ια. Τμήμα 11 - Δείκτης εμπορικών και διαθέσιμων προς πώληση χρεογράφων</w:t>
            </w:r>
          </w:p>
        </w:tc>
        <w:tc>
          <w:tcPr>
            <w:tcW w:w="2745" w:type="dxa"/>
            <w:tcBorders>
              <w:left w:val="nil"/>
              <w:right w:val="nil"/>
            </w:tcBorders>
            <w:noWrap/>
          </w:tcPr>
          <w:p w:rsidRPr="00DC209C" w:rsidR="00A30E7B" w:rsidP="003206A4" w:rsidRDefault="00A30E7B" w14:paraId="6B9BE2D9" w14:textId="77777777">
            <w:pPr>
              <w:jc w:val="right"/>
              <w:rPr>
                <w:rFonts w:ascii="Arial" w:hAnsi="Arial" w:eastAsia="Times New Roman" w:cs="Arial"/>
                <w:sz w:val="20"/>
                <w:szCs w:val="20"/>
                <w:lang w:eastAsia="en-GB"/>
              </w:rPr>
            </w:pPr>
          </w:p>
        </w:tc>
      </w:tr>
      <w:tr w:rsidRPr="00DC209C" w:rsidR="00A30E7B" w:rsidTr="003206A4" w14:paraId="242AA014" w14:textId="77777777">
        <w:trPr>
          <w:trHeight w:val="300"/>
        </w:trPr>
        <w:tc>
          <w:tcPr>
            <w:tcW w:w="6804" w:type="dxa"/>
            <w:tcBorders>
              <w:left w:val="nil"/>
              <w:bottom w:val="single" w:color="auto" w:sz="4" w:space="0"/>
              <w:right w:val="nil"/>
            </w:tcBorders>
            <w:noWrap/>
          </w:tcPr>
          <w:p w:rsidRPr="00DC209C" w:rsidR="00A30E7B" w:rsidP="003206A4" w:rsidRDefault="00A30E7B" w14:paraId="698EDC50" w14:textId="77777777">
            <w:pPr>
              <w:ind w:firstLine="220" w:firstLineChars="100"/>
              <w:rPr>
                <w:rFonts w:ascii="Arial" w:hAnsi="Arial" w:eastAsia="Times New Roman" w:cs="Arial"/>
                <w:sz w:val="20"/>
                <w:szCs w:val="20"/>
              </w:rPr>
            </w:pPr>
            <w:r w:rsidRPr="00DC209C">
              <w:t>ιβ. στ. Δείκτης στοιχείων ενεργητικού 3ου επιπέδου, συμπεριλαμβανομένων των ασφαλιστικών θυγατρικών</w:t>
            </w:r>
          </w:p>
        </w:tc>
        <w:tc>
          <w:tcPr>
            <w:tcW w:w="2745" w:type="dxa"/>
            <w:tcBorders>
              <w:left w:val="nil"/>
              <w:right w:val="nil"/>
            </w:tcBorders>
            <w:noWrap/>
          </w:tcPr>
          <w:p w:rsidRPr="00DC209C" w:rsidR="00A30E7B" w:rsidP="003206A4" w:rsidRDefault="00A30E7B" w14:paraId="28A6DAF5" w14:textId="77777777">
            <w:pPr>
              <w:jc w:val="right"/>
              <w:rPr>
                <w:rFonts w:ascii="Arial" w:hAnsi="Arial" w:eastAsia="Times New Roman" w:cs="Arial"/>
                <w:sz w:val="20"/>
                <w:szCs w:val="20"/>
                <w:lang w:eastAsia="en-GB"/>
              </w:rPr>
            </w:pPr>
          </w:p>
        </w:tc>
      </w:tr>
      <w:tr w:rsidRPr="00DC209C" w:rsidR="00A30E7B" w:rsidTr="003206A4" w14:paraId="30F26BBD" w14:textId="77777777">
        <w:trPr>
          <w:trHeight w:val="300"/>
        </w:trPr>
        <w:tc>
          <w:tcPr>
            <w:tcW w:w="6804" w:type="dxa"/>
            <w:tcBorders>
              <w:left w:val="nil"/>
              <w:bottom w:val="single" w:color="auto" w:sz="4" w:space="0"/>
              <w:right w:val="nil"/>
            </w:tcBorders>
            <w:noWrap/>
          </w:tcPr>
          <w:p w:rsidRPr="00DC209C" w:rsidR="00A30E7B" w:rsidP="003206A4" w:rsidRDefault="00A30E7B" w14:paraId="124BE627" w14:textId="77777777">
            <w:pPr>
              <w:ind w:firstLine="220" w:firstLineChars="100"/>
              <w:rPr>
                <w:rFonts w:ascii="Arial" w:hAnsi="Arial" w:eastAsia="Times New Roman" w:cs="Arial"/>
                <w:sz w:val="20"/>
                <w:szCs w:val="20"/>
              </w:rPr>
            </w:pPr>
            <w:r w:rsidRPr="00DC209C">
              <w:t>ιγ. Τμήμα 13 – Δείκτης διακρατικών απαιτήσεων</w:t>
            </w:r>
          </w:p>
        </w:tc>
        <w:tc>
          <w:tcPr>
            <w:tcW w:w="2745" w:type="dxa"/>
            <w:tcBorders>
              <w:left w:val="nil"/>
              <w:right w:val="nil"/>
            </w:tcBorders>
            <w:noWrap/>
          </w:tcPr>
          <w:p w:rsidRPr="00DC209C" w:rsidR="00A30E7B" w:rsidP="003206A4" w:rsidRDefault="00A30E7B" w14:paraId="04C91334" w14:textId="77777777">
            <w:pPr>
              <w:jc w:val="right"/>
              <w:rPr>
                <w:rFonts w:ascii="Arial" w:hAnsi="Arial" w:eastAsia="Times New Roman" w:cs="Arial"/>
                <w:sz w:val="20"/>
                <w:szCs w:val="20"/>
                <w:lang w:eastAsia="en-GB"/>
              </w:rPr>
            </w:pPr>
          </w:p>
        </w:tc>
      </w:tr>
      <w:tr w:rsidRPr="00DC209C" w:rsidR="00A30E7B" w:rsidTr="003206A4" w14:paraId="36EB47AC" w14:textId="77777777">
        <w:trPr>
          <w:trHeight w:val="300"/>
        </w:trPr>
        <w:tc>
          <w:tcPr>
            <w:tcW w:w="6804" w:type="dxa"/>
            <w:tcBorders>
              <w:left w:val="nil"/>
              <w:bottom w:val="single" w:color="auto" w:sz="4" w:space="0"/>
              <w:right w:val="nil"/>
            </w:tcBorders>
            <w:noWrap/>
          </w:tcPr>
          <w:p w:rsidRPr="00DC209C" w:rsidR="00A30E7B" w:rsidP="003206A4" w:rsidRDefault="00A30E7B" w14:paraId="5F1BEDD3" w14:textId="77777777">
            <w:pPr>
              <w:ind w:firstLine="220" w:firstLineChars="100"/>
              <w:rPr>
                <w:rFonts w:ascii="Arial" w:hAnsi="Arial" w:eastAsia="Times New Roman" w:cs="Arial"/>
                <w:sz w:val="20"/>
                <w:szCs w:val="20"/>
              </w:rPr>
            </w:pPr>
            <w:r w:rsidRPr="00DC209C">
              <w:t>ιδ. Τμήμα 14 – Δείκτης διακρατικών υποχρεώσεων</w:t>
            </w:r>
          </w:p>
        </w:tc>
        <w:tc>
          <w:tcPr>
            <w:tcW w:w="2745" w:type="dxa"/>
            <w:tcBorders>
              <w:left w:val="nil"/>
              <w:right w:val="nil"/>
            </w:tcBorders>
            <w:noWrap/>
          </w:tcPr>
          <w:p w:rsidRPr="00DC209C" w:rsidR="00A30E7B" w:rsidP="003206A4" w:rsidRDefault="00A30E7B" w14:paraId="4D7FB262" w14:textId="77777777">
            <w:pPr>
              <w:jc w:val="right"/>
              <w:rPr>
                <w:rFonts w:ascii="Arial" w:hAnsi="Arial" w:eastAsia="Times New Roman" w:cs="Arial"/>
                <w:sz w:val="20"/>
                <w:szCs w:val="20"/>
                <w:lang w:eastAsia="en-GB"/>
              </w:rPr>
            </w:pPr>
          </w:p>
        </w:tc>
      </w:tr>
      <w:tr w:rsidRPr="00DC209C" w:rsidR="00A30E7B" w:rsidTr="003206A4" w14:paraId="55951BA1" w14:textId="77777777">
        <w:trPr>
          <w:trHeight w:val="300"/>
        </w:trPr>
        <w:tc>
          <w:tcPr>
            <w:tcW w:w="6804" w:type="dxa"/>
            <w:tcBorders>
              <w:left w:val="nil"/>
              <w:bottom w:val="single" w:color="auto" w:sz="4" w:space="0"/>
              <w:right w:val="nil"/>
            </w:tcBorders>
            <w:noWrap/>
          </w:tcPr>
          <w:p w:rsidRPr="00DC209C" w:rsidR="00A30E7B" w:rsidP="003206A4" w:rsidRDefault="00A30E7B" w14:paraId="7B2964CD" w14:textId="77777777">
            <w:pPr>
              <w:ind w:firstLine="220" w:firstLineChars="100"/>
              <w:rPr>
                <w:rFonts w:ascii="Arial" w:hAnsi="Arial" w:eastAsia="Times New Roman" w:cs="Arial"/>
                <w:sz w:val="20"/>
                <w:szCs w:val="20"/>
              </w:rPr>
            </w:pPr>
            <w:r w:rsidRPr="00DC209C">
              <w:t>ιε. Λοιπά τμήματα</w:t>
            </w:r>
          </w:p>
        </w:tc>
        <w:tc>
          <w:tcPr>
            <w:tcW w:w="2745" w:type="dxa"/>
            <w:tcBorders>
              <w:left w:val="nil"/>
              <w:right w:val="nil"/>
            </w:tcBorders>
            <w:noWrap/>
          </w:tcPr>
          <w:p w:rsidRPr="00DC209C" w:rsidR="00A30E7B" w:rsidP="003206A4" w:rsidRDefault="00A30E7B" w14:paraId="7E0D0C12" w14:textId="77777777">
            <w:pPr>
              <w:jc w:val="right"/>
              <w:rPr>
                <w:rFonts w:ascii="Arial" w:hAnsi="Arial" w:eastAsia="Times New Roman" w:cs="Arial"/>
                <w:sz w:val="20"/>
                <w:szCs w:val="20"/>
                <w:lang w:eastAsia="en-GB"/>
              </w:rPr>
            </w:pPr>
          </w:p>
        </w:tc>
      </w:tr>
      <w:tr w:rsidRPr="00DC209C" w:rsidR="00A30E7B" w:rsidTr="003206A4" w14:paraId="29C14214" w14:textId="77777777">
        <w:trPr>
          <w:trHeight w:val="300"/>
        </w:trPr>
        <w:tc>
          <w:tcPr>
            <w:tcW w:w="6804" w:type="dxa"/>
            <w:tcBorders>
              <w:left w:val="nil"/>
              <w:bottom w:val="single" w:color="auto" w:sz="4" w:space="0"/>
              <w:right w:val="nil"/>
            </w:tcBorders>
            <w:noWrap/>
          </w:tcPr>
          <w:p w:rsidRPr="00DC209C" w:rsidR="00A30E7B" w:rsidP="003206A4" w:rsidRDefault="00A30E7B" w14:paraId="5451CA86" w14:textId="77777777">
            <w:pPr>
              <w:ind w:firstLine="220" w:firstLineChars="100"/>
              <w:rPr>
                <w:rFonts w:ascii="Arial" w:hAnsi="Arial" w:eastAsia="Times New Roman" w:cs="Arial"/>
                <w:sz w:val="20"/>
                <w:szCs w:val="20"/>
              </w:rPr>
            </w:pPr>
            <w:r w:rsidRPr="00DC209C">
              <w:t>(1) Στοιχείο 1.α - Γενικές πληροφορίες παρεχόμενες από την εποπτική αρχή</w:t>
            </w:r>
          </w:p>
        </w:tc>
        <w:tc>
          <w:tcPr>
            <w:tcW w:w="2745" w:type="dxa"/>
            <w:tcBorders>
              <w:left w:val="nil"/>
              <w:right w:val="nil"/>
            </w:tcBorders>
            <w:noWrap/>
          </w:tcPr>
          <w:p w:rsidRPr="00DC209C" w:rsidR="00A30E7B" w:rsidP="003206A4" w:rsidRDefault="00A30E7B" w14:paraId="60D36B1E" w14:textId="77777777">
            <w:pPr>
              <w:jc w:val="right"/>
              <w:rPr>
                <w:rFonts w:ascii="Arial" w:hAnsi="Arial" w:eastAsia="Times New Roman" w:cs="Arial"/>
                <w:sz w:val="20"/>
                <w:szCs w:val="20"/>
                <w:lang w:eastAsia="en-GB"/>
              </w:rPr>
            </w:pPr>
          </w:p>
        </w:tc>
      </w:tr>
      <w:tr w:rsidRPr="00DC209C" w:rsidR="00A30E7B" w:rsidTr="003206A4" w14:paraId="2E69365A" w14:textId="77777777">
        <w:trPr>
          <w:trHeight w:val="300"/>
        </w:trPr>
        <w:tc>
          <w:tcPr>
            <w:tcW w:w="6804" w:type="dxa"/>
            <w:tcBorders>
              <w:left w:val="nil"/>
              <w:bottom w:val="single" w:color="auto" w:sz="4" w:space="0"/>
              <w:right w:val="nil"/>
            </w:tcBorders>
            <w:noWrap/>
          </w:tcPr>
          <w:p w:rsidRPr="00DC209C" w:rsidR="00A30E7B" w:rsidP="003206A4" w:rsidRDefault="00A30E7B" w14:paraId="7610CD7B" w14:textId="77777777">
            <w:pPr>
              <w:ind w:firstLine="220" w:firstLineChars="100"/>
              <w:rPr>
                <w:rFonts w:ascii="Arial" w:hAnsi="Arial" w:eastAsia="Times New Roman" w:cs="Arial"/>
                <w:sz w:val="20"/>
                <w:szCs w:val="20"/>
              </w:rPr>
            </w:pPr>
            <w:r w:rsidRPr="00DC209C">
              <w:t>(2) Στοιχείο 1.β - Γενικές πληροφορίες παρεχόμενες από το ίδρυμα παροχής στοιχείων</w:t>
            </w:r>
          </w:p>
        </w:tc>
        <w:tc>
          <w:tcPr>
            <w:tcW w:w="2745" w:type="dxa"/>
            <w:tcBorders>
              <w:left w:val="nil"/>
              <w:right w:val="nil"/>
            </w:tcBorders>
            <w:noWrap/>
          </w:tcPr>
          <w:p w:rsidRPr="00DC209C" w:rsidR="00A30E7B" w:rsidP="003206A4" w:rsidRDefault="00A30E7B" w14:paraId="7DA7EE2D" w14:textId="77777777">
            <w:pPr>
              <w:jc w:val="right"/>
              <w:rPr>
                <w:rFonts w:ascii="Arial" w:hAnsi="Arial" w:eastAsia="Times New Roman" w:cs="Arial"/>
                <w:sz w:val="20"/>
                <w:szCs w:val="20"/>
                <w:lang w:eastAsia="en-GB"/>
              </w:rPr>
            </w:pPr>
          </w:p>
        </w:tc>
      </w:tr>
      <w:tr w:rsidRPr="00DC209C" w:rsidR="00A30E7B" w:rsidTr="003206A4" w14:paraId="18EE591D" w14:textId="77777777">
        <w:trPr>
          <w:trHeight w:val="300"/>
        </w:trPr>
        <w:tc>
          <w:tcPr>
            <w:tcW w:w="6804" w:type="dxa"/>
            <w:tcBorders>
              <w:left w:val="nil"/>
              <w:bottom w:val="single" w:color="auto" w:sz="4" w:space="0"/>
              <w:right w:val="nil"/>
            </w:tcBorders>
            <w:noWrap/>
          </w:tcPr>
          <w:p w:rsidRPr="00DC209C" w:rsidR="00A30E7B" w:rsidP="003206A4" w:rsidRDefault="00A30E7B" w14:paraId="1556D3DE" w14:textId="77777777">
            <w:pPr>
              <w:ind w:firstLine="220" w:firstLineChars="100"/>
              <w:rPr>
                <w:rFonts w:ascii="Arial" w:hAnsi="Arial" w:eastAsia="Times New Roman" w:cs="Arial"/>
                <w:sz w:val="20"/>
                <w:szCs w:val="20"/>
              </w:rPr>
            </w:pPr>
            <w:r w:rsidRPr="00DC209C">
              <w:t>(3) Τμήμα 15 - Επικουρικοί δείκτες</w:t>
            </w:r>
          </w:p>
        </w:tc>
        <w:tc>
          <w:tcPr>
            <w:tcW w:w="2745" w:type="dxa"/>
            <w:tcBorders>
              <w:left w:val="nil"/>
              <w:right w:val="nil"/>
            </w:tcBorders>
            <w:noWrap/>
          </w:tcPr>
          <w:p w:rsidRPr="00DC209C" w:rsidR="00A30E7B" w:rsidP="003206A4" w:rsidRDefault="00A30E7B" w14:paraId="3F0AB5D4" w14:textId="77777777">
            <w:pPr>
              <w:jc w:val="right"/>
              <w:rPr>
                <w:rFonts w:ascii="Arial" w:hAnsi="Arial" w:eastAsia="Times New Roman" w:cs="Arial"/>
                <w:sz w:val="20"/>
                <w:szCs w:val="20"/>
                <w:lang w:eastAsia="en-GB"/>
              </w:rPr>
            </w:pPr>
          </w:p>
        </w:tc>
      </w:tr>
      <w:tr w:rsidRPr="00DC209C" w:rsidR="00A30E7B" w:rsidTr="003206A4" w14:paraId="2A6500A1" w14:textId="77777777">
        <w:trPr>
          <w:trHeight w:val="300"/>
        </w:trPr>
        <w:tc>
          <w:tcPr>
            <w:tcW w:w="6804" w:type="dxa"/>
            <w:tcBorders>
              <w:left w:val="nil"/>
              <w:bottom w:val="single" w:color="auto" w:sz="4" w:space="0"/>
              <w:right w:val="nil"/>
            </w:tcBorders>
            <w:noWrap/>
          </w:tcPr>
          <w:p w:rsidRPr="00DC209C" w:rsidR="00A30E7B" w:rsidP="003206A4" w:rsidRDefault="00A30E7B" w14:paraId="0ADD71E0" w14:textId="77777777">
            <w:pPr>
              <w:ind w:firstLine="220" w:firstLineChars="100"/>
              <w:rPr>
                <w:rFonts w:ascii="Arial" w:hAnsi="Arial" w:eastAsia="Times New Roman" w:cs="Arial"/>
                <w:sz w:val="20"/>
                <w:szCs w:val="20"/>
              </w:rPr>
            </w:pPr>
            <w:r w:rsidRPr="00DC209C">
              <w:t>(4) Τμήμα 16 - Επικουρικά στοιχεία</w:t>
            </w:r>
          </w:p>
        </w:tc>
        <w:tc>
          <w:tcPr>
            <w:tcW w:w="2745" w:type="dxa"/>
            <w:tcBorders>
              <w:left w:val="nil"/>
              <w:right w:val="nil"/>
            </w:tcBorders>
            <w:noWrap/>
          </w:tcPr>
          <w:p w:rsidRPr="00DC209C" w:rsidR="00A30E7B" w:rsidP="003206A4" w:rsidRDefault="00A30E7B" w14:paraId="6C6644A9" w14:textId="77777777">
            <w:pPr>
              <w:jc w:val="right"/>
              <w:rPr>
                <w:rFonts w:ascii="Arial" w:hAnsi="Arial" w:eastAsia="Times New Roman" w:cs="Arial"/>
                <w:sz w:val="20"/>
                <w:szCs w:val="20"/>
                <w:lang w:eastAsia="en-GB"/>
              </w:rPr>
            </w:pPr>
          </w:p>
        </w:tc>
      </w:tr>
      <w:tr w:rsidRPr="00DC209C" w:rsidR="00A30E7B" w:rsidTr="003206A4" w14:paraId="31049AAA" w14:textId="77777777">
        <w:trPr>
          <w:trHeight w:val="300"/>
        </w:trPr>
        <w:tc>
          <w:tcPr>
            <w:tcW w:w="6804" w:type="dxa"/>
            <w:tcBorders>
              <w:left w:val="nil"/>
              <w:bottom w:val="single" w:color="auto" w:sz="4" w:space="0"/>
              <w:right w:val="nil"/>
            </w:tcBorders>
            <w:noWrap/>
          </w:tcPr>
          <w:p w:rsidRPr="00DC209C" w:rsidR="00A30E7B" w:rsidP="003206A4" w:rsidRDefault="00A30E7B" w14:paraId="7FD5F66D" w14:textId="77777777">
            <w:pPr>
              <w:ind w:firstLine="220" w:firstLineChars="100"/>
              <w:rPr>
                <w:rFonts w:ascii="Arial" w:hAnsi="Arial" w:eastAsia="Times New Roman" w:cs="Arial"/>
                <w:sz w:val="20"/>
                <w:szCs w:val="20"/>
              </w:rPr>
            </w:pPr>
            <w:r w:rsidRPr="00DC209C">
              <w:t>(5) Τμήμα 17 - Στοιχεία μεγέθους</w:t>
            </w:r>
          </w:p>
        </w:tc>
        <w:tc>
          <w:tcPr>
            <w:tcW w:w="2745" w:type="dxa"/>
            <w:tcBorders>
              <w:left w:val="nil"/>
              <w:right w:val="nil"/>
            </w:tcBorders>
            <w:noWrap/>
          </w:tcPr>
          <w:p w:rsidRPr="00DC209C" w:rsidR="00A30E7B" w:rsidP="003206A4" w:rsidRDefault="00A30E7B" w14:paraId="4E5BC0E9" w14:textId="77777777">
            <w:pPr>
              <w:jc w:val="right"/>
              <w:rPr>
                <w:rFonts w:ascii="Arial" w:hAnsi="Arial" w:eastAsia="Times New Roman" w:cs="Arial"/>
                <w:sz w:val="20"/>
                <w:szCs w:val="20"/>
                <w:lang w:eastAsia="en-GB"/>
              </w:rPr>
            </w:pPr>
          </w:p>
        </w:tc>
      </w:tr>
      <w:tr w:rsidRPr="00DC209C" w:rsidR="00A30E7B" w:rsidTr="003206A4" w14:paraId="25356E0B" w14:textId="77777777">
        <w:trPr>
          <w:trHeight w:val="300"/>
        </w:trPr>
        <w:tc>
          <w:tcPr>
            <w:tcW w:w="6804" w:type="dxa"/>
            <w:tcBorders>
              <w:left w:val="nil"/>
              <w:bottom w:val="single" w:color="auto" w:sz="4" w:space="0"/>
              <w:right w:val="nil"/>
            </w:tcBorders>
            <w:noWrap/>
          </w:tcPr>
          <w:p w:rsidRPr="00DC209C" w:rsidR="00A30E7B" w:rsidP="003206A4" w:rsidRDefault="00A30E7B" w14:paraId="18AE3471" w14:textId="77777777">
            <w:pPr>
              <w:ind w:firstLine="220" w:firstLineChars="100"/>
              <w:rPr>
                <w:rFonts w:ascii="Arial" w:hAnsi="Arial" w:eastAsia="Times New Roman" w:cs="Arial"/>
                <w:sz w:val="20"/>
                <w:szCs w:val="20"/>
              </w:rPr>
            </w:pPr>
            <w:r w:rsidRPr="00DC209C">
              <w:t>(6) Τμήμα 18 - Στοιχεία διασύνδεσης</w:t>
            </w:r>
          </w:p>
        </w:tc>
        <w:tc>
          <w:tcPr>
            <w:tcW w:w="2745" w:type="dxa"/>
            <w:tcBorders>
              <w:left w:val="nil"/>
              <w:right w:val="nil"/>
            </w:tcBorders>
            <w:noWrap/>
          </w:tcPr>
          <w:p w:rsidRPr="00DC209C" w:rsidR="00A30E7B" w:rsidP="003206A4" w:rsidRDefault="00A30E7B" w14:paraId="6E1E8DDE" w14:textId="77777777">
            <w:pPr>
              <w:jc w:val="right"/>
              <w:rPr>
                <w:rFonts w:ascii="Arial" w:hAnsi="Arial" w:eastAsia="Times New Roman" w:cs="Arial"/>
                <w:sz w:val="20"/>
                <w:szCs w:val="20"/>
                <w:lang w:eastAsia="en-GB"/>
              </w:rPr>
            </w:pPr>
          </w:p>
        </w:tc>
      </w:tr>
      <w:tr w:rsidRPr="00DC209C" w:rsidR="00A30E7B" w:rsidTr="003206A4" w14:paraId="1552E614" w14:textId="77777777">
        <w:trPr>
          <w:trHeight w:val="300"/>
        </w:trPr>
        <w:tc>
          <w:tcPr>
            <w:tcW w:w="6804" w:type="dxa"/>
            <w:tcBorders>
              <w:left w:val="nil"/>
              <w:bottom w:val="single" w:color="auto" w:sz="4" w:space="0"/>
              <w:right w:val="nil"/>
            </w:tcBorders>
            <w:noWrap/>
          </w:tcPr>
          <w:p w:rsidRPr="00DC209C" w:rsidR="00A30E7B" w:rsidP="003206A4" w:rsidRDefault="00A30E7B" w14:paraId="0DCB6129" w14:textId="77777777">
            <w:pPr>
              <w:ind w:firstLine="220" w:firstLineChars="100"/>
              <w:rPr>
                <w:rFonts w:ascii="Arial" w:hAnsi="Arial" w:eastAsia="Times New Roman" w:cs="Arial"/>
                <w:sz w:val="20"/>
                <w:szCs w:val="20"/>
              </w:rPr>
            </w:pPr>
            <w:r w:rsidRPr="00DC209C">
              <w:t>(7) Τμήμα 19 — Στοιχεία δυνατότητας υποκατάστασης/χρηματοπιστωτικής υποδομής</w:t>
            </w:r>
          </w:p>
        </w:tc>
        <w:tc>
          <w:tcPr>
            <w:tcW w:w="2745" w:type="dxa"/>
            <w:tcBorders>
              <w:left w:val="nil"/>
              <w:right w:val="nil"/>
            </w:tcBorders>
            <w:noWrap/>
          </w:tcPr>
          <w:p w:rsidRPr="00DC209C" w:rsidR="00A30E7B" w:rsidP="003206A4" w:rsidRDefault="00A30E7B" w14:paraId="4E5B081B" w14:textId="77777777">
            <w:pPr>
              <w:jc w:val="right"/>
              <w:rPr>
                <w:rFonts w:ascii="Arial" w:hAnsi="Arial" w:eastAsia="Times New Roman" w:cs="Arial"/>
                <w:sz w:val="20"/>
                <w:szCs w:val="20"/>
                <w:lang w:eastAsia="en-GB"/>
              </w:rPr>
            </w:pPr>
          </w:p>
        </w:tc>
      </w:tr>
      <w:tr w:rsidRPr="00DC209C" w:rsidR="00A30E7B" w:rsidTr="003206A4" w14:paraId="6C7511F1" w14:textId="77777777">
        <w:trPr>
          <w:trHeight w:val="300"/>
        </w:trPr>
        <w:tc>
          <w:tcPr>
            <w:tcW w:w="6804" w:type="dxa"/>
            <w:tcBorders>
              <w:left w:val="nil"/>
              <w:bottom w:val="single" w:color="auto" w:sz="4" w:space="0"/>
              <w:right w:val="nil"/>
            </w:tcBorders>
            <w:noWrap/>
          </w:tcPr>
          <w:p w:rsidRPr="00DC209C" w:rsidR="00A30E7B" w:rsidP="003206A4" w:rsidRDefault="00A30E7B" w14:paraId="285140D1" w14:textId="77777777">
            <w:pPr>
              <w:ind w:firstLine="220" w:firstLineChars="100"/>
              <w:rPr>
                <w:rFonts w:ascii="Arial" w:hAnsi="Arial" w:eastAsia="Times New Roman" w:cs="Arial"/>
                <w:sz w:val="20"/>
                <w:szCs w:val="20"/>
              </w:rPr>
            </w:pPr>
            <w:r w:rsidRPr="00DC209C">
              <w:t>(8) Τμήμα 20 - Στοιχεία πολυπλοκότητας</w:t>
            </w:r>
          </w:p>
        </w:tc>
        <w:tc>
          <w:tcPr>
            <w:tcW w:w="2745" w:type="dxa"/>
            <w:tcBorders>
              <w:left w:val="nil"/>
              <w:right w:val="nil"/>
            </w:tcBorders>
            <w:noWrap/>
          </w:tcPr>
          <w:p w:rsidRPr="00DC209C" w:rsidR="00A30E7B" w:rsidP="003206A4" w:rsidRDefault="00A30E7B" w14:paraId="50306A91" w14:textId="77777777">
            <w:pPr>
              <w:jc w:val="right"/>
              <w:rPr>
                <w:rFonts w:ascii="Arial" w:hAnsi="Arial" w:eastAsia="Times New Roman" w:cs="Arial"/>
                <w:sz w:val="20"/>
                <w:szCs w:val="20"/>
                <w:lang w:eastAsia="en-GB"/>
              </w:rPr>
            </w:pPr>
          </w:p>
        </w:tc>
      </w:tr>
      <w:tr w:rsidRPr="00DC209C" w:rsidR="00A30E7B" w:rsidTr="003206A4" w14:paraId="63AD8FAE" w14:textId="77777777">
        <w:trPr>
          <w:trHeight w:val="300"/>
        </w:trPr>
        <w:tc>
          <w:tcPr>
            <w:tcW w:w="6804" w:type="dxa"/>
            <w:tcBorders>
              <w:left w:val="nil"/>
              <w:bottom w:val="single" w:color="auto" w:sz="4" w:space="0"/>
              <w:right w:val="nil"/>
            </w:tcBorders>
            <w:noWrap/>
          </w:tcPr>
          <w:p w:rsidRPr="00DC209C" w:rsidR="00A30E7B" w:rsidP="003206A4" w:rsidRDefault="00A30E7B" w14:paraId="623E3F83" w14:textId="77777777">
            <w:pPr>
              <w:ind w:firstLine="220" w:firstLineChars="100"/>
              <w:rPr>
                <w:rFonts w:ascii="Arial" w:hAnsi="Arial" w:eastAsia="Times New Roman" w:cs="Arial"/>
                <w:sz w:val="20"/>
                <w:szCs w:val="20"/>
              </w:rPr>
            </w:pPr>
            <w:r w:rsidRPr="00DC209C">
              <w:t>(9) Τμήμα 21 - Στοιχεία διακρατικής δραστηριότητας</w:t>
            </w:r>
          </w:p>
        </w:tc>
        <w:tc>
          <w:tcPr>
            <w:tcW w:w="2745" w:type="dxa"/>
            <w:tcBorders>
              <w:left w:val="nil"/>
              <w:right w:val="nil"/>
            </w:tcBorders>
            <w:noWrap/>
          </w:tcPr>
          <w:p w:rsidRPr="00DC209C" w:rsidR="00A30E7B" w:rsidP="003206A4" w:rsidRDefault="00A30E7B" w14:paraId="09177343" w14:textId="77777777">
            <w:pPr>
              <w:jc w:val="right"/>
              <w:rPr>
                <w:rFonts w:ascii="Arial" w:hAnsi="Arial" w:eastAsia="Times New Roman" w:cs="Arial"/>
                <w:sz w:val="20"/>
                <w:szCs w:val="20"/>
                <w:lang w:eastAsia="en-GB"/>
              </w:rPr>
            </w:pPr>
          </w:p>
        </w:tc>
      </w:tr>
      <w:tr w:rsidRPr="00DC209C" w:rsidR="00A30E7B" w:rsidTr="003206A4" w14:paraId="7AD08914" w14:textId="77777777">
        <w:trPr>
          <w:trHeight w:val="300"/>
        </w:trPr>
        <w:tc>
          <w:tcPr>
            <w:tcW w:w="6804" w:type="dxa"/>
            <w:tcBorders>
              <w:left w:val="nil"/>
              <w:bottom w:val="single" w:color="auto" w:sz="4" w:space="0"/>
              <w:right w:val="nil"/>
            </w:tcBorders>
            <w:noWrap/>
          </w:tcPr>
          <w:p w:rsidRPr="00DC209C" w:rsidR="00A30E7B" w:rsidP="003206A4" w:rsidRDefault="00A30E7B" w14:paraId="146DE4D9" w14:textId="77777777">
            <w:pPr>
              <w:ind w:firstLine="220" w:firstLineChars="100"/>
              <w:rPr>
                <w:rFonts w:ascii="Arial" w:hAnsi="Arial" w:eastAsia="Times New Roman" w:cs="Arial"/>
                <w:sz w:val="20"/>
                <w:szCs w:val="20"/>
              </w:rPr>
            </w:pPr>
            <w:r w:rsidRPr="00DC209C">
              <w:t>(10) Τμήμα 22 - Επικουρικοί δείκτες</w:t>
            </w:r>
          </w:p>
        </w:tc>
        <w:tc>
          <w:tcPr>
            <w:tcW w:w="2745" w:type="dxa"/>
            <w:tcBorders>
              <w:left w:val="nil"/>
              <w:right w:val="nil"/>
            </w:tcBorders>
            <w:noWrap/>
          </w:tcPr>
          <w:p w:rsidRPr="00DC209C" w:rsidR="00A30E7B" w:rsidP="003206A4" w:rsidRDefault="00A30E7B" w14:paraId="56F11C1E" w14:textId="77777777">
            <w:pPr>
              <w:jc w:val="right"/>
              <w:rPr>
                <w:rFonts w:ascii="Arial" w:hAnsi="Arial" w:eastAsia="Times New Roman" w:cs="Arial"/>
                <w:sz w:val="20"/>
                <w:szCs w:val="20"/>
                <w:lang w:eastAsia="en-GB"/>
              </w:rPr>
            </w:pPr>
          </w:p>
        </w:tc>
      </w:tr>
      <w:tr w:rsidRPr="00DC209C" w:rsidR="00A30E7B" w:rsidTr="003206A4" w14:paraId="2704A70E" w14:textId="77777777">
        <w:trPr>
          <w:trHeight w:val="300"/>
        </w:trPr>
        <w:tc>
          <w:tcPr>
            <w:tcW w:w="6804" w:type="dxa"/>
            <w:tcBorders>
              <w:left w:val="nil"/>
              <w:bottom w:val="single" w:color="auto" w:sz="4" w:space="0"/>
              <w:right w:val="nil"/>
            </w:tcBorders>
            <w:noWrap/>
          </w:tcPr>
          <w:p w:rsidRPr="00DC209C" w:rsidR="00A30E7B" w:rsidP="003206A4" w:rsidRDefault="00A30E7B" w14:paraId="2D27D0D5" w14:textId="77777777">
            <w:pPr>
              <w:rPr>
                <w:b/>
                <w:bCs/>
              </w:rPr>
            </w:pPr>
          </w:p>
        </w:tc>
        <w:tc>
          <w:tcPr>
            <w:tcW w:w="2745" w:type="dxa"/>
            <w:tcBorders>
              <w:left w:val="nil"/>
              <w:right w:val="nil"/>
            </w:tcBorders>
            <w:noWrap/>
          </w:tcPr>
          <w:p w:rsidRPr="00DC209C" w:rsidR="00A30E7B" w:rsidP="003206A4" w:rsidRDefault="00A30E7B" w14:paraId="6B834BED" w14:textId="77777777">
            <w:pPr>
              <w:jc w:val="center"/>
              <w:rPr>
                <w:b/>
                <w:bCs/>
              </w:rPr>
            </w:pPr>
          </w:p>
        </w:tc>
      </w:tr>
      <w:tr w:rsidRPr="00DC209C" w:rsidR="00A30E7B" w:rsidTr="003206A4" w14:paraId="677AEB97" w14:textId="77777777">
        <w:trPr>
          <w:trHeight w:val="300"/>
        </w:trPr>
        <w:tc>
          <w:tcPr>
            <w:tcW w:w="6804" w:type="dxa"/>
            <w:tcBorders>
              <w:left w:val="nil"/>
              <w:bottom w:val="single" w:color="auto" w:sz="4" w:space="0"/>
              <w:right w:val="nil"/>
            </w:tcBorders>
            <w:noWrap/>
          </w:tcPr>
          <w:p w:rsidRPr="00DC209C" w:rsidR="00A30E7B" w:rsidP="003206A4" w:rsidRDefault="00A30E7B" w14:paraId="7889838C" w14:textId="77777777">
            <w:pPr>
              <w:rPr>
                <w:rFonts w:ascii="Arial" w:hAnsi="Arial" w:eastAsia="Times New Roman" w:cs="Arial"/>
                <w:sz w:val="20"/>
                <w:szCs w:val="20"/>
              </w:rPr>
            </w:pPr>
            <w:r w:rsidRPr="00DC209C">
              <w:rPr>
                <w:b/>
              </w:rPr>
              <w:lastRenderedPageBreak/>
              <w:t>Τμήμα 24 – Τιμές δεικτών (παλαιά μεθοδολογία)</w:t>
            </w:r>
          </w:p>
        </w:tc>
        <w:tc>
          <w:tcPr>
            <w:tcW w:w="2745" w:type="dxa"/>
            <w:tcBorders>
              <w:left w:val="nil"/>
              <w:right w:val="nil"/>
            </w:tcBorders>
            <w:noWrap/>
          </w:tcPr>
          <w:p w:rsidRPr="00DC209C" w:rsidR="00A30E7B" w:rsidP="003206A4" w:rsidRDefault="00A30E7B" w14:paraId="4E888C4B" w14:textId="77777777">
            <w:pPr>
              <w:jc w:val="center"/>
              <w:rPr>
                <w:rFonts w:ascii="Arial" w:hAnsi="Arial" w:eastAsia="Times New Roman" w:cs="Arial"/>
                <w:sz w:val="20"/>
                <w:szCs w:val="20"/>
              </w:rPr>
            </w:pPr>
            <w:r w:rsidRPr="00DC209C">
              <w:rPr>
                <w:b/>
              </w:rPr>
              <w:t>Τιμή δεικτών στο νόμισμα αναφοράς</w:t>
            </w:r>
          </w:p>
        </w:tc>
      </w:tr>
      <w:tr w:rsidRPr="00DC209C" w:rsidR="00A30E7B" w:rsidTr="003206A4" w14:paraId="02CFD6D5" w14:textId="77777777">
        <w:trPr>
          <w:trHeight w:val="300"/>
        </w:trPr>
        <w:tc>
          <w:tcPr>
            <w:tcW w:w="6804" w:type="dxa"/>
            <w:tcBorders>
              <w:left w:val="nil"/>
              <w:bottom w:val="single" w:color="auto" w:sz="4" w:space="0"/>
              <w:right w:val="nil"/>
            </w:tcBorders>
            <w:noWrap/>
          </w:tcPr>
          <w:p w:rsidRPr="00DC209C" w:rsidR="00A30E7B" w:rsidP="003206A4" w:rsidRDefault="00A30E7B" w14:paraId="71ACF198" w14:textId="77777777">
            <w:pPr>
              <w:ind w:firstLine="220" w:firstLineChars="100"/>
              <w:rPr>
                <w:rFonts w:ascii="Arial" w:hAnsi="Arial" w:eastAsia="Times New Roman" w:cs="Arial"/>
                <w:sz w:val="20"/>
                <w:szCs w:val="20"/>
              </w:rPr>
            </w:pPr>
            <w:r w:rsidRPr="00DC209C">
              <w:t>α. Τμήμα 2 - Δείκτης συνολικής έκθεσης</w:t>
            </w:r>
          </w:p>
        </w:tc>
        <w:tc>
          <w:tcPr>
            <w:tcW w:w="2745" w:type="dxa"/>
            <w:tcBorders>
              <w:left w:val="nil"/>
              <w:right w:val="nil"/>
            </w:tcBorders>
            <w:noWrap/>
          </w:tcPr>
          <w:p w:rsidRPr="00DC209C" w:rsidR="00A30E7B" w:rsidP="003206A4" w:rsidRDefault="00A30E7B" w14:paraId="12BD4A16" w14:textId="77777777">
            <w:pPr>
              <w:jc w:val="right"/>
              <w:rPr>
                <w:rFonts w:ascii="Arial" w:hAnsi="Arial" w:eastAsia="Times New Roman" w:cs="Arial"/>
                <w:sz w:val="20"/>
                <w:szCs w:val="20"/>
                <w:lang w:eastAsia="en-GB"/>
              </w:rPr>
            </w:pPr>
          </w:p>
        </w:tc>
      </w:tr>
      <w:tr w:rsidRPr="00DC209C" w:rsidR="00A30E7B" w:rsidTr="003206A4" w14:paraId="6DF5FD27" w14:textId="77777777">
        <w:trPr>
          <w:trHeight w:val="300"/>
        </w:trPr>
        <w:tc>
          <w:tcPr>
            <w:tcW w:w="6804" w:type="dxa"/>
            <w:tcBorders>
              <w:left w:val="nil"/>
              <w:bottom w:val="single" w:color="auto" w:sz="4" w:space="0"/>
              <w:right w:val="nil"/>
            </w:tcBorders>
            <w:noWrap/>
          </w:tcPr>
          <w:p w:rsidRPr="00DC209C" w:rsidR="00A30E7B" w:rsidP="003206A4" w:rsidRDefault="00A30E7B" w14:paraId="7A715CA0" w14:textId="77777777">
            <w:pPr>
              <w:ind w:firstLine="220" w:firstLineChars="100"/>
              <w:rPr>
                <w:rFonts w:ascii="Arial" w:hAnsi="Arial" w:eastAsia="Times New Roman" w:cs="Arial"/>
                <w:sz w:val="20"/>
                <w:szCs w:val="20"/>
              </w:rPr>
            </w:pPr>
            <w:r w:rsidRPr="00DC209C">
              <w:t>β. Τμήμα 18 - Δείκτης στοιχείων εντός του χρηματοοικονομικού συστήματος</w:t>
            </w:r>
          </w:p>
        </w:tc>
        <w:tc>
          <w:tcPr>
            <w:tcW w:w="2745" w:type="dxa"/>
            <w:tcBorders>
              <w:left w:val="nil"/>
              <w:right w:val="nil"/>
            </w:tcBorders>
            <w:noWrap/>
          </w:tcPr>
          <w:p w:rsidRPr="00DC209C" w:rsidR="00A30E7B" w:rsidP="003206A4" w:rsidRDefault="00A30E7B" w14:paraId="69FB6F9E" w14:textId="77777777">
            <w:pPr>
              <w:jc w:val="right"/>
              <w:rPr>
                <w:rFonts w:ascii="Arial" w:hAnsi="Arial" w:eastAsia="Times New Roman" w:cs="Arial"/>
                <w:sz w:val="20"/>
                <w:szCs w:val="20"/>
                <w:lang w:eastAsia="en-GB"/>
              </w:rPr>
            </w:pPr>
          </w:p>
        </w:tc>
      </w:tr>
      <w:tr w:rsidRPr="00DC209C" w:rsidR="00A30E7B" w:rsidTr="003206A4" w14:paraId="4BAB2548" w14:textId="77777777">
        <w:trPr>
          <w:trHeight w:val="300"/>
        </w:trPr>
        <w:tc>
          <w:tcPr>
            <w:tcW w:w="6804" w:type="dxa"/>
            <w:tcBorders>
              <w:left w:val="nil"/>
              <w:bottom w:val="single" w:color="auto" w:sz="4" w:space="0"/>
              <w:right w:val="nil"/>
            </w:tcBorders>
            <w:noWrap/>
          </w:tcPr>
          <w:p w:rsidRPr="00DC209C" w:rsidR="00A30E7B" w:rsidP="003206A4" w:rsidRDefault="00A30E7B" w14:paraId="10FDAB92" w14:textId="77777777">
            <w:pPr>
              <w:ind w:firstLine="220" w:firstLineChars="100"/>
              <w:rPr>
                <w:rFonts w:ascii="Arial" w:hAnsi="Arial" w:eastAsia="Times New Roman" w:cs="Arial"/>
                <w:sz w:val="20"/>
                <w:szCs w:val="20"/>
              </w:rPr>
            </w:pPr>
            <w:r w:rsidRPr="00DC209C">
              <w:t>γ. Τμήμα 18 - Δείκτης υποχρεώσεων εντός του χρηματοοικονομικού συστήματος</w:t>
            </w:r>
          </w:p>
        </w:tc>
        <w:tc>
          <w:tcPr>
            <w:tcW w:w="2745" w:type="dxa"/>
            <w:tcBorders>
              <w:left w:val="nil"/>
              <w:right w:val="nil"/>
            </w:tcBorders>
            <w:noWrap/>
          </w:tcPr>
          <w:p w:rsidRPr="00DC209C" w:rsidR="00A30E7B" w:rsidP="003206A4" w:rsidRDefault="00A30E7B" w14:paraId="6EABB0D1" w14:textId="77777777">
            <w:pPr>
              <w:jc w:val="right"/>
              <w:rPr>
                <w:rFonts w:ascii="Arial" w:hAnsi="Arial" w:eastAsia="Times New Roman" w:cs="Arial"/>
                <w:sz w:val="20"/>
                <w:szCs w:val="20"/>
                <w:lang w:eastAsia="en-GB"/>
              </w:rPr>
            </w:pPr>
          </w:p>
        </w:tc>
      </w:tr>
      <w:tr w:rsidRPr="00DC209C" w:rsidR="00A30E7B" w:rsidTr="003206A4" w14:paraId="102A841D" w14:textId="77777777">
        <w:trPr>
          <w:trHeight w:val="300"/>
        </w:trPr>
        <w:tc>
          <w:tcPr>
            <w:tcW w:w="6804" w:type="dxa"/>
            <w:tcBorders>
              <w:left w:val="nil"/>
              <w:bottom w:val="single" w:color="auto" w:sz="4" w:space="0"/>
              <w:right w:val="nil"/>
            </w:tcBorders>
            <w:noWrap/>
          </w:tcPr>
          <w:p w:rsidRPr="00DC209C" w:rsidR="00A30E7B" w:rsidP="003206A4" w:rsidRDefault="00A30E7B" w14:paraId="7FC20F99" w14:textId="77777777">
            <w:pPr>
              <w:ind w:firstLine="220" w:firstLineChars="100"/>
              <w:rPr>
                <w:rFonts w:ascii="Arial" w:hAnsi="Arial" w:eastAsia="Times New Roman" w:cs="Arial"/>
                <w:sz w:val="20"/>
                <w:szCs w:val="20"/>
              </w:rPr>
            </w:pPr>
            <w:r w:rsidRPr="00DC209C">
              <w:t>δ. Τμήμα 18 - Δείκτης κυκλοφορούντων χρεογράφων</w:t>
            </w:r>
          </w:p>
        </w:tc>
        <w:tc>
          <w:tcPr>
            <w:tcW w:w="2745" w:type="dxa"/>
            <w:tcBorders>
              <w:left w:val="nil"/>
              <w:right w:val="nil"/>
            </w:tcBorders>
            <w:noWrap/>
          </w:tcPr>
          <w:p w:rsidRPr="00DC209C" w:rsidR="00A30E7B" w:rsidP="003206A4" w:rsidRDefault="00A30E7B" w14:paraId="52DD559F" w14:textId="77777777">
            <w:pPr>
              <w:jc w:val="right"/>
              <w:rPr>
                <w:rFonts w:ascii="Arial" w:hAnsi="Arial" w:eastAsia="Times New Roman" w:cs="Arial"/>
                <w:sz w:val="20"/>
                <w:szCs w:val="20"/>
                <w:lang w:eastAsia="en-GB"/>
              </w:rPr>
            </w:pPr>
          </w:p>
        </w:tc>
      </w:tr>
      <w:tr w:rsidRPr="00DC209C" w:rsidR="00A30E7B" w:rsidTr="003206A4" w14:paraId="599C7838" w14:textId="77777777">
        <w:trPr>
          <w:trHeight w:val="300"/>
        </w:trPr>
        <w:tc>
          <w:tcPr>
            <w:tcW w:w="6804" w:type="dxa"/>
            <w:tcBorders>
              <w:left w:val="nil"/>
              <w:bottom w:val="single" w:color="auto" w:sz="4" w:space="0"/>
              <w:right w:val="nil"/>
            </w:tcBorders>
            <w:noWrap/>
          </w:tcPr>
          <w:p w:rsidRPr="00DC209C" w:rsidR="00A30E7B" w:rsidP="003206A4" w:rsidRDefault="00A30E7B" w14:paraId="4A1B0DB9" w14:textId="77777777">
            <w:pPr>
              <w:ind w:firstLine="220" w:firstLineChars="100"/>
              <w:rPr>
                <w:rFonts w:ascii="Arial" w:hAnsi="Arial" w:eastAsia="Times New Roman" w:cs="Arial"/>
                <w:sz w:val="20"/>
                <w:szCs w:val="20"/>
              </w:rPr>
            </w:pPr>
            <w:r w:rsidRPr="00DC209C">
              <w:t>ε. Τμήμα 6 - Δείκτης δραστηριότητας πληρωμών</w:t>
            </w:r>
          </w:p>
        </w:tc>
        <w:tc>
          <w:tcPr>
            <w:tcW w:w="2745" w:type="dxa"/>
            <w:tcBorders>
              <w:left w:val="nil"/>
              <w:right w:val="nil"/>
            </w:tcBorders>
            <w:noWrap/>
          </w:tcPr>
          <w:p w:rsidRPr="00DC209C" w:rsidR="00A30E7B" w:rsidP="003206A4" w:rsidRDefault="00A30E7B" w14:paraId="0AEA4D19" w14:textId="77777777">
            <w:pPr>
              <w:jc w:val="right"/>
              <w:rPr>
                <w:rFonts w:ascii="Arial" w:hAnsi="Arial" w:eastAsia="Times New Roman" w:cs="Arial"/>
                <w:sz w:val="20"/>
                <w:szCs w:val="20"/>
                <w:lang w:eastAsia="en-GB"/>
              </w:rPr>
            </w:pPr>
          </w:p>
        </w:tc>
      </w:tr>
      <w:tr w:rsidRPr="00DC209C" w:rsidR="00A30E7B" w:rsidTr="003206A4" w14:paraId="5280FFA9" w14:textId="77777777">
        <w:trPr>
          <w:trHeight w:val="300"/>
        </w:trPr>
        <w:tc>
          <w:tcPr>
            <w:tcW w:w="6804" w:type="dxa"/>
            <w:tcBorders>
              <w:left w:val="nil"/>
              <w:bottom w:val="single" w:color="auto" w:sz="4" w:space="0"/>
              <w:right w:val="nil"/>
            </w:tcBorders>
            <w:noWrap/>
          </w:tcPr>
          <w:p w:rsidRPr="00DC209C" w:rsidR="00A30E7B" w:rsidP="003206A4" w:rsidRDefault="00A30E7B" w14:paraId="62BCE8C3" w14:textId="77777777">
            <w:pPr>
              <w:ind w:firstLine="220" w:firstLineChars="100"/>
              <w:rPr>
                <w:rFonts w:ascii="Arial" w:hAnsi="Arial" w:eastAsia="Times New Roman" w:cs="Arial"/>
                <w:sz w:val="20"/>
                <w:szCs w:val="20"/>
              </w:rPr>
            </w:pPr>
            <w:r w:rsidRPr="00DC209C">
              <w:t>στ. Τμήμα 7 - Δείκτης στοιχείων ενεργητικού υπό φύλαξη</w:t>
            </w:r>
          </w:p>
        </w:tc>
        <w:tc>
          <w:tcPr>
            <w:tcW w:w="2745" w:type="dxa"/>
            <w:tcBorders>
              <w:left w:val="nil"/>
              <w:right w:val="nil"/>
            </w:tcBorders>
            <w:noWrap/>
          </w:tcPr>
          <w:p w:rsidRPr="00DC209C" w:rsidR="00A30E7B" w:rsidP="003206A4" w:rsidRDefault="00A30E7B" w14:paraId="043A7AAD" w14:textId="77777777">
            <w:pPr>
              <w:jc w:val="right"/>
              <w:rPr>
                <w:rFonts w:ascii="Arial" w:hAnsi="Arial" w:eastAsia="Times New Roman" w:cs="Arial"/>
                <w:sz w:val="20"/>
                <w:szCs w:val="20"/>
                <w:lang w:eastAsia="en-GB"/>
              </w:rPr>
            </w:pPr>
          </w:p>
        </w:tc>
      </w:tr>
      <w:tr w:rsidRPr="00DC209C" w:rsidR="00A30E7B" w:rsidTr="003206A4" w14:paraId="197B9351" w14:textId="77777777">
        <w:trPr>
          <w:trHeight w:val="300"/>
        </w:trPr>
        <w:tc>
          <w:tcPr>
            <w:tcW w:w="6804" w:type="dxa"/>
            <w:tcBorders>
              <w:left w:val="nil"/>
              <w:bottom w:val="single" w:color="auto" w:sz="4" w:space="0"/>
              <w:right w:val="nil"/>
            </w:tcBorders>
            <w:noWrap/>
          </w:tcPr>
          <w:p w:rsidRPr="00DC209C" w:rsidR="00A30E7B" w:rsidP="003206A4" w:rsidRDefault="00A30E7B" w14:paraId="39DCD4CE" w14:textId="77777777">
            <w:pPr>
              <w:ind w:firstLine="220" w:firstLineChars="100"/>
              <w:rPr>
                <w:rFonts w:ascii="Arial" w:hAnsi="Arial" w:eastAsia="Times New Roman" w:cs="Arial"/>
                <w:sz w:val="20"/>
                <w:szCs w:val="20"/>
              </w:rPr>
            </w:pPr>
            <w:r w:rsidRPr="00DC209C">
              <w:t>ζ. Τμήμα 8 - Δείκτης δραστηριότητας αναδοχής εκδόσεων</w:t>
            </w:r>
          </w:p>
        </w:tc>
        <w:tc>
          <w:tcPr>
            <w:tcW w:w="2745" w:type="dxa"/>
            <w:tcBorders>
              <w:left w:val="nil"/>
              <w:right w:val="nil"/>
            </w:tcBorders>
            <w:noWrap/>
          </w:tcPr>
          <w:p w:rsidRPr="00DC209C" w:rsidR="00A30E7B" w:rsidP="003206A4" w:rsidRDefault="00A30E7B" w14:paraId="67DCB794" w14:textId="77777777">
            <w:pPr>
              <w:jc w:val="right"/>
              <w:rPr>
                <w:rFonts w:ascii="Arial" w:hAnsi="Arial" w:eastAsia="Times New Roman" w:cs="Arial"/>
                <w:sz w:val="20"/>
                <w:szCs w:val="20"/>
                <w:lang w:eastAsia="en-GB"/>
              </w:rPr>
            </w:pPr>
          </w:p>
        </w:tc>
      </w:tr>
      <w:tr w:rsidRPr="00DC209C" w:rsidR="00A30E7B" w:rsidTr="003206A4" w14:paraId="1CDABDD9" w14:textId="77777777">
        <w:trPr>
          <w:trHeight w:val="300"/>
        </w:trPr>
        <w:tc>
          <w:tcPr>
            <w:tcW w:w="6804" w:type="dxa"/>
            <w:tcBorders>
              <w:left w:val="nil"/>
              <w:bottom w:val="single" w:color="auto" w:sz="4" w:space="0"/>
              <w:right w:val="nil"/>
            </w:tcBorders>
            <w:noWrap/>
          </w:tcPr>
          <w:p w:rsidRPr="00DC209C" w:rsidR="00A30E7B" w:rsidP="003206A4" w:rsidRDefault="00A30E7B" w14:paraId="34CF4924" w14:textId="77777777">
            <w:pPr>
              <w:ind w:firstLine="220" w:firstLineChars="100"/>
              <w:rPr>
                <w:rFonts w:ascii="Arial" w:hAnsi="Arial" w:eastAsia="Times New Roman" w:cs="Arial"/>
                <w:sz w:val="20"/>
                <w:szCs w:val="20"/>
              </w:rPr>
            </w:pPr>
            <w:r w:rsidRPr="00DC209C">
              <w:t>η. Τμήμα 20 - Δείκτης εξωχρηματιστηριακών παραγώγων</w:t>
            </w:r>
          </w:p>
        </w:tc>
        <w:tc>
          <w:tcPr>
            <w:tcW w:w="2745" w:type="dxa"/>
            <w:tcBorders>
              <w:left w:val="nil"/>
              <w:right w:val="nil"/>
            </w:tcBorders>
            <w:noWrap/>
          </w:tcPr>
          <w:p w:rsidRPr="00DC209C" w:rsidR="00A30E7B" w:rsidP="003206A4" w:rsidRDefault="00A30E7B" w14:paraId="0F35C532" w14:textId="77777777">
            <w:pPr>
              <w:jc w:val="right"/>
              <w:rPr>
                <w:rFonts w:ascii="Arial" w:hAnsi="Arial" w:eastAsia="Times New Roman" w:cs="Arial"/>
                <w:sz w:val="20"/>
                <w:szCs w:val="20"/>
                <w:lang w:eastAsia="en-GB"/>
              </w:rPr>
            </w:pPr>
          </w:p>
        </w:tc>
      </w:tr>
      <w:tr w:rsidRPr="00DC209C" w:rsidR="00A30E7B" w:rsidTr="003206A4" w14:paraId="189B1BD4" w14:textId="77777777">
        <w:trPr>
          <w:trHeight w:val="300"/>
        </w:trPr>
        <w:tc>
          <w:tcPr>
            <w:tcW w:w="6804" w:type="dxa"/>
            <w:tcBorders>
              <w:left w:val="nil"/>
              <w:bottom w:val="single" w:color="auto" w:sz="4" w:space="0"/>
              <w:right w:val="nil"/>
            </w:tcBorders>
            <w:noWrap/>
          </w:tcPr>
          <w:p w:rsidRPr="00DC209C" w:rsidR="00A30E7B" w:rsidP="003206A4" w:rsidRDefault="00A30E7B" w14:paraId="0EB1E788" w14:textId="77777777">
            <w:pPr>
              <w:ind w:firstLine="220" w:firstLineChars="100"/>
              <w:rPr>
                <w:rFonts w:ascii="Arial" w:hAnsi="Arial" w:eastAsia="Times New Roman" w:cs="Arial"/>
                <w:sz w:val="20"/>
                <w:szCs w:val="20"/>
              </w:rPr>
            </w:pPr>
            <w:r w:rsidRPr="00DC209C">
              <w:t>θ. Τμήμα 11 - Δείκτης εμπορικών και διαθέσιμων προς πώληση χρεογράφων</w:t>
            </w:r>
          </w:p>
        </w:tc>
        <w:tc>
          <w:tcPr>
            <w:tcW w:w="2745" w:type="dxa"/>
            <w:tcBorders>
              <w:left w:val="nil"/>
              <w:right w:val="nil"/>
            </w:tcBorders>
            <w:noWrap/>
          </w:tcPr>
          <w:p w:rsidRPr="00DC209C" w:rsidR="00A30E7B" w:rsidP="003206A4" w:rsidRDefault="00A30E7B" w14:paraId="5A0BFAA3" w14:textId="77777777">
            <w:pPr>
              <w:jc w:val="right"/>
              <w:rPr>
                <w:rFonts w:ascii="Arial" w:hAnsi="Arial" w:eastAsia="Times New Roman" w:cs="Arial"/>
                <w:sz w:val="20"/>
                <w:szCs w:val="20"/>
                <w:lang w:eastAsia="en-GB"/>
              </w:rPr>
            </w:pPr>
          </w:p>
        </w:tc>
      </w:tr>
      <w:tr w:rsidRPr="00DC209C" w:rsidR="00A30E7B" w:rsidTr="003206A4" w14:paraId="45594060" w14:textId="77777777">
        <w:trPr>
          <w:trHeight w:val="300"/>
        </w:trPr>
        <w:tc>
          <w:tcPr>
            <w:tcW w:w="6804" w:type="dxa"/>
            <w:tcBorders>
              <w:left w:val="nil"/>
              <w:bottom w:val="single" w:color="auto" w:sz="4" w:space="0"/>
              <w:right w:val="nil"/>
            </w:tcBorders>
            <w:noWrap/>
          </w:tcPr>
          <w:p w:rsidRPr="00DC209C" w:rsidR="00A30E7B" w:rsidP="003206A4" w:rsidRDefault="00A30E7B" w14:paraId="11875AFA" w14:textId="77777777">
            <w:pPr>
              <w:ind w:firstLine="220" w:firstLineChars="100"/>
              <w:rPr>
                <w:rFonts w:ascii="Arial" w:hAnsi="Arial" w:eastAsia="Times New Roman" w:cs="Arial"/>
                <w:sz w:val="20"/>
                <w:szCs w:val="20"/>
              </w:rPr>
            </w:pPr>
            <w:r w:rsidRPr="00DC209C">
              <w:t>ι. Τμήμα 20 - Δείκτης στοιχείων ενεργητικού 3ου επιπέδου</w:t>
            </w:r>
          </w:p>
        </w:tc>
        <w:tc>
          <w:tcPr>
            <w:tcW w:w="2745" w:type="dxa"/>
            <w:tcBorders>
              <w:left w:val="nil"/>
              <w:right w:val="nil"/>
            </w:tcBorders>
            <w:noWrap/>
          </w:tcPr>
          <w:p w:rsidRPr="00DC209C" w:rsidR="00A30E7B" w:rsidP="003206A4" w:rsidRDefault="00A30E7B" w14:paraId="10B9DCD3" w14:textId="77777777">
            <w:pPr>
              <w:jc w:val="right"/>
              <w:rPr>
                <w:rFonts w:ascii="Arial" w:hAnsi="Arial" w:eastAsia="Times New Roman" w:cs="Arial"/>
                <w:sz w:val="20"/>
                <w:szCs w:val="20"/>
                <w:lang w:eastAsia="en-GB"/>
              </w:rPr>
            </w:pPr>
          </w:p>
        </w:tc>
      </w:tr>
      <w:tr w:rsidRPr="00DC209C" w:rsidR="00A30E7B" w:rsidTr="003206A4" w14:paraId="0D99A055" w14:textId="77777777">
        <w:trPr>
          <w:trHeight w:val="300"/>
        </w:trPr>
        <w:tc>
          <w:tcPr>
            <w:tcW w:w="6804" w:type="dxa"/>
            <w:tcBorders>
              <w:left w:val="nil"/>
              <w:bottom w:val="single" w:color="auto" w:sz="4" w:space="0"/>
              <w:right w:val="nil"/>
            </w:tcBorders>
            <w:noWrap/>
          </w:tcPr>
          <w:p w:rsidRPr="00DC209C" w:rsidR="00A30E7B" w:rsidP="003206A4" w:rsidRDefault="00A30E7B" w14:paraId="0C0785C9" w14:textId="77777777">
            <w:pPr>
              <w:ind w:firstLine="220" w:firstLineChars="100"/>
              <w:rPr>
                <w:rFonts w:ascii="Arial" w:hAnsi="Arial" w:eastAsia="Times New Roman" w:cs="Arial"/>
                <w:sz w:val="20"/>
                <w:szCs w:val="20"/>
              </w:rPr>
            </w:pPr>
            <w:r w:rsidRPr="00DC209C">
              <w:t>ια. Τμήμα 13 - Δείκτης διακρατικών απαιτήσεων</w:t>
            </w:r>
          </w:p>
        </w:tc>
        <w:tc>
          <w:tcPr>
            <w:tcW w:w="2745" w:type="dxa"/>
            <w:tcBorders>
              <w:left w:val="nil"/>
              <w:right w:val="nil"/>
            </w:tcBorders>
            <w:noWrap/>
          </w:tcPr>
          <w:p w:rsidRPr="00DC209C" w:rsidR="00A30E7B" w:rsidP="003206A4" w:rsidRDefault="00A30E7B" w14:paraId="17A41A82" w14:textId="77777777">
            <w:pPr>
              <w:jc w:val="right"/>
              <w:rPr>
                <w:rFonts w:ascii="Arial" w:hAnsi="Arial" w:eastAsia="Times New Roman" w:cs="Arial"/>
                <w:sz w:val="20"/>
                <w:szCs w:val="20"/>
                <w:lang w:eastAsia="en-GB"/>
              </w:rPr>
            </w:pPr>
          </w:p>
        </w:tc>
      </w:tr>
      <w:tr w:rsidRPr="00DC209C" w:rsidR="00A30E7B" w:rsidTr="003206A4" w14:paraId="73986E19" w14:textId="77777777">
        <w:trPr>
          <w:trHeight w:val="300"/>
        </w:trPr>
        <w:tc>
          <w:tcPr>
            <w:tcW w:w="6804" w:type="dxa"/>
            <w:tcBorders>
              <w:left w:val="nil"/>
              <w:bottom w:val="single" w:color="auto" w:sz="4" w:space="0"/>
              <w:right w:val="nil"/>
            </w:tcBorders>
            <w:noWrap/>
          </w:tcPr>
          <w:p w:rsidRPr="00DC209C" w:rsidR="00A30E7B" w:rsidP="003206A4" w:rsidRDefault="00A30E7B" w14:paraId="59A88BB5" w14:textId="77777777">
            <w:pPr>
              <w:ind w:firstLine="220" w:firstLineChars="100"/>
              <w:rPr>
                <w:rFonts w:ascii="Arial" w:hAnsi="Arial" w:eastAsia="Times New Roman" w:cs="Arial"/>
                <w:sz w:val="20"/>
                <w:szCs w:val="20"/>
              </w:rPr>
            </w:pPr>
            <w:r w:rsidRPr="00DC209C">
              <w:t>ιβ. Τμήμα 21 - Δείκτης διακρατικών υποχρεώσεων</w:t>
            </w:r>
          </w:p>
        </w:tc>
        <w:tc>
          <w:tcPr>
            <w:tcW w:w="2745" w:type="dxa"/>
            <w:tcBorders>
              <w:left w:val="nil"/>
              <w:right w:val="nil"/>
            </w:tcBorders>
            <w:noWrap/>
          </w:tcPr>
          <w:p w:rsidRPr="00DC209C" w:rsidR="00A30E7B" w:rsidP="003206A4" w:rsidRDefault="00A30E7B" w14:paraId="32048CC0" w14:textId="77777777">
            <w:pPr>
              <w:jc w:val="right"/>
              <w:rPr>
                <w:rFonts w:ascii="Arial" w:hAnsi="Arial" w:eastAsia="Times New Roman" w:cs="Arial"/>
                <w:sz w:val="20"/>
                <w:szCs w:val="20"/>
                <w:lang w:eastAsia="en-GB"/>
              </w:rPr>
            </w:pPr>
          </w:p>
        </w:tc>
      </w:tr>
    </w:tbl>
    <w:p w:rsidRPr="00DC209C" w:rsidR="00A30E7B" w:rsidP="00A30E7B" w:rsidRDefault="00A30E7B" w14:paraId="39C4B8CF" w14:textId="77777777">
      <w:pPr>
        <w:widowControl w:val="0"/>
        <w:tabs>
          <w:tab w:val="left" w:pos="1116"/>
        </w:tabs>
        <w:autoSpaceDE w:val="0"/>
        <w:spacing w:before="10"/>
      </w:pPr>
    </w:p>
    <w:p w:rsidRPr="00D112ED" w:rsidR="00B43E07" w:rsidP="00A30E7B" w:rsidRDefault="00B43E07" w14:paraId="609D9107" w14:textId="34CF2015">
      <w:pPr>
        <w:widowControl w:val="0"/>
        <w:tabs>
          <w:tab w:val="left" w:pos="525"/>
        </w:tabs>
        <w:autoSpaceDE w:val="0"/>
        <w:autoSpaceDN w:val="0"/>
        <w:spacing w:before="240" w:after="120" w:line="276" w:lineRule="auto"/>
        <w:jc w:val="both"/>
      </w:pPr>
    </w:p>
    <w:sectPr w:rsidRPr="00D112ED" w:rsidR="00B43E0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8E14" w14:textId="77777777" w:rsidR="00643BEE" w:rsidRDefault="00643BEE" w:rsidP="00A00E34">
      <w:r>
        <w:separator/>
      </w:r>
    </w:p>
    <w:p w14:paraId="0BF150FD" w14:textId="77777777" w:rsidR="00643BEE" w:rsidRDefault="00643BEE"/>
  </w:endnote>
  <w:endnote w:type="continuationSeparator" w:id="0">
    <w:p w14:paraId="36FE7007" w14:textId="77777777" w:rsidR="00643BEE" w:rsidRDefault="00643BEE" w:rsidP="00A00E34">
      <w:r>
        <w:continuationSeparator/>
      </w:r>
    </w:p>
    <w:p w14:paraId="5A1C8D9D" w14:textId="77777777" w:rsidR="00643BEE" w:rsidRDefault="00643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17667F" w:rsidRDefault="002215B5"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2215B5" w:rsidP="00610305" w:rsidRDefault="002215B5"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65E" w:rsidP="0017667F" w:rsidRDefault="0019065E" w14:paraId="14D1B6A4" w14:textId="77777777">
    <w:pPr>
      <w:pStyle w:val="Footer"/>
      <w:rPr>
        <w:rStyle w:val="PageNumber"/>
      </w:rPr>
    </w:pPr>
  </w:p>
  <w:p w:rsidRPr="004E0B7C" w:rsidR="002215B5" w:rsidP="0019065E" w:rsidRDefault="002215B5" w14:paraId="7C3A9832" w14:textId="6FAB2C5C">
    <w:pPr>
      <w:pStyle w:val="Footer"/>
      <w:jc w:val="right"/>
      <w:rPr>
        <w:rStyle w:val="PageNumber"/>
        <w:noProof/>
      </w:rPr>
    </w:pPr>
    <w:r w:rsidRPr="004E0B7C">
      <w:rPr>
        <w:rStyle w:val="PageNumber"/>
      </w:rPr>
      <w:fldChar w:fldCharType="begin"/>
    </w:r>
    <w:r w:rsidRPr="004E0B7C">
      <w:rPr>
        <w:rStyle w:val="PageNumber"/>
      </w:rPr>
      <w:instrText xml:space="preserve">PAGE  </w:instrText>
    </w:r>
    <w:r w:rsidRPr="004E0B7C">
      <w:rPr>
        <w:rStyle w:val="PageNumber"/>
      </w:rPr>
      <w:fldChar w:fldCharType="separate"/>
    </w:r>
    <w:r w:rsidR="005131E9">
      <w:rPr>
        <w:rStyle w:val="PageNumber"/>
        <w:noProof/>
      </w:rPr>
      <w:t>17</w:t>
    </w:r>
    <w:r w:rsidRPr="004E0B7C">
      <w:rPr>
        <w:rStyle w:val="PageNumber"/>
      </w:rPr>
      <w:fldChar w:fldCharType="end"/>
    </w:r>
  </w:p>
  <w:p w:rsidRPr="004E0B7C" w:rsidR="002215B5" w:rsidP="00610305" w:rsidRDefault="002215B5" w14:paraId="6EEDA3DB" w14:textId="77777777">
    <w:pPr>
      <w:pStyle w:val="Footer"/>
      <w:ind w:right="360"/>
      <w:rPr>
        <w:noProof/>
      </w:rPr>
    </w:pPr>
    <w:r w:rsidRPr="004E0B7C">
      <w:rPr>
        <w:noProof/>
        <w:lang w:val="en-GB" w:eastAsia="en-GB"/>
      </w:rPr>
      <mc:AlternateContent>
        <mc:Choice Requires="wps">
          <w:drawing>
            <wp:anchor distT="4294967295" distB="4294967295" distL="114300" distR="114300" simplePos="0" relativeHeight="251657728" behindDoc="1" locked="1" layoutInCell="1" allowOverlap="1" wp14:editId="1B7316FE" wp14:anchorId="127A96D1">
              <wp:simplePos x="0" y="0"/>
              <wp:positionH relativeFrom="margin">
                <wp:posOffset>31115</wp:posOffset>
              </wp:positionH>
              <wp:positionV relativeFrom="margin">
                <wp:posOffset>8291195</wp:posOffset>
              </wp:positionV>
              <wp:extent cx="572389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" from="2.45pt,652.85pt" to="453.15pt,652.85pt" w14:anchorId="25540A62">
              <o:lock v:ext="edit" shapetype="f"/>
              <w10:wrap anchorx="margin" anchory="margin"/>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65E" w:rsidRDefault="0019065E" w14:paraId="7F7612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486A" w14:textId="77777777" w:rsidR="00643BEE" w:rsidRPr="00DB5E8F" w:rsidRDefault="00643BEE">
      <w:pPr>
        <w:rPr>
          <w:sz w:val="12"/>
          <w:szCs w:val="12"/>
        </w:rPr>
      </w:pPr>
      <w:r w:rsidRPr="00DB5E8F">
        <w:rPr>
          <w:sz w:val="12"/>
          <w:szCs w:val="12"/>
        </w:rPr>
        <w:separator/>
      </w:r>
    </w:p>
  </w:footnote>
  <w:footnote w:type="continuationSeparator" w:id="0">
    <w:p w14:paraId="2695743F" w14:textId="77777777" w:rsidR="00643BEE" w:rsidRDefault="00643BEE" w:rsidP="00A00E34">
      <w:r>
        <w:continuationSeparator/>
      </w:r>
    </w:p>
    <w:p w14:paraId="4E995D31" w14:textId="77777777" w:rsidR="00643BEE" w:rsidRDefault="00643BEE"/>
  </w:footnote>
  <w:footnote w:type="continuationNotice" w:id="1">
    <w:p w14:paraId="4575047F" w14:textId="77777777" w:rsidR="00643BEE" w:rsidRDefault="00643BEE"/>
  </w:footnote>
  <w:footnote w:id="2">
    <w:p w14:paraId="2B9C6101" w14:textId="2B4968B2" w:rsidR="002215B5" w:rsidRPr="004E0B7C" w:rsidRDefault="002215B5" w:rsidP="00C92B4B">
      <w:pPr>
        <w:pStyle w:val="FootnoteText"/>
        <w:rPr>
          <w:rFonts w:ascii="Calibri" w:hAnsi="Calibri" w:cs="Calibri"/>
        </w:rPr>
      </w:pPr>
      <w:r w:rsidRPr="004E0B7C">
        <w:rPr>
          <w:rStyle w:val="FootnoteReference"/>
          <w:rFonts w:ascii="Calibri" w:hAnsi="Calibri" w:cs="Calibri"/>
          <w:sz w:val="18"/>
        </w:rPr>
        <w:footnoteRef/>
      </w:r>
      <w:r w:rsidRPr="004E0B7C">
        <w:rPr>
          <w:rFonts w:ascii="Calibri" w:hAnsi="Calibri"/>
        </w:rPr>
        <w:t>Κανονισμός (ΕΕ) αριθ. 1093/2010 του Ευρωπαϊκού Κοινοβουλίου και του Συμβουλίου, της 24ης Νοεμβρίου 2010, σχετικά με τη σύσταση Ευρωπαϊκής Εποπτικής Αρχής (Ευρωπαϊκή Αρχή Τραπεζών), την τροποποίηση της απόφασης αριθ. 716/2009/ΕΚ και την κατάργηση της απόφασης 2009/78/ΕΚ της Επιτροπής (ΕΕ L 331 της 15.12.2010, σ. 12).</w:t>
      </w:r>
    </w:p>
  </w:footnote>
  <w:footnote w:id="3">
    <w:p w14:paraId="43CC3CF4" w14:textId="77777777" w:rsidR="00D112ED" w:rsidRPr="00DC209C" w:rsidRDefault="00D112ED" w:rsidP="00D112ED">
      <w:pPr>
        <w:pStyle w:val="FootnoteText"/>
      </w:pPr>
      <w:r w:rsidRPr="00DC209C">
        <w:rPr>
          <w:rStyle w:val="FootnoteReference"/>
          <w:lang w:val="en-GB"/>
        </w:rPr>
        <w:footnoteRef/>
      </w:r>
      <w:r w:rsidRPr="00E757FA">
        <w:t xml:space="preserve"> </w:t>
      </w:r>
      <w:r w:rsidRPr="00DC209C">
        <w:t>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RDefault="002215B5" w14:paraId="41B1516F" w14:textId="12C57839">
    <w:pPr>
      <w:rPr>
        <w:noProof/>
      </w:rPr>
    </w:pPr>
    <w:r>
      <w:ptab w:alignment="center" w:relativeTo="margin" w:leader="none"/>
    </w:r>
    <w:r>
      <w:ptab w:alignment="right" w:relativeTo="margin" w:leader="none"/>
    </w:r>
  </w:p>
  <w:p w:rsidR="002215B5" w:rsidRDefault="002215B5"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arto="http://schemas.microsoft.com/office/word/2006/arto"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B7C" w:rsidP="002215B5" w:rsidRDefault="002215B5" w14:paraId="6B8B9B14" w14:textId="77777777">
    <w:pPr>
      <w:pStyle w:val="Runningtitle"/>
    </w:pPr>
    <w:r w:rsidRPr="004E0B7C">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r w:rsidRPr="004E0B7C">
      <w:t>ΤΕΛΙΚΗ έκθεση για τις κατευθυντήριες γραμμές της ΕΑΤ σχετικά με τον καθορισμό</w:t>
    </w:r>
  </w:p>
  <w:p w:rsidRPr="004E0B7C" w:rsidR="002215B5" w:rsidP="004E0B7C" w:rsidRDefault="002215B5" w14:paraId="122C2463" w14:textId="723F581A">
    <w:pPr>
      <w:pStyle w:val="Runningtitle"/>
      <w:rPr>
        <w:noProof/>
      </w:rPr>
    </w:pPr>
    <w:r w:rsidRPr="004E0B7C">
      <w:t>και τη δημοσιοποίηση</w:t>
    </w:r>
    <w:r w:rsidRPr="004E0B7C" w:rsidR="004E0B7C">
      <w:rPr>
        <w:noProof/>
      </w:rPr>
      <w:t xml:space="preserve"> </w:t>
    </w:r>
    <w:r w:rsidRPr="004E0B7C">
      <w:t>δεικτών συστημικής σημασίας</w:t>
    </w:r>
  </w:p>
  <w:p w:rsidRPr="004E0B7C" w:rsidR="002215B5" w:rsidP="002215B5" w:rsidRDefault="002215B5"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0B7C" w:rsidR="002215B5" w:rsidP="00E677EF" w:rsidRDefault="002215B5" w14:paraId="6E4DF7C2" w14:textId="77777777">
    <w:pPr>
      <w:pStyle w:val="Runningtitle"/>
      <w:rPr>
        <w:noProof/>
        <w:lang w:val="en-GB"/>
      </w:rPr>
    </w:pPr>
    <w:r w:rsidRPr="004E0B7C">
      <w:rPr>
        <w:lang w:val="en-GB"/>
      </w:rPr>
      <w:t>running title comes here in running title style</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70F"/>
    <w:multiLevelType w:val="hybridMultilevel"/>
    <w:tmpl w:val="5B16EA34"/>
    <w:lvl w:ilvl="0" w:tplc="D50E11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5453EDA"/>
    <w:multiLevelType w:val="hybridMultilevel"/>
    <w:tmpl w:val="315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8"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A9A15F4"/>
    <w:multiLevelType w:val="hybridMultilevel"/>
    <w:tmpl w:val="44B2CE44"/>
    <w:lvl w:ilvl="0" w:tplc="67FA7E1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84A36"/>
    <w:multiLevelType w:val="hybridMultilevel"/>
    <w:tmpl w:val="95C2B722"/>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904CD"/>
    <w:multiLevelType w:val="hybridMultilevel"/>
    <w:tmpl w:val="7842D9F2"/>
    <w:lvl w:ilvl="0" w:tplc="14AC8834">
      <w:start w:val="1"/>
      <w:numFmt w:val="decimal"/>
      <w:lvlText w:val="%1."/>
      <w:lvlJc w:val="left"/>
      <w:pPr>
        <w:ind w:left="720" w:hanging="360"/>
      </w:pPr>
      <w:rPr>
        <w:rFonts w:hint="default"/>
      </w:rPr>
    </w:lvl>
    <w:lvl w:ilvl="1" w:tplc="CE0E9A6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22"/>
  </w:num>
  <w:num w:numId="6">
    <w:abstractNumId w:val="1"/>
  </w:num>
  <w:num w:numId="7">
    <w:abstractNumId w:val="21"/>
  </w:num>
  <w:num w:numId="8">
    <w:abstractNumId w:val="19"/>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4"/>
  </w:num>
  <w:num w:numId="17">
    <w:abstractNumId w:val="11"/>
  </w:num>
  <w:num w:numId="18">
    <w:abstractNumId w:val="23"/>
  </w:num>
  <w:num w:numId="19">
    <w:abstractNumId w:val="6"/>
  </w:num>
  <w:num w:numId="20">
    <w:abstractNumId w:val="8"/>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4"/>
  </w:num>
  <w:num w:numId="29">
    <w:abstractNumId w:val="13"/>
  </w:num>
  <w:num w:numId="30">
    <w:abstractNumId w:val="7"/>
  </w:num>
  <w:num w:numId="31">
    <w:abstractNumId w:val="9"/>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5"/>
  </w:num>
  <w:num w:numId="38">
    <w:abstractNumId w:val="17"/>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3"/>
  </w:num>
  <w:num w:numId="47">
    <w:abstractNumId w:val="12"/>
  </w:num>
  <w:num w:numId="48">
    <w:abstractNumId w:val="20"/>
  </w:num>
  <w:num w:numId="49">
    <w:abstractNumId w:val="21"/>
  </w:num>
  <w:num w:numId="5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31B7"/>
    <w:rsid w:val="00027CA0"/>
    <w:rsid w:val="00030D65"/>
    <w:rsid w:val="00040129"/>
    <w:rsid w:val="00051823"/>
    <w:rsid w:val="00060F40"/>
    <w:rsid w:val="00062830"/>
    <w:rsid w:val="0007574B"/>
    <w:rsid w:val="000774B3"/>
    <w:rsid w:val="000843CD"/>
    <w:rsid w:val="00087EEC"/>
    <w:rsid w:val="000A1C81"/>
    <w:rsid w:val="000A3851"/>
    <w:rsid w:val="000A5345"/>
    <w:rsid w:val="000B1645"/>
    <w:rsid w:val="000B2614"/>
    <w:rsid w:val="000C2B79"/>
    <w:rsid w:val="000C3311"/>
    <w:rsid w:val="000C5A8A"/>
    <w:rsid w:val="000C7FD8"/>
    <w:rsid w:val="000D7A44"/>
    <w:rsid w:val="000E0C27"/>
    <w:rsid w:val="000E6D15"/>
    <w:rsid w:val="000F33D3"/>
    <w:rsid w:val="000F3C24"/>
    <w:rsid w:val="000F607B"/>
    <w:rsid w:val="000F6495"/>
    <w:rsid w:val="000F6FD8"/>
    <w:rsid w:val="001061FA"/>
    <w:rsid w:val="00112BF2"/>
    <w:rsid w:val="0011517F"/>
    <w:rsid w:val="00117062"/>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2007"/>
    <w:rsid w:val="0017446F"/>
    <w:rsid w:val="0017667F"/>
    <w:rsid w:val="00177CB9"/>
    <w:rsid w:val="001834D4"/>
    <w:rsid w:val="0019065E"/>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DA3"/>
    <w:rsid w:val="002A3A19"/>
    <w:rsid w:val="002A6F7C"/>
    <w:rsid w:val="002B19D7"/>
    <w:rsid w:val="002C06C1"/>
    <w:rsid w:val="002C0DCF"/>
    <w:rsid w:val="002C1673"/>
    <w:rsid w:val="002C2703"/>
    <w:rsid w:val="002D1867"/>
    <w:rsid w:val="002F2009"/>
    <w:rsid w:val="002F2269"/>
    <w:rsid w:val="00300924"/>
    <w:rsid w:val="003025A8"/>
    <w:rsid w:val="003129B6"/>
    <w:rsid w:val="00314D6E"/>
    <w:rsid w:val="00315AB3"/>
    <w:rsid w:val="00320E57"/>
    <w:rsid w:val="003221EF"/>
    <w:rsid w:val="00322C23"/>
    <w:rsid w:val="003248A2"/>
    <w:rsid w:val="00335FFE"/>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F3AA3"/>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7784"/>
    <w:rsid w:val="004C1B19"/>
    <w:rsid w:val="004C6392"/>
    <w:rsid w:val="004D3523"/>
    <w:rsid w:val="004D7668"/>
    <w:rsid w:val="004E0B7C"/>
    <w:rsid w:val="004E405B"/>
    <w:rsid w:val="004F0AB6"/>
    <w:rsid w:val="004F63DB"/>
    <w:rsid w:val="005037F2"/>
    <w:rsid w:val="00505C64"/>
    <w:rsid w:val="005105EF"/>
    <w:rsid w:val="005131E9"/>
    <w:rsid w:val="0051571A"/>
    <w:rsid w:val="00522627"/>
    <w:rsid w:val="00523895"/>
    <w:rsid w:val="00526B39"/>
    <w:rsid w:val="00532EBE"/>
    <w:rsid w:val="005410AB"/>
    <w:rsid w:val="00543A44"/>
    <w:rsid w:val="005574DA"/>
    <w:rsid w:val="00565691"/>
    <w:rsid w:val="005706A6"/>
    <w:rsid w:val="00571BB6"/>
    <w:rsid w:val="00574B26"/>
    <w:rsid w:val="00575BA7"/>
    <w:rsid w:val="00582AA7"/>
    <w:rsid w:val="0058477C"/>
    <w:rsid w:val="0058568F"/>
    <w:rsid w:val="005A11A7"/>
    <w:rsid w:val="005A6911"/>
    <w:rsid w:val="005B3658"/>
    <w:rsid w:val="005B5C09"/>
    <w:rsid w:val="005C3DFF"/>
    <w:rsid w:val="005C498B"/>
    <w:rsid w:val="005D033E"/>
    <w:rsid w:val="005D4005"/>
    <w:rsid w:val="005D40D1"/>
    <w:rsid w:val="005D6612"/>
    <w:rsid w:val="005E167D"/>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3BEE"/>
    <w:rsid w:val="00645495"/>
    <w:rsid w:val="00655112"/>
    <w:rsid w:val="00663B0A"/>
    <w:rsid w:val="006641F8"/>
    <w:rsid w:val="0066422C"/>
    <w:rsid w:val="00670254"/>
    <w:rsid w:val="00675E42"/>
    <w:rsid w:val="00683BFB"/>
    <w:rsid w:val="006915A4"/>
    <w:rsid w:val="00692AB7"/>
    <w:rsid w:val="00692AD8"/>
    <w:rsid w:val="006973AC"/>
    <w:rsid w:val="006A6A93"/>
    <w:rsid w:val="006C186D"/>
    <w:rsid w:val="006C6D8E"/>
    <w:rsid w:val="006D4C7C"/>
    <w:rsid w:val="006D7393"/>
    <w:rsid w:val="006E0D7A"/>
    <w:rsid w:val="006E3CE5"/>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7C42"/>
    <w:rsid w:val="00821B9D"/>
    <w:rsid w:val="0084468C"/>
    <w:rsid w:val="008552A0"/>
    <w:rsid w:val="008651AA"/>
    <w:rsid w:val="00865492"/>
    <w:rsid w:val="00865A3C"/>
    <w:rsid w:val="00867CB4"/>
    <w:rsid w:val="008708AB"/>
    <w:rsid w:val="00870A33"/>
    <w:rsid w:val="00871962"/>
    <w:rsid w:val="008725EC"/>
    <w:rsid w:val="00874ED5"/>
    <w:rsid w:val="008A4100"/>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42A9"/>
    <w:rsid w:val="00965B80"/>
    <w:rsid w:val="009730FB"/>
    <w:rsid w:val="00976A15"/>
    <w:rsid w:val="00980519"/>
    <w:rsid w:val="009846C5"/>
    <w:rsid w:val="0099008B"/>
    <w:rsid w:val="00993B1E"/>
    <w:rsid w:val="00993BAA"/>
    <w:rsid w:val="00994F87"/>
    <w:rsid w:val="009A1966"/>
    <w:rsid w:val="009A294D"/>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30E7B"/>
    <w:rsid w:val="00A41338"/>
    <w:rsid w:val="00A4361D"/>
    <w:rsid w:val="00A44695"/>
    <w:rsid w:val="00A4607D"/>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E1A2D"/>
    <w:rsid w:val="00AE5347"/>
    <w:rsid w:val="00AE55F6"/>
    <w:rsid w:val="00AE56DB"/>
    <w:rsid w:val="00AF0781"/>
    <w:rsid w:val="00AF21F6"/>
    <w:rsid w:val="00AF2BCB"/>
    <w:rsid w:val="00AF4C86"/>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B2111"/>
    <w:rsid w:val="00BC1D4B"/>
    <w:rsid w:val="00BC3450"/>
    <w:rsid w:val="00BC7FD2"/>
    <w:rsid w:val="00BD1538"/>
    <w:rsid w:val="00BD1DD9"/>
    <w:rsid w:val="00BE2989"/>
    <w:rsid w:val="00BF4906"/>
    <w:rsid w:val="00BF4EC0"/>
    <w:rsid w:val="00BF78EE"/>
    <w:rsid w:val="00C03AE7"/>
    <w:rsid w:val="00C05D9D"/>
    <w:rsid w:val="00C12FA8"/>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12ED"/>
    <w:rsid w:val="00D152E7"/>
    <w:rsid w:val="00D21F91"/>
    <w:rsid w:val="00D251D0"/>
    <w:rsid w:val="00D3796C"/>
    <w:rsid w:val="00D43C43"/>
    <w:rsid w:val="00D44360"/>
    <w:rsid w:val="00D53948"/>
    <w:rsid w:val="00D549B9"/>
    <w:rsid w:val="00D557EE"/>
    <w:rsid w:val="00D56058"/>
    <w:rsid w:val="00D57F4B"/>
    <w:rsid w:val="00D656AD"/>
    <w:rsid w:val="00D6692C"/>
    <w:rsid w:val="00D76E91"/>
    <w:rsid w:val="00D823B5"/>
    <w:rsid w:val="00D849AA"/>
    <w:rsid w:val="00D872D1"/>
    <w:rsid w:val="00D873F3"/>
    <w:rsid w:val="00D90F63"/>
    <w:rsid w:val="00DA6122"/>
    <w:rsid w:val="00DB4809"/>
    <w:rsid w:val="00DB5E8F"/>
    <w:rsid w:val="00DC3E99"/>
    <w:rsid w:val="00DC5214"/>
    <w:rsid w:val="00DC7C3E"/>
    <w:rsid w:val="00DD247B"/>
    <w:rsid w:val="00DD7FF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09B"/>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l-GR"/>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el-GR"/>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el-GR"/>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table" w:customStyle="1" w:styleId="TableGrid1">
    <w:name w:val="Table Grid1"/>
    <w:basedOn w:val="TableNormal"/>
    <w:next w:val="TableGrid"/>
    <w:uiPriority w:val="39"/>
    <w:rsid w:val="00A30E7B"/>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6A93"/>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6A6A93"/>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554704275">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9123-F5C9-4FF5-8DC1-6A7DF932E90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45</ap:TotalTime>
  <ap:Pages>21</ap:Pages>
  <ap:Words>3707</ap:Words>
  <ap:Characters>24860</ap:Characters>
  <ap:Application>Microsoft Office Word</ap:Application>
  <ap:DocSecurity>0</ap:DocSecurity>
  <ap:Lines>207</ap:Lines>
  <ap:Paragraphs>57</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28510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26</revision>
  <lastPrinted>2020-11-04T10:23:00.0000000Z</lastPrinted>
  <dcterms:created xsi:type="dcterms:W3CDTF">2020-11-04T10:04:00.0000000Z</dcterms:created>
  <dcterms:modified xsi:type="dcterms:W3CDTF">2024-04-22T07:42:00.0000000Z</dcterms:modified>
</coreProperties>
</file>