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98787969" w:displacedByCustomXml="next" w:id="0"/>
    <w:bookmarkStart w:name="_Toc298788158" w:displacedByCustomXml="next" w:id="1"/>
    <w:bookmarkStart w:name="_Toc298788641" w:displacedByCustomXml="next" w:id="2"/>
    <w:bookmarkStart w:name="_Toc305686691" w:displacedByCustomXml="next" w:id="3"/>
    <w:bookmarkStart w:name="_Toc306350093" w:displacedByCustomXml="next" w:id="4"/>
    <w:bookmarkStart w:name="_Toc306350113" w:displacedByCustomXml="next" w:id="5"/>
    <w:bookmarkStart w:name="_Toc331517265" w:displacedByCustomXml="next" w:id="6"/>
    <w:bookmarkStart w:name="_Toc245891774" w:displacedByCustomXml="next" w:id="7"/>
    <w:bookmarkStart w:name="_Toc238803087" w:displacedByCustomXml="next" w:id="8"/>
    <w:bookmarkStart w:name="_Toc238803888" w:displacedByCustomXml="next" w:id="9"/>
    <w:sdt>
      <w:sdtPr>
        <w:id w:val="1024973533"/>
        <w:docPartObj>
          <w:docPartGallery w:val="Cover Pages"/>
          <w:docPartUnique/>
        </w:docPartObj>
      </w:sdtPr>
      <w:sdtEndPr/>
      <w:sdtContent>
        <w:p w:rsidRPr="00AF69F4" w:rsidR="00B43E07" w:rsidP="00B43E07" w:rsidRDefault="00B43E07" w14:paraId="05640F5D" w14:textId="77777777">
          <w:pPr>
            <w:rPr>
              <w:lang w:val="en-GB"/>
            </w:rPr>
          </w:pPr>
        </w:p>
        <w:tbl>
          <w:tblPr>
            <w:tblW w:w="0" w:type="auto"/>
            <w:tblCellMar>
              <w:top w:w="85" w:type="dxa"/>
              <w:bottom w:w="85" w:type="dxa"/>
            </w:tblCellMar>
            <w:tblLook w:val="04A0" w:firstRow="1" w:lastRow="0" w:firstColumn="1" w:lastColumn="0" w:noHBand="0" w:noVBand="1"/>
          </w:tblPr>
          <w:tblGrid>
            <w:gridCol w:w="3969"/>
          </w:tblGrid>
          <w:tr w:rsidRPr="00AF69F4" w:rsidR="005B3658" w:rsidTr="00114266" w14:paraId="3170F2D8" w14:textId="77777777">
            <w:tc>
              <w:tcPr>
                <w:tcW w:w="3969" w:type="dxa"/>
                <w:tcBorders>
                  <w:bottom w:val="single" w:color="A6A6A6" w:themeColor="background1" w:themeShade="A6" w:sz="4" w:space="0"/>
                </w:tcBorders>
                <w:shd w:val="clear" w:color="auto" w:fill="auto"/>
              </w:tcPr>
              <w:p w:rsidRPr="00AF69F4" w:rsidR="005B3658" w:rsidP="005B3658" w:rsidRDefault="005B3658" w14:paraId="6AAE07DF" w14:textId="4F06954D">
                <w:r w:rsidRPr="00AF69F4">
                  <w:t>EBA/GL/2020/14</w:t>
                </w:r>
                <w:r w:rsidRPr="00114266" w:rsidR="00114266">
                  <w:t xml:space="preserve"> (konsolideret udgave)</w:t>
                </w:r>
              </w:p>
            </w:tc>
          </w:tr>
          <w:tr w:rsidRPr="00AF69F4" w:rsidR="005B3658" w:rsidTr="00114266" w14:paraId="70F4DBFA" w14:textId="77777777">
            <w:tc>
              <w:tcPr>
                <w:tcW w:w="3969" w:type="dxa"/>
                <w:tcBorders>
                  <w:top w:val="single" w:color="A6A6A6" w:themeColor="background1" w:themeShade="A6" w:sz="4" w:space="0"/>
                  <w:bottom w:val="single" w:color="A6A6A6" w:themeColor="background1" w:themeShade="A6" w:sz="4" w:space="0"/>
                </w:tcBorders>
                <w:shd w:val="clear" w:color="auto" w:fill="auto"/>
              </w:tcPr>
              <w:p w:rsidRPr="00AF69F4" w:rsidR="005B3658" w:rsidP="005B3658" w:rsidRDefault="005B3658" w14:paraId="55211379" w14:textId="73FFF2EB">
                <w:r w:rsidRPr="00AF69F4">
                  <w:rPr>
                    <w:color w:val="000000"/>
                  </w:rPr>
                  <w:t>4. november 2020</w:t>
                </w:r>
              </w:p>
            </w:tc>
          </w:tr>
        </w:tbl>
        <w:p w:rsidRPr="00AF69F4" w:rsidR="00B43E07" w:rsidP="00B43E07" w:rsidRDefault="00B43E07" w14:paraId="2E2B6714" w14:textId="77777777">
          <w:pPr>
            <w:rPr>
              <w:lang w:val="en-GB"/>
            </w:rPr>
          </w:pPr>
        </w:p>
        <w:tbl>
          <w:tblPr>
            <w:tblStyle w:val="TableGrid"/>
            <w:tblW w:w="0" w:type="auto"/>
            <w:tblBorders>
              <w:bottom w:val="none" w:color="auto" w:sz="0" w:space="0"/>
              <w:insideH w:val="none" w:color="auto" w:sz="0" w:space="0"/>
            </w:tblBorders>
            <w:tblLook w:val="04A0" w:firstRow="1" w:lastRow="0" w:firstColumn="1" w:lastColumn="0" w:noHBand="0" w:noVBand="1"/>
          </w:tblPr>
          <w:tblGrid>
            <w:gridCol w:w="8781"/>
          </w:tblGrid>
          <w:tr w:rsidRPr="00AF69F4" w:rsidR="00B43E07" w:rsidTr="00993B1E" w14:paraId="598BC7AF" w14:textId="77777777">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bottom"/>
              </w:tcPr>
              <w:p w:rsidRPr="00DC3BF4" w:rsidR="008455A6" w:rsidP="008455A6" w:rsidRDefault="008455A6" w14:paraId="3CFCC74D" w14:textId="77777777">
                <w:pPr>
                  <w:pStyle w:val="BodyText"/>
                  <w:tabs>
                    <w:tab w:val="left" w:pos="1802"/>
                  </w:tabs>
                  <w:spacing w:before="100" w:after="60" w:line="276" w:lineRule="auto"/>
                  <w:ind w:left="425" w:right="232"/>
                  <w:jc w:val="both"/>
                  <w:rPr>
                    <w:color w:val="E98E31" w:themeColor="background2"/>
                    <w:spacing w:val="-1"/>
                  </w:rPr>
                </w:pPr>
                <w:r w:rsidRPr="007B541C">
                  <w:rPr>
                    <w:rFonts w:ascii="Wingdings" w:hAnsi="Wingdings" w:eastAsia="Wingdings" w:cs="Wingdings"/>
                    <w:color w:val="E98E31"/>
                    <w:highlight w:val="yellow"/>
                    <w:lang w:val="en-GB"/>
                  </w:rPr>
                  <w:t>Ø</w:t>
                </w:r>
                <w:r w:rsidRPr="007B541C">
                  <w:rPr>
                    <w:rFonts w:eastAsia="MS PGothic" w:cs="Times New Roman"/>
                    <w:color w:val="E98E31"/>
                    <w:highlight w:val="yellow"/>
                    <w:lang w:val="en-GB"/>
                  </w:rPr>
                  <w:t>O</w:t>
                </w:r>
                <w:r w:rsidRPr="00DC3BF4">
                  <w:rPr>
                    <w:color w:val="E98E31" w:themeColor="background2"/>
                    <w:spacing w:val="-1"/>
                  </w:rPr>
                  <w:t xml:space="preserve"> </w:t>
                </w:r>
              </w:p>
              <w:p w:rsidRPr="00AF69F4" w:rsidR="00B43E07" w:rsidP="00721D07" w:rsidRDefault="00A81586" w14:paraId="6E80AD78" w14:textId="0780861E">
                <w:pPr>
                  <w:pStyle w:val="Contenttitle"/>
                </w:pPr>
                <w:r w:rsidRPr="00AF69F4">
                  <w:t xml:space="preserve">Retningslinjer </w:t>
                </w:r>
              </w:p>
            </w:tc>
          </w:tr>
          <w:tr w:rsidRPr="00AF69F4" w:rsidR="00B43E07" w:rsidTr="00993B1E" w14:paraId="15A7E3AC" w14:textId="77777777">
            <w:tc>
              <w:tcPr>
                <w:tcW w:w="8781" w:type="dxa"/>
                <w:tcMar>
                  <w:left w:w="0" w:type="dxa"/>
                  <w:right w:w="0" w:type="dxa"/>
                </w:tcMar>
                <w:vAlign w:val="top"/>
              </w:tcPr>
              <w:p w:rsidRPr="005C5C74" w:rsidR="00B43E07" w:rsidP="001405D4" w:rsidRDefault="00B43E07" w14:paraId="0720F01B" w14:textId="0D88786C">
                <w:pPr>
                  <w:pStyle w:val="Titlelevel4"/>
                  <w:rPr>
                    <w:lang w:val="da-DK"/>
                  </w:rPr>
                </w:pPr>
                <w:r w:rsidRPr="005C5C74">
                  <w:rPr>
                    <w:rFonts w:asciiTheme="majorHAnsi" w:hAnsiTheme="majorHAnsi"/>
                    <w:bCs/>
                    <w:color w:val="2F5773" w:themeColor="text2"/>
                    <w:sz w:val="52"/>
                    <w:szCs w:val="52"/>
                    <w:lang w:val="da-DK"/>
                  </w:rPr>
                  <w:t>for specifikation og offentliggørelse af indikatorer af systemisk betydning</w:t>
                </w:r>
              </w:p>
            </w:tc>
          </w:tr>
        </w:tbl>
        <w:p w:rsidRPr="00114266" w:rsidR="00B43E07" w:rsidP="00B43E07" w:rsidRDefault="00B43E07" w14:paraId="41F2A21B" w14:textId="77777777">
          <w:pPr>
            <w:rPr>
              <w:sz w:val="52"/>
              <w:szCs w:val="52"/>
            </w:rPr>
          </w:pPr>
        </w:p>
        <w:p w:rsidRPr="00114266" w:rsidR="00B43E07" w:rsidP="00B43E07" w:rsidRDefault="00B43E07" w14:paraId="1441AC18" w14:textId="6D7FAE54">
          <w:pPr>
            <w:rPr>
              <w:sz w:val="52"/>
              <w:szCs w:val="52"/>
            </w:rPr>
          </w:pPr>
        </w:p>
        <w:p w:rsidRPr="00114266" w:rsidR="00114266" w:rsidP="00B43E07" w:rsidRDefault="00114266" w14:paraId="564FAC59" w14:textId="4993B876">
          <w:pPr>
            <w:rPr>
              <w:sz w:val="52"/>
              <w:szCs w:val="52"/>
            </w:rPr>
          </w:pPr>
        </w:p>
        <w:p w:rsidRPr="00114266" w:rsidR="00114266" w:rsidP="00B43E07" w:rsidRDefault="00114266" w14:paraId="43185072" w14:textId="16D30D7E">
          <w:pPr>
            <w:rPr>
              <w:sz w:val="52"/>
              <w:szCs w:val="52"/>
            </w:rPr>
          </w:pPr>
        </w:p>
        <w:p w:rsidR="00114266" w:rsidP="00B43E07" w:rsidRDefault="00114266" w14:paraId="39B959B7" w14:textId="16B38B23"/>
        <w:tbl>
          <w:tblPr>
            <w:tblStyle w:val="EBAtable"/>
            <w:tblW w:w="9125" w:type="dxa"/>
            <w:tblLook w:val="04A0" w:firstRow="1" w:lastRow="0" w:firstColumn="1" w:lastColumn="0" w:noHBand="0" w:noVBand="1"/>
          </w:tblPr>
          <w:tblGrid>
            <w:gridCol w:w="824"/>
            <w:gridCol w:w="2190"/>
            <w:gridCol w:w="6111"/>
          </w:tblGrid>
          <w:tr w:rsidRPr="00D13DB3" w:rsidR="00114266" w:rsidTr="005D18C0" w14:paraId="199EED5D" w14:textId="77777777">
            <w:trPr>
              <w:cnfStyle w:val="100000000000" w:firstRow="1" w:lastRow="0" w:firstColumn="0" w:lastColumn="0" w:oddVBand="0" w:evenVBand="0" w:oddHBand="0" w:evenHBand="0" w:firstRowFirstColumn="0" w:firstRowLastColumn="0" w:lastRowFirstColumn="0" w:lastRowLastColumn="0"/>
              <w:trHeight w:val="300"/>
            </w:trPr>
            <w:tc>
              <w:tcPr>
                <w:tcW w:w="3014" w:type="dxa"/>
                <w:gridSpan w:val="2"/>
                <w:tcBorders>
                  <w:top w:val="single" w:color="auto" w:sz="12" w:space="0"/>
                  <w:left w:val="single" w:color="auto" w:sz="12" w:space="0"/>
                </w:tcBorders>
              </w:tcPr>
              <w:p w:rsidRPr="00D13DB3" w:rsidR="00114266" w:rsidP="005D18C0" w:rsidRDefault="00114266" w14:paraId="144ADF0E" w14:textId="77777777">
                <w:pPr>
                  <w:spacing w:before="240" w:after="120" w:line="276" w:lineRule="auto"/>
                  <w:jc w:val="both"/>
                  <w:rPr>
                    <w:rFonts w:eastAsia="MS PGothic" w:cs="Times New Roman"/>
                    <w:lang w:eastAsia="en-GB"/>
                  </w:rPr>
                </w:pPr>
              </w:p>
              <w:p w:rsidRPr="00D13DB3" w:rsidR="00114266" w:rsidP="005D18C0" w:rsidRDefault="00114266" w14:paraId="175BD363" w14:textId="77777777">
                <w:pPr>
                  <w:rPr>
                    <w:rFonts w:eastAsia="MS PGothic" w:cs="Times New Roman"/>
                    <w:lang w:val="en-GB" w:eastAsia="en-GB"/>
                  </w:rPr>
                </w:pPr>
              </w:p>
            </w:tc>
            <w:tc>
              <w:tcPr>
                <w:tcW w:w="6111" w:type="dxa"/>
                <w:tcBorders>
                  <w:top w:val="single" w:color="auto" w:sz="12" w:space="0"/>
                  <w:right w:val="single" w:color="auto" w:sz="12" w:space="0"/>
                </w:tcBorders>
              </w:tcPr>
              <w:p w:rsidRPr="00114266" w:rsidR="00114266" w:rsidP="00114266" w:rsidRDefault="00114266" w14:paraId="38C93264" w14:textId="1398E848">
                <w:pPr>
                  <w:rPr>
                    <w:rFonts w:ascii="Calibri" w:hAnsi="Calibri" w:cs="Calibri"/>
                    <w:color w:val="000000"/>
                    <w:szCs w:val="22"/>
                  </w:rPr>
                </w:pPr>
                <w:r>
                  <w:rPr>
                    <w:rFonts w:ascii="Calibri" w:hAnsi="Calibri" w:cs="Calibri"/>
                    <w:color w:val="000000"/>
                    <w:szCs w:val="22"/>
                  </w:rPr>
                  <w:t>Anvendelsesdato</w:t>
                </w:r>
              </w:p>
            </w:tc>
          </w:tr>
          <w:tr w:rsidRPr="00D13DB3" w:rsidR="00114266" w:rsidTr="005D18C0" w14:paraId="7A08318B" w14:textId="77777777">
            <w:trPr>
              <w:trHeight w:val="300"/>
            </w:trPr>
            <w:tc>
              <w:tcPr>
                <w:tcW w:w="3014" w:type="dxa"/>
                <w:gridSpan w:val="2"/>
                <w:tcBorders>
                  <w:left w:val="single" w:color="auto" w:sz="12" w:space="0"/>
                </w:tcBorders>
              </w:tcPr>
              <w:p w:rsidRPr="00D13DB3" w:rsidR="00114266" w:rsidP="005D18C0" w:rsidRDefault="00114266" w14:paraId="0104C3C2" w14:textId="77777777">
                <w:pPr>
                  <w:rPr>
                    <w:rFonts w:eastAsia="MS PGothic" w:cs="Times New Roman"/>
                    <w:lang w:val="en-GB" w:eastAsia="en-GB"/>
                  </w:rPr>
                </w:pPr>
                <w:r w:rsidRPr="007B541C">
                  <w:rPr>
                    <w:rFonts w:ascii="Wingdings" w:hAnsi="Wingdings" w:eastAsia="Wingdings" w:cs="Wingdings"/>
                    <w:color w:val="E98E31"/>
                    <w:highlight w:val="yellow"/>
                    <w:lang w:val="en-GB" w:eastAsia="en-GB"/>
                  </w:rPr>
                  <w:t>Ø</w:t>
                </w:r>
                <w:r w:rsidRPr="007B541C">
                  <w:rPr>
                    <w:rFonts w:eastAsia="MS PGothic" w:cs="Times New Roman"/>
                    <w:color w:val="E98E31"/>
                    <w:highlight w:val="yellow"/>
                    <w:lang w:val="en-GB" w:eastAsia="en-GB"/>
                  </w:rPr>
                  <w:t>O</w:t>
                </w:r>
              </w:p>
            </w:tc>
            <w:tc>
              <w:tcPr>
                <w:tcW w:w="6111" w:type="dxa"/>
                <w:tcBorders>
                  <w:right w:val="single" w:color="auto" w:sz="12" w:space="0"/>
                </w:tcBorders>
              </w:tcPr>
              <w:p w:rsidRPr="00D13DB3" w:rsidR="00114266" w:rsidP="005D18C0" w:rsidRDefault="00114266" w14:paraId="2ED69B15" w14:textId="77777777">
                <w:pPr>
                  <w:rPr>
                    <w:rFonts w:eastAsia="MS PGothic" w:cs="Times New Roman"/>
                    <w:lang w:val="en-GB" w:eastAsia="en-GB"/>
                  </w:rPr>
                </w:pPr>
                <w:r>
                  <w:rPr>
                    <w:rFonts w:eastAsia="MS PGothic" w:cs="Times New Roman"/>
                    <w:lang w:val="en-GB" w:eastAsia="en-GB"/>
                  </w:rPr>
                  <w:t>04</w:t>
                </w:r>
                <w:r w:rsidRPr="00D13DB3">
                  <w:rPr>
                    <w:rFonts w:eastAsia="MS PGothic" w:cs="Times New Roman"/>
                    <w:lang w:val="en-GB" w:eastAsia="en-GB"/>
                  </w:rPr>
                  <w:t>.</w:t>
                </w:r>
                <w:r>
                  <w:rPr>
                    <w:rFonts w:eastAsia="MS PGothic" w:cs="Times New Roman"/>
                    <w:lang w:val="en-GB" w:eastAsia="en-GB"/>
                  </w:rPr>
                  <w:t>11</w:t>
                </w:r>
                <w:r w:rsidRPr="00D13DB3">
                  <w:rPr>
                    <w:rFonts w:eastAsia="MS PGothic" w:cs="Times New Roman"/>
                    <w:lang w:val="en-GB" w:eastAsia="en-GB"/>
                  </w:rPr>
                  <w:t>.</w:t>
                </w:r>
                <w:r>
                  <w:rPr>
                    <w:rFonts w:eastAsia="MS PGothic" w:cs="Times New Roman"/>
                    <w:lang w:val="en-GB" w:eastAsia="en-GB"/>
                  </w:rPr>
                  <w:t>2020</w:t>
                </w:r>
              </w:p>
            </w:tc>
          </w:tr>
          <w:tr w:rsidRPr="00D13DB3" w:rsidR="00114266" w:rsidTr="005D18C0" w14:paraId="28B583D4" w14:textId="77777777">
            <w:trPr>
              <w:trHeight w:val="300"/>
            </w:trPr>
            <w:tc>
              <w:tcPr>
                <w:tcW w:w="3014" w:type="dxa"/>
                <w:gridSpan w:val="2"/>
                <w:tcBorders>
                  <w:left w:val="single" w:color="auto" w:sz="12" w:space="0"/>
                </w:tcBorders>
              </w:tcPr>
              <w:p w:rsidRPr="00114266" w:rsidR="00114266" w:rsidP="00114266" w:rsidRDefault="00114266" w14:paraId="2761A0B0" w14:textId="4C53BAE2">
                <w:pPr>
                  <w:rPr>
                    <w:rFonts w:ascii="Calibri" w:hAnsi="Calibri" w:cs="Calibri"/>
                    <w:color w:val="000000"/>
                    <w:szCs w:val="22"/>
                  </w:rPr>
                </w:pPr>
                <w:r>
                  <w:rPr>
                    <w:rFonts w:ascii="Calibri" w:hAnsi="Calibri" w:cs="Calibri"/>
                    <w:color w:val="000000"/>
                    <w:szCs w:val="22"/>
                  </w:rPr>
                  <w:t>Ændret ved:</w:t>
                </w:r>
              </w:p>
            </w:tc>
            <w:tc>
              <w:tcPr>
                <w:tcW w:w="6111" w:type="dxa"/>
                <w:tcBorders>
                  <w:right w:val="single" w:color="auto" w:sz="12" w:space="0"/>
                </w:tcBorders>
              </w:tcPr>
              <w:p w:rsidRPr="00D13DB3" w:rsidR="00114266" w:rsidP="005D18C0" w:rsidRDefault="00114266" w14:paraId="675E537B" w14:textId="77777777">
                <w:pPr>
                  <w:rPr>
                    <w:rFonts w:eastAsia="MS PGothic" w:cs="Times New Roman"/>
                    <w:lang w:val="en-GB" w:eastAsia="en-GB"/>
                  </w:rPr>
                </w:pPr>
              </w:p>
            </w:tc>
          </w:tr>
          <w:tr w:rsidRPr="00D13DB3" w:rsidR="00114266" w:rsidTr="005D18C0" w14:paraId="24574219" w14:textId="77777777">
            <w:trPr>
              <w:trHeight w:val="58"/>
            </w:trPr>
            <w:tc>
              <w:tcPr>
                <w:tcW w:w="824" w:type="dxa"/>
                <w:tcBorders>
                  <w:left w:val="single" w:color="auto" w:sz="12" w:space="0"/>
                  <w:bottom w:val="single" w:color="auto" w:sz="12" w:space="0"/>
                </w:tcBorders>
              </w:tcPr>
              <w:p w:rsidRPr="00D13DB3" w:rsidR="00114266" w:rsidP="005D18C0" w:rsidRDefault="00114266" w14:paraId="568F364E" w14:textId="77777777">
                <w:pPr>
                  <w:rPr>
                    <w:rFonts w:eastAsia="MS PGothic" w:cs="Times New Roman"/>
                    <w:color w:val="E98E31"/>
                    <w:lang w:val="en-GB" w:eastAsia="en-GB"/>
                  </w:rPr>
                </w:pPr>
                <w:r w:rsidRPr="007B541C">
                  <w:rPr>
                    <w:rFonts w:ascii="Wingdings" w:hAnsi="Wingdings" w:eastAsia="Wingdings" w:cs="Wingdings"/>
                    <w:color w:val="E98E31"/>
                    <w:highlight w:val="green"/>
                    <w:lang w:val="en-GB" w:eastAsia="en-GB"/>
                  </w:rPr>
                  <w:t>Ø</w:t>
                </w:r>
                <w:r w:rsidRPr="007B541C">
                  <w:rPr>
                    <w:rFonts w:eastAsia="Wingdings" w:cs="Wingdings"/>
                    <w:color w:val="E98E31"/>
                    <w:highlight w:val="green"/>
                    <w:lang w:val="en-GB" w:eastAsia="en-GB"/>
                  </w:rPr>
                  <w:t>A1</w:t>
                </w:r>
              </w:p>
            </w:tc>
            <w:tc>
              <w:tcPr>
                <w:tcW w:w="2190" w:type="dxa"/>
                <w:tcBorders>
                  <w:bottom w:val="single" w:color="auto" w:sz="12" w:space="0"/>
                </w:tcBorders>
              </w:tcPr>
              <w:p w:rsidRPr="00D13DB3" w:rsidR="00114266" w:rsidP="005D18C0" w:rsidRDefault="00114266" w14:paraId="4F232374" w14:textId="77777777">
                <w:pPr>
                  <w:rPr>
                    <w:rFonts w:eastAsia="MS PGothic" w:cs="Times New Roman"/>
                  </w:rPr>
                </w:pPr>
                <w:r w:rsidRPr="00D13DB3">
                  <w:rPr>
                    <w:rFonts w:eastAsia="MS PGothic" w:cs="Times New Roman"/>
                  </w:rPr>
                  <w:t>EBA/GL</w:t>
                </w:r>
                <w:r w:rsidRPr="005261FC">
                  <w:t>/2023/10</w:t>
                </w:r>
              </w:p>
            </w:tc>
            <w:tc>
              <w:tcPr>
                <w:tcW w:w="6111" w:type="dxa"/>
                <w:tcBorders>
                  <w:bottom w:val="single" w:color="auto" w:sz="12" w:space="0"/>
                  <w:right w:val="single" w:color="auto" w:sz="12" w:space="0"/>
                </w:tcBorders>
              </w:tcPr>
              <w:p w:rsidRPr="00D13DB3" w:rsidR="00114266" w:rsidP="005D18C0" w:rsidRDefault="00114266" w14:paraId="1214002C" w14:textId="77777777">
                <w:pPr>
                  <w:rPr>
                    <w:rFonts w:eastAsia="MS PGothic" w:cs="Times New Roman"/>
                    <w:lang w:val="en-GB" w:eastAsia="en-GB"/>
                  </w:rPr>
                </w:pPr>
              </w:p>
            </w:tc>
          </w:tr>
        </w:tbl>
        <w:p w:rsidRPr="005C5C74" w:rsidR="00114266" w:rsidP="00B43E07" w:rsidRDefault="00114266" w14:paraId="00ED8666" w14:textId="77777777"/>
        <w:p w:rsidRPr="00AF69F4" w:rsidR="00B43E07" w:rsidP="00B43E07" w:rsidRDefault="00B43E07" w14:paraId="3673D6BB" w14:textId="77777777">
          <w:r w:rsidRPr="00AF69F4">
            <w:br w:type="page"/>
          </w:r>
        </w:p>
      </w:sdtContent>
    </w:sdt>
    <w:p w:rsidRPr="00AF69F4" w:rsidR="00B43E07" w:rsidP="005C5C74" w:rsidRDefault="00B43E07" w14:paraId="72D6F5BF" w14:textId="29F6AF68">
      <w:pPr>
        <w:pStyle w:val="Numberedtilelevel1"/>
        <w:numPr>
          <w:ilvl w:val="0"/>
          <w:numId w:val="12"/>
        </w:numPr>
      </w:pPr>
      <w:r w:rsidRPr="00AF69F4">
        <w:lastRenderedPageBreak/>
        <w:t>Compliance og indberetning</w:t>
      </w:r>
      <w:r w:rsidR="001405D4">
        <w:t>s</w:t>
      </w:r>
      <w:r w:rsidRPr="00AF69F4">
        <w:t>forpligtelser</w:t>
      </w:r>
    </w:p>
    <w:p w:rsidRPr="00AF69F4" w:rsidR="00B43E07" w:rsidP="00B43E07" w:rsidRDefault="00B43E07" w14:paraId="3B9E826E" w14:textId="5EE3EC56">
      <w:pPr>
        <w:pStyle w:val="Titlelevel2"/>
      </w:pPr>
      <w:r w:rsidRPr="00AF69F4">
        <w:t>Status for disse retningslinjer</w:t>
      </w:r>
    </w:p>
    <w:p w:rsidRPr="00AF69F4" w:rsidR="00B43E07" w:rsidP="005C5C74" w:rsidRDefault="00B43E07" w14:paraId="4AFE96B1" w14:textId="13B187BE">
      <w:pPr>
        <w:pStyle w:val="body"/>
        <w:numPr>
          <w:ilvl w:val="0"/>
          <w:numId w:val="10"/>
        </w:numPr>
      </w:pPr>
      <w:r w:rsidRPr="00AF69F4">
        <w:t>Dette dokument indeholder retningslinjer, der er udstedt i henhold til artikel 16 i forordning (EU) nr. 1093/2010</w:t>
      </w:r>
      <w:r w:rsidRPr="00AF69F4">
        <w:rPr>
          <w:rStyle w:val="FootnoteReference"/>
          <w:lang w:val="en-GB"/>
        </w:rPr>
        <w:footnoteReference w:id="2"/>
      </w:r>
      <w:r w:rsidRPr="00AF69F4">
        <w:t>. I henhold til artikel 16, stk. 3, i forordning (EU) nr. 1093/2010 skal de kompetente myndigheder og finansielle institutioner bestræbe sig på at efterleve disse retningslinjer bedst muligt.</w:t>
      </w:r>
    </w:p>
    <w:p w:rsidRPr="00AF69F4" w:rsidR="00B43E07" w:rsidP="005C5C74" w:rsidRDefault="00B43E07" w14:paraId="23E7F140" w14:textId="3D37D02B">
      <w:pPr>
        <w:pStyle w:val="body"/>
        <w:numPr>
          <w:ilvl w:val="0"/>
          <w:numId w:val="10"/>
        </w:numPr>
      </w:pPr>
      <w:r w:rsidRPr="00AF69F4">
        <w:t xml:space="preserve">Retningslinjerne afspejler EBAs syn på passende tilsynspraksis inden for det europæiske finanstilsynssystem eller på, hvordan EU-retten bør anvendes inden for et bestemt område.  De kompetente myndigheder, som er </w:t>
      </w:r>
      <w:r w:rsidR="001405D4">
        <w:t>beskreve</w:t>
      </w:r>
      <w:r w:rsidRPr="00AF69F4" w:rsidR="001405D4">
        <w:t xml:space="preserve">t </w:t>
      </w:r>
      <w:r w:rsidRPr="00AF69F4">
        <w:t xml:space="preserve">i artikel 4, stk. 2, i forordning (EU) nr. 1093/2010, og som er omfattet af retningslinjerne, bør efterleve disse ved i </w:t>
      </w:r>
      <w:r w:rsidRPr="00AF69F4" w:rsidR="0080534E">
        <w:t>nødvendigt</w:t>
      </w:r>
      <w:r w:rsidRPr="00AF69F4">
        <w:t xml:space="preserve"> omfang at indarbejde dem i deres praksis (f.eks. ved at ændre deres ret</w:t>
      </w:r>
      <w:r w:rsidR="0080534E">
        <w:t>s</w:t>
      </w:r>
      <w:r w:rsidRPr="00AF69F4">
        <w:t>lige rammer eller deres tilsynsprocesser), også hvor retningslinjerne primært er rettet mod institutter</w:t>
      </w:r>
      <w:r w:rsidR="0080534E">
        <w:t>.</w:t>
      </w:r>
    </w:p>
    <w:p w:rsidRPr="00AF69F4" w:rsidR="00B43E07" w:rsidP="00B43E07" w:rsidRDefault="00B43E07" w14:paraId="141EDBC6" w14:textId="77777777">
      <w:pPr>
        <w:pStyle w:val="Titlelevel2"/>
      </w:pPr>
      <w:r w:rsidRPr="00AF69F4">
        <w:t>Indberetningskrav</w:t>
      </w:r>
    </w:p>
    <w:p w:rsidRPr="00AF69F4" w:rsidR="00B43E07" w:rsidP="005C5C74" w:rsidRDefault="00236329" w14:paraId="7EE20541" w14:textId="4825C95A">
      <w:pPr>
        <w:pStyle w:val="body"/>
        <w:numPr>
          <w:ilvl w:val="0"/>
          <w:numId w:val="10"/>
        </w:numPr>
      </w:pPr>
      <w:r w:rsidRPr="00AF69F4">
        <w:t>I henhold til artikel 16, stk. 3, i forordning (EU) nr. 1093/2010 skal de kompetente myndigheder senest den (</w:t>
      </w:r>
      <w:r w:rsidR="00C16B4D">
        <w:t>16.02.2021</w:t>
      </w:r>
      <w:r w:rsidRPr="00AF69F4">
        <w:t>) underrette EBA om, hvorvidt de efterlever eller agter at efterleve disse retningslinjer, eller begrunde en eventuel manglende efterlevelse. Hvis EBA ikke er blevet underrettet inden denne dato, anser EBA de kompetente myndigheder for ikke at efterleve retningslinjerne. Underretninger fremsendes ved hjælp af det skema, der er tilgængeligt på EBAs websted, med referencen "EBA/GL/2020/14". Underretninger fremsendes af personer med behørig beføjelse til at indberette efterlevelse på vegne af deres kompetente myndigheder. Enhver ændring af status med hensyn til efterlevelse skal også meddeles EBA.</w:t>
      </w:r>
    </w:p>
    <w:p w:rsidRPr="00AF69F4" w:rsidR="00B43E07" w:rsidP="005C5C74" w:rsidRDefault="00B43E07" w14:paraId="3FF09602" w14:textId="4AFC5DB8">
      <w:pPr>
        <w:pStyle w:val="body"/>
        <w:numPr>
          <w:ilvl w:val="0"/>
          <w:numId w:val="10"/>
        </w:numPr>
      </w:pPr>
      <w:r w:rsidRPr="00AF69F4">
        <w:t>Underretninger offentliggøres på EBAs websted i henhold til artikel 16, stk. 3.</w:t>
      </w:r>
    </w:p>
    <w:p w:rsidRPr="00AF69F4" w:rsidR="00B43E07" w:rsidP="00B43E07" w:rsidRDefault="00B43E07" w14:paraId="0BB7AD43" w14:textId="77777777">
      <w:pPr>
        <w:pStyle w:val="Titlelevel2"/>
      </w:pPr>
      <w:r w:rsidRPr="00AF69F4">
        <w:br w:type="page"/>
      </w:r>
    </w:p>
    <w:p w:rsidRPr="00AF69F4" w:rsidR="00B43E07" w:rsidP="00CE3517" w:rsidRDefault="00B43E07" w14:paraId="207E9159" w14:textId="77777777">
      <w:pPr>
        <w:pStyle w:val="Numberedtilelevel1"/>
      </w:pPr>
      <w:r w:rsidRPr="00AF69F4">
        <w:lastRenderedPageBreak/>
        <w:t>Emne, anvendelsesområde og definitioner</w:t>
      </w:r>
    </w:p>
    <w:p w:rsidRPr="00AF69F4" w:rsidR="00B43E07" w:rsidP="00B43E07" w:rsidRDefault="00B43E07" w14:paraId="329ACB0A" w14:textId="77777777">
      <w:pPr>
        <w:pStyle w:val="Titlelevel2"/>
      </w:pPr>
      <w:r w:rsidRPr="00AF69F4">
        <w:t>Emne</w:t>
      </w:r>
    </w:p>
    <w:p w:rsidRPr="00AF69F4" w:rsidR="00DE0FE1" w:rsidP="005C5C74" w:rsidRDefault="00DE0FE1" w14:paraId="667A5E79" w14:textId="75DF9FF9">
      <w:pPr>
        <w:pStyle w:val="body"/>
        <w:numPr>
          <w:ilvl w:val="0"/>
          <w:numId w:val="10"/>
        </w:numPr>
      </w:pPr>
      <w:r w:rsidRPr="00AF69F4">
        <w:t>Retningslinjerne vedrører:</w:t>
      </w:r>
    </w:p>
    <w:p w:rsidRPr="00AF69F4" w:rsidR="00DE0FE1" w:rsidP="005C5C74" w:rsidRDefault="00DE0FE1" w14:paraId="7F872996" w14:textId="017F20C9">
      <w:pPr>
        <w:pStyle w:val="body"/>
        <w:numPr>
          <w:ilvl w:val="1"/>
          <w:numId w:val="13"/>
        </w:numPr>
      </w:pPr>
      <w:r w:rsidRPr="00AF69F4">
        <w:t>specifikationen af de indikatorer, der anvendes til identifikation af globale systemisk vigtige institutter (G-SII'er) i henhold til forordning (EU) nr. 1222/2014 ("indikatorer")</w:t>
      </w:r>
    </w:p>
    <w:p w:rsidRPr="00AF69F4" w:rsidR="00B43E07" w:rsidP="005C5C74" w:rsidRDefault="00DE0FE1" w14:paraId="776C11F3" w14:textId="58E74370">
      <w:pPr>
        <w:pStyle w:val="body"/>
        <w:numPr>
          <w:ilvl w:val="1"/>
          <w:numId w:val="13"/>
        </w:numPr>
      </w:pPr>
      <w:r w:rsidRPr="00AF69F4">
        <w:t>indberetningen af de underliggende data (indikatorer, supplerende data og memorandumposter) og den årlige offentliggørelse af de deraf følgende indikatorværdier, der anvendes til at identificere G-SII'er.</w:t>
      </w:r>
    </w:p>
    <w:p w:rsidRPr="00AF69F4" w:rsidR="00B43E07" w:rsidP="00B43E07" w:rsidRDefault="00B43E07" w14:paraId="07F996E2" w14:textId="77777777">
      <w:pPr>
        <w:pStyle w:val="Titlelevel2"/>
      </w:pPr>
      <w:r w:rsidRPr="00AF69F4">
        <w:t>Anvendelsesområde</w:t>
      </w:r>
    </w:p>
    <w:p w:rsidRPr="00AF69F4" w:rsidR="00DE0FE1" w:rsidP="005C5C74" w:rsidRDefault="00B43E07" w14:paraId="71B629CF" w14:textId="05197A71">
      <w:pPr>
        <w:pStyle w:val="body"/>
        <w:numPr>
          <w:ilvl w:val="0"/>
          <w:numId w:val="10"/>
        </w:numPr>
      </w:pPr>
      <w:r w:rsidRPr="00AF69F4">
        <w:t>Retningslinjerne finder anvendelse på:</w:t>
      </w:r>
    </w:p>
    <w:p w:rsidRPr="00AF69F4" w:rsidR="00DE0FE1" w:rsidP="005C5C74" w:rsidRDefault="000F3C24" w14:paraId="73EAD676" w14:textId="3140197F">
      <w:pPr>
        <w:pStyle w:val="body"/>
        <w:numPr>
          <w:ilvl w:val="0"/>
          <w:numId w:val="14"/>
        </w:numPr>
      </w:pPr>
      <w:r w:rsidRPr="00AF69F4">
        <w:t>koncerner under ledelse af et moderinstitut i EU, et finansielt moderholdingselskab i EU eller et blandet finansielt moderholdingselskab i EU og</w:t>
      </w:r>
    </w:p>
    <w:p w:rsidRPr="00AF69F4" w:rsidR="00B43E07" w:rsidP="005C5C74" w:rsidRDefault="00DE0FE1" w14:paraId="0D1E1C78" w14:textId="031EF3C2">
      <w:pPr>
        <w:pStyle w:val="body"/>
        <w:numPr>
          <w:ilvl w:val="0"/>
          <w:numId w:val="14"/>
        </w:numPr>
      </w:pPr>
      <w:r w:rsidRPr="00AF69F4">
        <w:t>institutter, som ikke er datterselskaber i et moderinstitut i EU, et finansielt moderholdingselskab i EU eller et blandet finansielt moderholdingselskab i EU</w:t>
      </w:r>
    </w:p>
    <w:p w:rsidRPr="00AF69F4" w:rsidR="00B43E07" w:rsidP="004046E2" w:rsidRDefault="003A2221" w14:paraId="5736DC31" w14:textId="4EFD73A2">
      <w:pPr>
        <w:pStyle w:val="body"/>
        <w:tabs>
          <w:tab w:val="left" w:pos="8222"/>
        </w:tabs>
      </w:pPr>
      <w:r w:rsidRPr="00AF69F4">
        <w:t>for hvilke eksponeringsmålet udtryk</w:t>
      </w:r>
      <w:r w:rsidR="00575B39">
        <w:t>ke</w:t>
      </w:r>
      <w:r w:rsidRPr="00AF69F4">
        <w:t>s ved</w:t>
      </w:r>
      <w:r w:rsidR="0050148B">
        <w:t>,</w:t>
      </w:r>
      <w:r w:rsidRPr="00AF69F4">
        <w:t xml:space="preserve"> </w:t>
      </w:r>
      <w:r w:rsidR="00575B39">
        <w:t xml:space="preserve">at </w:t>
      </w:r>
      <w:r w:rsidRPr="00AF69F4">
        <w:t>gearingsgraden overstiger 200 mia. EUR på konsolideret niveau eller individuelt niveau (og inklusive forsikringsdatterselskaber) under anvendelse af en passende valutakurs, som tager højde for Den Europæiske Centralbanks offentliggjorte referencevekselkurs ved regnskabsårets udgang og internationale standarder ("relevante enheder").</w:t>
      </w:r>
    </w:p>
    <w:p w:rsidRPr="00AF69F4" w:rsidR="00B43E07" w:rsidP="00B43E07" w:rsidRDefault="00B43E07" w14:paraId="6EAA3145" w14:textId="77777777">
      <w:pPr>
        <w:pStyle w:val="Titlelevel2"/>
      </w:pPr>
      <w:r w:rsidRPr="00AF69F4">
        <w:t>Målgrupper</w:t>
      </w:r>
    </w:p>
    <w:p w:rsidRPr="00AF69F4" w:rsidR="00B43E07" w:rsidP="005C5C74" w:rsidRDefault="00DE0FE1" w14:paraId="12310C5F" w14:textId="5743DCA6">
      <w:pPr>
        <w:pStyle w:val="body"/>
        <w:numPr>
          <w:ilvl w:val="0"/>
          <w:numId w:val="10"/>
        </w:numPr>
      </w:pPr>
      <w:r w:rsidRPr="00AF69F4">
        <w:t xml:space="preserve">Disse retningslinjer er rettet </w:t>
      </w:r>
      <w:r w:rsidR="004046E2">
        <w:t>mod</w:t>
      </w:r>
      <w:r w:rsidRPr="00AF69F4" w:rsidR="004046E2">
        <w:t xml:space="preserve"> </w:t>
      </w:r>
      <w:r w:rsidRPr="00AF69F4">
        <w:t xml:space="preserve">de kompetente myndigheder som defineret i artikel 4, stk. 2, litra i), i forordning (EU) nr. 1093/2010, og til de finansielle institutter, som disse retningslinjer gælder for. De udpegede myndigheder, der er </w:t>
      </w:r>
      <w:r w:rsidR="009222DC">
        <w:t>beskreve</w:t>
      </w:r>
      <w:r w:rsidRPr="00AF69F4">
        <w:t>t i artikel 131, stk. 1, i direktiv 2013/36/EU, bortset fra kompetente myndigheder, opfordres til at anvende disse retningslinjer. Både kompetente myndigheder og udpegede myndigheder omtales i disse retningslinjer som "relevante myndigheder".</w:t>
      </w:r>
    </w:p>
    <w:p w:rsidRPr="00AF69F4" w:rsidR="00DE0FE1" w:rsidP="005C5C74" w:rsidRDefault="00DE0FE1" w14:paraId="52A8B3D5" w14:textId="77777777">
      <w:pPr>
        <w:pStyle w:val="ListParagraph"/>
        <w:numPr>
          <w:ilvl w:val="0"/>
          <w:numId w:val="10"/>
        </w:numPr>
      </w:pPr>
      <w:r w:rsidRPr="00AF69F4">
        <w:br w:type="page"/>
      </w:r>
    </w:p>
    <w:p w:rsidRPr="00AF69F4" w:rsidR="00B43E07" w:rsidP="00CE3517" w:rsidRDefault="00B43E07" w14:paraId="25D099DB" w14:textId="77777777">
      <w:pPr>
        <w:pStyle w:val="Numberedtilelevel1"/>
      </w:pPr>
      <w:r w:rsidRPr="00AF69F4">
        <w:lastRenderedPageBreak/>
        <w:t>Gennemførelse</w:t>
      </w:r>
    </w:p>
    <w:p w:rsidRPr="00AF69F4" w:rsidR="00B43E07" w:rsidP="00B43E07" w:rsidRDefault="00B43E07" w14:paraId="4EAB2FB0" w14:textId="77777777">
      <w:pPr>
        <w:pStyle w:val="Titlelevel2"/>
      </w:pPr>
      <w:r w:rsidRPr="00AF69F4">
        <w:t>Anvendelsesdato</w:t>
      </w:r>
    </w:p>
    <w:p w:rsidRPr="00AF69F4" w:rsidR="00B43E07" w:rsidP="005C5C74" w:rsidRDefault="00DE0FE1" w14:paraId="18515792" w14:textId="4D9A7F0B">
      <w:pPr>
        <w:pStyle w:val="body"/>
        <w:numPr>
          <w:ilvl w:val="0"/>
          <w:numId w:val="15"/>
        </w:numPr>
      </w:pPr>
      <w:r w:rsidRPr="00AF69F4">
        <w:t xml:space="preserve">Disse retningslinjer gælder fra den </w:t>
      </w:r>
      <w:r w:rsidR="00C16B4D">
        <w:t>16.12.2020.</w:t>
      </w:r>
    </w:p>
    <w:p w:rsidRPr="00AF69F4" w:rsidR="00B43E07" w:rsidP="00B43E07" w:rsidRDefault="00B43E07" w14:paraId="4AB150AF" w14:textId="64BC8239">
      <w:pPr>
        <w:pStyle w:val="Titlelevel2"/>
      </w:pPr>
      <w:r w:rsidRPr="00AF69F4">
        <w:t>Ophævelse</w:t>
      </w:r>
    </w:p>
    <w:p w:rsidRPr="00AF69F4" w:rsidR="00B43E07" w:rsidP="00A41338" w:rsidRDefault="00BD1538" w14:paraId="0F71334D" w14:textId="4DCAC658">
      <w:r w:rsidRPr="00AF69F4">
        <w:t>De reviderede retningslinjer for yderligere specifikation af indikatorer af global systemisk betydning og offentliggørelse deraf af 29. februar 2016 (EBA/GL/2016/01) ophæves hermed.</w:t>
      </w:r>
    </w:p>
    <w:p w:rsidRPr="00AF69F4" w:rsidR="00BD1538" w:rsidP="00B43E07" w:rsidRDefault="00BD1538" w14:paraId="30F30A96" w14:textId="77777777">
      <w:pPr>
        <w:pStyle w:val="body"/>
        <w:sectPr w:rsidRPr="00AF69F4" w:rsidR="00BD1538" w:rsidSect="00837B41">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397" w:gutter="0"/>
          <w:cols w:space="708"/>
          <w:docGrid w:linePitch="299"/>
        </w:sectPr>
      </w:pPr>
    </w:p>
    <w:p w:rsidRPr="00AF69F4" w:rsidR="00B43E07" w:rsidP="00BD1538" w:rsidRDefault="00BD1538" w14:paraId="4D344DEC" w14:textId="3CE1317D">
      <w:pPr>
        <w:pStyle w:val="Numberedtilelevel1"/>
        <w:jc w:val="both"/>
      </w:pPr>
      <w:r w:rsidRPr="00AF69F4">
        <w:lastRenderedPageBreak/>
        <w:t>Specifikation af de data og indikatorer, der anvendes til at identificere G-SII'er</w:t>
      </w:r>
    </w:p>
    <w:p w:rsidR="008455A6" w:rsidP="008455A6" w:rsidRDefault="008455A6" w14:paraId="50B3C31A" w14:textId="1B508F52">
      <w:pPr>
        <w:pStyle w:val="body"/>
        <w:rPr>
          <w:iCs/>
        </w:rPr>
      </w:pPr>
      <w:r w:rsidRPr="007B541C">
        <w:rPr>
          <w:spacing w:val="-1"/>
          <w:highlight w:val="green"/>
        </w:rPr>
        <w:sym w:font="Wingdings" w:char="F0DA"/>
      </w:r>
      <w:r w:rsidRPr="007B541C">
        <w:rPr>
          <w:spacing w:val="-1"/>
          <w:highlight w:val="green"/>
        </w:rPr>
        <w:t>A1</w:t>
      </w:r>
    </w:p>
    <w:p w:rsidRPr="00EF7118" w:rsidR="00B43E07" w:rsidP="005C5C74" w:rsidRDefault="005C5C74" w14:paraId="50643877" w14:textId="5F9E230E">
      <w:pPr>
        <w:pStyle w:val="body"/>
        <w:numPr>
          <w:ilvl w:val="0"/>
          <w:numId w:val="15"/>
        </w:numPr>
        <w:rPr>
          <w:iCs/>
        </w:rPr>
      </w:pPr>
      <w:r w:rsidRPr="00EF7118">
        <w:rPr>
          <w:iCs/>
        </w:rPr>
        <w:t>Relevante myndigheder og relevante enheder bør følge instrukserne og specifikationerne for de dataposter, der er opført i bilaget, som fastsat i linket "Reporting instructions" på EBA's websted under afsnittet om G-SII'er</w:t>
      </w:r>
      <w:r w:rsidRPr="00EF7118">
        <w:rPr>
          <w:rStyle w:val="FootnoteReference"/>
          <w:iCs/>
        </w:rPr>
        <w:footnoteReference w:id="3"/>
      </w:r>
      <w:r w:rsidRPr="00EF7118" w:rsidR="00BD1538">
        <w:rPr>
          <w:iCs/>
        </w:rPr>
        <w:t>.</w:t>
      </w:r>
    </w:p>
    <w:p w:rsidRPr="00EF7118" w:rsidR="00B43E07" w:rsidP="005C5C74" w:rsidRDefault="005C5C74" w14:paraId="2FD6FE4E" w14:textId="4709F2F3">
      <w:pPr>
        <w:pStyle w:val="body"/>
        <w:numPr>
          <w:ilvl w:val="0"/>
          <w:numId w:val="15"/>
        </w:numPr>
        <w:rPr>
          <w:iCs/>
        </w:rPr>
      </w:pPr>
      <w:r w:rsidRPr="00EF7118">
        <w:rPr>
          <w:iCs/>
        </w:rPr>
        <w:t>De relevante myndigheder bør bruge de supplerende data (afdeling 15 og 16 i bilaget til disse retningslinjer) til at understøtte deres tilsynsvurdering i overensstemmelse med artikel 131, stk. 10, i direktiv 2013/36/EU og memorandumposterne (afdeling 17 til 22 i bilaget) til at forbedre datakvaliteten og som en hjælp til udviklingen af kommende forbedringer til identifikationsmetoden. Memorandumposterne bør suppleres med detaljerede bemærkninger fra relevante enheder vedrørende datakvaliteten og eventuel tilgængelighed</w:t>
      </w:r>
      <w:r w:rsidRPr="00EF7118" w:rsidR="003A2221">
        <w:rPr>
          <w:iCs/>
        </w:rPr>
        <w:t>.</w:t>
      </w:r>
    </w:p>
    <w:p w:rsidRPr="00EF7118" w:rsidR="005C5C74" w:rsidP="005C5C74" w:rsidRDefault="005C5C74" w14:paraId="63BA1C5B" w14:textId="71425F44">
      <w:pPr>
        <w:pStyle w:val="body"/>
        <w:numPr>
          <w:ilvl w:val="0"/>
          <w:numId w:val="16"/>
        </w:numPr>
        <w:rPr>
          <w:iCs/>
        </w:rPr>
      </w:pPr>
      <w:r w:rsidRPr="00EF7118">
        <w:rPr>
          <w:iCs/>
        </w:rPr>
        <w:t>A. I medfør af artikel 131, stk. 2a, i direktiv 2013/36/EU, om en supplerende identifikationsmetode, der ikke omfatter grænseoverskridende virksomhed inden for rammerne af den fælles afviklingsmekanisme (SRM), og i overensstemmelse med Baselkomitéens internationale aftale af 31. maj 2022 om at anerkende de fremskridt, der er gjort med hensyn til udviklingen af den europæiske bankunion, bør dataposter, der er relevante for beregningen af justerede indikatorer på tværs af jurisdiktioner inden for rammerne af SRM vedrørende institutter med hovedsæde i medlemsstater, der deltager i SRM, betragtes som en del af indikatorerne for aktiviteter på tværs af jurisdiktioner, og som sådan offentliggøres i henhold til punkt 12, og ikke som supplerende data eller memorandumposter med henblik på G-SII-identifikations- og underkategoritildelingsmetoden.</w:t>
      </w:r>
    </w:p>
    <w:p w:rsidRPr="002907F9" w:rsidR="00BD1538" w:rsidP="00BD1538" w:rsidRDefault="00BD1538" w14:paraId="6A6FBBAE" w14:textId="77777777">
      <w:pPr>
        <w:pStyle w:val="body"/>
        <w:rPr>
          <w:highlight w:val="yellow"/>
        </w:rPr>
      </w:pPr>
    </w:p>
    <w:p w:rsidRPr="002907F9" w:rsidR="00BD1538" w:rsidP="00505C64" w:rsidRDefault="00BD1538" w14:paraId="2DFFA9BA" w14:textId="77777777">
      <w:pPr>
        <w:pStyle w:val="Titlelevel2"/>
        <w:sectPr w:rsidRPr="002907F9" w:rsidR="00BD1538" w:rsidSect="00837B41">
          <w:pgSz w:w="11900" w:h="16840"/>
          <w:pgMar w:top="2268" w:right="1418" w:bottom="1134" w:left="1701" w:header="709" w:footer="397" w:gutter="0"/>
          <w:cols w:space="708"/>
          <w:docGrid w:linePitch="299"/>
        </w:sectPr>
      </w:pPr>
    </w:p>
    <w:p w:rsidRPr="00AF69F4" w:rsidR="00B43E07" w:rsidP="00BD1538" w:rsidRDefault="00BD1538" w14:paraId="6CDBC73A" w14:textId="63126AA5">
      <w:pPr>
        <w:pStyle w:val="Numberedtilelevel1"/>
        <w:jc w:val="both"/>
      </w:pPr>
      <w:r w:rsidRPr="00AF69F4">
        <w:lastRenderedPageBreak/>
        <w:t>Krav vedrørende relevante institutters indberetning og offentliggørelse</w:t>
      </w:r>
    </w:p>
    <w:p w:rsidRPr="00EF7118" w:rsidR="0007574B" w:rsidP="005C5C74" w:rsidRDefault="005C5C74" w14:paraId="107B3895" w14:textId="1FB73F0A">
      <w:pPr>
        <w:pStyle w:val="body"/>
        <w:numPr>
          <w:ilvl w:val="0"/>
          <w:numId w:val="16"/>
        </w:numPr>
        <w:rPr>
          <w:iCs/>
        </w:rPr>
      </w:pPr>
      <w:r w:rsidRPr="00EF7118">
        <w:rPr>
          <w:iCs/>
        </w:rPr>
        <w:t>De relevante myndigheder bør sikre, at de den 31. december hvert år indsamler alle de dataposter, der er specificeret i bilaget til disse retningslinjer, fra relevante enheder, der opfylder kriterierne i punkt 6 i disse retningslinjer</w:t>
      </w:r>
      <w:r w:rsidRPr="00EF7118" w:rsidR="003A2221">
        <w:rPr>
          <w:iCs/>
        </w:rPr>
        <w:t>.</w:t>
      </w:r>
    </w:p>
    <w:p w:rsidR="0007574B" w:rsidP="005C5C74" w:rsidRDefault="005C5C74" w14:paraId="623657F6" w14:textId="36CC6470">
      <w:pPr>
        <w:pStyle w:val="body"/>
        <w:numPr>
          <w:ilvl w:val="0"/>
          <w:numId w:val="16"/>
        </w:numPr>
        <w:rPr>
          <w:iCs/>
        </w:rPr>
      </w:pPr>
      <w:r w:rsidRPr="00EF7118">
        <w:rPr>
          <w:iCs/>
        </w:rPr>
        <w:t>De relevante myndigheder bør sikre, at relevante enheder hvert år på deres websteder offentliggør de indikatorværdier, der er angivet i afdeling 1-14 i bilaget til disse retningslinjer, og hvis den supplerende identifikationsmetode inden for rammerne af SRM er nødvendig, post e), f) og g) i afdeling 21, samt alle andre poster i afdeling 21, der henviser til aktiviteter på tværs af jurisdiktioner inden for rammerne af SRM, som den relevante myndighed måtte anse for relevante for beregningen af en sådan metode</w:t>
      </w:r>
      <w:r w:rsidRPr="00EF7118" w:rsidR="003A2221">
        <w:rPr>
          <w:iCs/>
        </w:rPr>
        <w:t>.</w:t>
      </w:r>
    </w:p>
    <w:p w:rsidRPr="00EF7118" w:rsidR="008455A6" w:rsidP="008455A6" w:rsidRDefault="008455A6" w14:paraId="5A35F6C0" w14:textId="1E31B99B">
      <w:pPr>
        <w:pStyle w:val="BodyText"/>
        <w:tabs>
          <w:tab w:val="left" w:pos="1802"/>
        </w:tabs>
        <w:spacing w:before="100" w:after="60" w:line="276" w:lineRule="auto"/>
        <w:ind w:right="232"/>
        <w:jc w:val="both"/>
        <w:rPr>
          <w:iCs/>
        </w:rPr>
      </w:pPr>
      <w:r w:rsidRPr="007B541C">
        <w:rPr>
          <w:spacing w:val="-1"/>
          <w:highlight w:val="yellow"/>
        </w:rPr>
        <w:sym w:font="Wingdings" w:char="F0DA"/>
      </w:r>
      <w:r w:rsidRPr="007B541C">
        <w:rPr>
          <w:spacing w:val="-1"/>
          <w:highlight w:val="yellow"/>
        </w:rPr>
        <w:t>O</w:t>
      </w:r>
    </w:p>
    <w:p w:rsidR="0007574B" w:rsidP="005C5C74" w:rsidRDefault="0007574B" w14:paraId="59D95C2C" w14:textId="3F1EFE05">
      <w:pPr>
        <w:pStyle w:val="body"/>
        <w:numPr>
          <w:ilvl w:val="0"/>
          <w:numId w:val="16"/>
        </w:numPr>
      </w:pPr>
      <w:r w:rsidRPr="00AF69F4">
        <w:t>Ved indberetning og offentliggørelse af de oplysninger, der er omhandlet i punkt 11 og 12, bør de relevante enheder anvende den elektroniske skabelon og følge de årlige instruktioner, der offentliggøres til dette formål på EBAs websted.</w:t>
      </w:r>
    </w:p>
    <w:p w:rsidRPr="00AF69F4" w:rsidR="008455A6" w:rsidP="008455A6" w:rsidRDefault="008455A6" w14:paraId="2303CAFA" w14:textId="638EA565">
      <w:pPr>
        <w:pStyle w:val="body"/>
      </w:pPr>
      <w:r w:rsidRPr="007B541C">
        <w:rPr>
          <w:spacing w:val="-1"/>
          <w:highlight w:val="green"/>
        </w:rPr>
        <w:sym w:font="Wingdings" w:char="F0DA"/>
      </w:r>
      <w:r w:rsidRPr="007B541C">
        <w:rPr>
          <w:spacing w:val="-1"/>
          <w:highlight w:val="green"/>
        </w:rPr>
        <w:t>A1</w:t>
      </w:r>
    </w:p>
    <w:p w:rsidR="006C6D8E" w:rsidP="005C5C74" w:rsidRDefault="005C5C74" w14:paraId="5F511C1E" w14:textId="1CD53506">
      <w:pPr>
        <w:pStyle w:val="body"/>
        <w:numPr>
          <w:ilvl w:val="0"/>
          <w:numId w:val="16"/>
        </w:numPr>
        <w:rPr>
          <w:iCs/>
        </w:rPr>
      </w:pPr>
      <w:r w:rsidRPr="00EF7118">
        <w:rPr>
          <w:iCs/>
        </w:rPr>
        <w:t>Relevante enheder bør årligt indsende de oplysninger, der er omhandlet i punkt 11, til de relevante myndigheder og offentliggøre de oplysninger, der er omhandlet i punkt 12, senest fire måneder efter hvert regnskabsårs slutdato, begyndende fra den anden slutdato i træk, hvor den tærskel, der er specificeret i punkt 6 i disse retningslinjer, er blevet overskredet. De relevante enheder bør i den forbindelse identificere sig selv ved hjælp af deres identifikatorer for juridiske enheder (LEI-koder)</w:t>
      </w:r>
      <w:r w:rsidRPr="00EF7118" w:rsidR="0007574B">
        <w:rPr>
          <w:iCs/>
        </w:rPr>
        <w:t>.</w:t>
      </w:r>
    </w:p>
    <w:p w:rsidRPr="00EF7118" w:rsidR="008455A6" w:rsidP="008455A6" w:rsidRDefault="008455A6" w14:paraId="3A5FEF69" w14:textId="60D15EDE">
      <w:pPr>
        <w:pStyle w:val="BodyText"/>
        <w:tabs>
          <w:tab w:val="left" w:pos="1802"/>
        </w:tabs>
        <w:spacing w:before="100" w:after="60" w:line="276" w:lineRule="auto"/>
        <w:ind w:right="232"/>
        <w:jc w:val="both"/>
        <w:rPr>
          <w:iCs/>
        </w:rPr>
      </w:pPr>
      <w:r w:rsidRPr="007B541C">
        <w:rPr>
          <w:spacing w:val="-1"/>
          <w:highlight w:val="yellow"/>
        </w:rPr>
        <w:sym w:font="Wingdings" w:char="F0DA"/>
      </w:r>
      <w:r w:rsidRPr="007B541C">
        <w:rPr>
          <w:spacing w:val="-1"/>
          <w:highlight w:val="yellow"/>
        </w:rPr>
        <w:t>O</w:t>
      </w:r>
    </w:p>
    <w:p w:rsidRPr="00AF69F4" w:rsidR="0007574B" w:rsidP="005C5C74" w:rsidRDefault="003A2221" w14:paraId="02B1DBBB" w14:textId="35B7F7D9">
      <w:pPr>
        <w:pStyle w:val="body"/>
        <w:numPr>
          <w:ilvl w:val="0"/>
          <w:numId w:val="16"/>
        </w:numPr>
      </w:pPr>
      <w:r w:rsidRPr="00AF69F4">
        <w:t>De relevante myndigheder kan tillade relevante enheder, hvis regnskabsår ikke slutter den 31. december, at indberette og offentliggøre disse oplysninger baseret på deres stilling så tæt som muligt på den 31. december. Under alle omstændigheder bør oplysningerne offentliggøres senest den 31. juli.</w:t>
      </w:r>
    </w:p>
    <w:p w:rsidRPr="00AF69F4" w:rsidR="00B43E07" w:rsidP="005C5C74" w:rsidRDefault="003A2221" w14:paraId="0BE8B0EA" w14:textId="3AD888C3">
      <w:pPr>
        <w:pStyle w:val="body"/>
        <w:numPr>
          <w:ilvl w:val="0"/>
          <w:numId w:val="16"/>
        </w:numPr>
      </w:pPr>
      <w:r w:rsidRPr="00AF69F4">
        <w:t>De relevante myndigheder bør sikre, at de rapporterede og offentliggjorte data er identiske med de data, som sendes til Baselkomitéen for Banktilsyn, hvor det er relevant.</w:t>
      </w:r>
    </w:p>
    <w:p w:rsidRPr="00AF69F4" w:rsidR="006C6D8E" w:rsidP="006C6D8E" w:rsidRDefault="006C6D8E" w14:paraId="304AED26" w14:textId="0684F911">
      <w:pPr>
        <w:pStyle w:val="body"/>
      </w:pPr>
    </w:p>
    <w:p w:rsidRPr="00AF69F4" w:rsidR="006C6D8E" w:rsidP="006C6D8E" w:rsidRDefault="006C6D8E" w14:paraId="3653C3DD" w14:textId="77777777">
      <w:pPr>
        <w:pStyle w:val="body"/>
        <w:sectPr w:rsidRPr="00AF69F4" w:rsidR="006C6D8E" w:rsidSect="00837B41">
          <w:pgSz w:w="11900" w:h="16840"/>
          <w:pgMar w:top="2268" w:right="1418" w:bottom="1134" w:left="1701" w:header="709" w:footer="397" w:gutter="0"/>
          <w:cols w:space="708"/>
          <w:docGrid w:linePitch="299"/>
        </w:sectPr>
      </w:pPr>
    </w:p>
    <w:p w:rsidRPr="00AF69F4" w:rsidR="00B43E07" w:rsidP="006C6D8E" w:rsidRDefault="006C6D8E" w14:paraId="78D7CAE2" w14:textId="0D9CA5B9">
      <w:pPr>
        <w:pStyle w:val="Numberedtilelevel1"/>
        <w:jc w:val="both"/>
      </w:pPr>
      <w:r w:rsidRPr="00AF69F4">
        <w:lastRenderedPageBreak/>
        <w:t>Underretning af EBA</w:t>
      </w:r>
    </w:p>
    <w:p w:rsidRPr="00AF69F4" w:rsidR="006C6D8E" w:rsidP="005C5C74" w:rsidRDefault="003A2221" w14:paraId="0966C959" w14:textId="4E975D99">
      <w:pPr>
        <w:pStyle w:val="body"/>
        <w:numPr>
          <w:ilvl w:val="0"/>
          <w:numId w:val="16"/>
        </w:numPr>
      </w:pPr>
      <w:r w:rsidRPr="00AF69F4">
        <w:t>De relevante myndigheder bør fremsende alle data, herunder supplerende data og memorandumposter, der er indsamlet i overensstemmelse med disse retningslinjer, til EBA, så de kan offentliggøres samlet på EBAs websted. Relevante enheder bør identificere sig ved hjælp af deres LEI-koder. EBA offentliggør ikke de supplerende data og memorandumposter.</w:t>
      </w:r>
    </w:p>
    <w:p w:rsidRPr="008455A6" w:rsidR="006C6D8E" w:rsidP="00B43E07" w:rsidRDefault="006C6D8E" w14:paraId="001293F4" w14:textId="77777777">
      <w:pPr>
        <w:pStyle w:val="body"/>
        <w:rPr>
          <w:lang w:eastAsia="en-GB"/>
        </w:rPr>
        <w:sectPr w:rsidRPr="008455A6" w:rsidR="006C6D8E" w:rsidSect="00837B41">
          <w:pgSz w:w="11900" w:h="16840"/>
          <w:pgMar w:top="2268" w:right="1418" w:bottom="1134" w:left="1701" w:header="709" w:footer="397" w:gutter="0"/>
          <w:cols w:space="708"/>
          <w:docGrid w:linePitch="299"/>
        </w:sectPr>
      </w:pPr>
    </w:p>
    <w:p w:rsidRPr="00674EC6" w:rsidR="005C5C74" w:rsidP="005C5C74" w:rsidRDefault="005C5C74" w14:paraId="193ECBCA" w14:textId="77777777">
      <w:pPr>
        <w:pStyle w:val="Contenttitle"/>
        <w:pageBreakBefore/>
      </w:pPr>
      <w:r w:rsidRPr="00674EC6">
        <w:lastRenderedPageBreak/>
        <w:t>Bilag</w:t>
      </w:r>
    </w:p>
    <w:tbl>
      <w:tblPr>
        <w:tblStyle w:val="TableGrid1"/>
        <w:tblW w:w="9549" w:type="dxa"/>
        <w:tblLook w:val="04A0" w:firstRow="1" w:lastRow="0" w:firstColumn="1" w:lastColumn="0" w:noHBand="0" w:noVBand="1"/>
      </w:tblPr>
      <w:tblGrid>
        <w:gridCol w:w="2350"/>
        <w:gridCol w:w="4454"/>
        <w:gridCol w:w="2745"/>
      </w:tblGrid>
      <w:tr w:rsidRPr="00674EC6" w:rsidR="005C5C74" w:rsidTr="007B3F1A" w14:paraId="2799A382" w14:textId="77777777">
        <w:trPr>
          <w:trHeight w:val="420"/>
        </w:trPr>
        <w:tc>
          <w:tcPr>
            <w:tcW w:w="2350" w:type="dxa"/>
            <w:tcBorders>
              <w:top w:val="nil"/>
              <w:left w:val="nil"/>
              <w:bottom w:val="nil"/>
              <w:right w:val="nil"/>
            </w:tcBorders>
            <w:noWrap/>
            <w:hideMark/>
          </w:tcPr>
          <w:p w:rsidR="008455A6" w:rsidP="005C5C74" w:rsidRDefault="008455A6" w14:paraId="627BB904" w14:textId="3F75B614">
            <w:pPr>
              <w:keepNext/>
              <w:keepLines/>
              <w:spacing w:before="47"/>
              <w:ind w:right="-169"/>
              <w:outlineLvl w:val="5"/>
              <w:rPr>
                <w:rFonts w:ascii="Arial" w:hAnsi="Arial"/>
                <w:b/>
                <w:i/>
                <w:caps/>
                <w:color w:val="172B39" w:themeColor="accent1" w:themeShade="80"/>
                <w:sz w:val="24"/>
              </w:rPr>
            </w:pPr>
            <w:r w:rsidRPr="007B541C">
              <w:rPr>
                <w:spacing w:val="-1"/>
                <w:highlight w:val="green"/>
              </w:rPr>
              <w:sym w:font="Wingdings" w:char="F0DA"/>
            </w:r>
            <w:r w:rsidRPr="007B541C">
              <w:rPr>
                <w:spacing w:val="-1"/>
                <w:highlight w:val="green"/>
              </w:rPr>
              <w:t>A1</w:t>
            </w:r>
          </w:p>
          <w:p w:rsidRPr="00674EC6" w:rsidR="005C5C74" w:rsidP="005C5C74" w:rsidRDefault="005C5C74" w14:paraId="191CB816" w14:textId="179EC260">
            <w:pPr>
              <w:keepNext/>
              <w:keepLines/>
              <w:spacing w:before="47"/>
              <w:ind w:right="-169"/>
              <w:outlineLvl w:val="5"/>
              <w:rPr>
                <w:rFonts w:asciiTheme="majorHAnsi" w:hAnsiTheme="majorHAnsi" w:eastAsiaTheme="majorEastAsia" w:cstheme="majorBidi"/>
                <w:b/>
                <w:bCs/>
                <w:i/>
                <w:iCs/>
                <w:caps/>
                <w:color w:val="172B39" w:themeColor="accent1" w:themeShade="80"/>
              </w:rPr>
            </w:pPr>
            <w:r w:rsidRPr="00674EC6">
              <w:rPr>
                <w:rFonts w:asciiTheme="majorHAnsi" w:hAnsiTheme="majorHAnsi"/>
                <w:b/>
                <w:i/>
                <w:caps/>
              </w:rPr>
              <w:t>Generelle bankdata</w:t>
            </w:r>
            <w:r w:rsidRPr="00674EC6">
              <w:rPr>
                <w:rFonts w:ascii="Arial" w:hAnsi="Arial"/>
                <w:i/>
                <w:caps/>
                <w:color w:val="172B39" w:themeColor="accent1" w:themeShade="80"/>
                <w:sz w:val="20"/>
              </w:rPr>
              <w:t> </w:t>
            </w:r>
          </w:p>
        </w:tc>
        <w:tc>
          <w:tcPr>
            <w:tcW w:w="7199" w:type="dxa"/>
            <w:gridSpan w:val="2"/>
            <w:tcBorders>
              <w:top w:val="nil"/>
              <w:left w:val="nil"/>
              <w:bottom w:val="nil"/>
              <w:right w:val="nil"/>
            </w:tcBorders>
          </w:tcPr>
          <w:p w:rsidRPr="00674EC6" w:rsidR="005C5C74" w:rsidP="007B3F1A" w:rsidRDefault="005C5C74" w14:paraId="7DCEE434" w14:textId="77777777">
            <w:pPr>
              <w:rPr>
                <w:rFonts w:ascii="Arial" w:hAnsi="Arial" w:eastAsia="Times New Roman" w:cs="Arial"/>
                <w:b/>
                <w:bCs/>
                <w:sz w:val="24"/>
                <w:szCs w:val="24"/>
                <w:lang w:eastAsia="en-GB"/>
              </w:rPr>
            </w:pPr>
          </w:p>
          <w:p w:rsidRPr="00674EC6" w:rsidR="005C5C74" w:rsidP="007B3F1A" w:rsidRDefault="005C5C74" w14:paraId="05159249" w14:textId="77777777">
            <w:pPr>
              <w:rPr>
                <w:rFonts w:ascii="Arial" w:hAnsi="Arial" w:eastAsia="Times New Roman" w:cs="Arial"/>
                <w:b/>
                <w:bCs/>
                <w:sz w:val="24"/>
                <w:szCs w:val="24"/>
              </w:rPr>
            </w:pPr>
            <w:r w:rsidRPr="00674EC6">
              <w:rPr>
                <w:rFonts w:ascii="Arial" w:hAnsi="Arial"/>
                <w:sz w:val="20"/>
              </w:rPr>
              <w:t> </w:t>
            </w:r>
          </w:p>
        </w:tc>
      </w:tr>
      <w:tr w:rsidRPr="00674EC6" w:rsidR="005C5C74" w:rsidTr="007B3F1A" w14:paraId="3B8DFD32" w14:textId="77777777">
        <w:trPr>
          <w:trHeight w:val="300"/>
        </w:trPr>
        <w:tc>
          <w:tcPr>
            <w:tcW w:w="6804" w:type="dxa"/>
            <w:gridSpan w:val="2"/>
            <w:tcBorders>
              <w:top w:val="nil"/>
              <w:left w:val="nil"/>
              <w:bottom w:val="single" w:color="auto" w:sz="4" w:space="0"/>
              <w:right w:val="nil"/>
            </w:tcBorders>
            <w:noWrap/>
          </w:tcPr>
          <w:p w:rsidRPr="00674EC6" w:rsidR="005C5C74" w:rsidP="007B3F1A" w:rsidRDefault="005C5C74" w14:paraId="4C22736A"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noWrap/>
          </w:tcPr>
          <w:p w:rsidRPr="00674EC6" w:rsidR="005C5C74" w:rsidP="007B3F1A" w:rsidRDefault="005C5C74" w14:paraId="60B28465" w14:textId="77777777">
            <w:pPr>
              <w:jc w:val="center"/>
              <w:rPr>
                <w:rFonts w:ascii="Arial" w:hAnsi="Arial" w:eastAsia="Times New Roman" w:cs="Arial"/>
                <w:b/>
                <w:bCs/>
                <w:sz w:val="20"/>
                <w:szCs w:val="20"/>
                <w:lang w:eastAsia="en-GB"/>
              </w:rPr>
            </w:pPr>
          </w:p>
        </w:tc>
      </w:tr>
      <w:tr w:rsidRPr="00674EC6" w:rsidR="005C5C74" w:rsidTr="007B3F1A" w14:paraId="31562086" w14:textId="77777777">
        <w:trPr>
          <w:trHeight w:val="300"/>
        </w:trPr>
        <w:tc>
          <w:tcPr>
            <w:tcW w:w="6804" w:type="dxa"/>
            <w:gridSpan w:val="2"/>
            <w:tcBorders>
              <w:top w:val="single" w:color="auto" w:sz="4" w:space="0"/>
              <w:left w:val="nil"/>
              <w:bottom w:val="single" w:color="auto" w:sz="4" w:space="0"/>
              <w:right w:val="nil"/>
            </w:tcBorders>
            <w:noWrap/>
            <w:hideMark/>
          </w:tcPr>
          <w:p w:rsidRPr="00674EC6" w:rsidR="005C5C74" w:rsidP="007B3F1A" w:rsidRDefault="005C5C74" w14:paraId="51372D39" w14:textId="77777777">
            <w:pPr>
              <w:rPr>
                <w:rFonts w:ascii="Arial" w:hAnsi="Arial" w:eastAsia="Times New Roman" w:cs="Arial"/>
                <w:b/>
                <w:bCs/>
                <w:sz w:val="20"/>
                <w:szCs w:val="20"/>
              </w:rPr>
            </w:pPr>
            <w:r w:rsidRPr="00674EC6">
              <w:rPr>
                <w:rFonts w:ascii="Arial" w:hAnsi="Arial"/>
                <w:b/>
                <w:sz w:val="20"/>
              </w:rPr>
              <w:t>Afdeling 1 – Generelle oplysninger</w:t>
            </w:r>
          </w:p>
        </w:tc>
        <w:tc>
          <w:tcPr>
            <w:tcW w:w="2745" w:type="dxa"/>
            <w:tcBorders>
              <w:top w:val="single" w:color="auto" w:sz="4" w:space="0"/>
              <w:left w:val="nil"/>
              <w:right w:val="nil"/>
            </w:tcBorders>
            <w:noWrap/>
            <w:hideMark/>
          </w:tcPr>
          <w:p w:rsidRPr="00674EC6" w:rsidR="005C5C74" w:rsidP="007B3F1A" w:rsidRDefault="005C5C74" w14:paraId="4CCEB72D" w14:textId="77777777">
            <w:pPr>
              <w:jc w:val="center"/>
              <w:rPr>
                <w:rFonts w:ascii="Arial" w:hAnsi="Arial" w:eastAsia="Times New Roman" w:cs="Arial"/>
                <w:b/>
                <w:bCs/>
                <w:sz w:val="20"/>
                <w:szCs w:val="20"/>
              </w:rPr>
            </w:pPr>
            <w:r w:rsidRPr="00674EC6">
              <w:rPr>
                <w:rFonts w:ascii="Arial" w:hAnsi="Arial"/>
                <w:b/>
                <w:sz w:val="20"/>
              </w:rPr>
              <w:t>Svar</w:t>
            </w:r>
          </w:p>
        </w:tc>
      </w:tr>
      <w:tr w:rsidRPr="00674EC6" w:rsidR="005C5C74" w:rsidTr="007B3F1A" w14:paraId="0C59AE1A" w14:textId="77777777">
        <w:trPr>
          <w:gridAfter w:val="1"/>
          <w:wAfter w:w="2745" w:type="dxa"/>
          <w:trHeight w:val="300"/>
        </w:trPr>
        <w:tc>
          <w:tcPr>
            <w:tcW w:w="6804" w:type="dxa"/>
            <w:gridSpan w:val="2"/>
            <w:tcBorders>
              <w:top w:val="single" w:color="auto" w:sz="4" w:space="0"/>
              <w:left w:val="nil"/>
              <w:bottom w:val="single" w:color="auto" w:sz="4" w:space="0"/>
              <w:right w:val="nil"/>
            </w:tcBorders>
            <w:noWrap/>
            <w:hideMark/>
          </w:tcPr>
          <w:p w:rsidRPr="005C5C74" w:rsidR="005C5C74" w:rsidP="005C5C74" w:rsidRDefault="005C5C74" w14:paraId="502A9317" w14:textId="77777777">
            <w:pPr>
              <w:ind w:left="171" w:firstLine="48" w:firstLineChars="22"/>
            </w:pPr>
            <w:r w:rsidRPr="005C5C74">
              <w:t>a. Generelle oplysninger fra den relevante tilsynsmyndighed:</w:t>
            </w:r>
          </w:p>
        </w:tc>
      </w:tr>
      <w:tr w:rsidRPr="00674EC6" w:rsidR="005C5C74" w:rsidTr="007B3F1A" w14:paraId="51DD7DCA" w14:textId="77777777">
        <w:trPr>
          <w:trHeight w:val="300"/>
        </w:trPr>
        <w:tc>
          <w:tcPr>
            <w:tcW w:w="6804" w:type="dxa"/>
            <w:gridSpan w:val="2"/>
            <w:tcBorders>
              <w:left w:val="nil"/>
              <w:right w:val="nil"/>
            </w:tcBorders>
            <w:noWrap/>
            <w:hideMark/>
          </w:tcPr>
          <w:p w:rsidRPr="005C5C74" w:rsidR="005C5C74" w:rsidP="005C5C74" w:rsidRDefault="005C5C74" w14:paraId="6778DFA1" w14:textId="77777777">
            <w:pPr>
              <w:ind w:left="171" w:firstLine="48" w:firstLineChars="22"/>
            </w:pPr>
            <w:r w:rsidRPr="005C5C74">
              <w:t>(1) Landekode</w:t>
            </w:r>
          </w:p>
        </w:tc>
        <w:tc>
          <w:tcPr>
            <w:tcW w:w="2745" w:type="dxa"/>
            <w:tcBorders>
              <w:left w:val="nil"/>
              <w:bottom w:val="single" w:color="auto" w:sz="4" w:space="0"/>
              <w:right w:val="nil"/>
            </w:tcBorders>
            <w:noWrap/>
            <w:hideMark/>
          </w:tcPr>
          <w:p w:rsidRPr="00674EC6" w:rsidR="005C5C74" w:rsidP="007B3F1A" w:rsidRDefault="005C5C74" w14:paraId="23280892" w14:textId="77777777">
            <w:pPr>
              <w:jc w:val="center"/>
              <w:rPr>
                <w:rFonts w:ascii="Arial" w:hAnsi="Arial" w:eastAsia="Times New Roman" w:cs="Arial"/>
                <w:sz w:val="20"/>
                <w:szCs w:val="20"/>
              </w:rPr>
            </w:pPr>
            <w:r w:rsidRPr="00674EC6">
              <w:rPr>
                <w:rFonts w:ascii="Arial" w:hAnsi="Arial"/>
                <w:sz w:val="20"/>
              </w:rPr>
              <w:t> </w:t>
            </w:r>
          </w:p>
        </w:tc>
      </w:tr>
      <w:tr w:rsidRPr="00674EC6" w:rsidR="005C5C74" w:rsidTr="007B3F1A" w14:paraId="01A51DA1" w14:textId="77777777">
        <w:trPr>
          <w:trHeight w:val="300"/>
        </w:trPr>
        <w:tc>
          <w:tcPr>
            <w:tcW w:w="6804" w:type="dxa"/>
            <w:gridSpan w:val="2"/>
            <w:tcBorders>
              <w:left w:val="nil"/>
              <w:right w:val="nil"/>
            </w:tcBorders>
            <w:noWrap/>
            <w:hideMark/>
          </w:tcPr>
          <w:p w:rsidRPr="005C5C74" w:rsidR="005C5C74" w:rsidP="005C5C74" w:rsidRDefault="005C5C74" w14:paraId="392F836D" w14:textId="77777777">
            <w:pPr>
              <w:ind w:left="171" w:firstLine="48" w:firstLineChars="22"/>
            </w:pPr>
            <w:r w:rsidRPr="005C5C74">
              <w:t>(2) Bankens navn</w:t>
            </w:r>
          </w:p>
        </w:tc>
        <w:tc>
          <w:tcPr>
            <w:tcW w:w="2745" w:type="dxa"/>
            <w:tcBorders>
              <w:left w:val="nil"/>
              <w:bottom w:val="single" w:color="auto" w:sz="4" w:space="0"/>
              <w:right w:val="nil"/>
            </w:tcBorders>
            <w:hideMark/>
          </w:tcPr>
          <w:p w:rsidRPr="00674EC6" w:rsidR="005C5C74" w:rsidP="007B3F1A" w:rsidRDefault="005C5C74" w14:paraId="6ED1CCA7" w14:textId="77777777">
            <w:pPr>
              <w:jc w:val="center"/>
              <w:rPr>
                <w:rFonts w:ascii="Arial" w:hAnsi="Arial" w:eastAsia="Times New Roman" w:cs="Arial"/>
                <w:sz w:val="20"/>
                <w:szCs w:val="20"/>
              </w:rPr>
            </w:pPr>
            <w:r w:rsidRPr="00674EC6">
              <w:rPr>
                <w:rFonts w:ascii="Arial" w:hAnsi="Arial"/>
                <w:sz w:val="20"/>
              </w:rPr>
              <w:t> </w:t>
            </w:r>
          </w:p>
        </w:tc>
      </w:tr>
      <w:tr w:rsidRPr="00674EC6" w:rsidR="005C5C74" w:rsidTr="007B3F1A" w14:paraId="1ADAA91F" w14:textId="77777777">
        <w:trPr>
          <w:trHeight w:val="300"/>
        </w:trPr>
        <w:tc>
          <w:tcPr>
            <w:tcW w:w="6804" w:type="dxa"/>
            <w:gridSpan w:val="2"/>
            <w:tcBorders>
              <w:left w:val="nil"/>
              <w:right w:val="nil"/>
            </w:tcBorders>
            <w:noWrap/>
            <w:hideMark/>
          </w:tcPr>
          <w:p w:rsidRPr="005C5C74" w:rsidR="005C5C74" w:rsidP="005C5C74" w:rsidRDefault="005C5C74" w14:paraId="366E5FD0" w14:textId="77777777">
            <w:pPr>
              <w:ind w:left="171" w:firstLine="48" w:firstLineChars="22"/>
            </w:pPr>
            <w:r w:rsidRPr="005C5C74">
              <w:t>(3) Indberetningsdato (åååå-mm-dd)</w:t>
            </w:r>
          </w:p>
        </w:tc>
        <w:tc>
          <w:tcPr>
            <w:tcW w:w="2745" w:type="dxa"/>
            <w:tcBorders>
              <w:left w:val="nil"/>
              <w:bottom w:val="single" w:color="auto" w:sz="4" w:space="0"/>
              <w:right w:val="nil"/>
            </w:tcBorders>
            <w:noWrap/>
            <w:hideMark/>
          </w:tcPr>
          <w:p w:rsidRPr="00674EC6" w:rsidR="005C5C74" w:rsidP="007B3F1A" w:rsidRDefault="005C5C74" w14:paraId="435E7C7D" w14:textId="77777777">
            <w:pPr>
              <w:jc w:val="center"/>
              <w:rPr>
                <w:rFonts w:ascii="Arial" w:hAnsi="Arial" w:eastAsia="Times New Roman" w:cs="Arial"/>
                <w:sz w:val="20"/>
                <w:szCs w:val="20"/>
                <w:lang w:eastAsia="en-GB"/>
              </w:rPr>
            </w:pPr>
          </w:p>
        </w:tc>
      </w:tr>
      <w:tr w:rsidRPr="00674EC6" w:rsidR="005C5C74" w:rsidTr="007B3F1A" w14:paraId="6C794723" w14:textId="77777777">
        <w:trPr>
          <w:trHeight w:val="300"/>
        </w:trPr>
        <w:tc>
          <w:tcPr>
            <w:tcW w:w="6804" w:type="dxa"/>
            <w:gridSpan w:val="2"/>
            <w:tcBorders>
              <w:left w:val="nil"/>
              <w:right w:val="nil"/>
            </w:tcBorders>
            <w:noWrap/>
            <w:hideMark/>
          </w:tcPr>
          <w:p w:rsidRPr="005C5C74" w:rsidR="005C5C74" w:rsidP="005C5C74" w:rsidRDefault="005C5C74" w14:paraId="5196B858" w14:textId="77777777">
            <w:pPr>
              <w:ind w:left="171" w:firstLine="48" w:firstLineChars="22"/>
            </w:pPr>
            <w:r w:rsidRPr="005C5C74">
              <w:t>(4) Indberetningsvaluta</w:t>
            </w:r>
          </w:p>
        </w:tc>
        <w:tc>
          <w:tcPr>
            <w:tcW w:w="2745" w:type="dxa"/>
            <w:tcBorders>
              <w:left w:val="nil"/>
              <w:bottom w:val="single" w:color="auto" w:sz="4" w:space="0"/>
              <w:right w:val="nil"/>
            </w:tcBorders>
            <w:noWrap/>
            <w:hideMark/>
          </w:tcPr>
          <w:p w:rsidRPr="00674EC6" w:rsidR="005C5C74" w:rsidP="007B3F1A" w:rsidRDefault="005C5C74" w14:paraId="1E2AD6A5" w14:textId="77777777">
            <w:pPr>
              <w:jc w:val="center"/>
              <w:rPr>
                <w:rFonts w:ascii="Arial" w:hAnsi="Arial" w:eastAsia="Times New Roman" w:cs="Arial"/>
                <w:sz w:val="20"/>
                <w:szCs w:val="20"/>
                <w:lang w:eastAsia="en-GB"/>
              </w:rPr>
            </w:pPr>
          </w:p>
        </w:tc>
      </w:tr>
      <w:tr w:rsidRPr="00674EC6" w:rsidR="005C5C74" w:rsidTr="007B3F1A" w14:paraId="2FF397B7" w14:textId="77777777">
        <w:trPr>
          <w:trHeight w:val="300"/>
        </w:trPr>
        <w:tc>
          <w:tcPr>
            <w:tcW w:w="6804" w:type="dxa"/>
            <w:gridSpan w:val="2"/>
            <w:tcBorders>
              <w:left w:val="nil"/>
              <w:right w:val="nil"/>
            </w:tcBorders>
            <w:noWrap/>
            <w:hideMark/>
          </w:tcPr>
          <w:p w:rsidRPr="005C5C74" w:rsidR="005C5C74" w:rsidP="005C5C74" w:rsidRDefault="005C5C74" w14:paraId="03AB09B2" w14:textId="77777777">
            <w:pPr>
              <w:ind w:left="171" w:firstLine="48" w:firstLineChars="22"/>
            </w:pPr>
            <w:r w:rsidRPr="005C5C74">
              <w:t>(5) Eurovekselkurs</w:t>
            </w:r>
          </w:p>
        </w:tc>
        <w:tc>
          <w:tcPr>
            <w:tcW w:w="2745" w:type="dxa"/>
            <w:tcBorders>
              <w:left w:val="nil"/>
              <w:bottom w:val="single" w:color="auto" w:sz="4" w:space="0"/>
              <w:right w:val="nil"/>
            </w:tcBorders>
            <w:noWrap/>
            <w:hideMark/>
          </w:tcPr>
          <w:p w:rsidRPr="00674EC6" w:rsidR="005C5C74" w:rsidP="007B3F1A" w:rsidRDefault="005C5C74" w14:paraId="539FAE6E" w14:textId="77777777">
            <w:pPr>
              <w:rPr>
                <w:rFonts w:ascii="Arial" w:hAnsi="Arial" w:eastAsia="Times New Roman" w:cs="Arial"/>
                <w:sz w:val="20"/>
                <w:szCs w:val="20"/>
              </w:rPr>
            </w:pPr>
            <w:r w:rsidRPr="00674EC6">
              <w:rPr>
                <w:rFonts w:ascii="Arial" w:hAnsi="Arial"/>
                <w:sz w:val="20"/>
              </w:rPr>
              <w:t> </w:t>
            </w:r>
          </w:p>
        </w:tc>
      </w:tr>
      <w:tr w:rsidRPr="00674EC6" w:rsidR="005C5C74" w:rsidTr="007B3F1A" w14:paraId="6D83EED7" w14:textId="77777777">
        <w:trPr>
          <w:trHeight w:val="300"/>
        </w:trPr>
        <w:tc>
          <w:tcPr>
            <w:tcW w:w="6804" w:type="dxa"/>
            <w:gridSpan w:val="2"/>
            <w:tcBorders>
              <w:left w:val="nil"/>
              <w:right w:val="nil"/>
            </w:tcBorders>
            <w:noWrap/>
            <w:hideMark/>
          </w:tcPr>
          <w:p w:rsidRPr="005C5C74" w:rsidR="005C5C74" w:rsidP="005C5C74" w:rsidRDefault="005C5C74" w14:paraId="2F101495" w14:textId="77777777">
            <w:pPr>
              <w:ind w:left="171" w:firstLine="48" w:firstLineChars="22"/>
            </w:pPr>
            <w:r w:rsidRPr="005C5C74">
              <w:t>(6) Indsendelsesdato (åååå-mm-dd)</w:t>
            </w:r>
          </w:p>
        </w:tc>
        <w:tc>
          <w:tcPr>
            <w:tcW w:w="2745" w:type="dxa"/>
            <w:tcBorders>
              <w:left w:val="nil"/>
              <w:bottom w:val="single" w:color="auto" w:sz="4" w:space="0"/>
              <w:right w:val="nil"/>
            </w:tcBorders>
            <w:noWrap/>
            <w:hideMark/>
          </w:tcPr>
          <w:p w:rsidRPr="00674EC6" w:rsidR="005C5C74" w:rsidP="007B3F1A" w:rsidRDefault="005C5C74" w14:paraId="16F26E73" w14:textId="77777777">
            <w:pPr>
              <w:jc w:val="center"/>
              <w:rPr>
                <w:rFonts w:ascii="Arial" w:hAnsi="Arial" w:eastAsia="Times New Roman" w:cs="Arial"/>
                <w:sz w:val="20"/>
                <w:szCs w:val="20"/>
              </w:rPr>
            </w:pPr>
            <w:r w:rsidRPr="00674EC6">
              <w:rPr>
                <w:rFonts w:ascii="Arial" w:hAnsi="Arial"/>
                <w:sz w:val="20"/>
              </w:rPr>
              <w:t> </w:t>
            </w:r>
          </w:p>
        </w:tc>
      </w:tr>
      <w:tr w:rsidRPr="00674EC6" w:rsidR="005C5C74" w:rsidTr="007B3F1A" w14:paraId="2B9C57A4" w14:textId="77777777">
        <w:trPr>
          <w:trHeight w:val="300"/>
        </w:trPr>
        <w:tc>
          <w:tcPr>
            <w:tcW w:w="6804" w:type="dxa"/>
            <w:gridSpan w:val="2"/>
            <w:tcBorders>
              <w:left w:val="nil"/>
              <w:right w:val="nil"/>
            </w:tcBorders>
            <w:noWrap/>
            <w:hideMark/>
          </w:tcPr>
          <w:p w:rsidRPr="005C5C74" w:rsidR="005C5C74" w:rsidP="005C5C74" w:rsidRDefault="005C5C74" w14:paraId="796EAFBA" w14:textId="77777777">
            <w:pPr>
              <w:ind w:left="171" w:firstLine="48" w:firstLineChars="22"/>
            </w:pPr>
            <w:r w:rsidRPr="005C5C74">
              <w:t>b. Generelle oplysninger fra det indberettende institut:</w:t>
            </w:r>
          </w:p>
        </w:tc>
        <w:tc>
          <w:tcPr>
            <w:tcW w:w="2745" w:type="dxa"/>
            <w:tcBorders>
              <w:left w:val="nil"/>
              <w:bottom w:val="single" w:color="auto" w:sz="4" w:space="0"/>
              <w:right w:val="nil"/>
            </w:tcBorders>
            <w:noWrap/>
            <w:hideMark/>
          </w:tcPr>
          <w:p w:rsidRPr="00674EC6" w:rsidR="005C5C74" w:rsidP="007B3F1A" w:rsidRDefault="005C5C74" w14:paraId="26587C11" w14:textId="77777777">
            <w:pPr>
              <w:ind w:firstLine="200" w:firstLineChars="100"/>
              <w:rPr>
                <w:rFonts w:ascii="Arial" w:hAnsi="Arial" w:eastAsia="Times New Roman" w:cs="Arial"/>
                <w:sz w:val="20"/>
                <w:szCs w:val="20"/>
              </w:rPr>
            </w:pPr>
            <w:r w:rsidRPr="00674EC6">
              <w:rPr>
                <w:rFonts w:ascii="Arial" w:hAnsi="Arial"/>
                <w:sz w:val="20"/>
              </w:rPr>
              <w:t> </w:t>
            </w:r>
          </w:p>
        </w:tc>
      </w:tr>
      <w:tr w:rsidRPr="00674EC6" w:rsidR="005C5C74" w:rsidTr="007B3F1A" w14:paraId="09AC4E4F" w14:textId="77777777">
        <w:trPr>
          <w:trHeight w:val="300"/>
        </w:trPr>
        <w:tc>
          <w:tcPr>
            <w:tcW w:w="6804" w:type="dxa"/>
            <w:gridSpan w:val="2"/>
            <w:tcBorders>
              <w:left w:val="nil"/>
              <w:right w:val="nil"/>
            </w:tcBorders>
            <w:noWrap/>
            <w:hideMark/>
          </w:tcPr>
          <w:p w:rsidRPr="005C5C74" w:rsidR="005C5C74" w:rsidP="005C5C74" w:rsidRDefault="005C5C74" w14:paraId="27DB02A6" w14:textId="77777777">
            <w:pPr>
              <w:ind w:left="171" w:firstLine="48" w:firstLineChars="22"/>
            </w:pPr>
            <w:r w:rsidRPr="005C5C74">
              <w:t>(1) Indberettende enhed</w:t>
            </w:r>
          </w:p>
        </w:tc>
        <w:tc>
          <w:tcPr>
            <w:tcW w:w="2745" w:type="dxa"/>
            <w:tcBorders>
              <w:left w:val="nil"/>
              <w:bottom w:val="single" w:color="auto" w:sz="4" w:space="0"/>
              <w:right w:val="nil"/>
            </w:tcBorders>
            <w:noWrap/>
            <w:hideMark/>
          </w:tcPr>
          <w:p w:rsidRPr="00674EC6" w:rsidR="005C5C74" w:rsidP="007B3F1A" w:rsidRDefault="005C5C74" w14:paraId="18016C81" w14:textId="77777777">
            <w:pPr>
              <w:jc w:val="center"/>
              <w:rPr>
                <w:rFonts w:ascii="Arial" w:hAnsi="Arial" w:eastAsia="Times New Roman" w:cs="Arial"/>
                <w:sz w:val="20"/>
                <w:szCs w:val="20"/>
              </w:rPr>
            </w:pPr>
            <w:r w:rsidRPr="00674EC6">
              <w:rPr>
                <w:rFonts w:ascii="Arial" w:hAnsi="Arial"/>
                <w:sz w:val="20"/>
              </w:rPr>
              <w:t> </w:t>
            </w:r>
          </w:p>
        </w:tc>
      </w:tr>
      <w:tr w:rsidRPr="00674EC6" w:rsidR="005C5C74" w:rsidTr="007B3F1A" w14:paraId="3A493445" w14:textId="77777777">
        <w:trPr>
          <w:trHeight w:val="300"/>
        </w:trPr>
        <w:tc>
          <w:tcPr>
            <w:tcW w:w="6804" w:type="dxa"/>
            <w:gridSpan w:val="2"/>
            <w:tcBorders>
              <w:left w:val="nil"/>
              <w:right w:val="nil"/>
            </w:tcBorders>
            <w:noWrap/>
            <w:hideMark/>
          </w:tcPr>
          <w:p w:rsidRPr="005C5C74" w:rsidR="005C5C74" w:rsidP="005C5C74" w:rsidRDefault="005C5C74" w14:paraId="3244DE14" w14:textId="77777777">
            <w:pPr>
              <w:ind w:left="171" w:firstLine="48" w:firstLineChars="22"/>
            </w:pPr>
            <w:r w:rsidRPr="005C5C74">
              <w:t>(2) Regnskabsstandard</w:t>
            </w:r>
          </w:p>
        </w:tc>
        <w:tc>
          <w:tcPr>
            <w:tcW w:w="2745" w:type="dxa"/>
            <w:tcBorders>
              <w:left w:val="nil"/>
              <w:bottom w:val="single" w:color="auto" w:sz="4" w:space="0"/>
              <w:right w:val="nil"/>
            </w:tcBorders>
            <w:hideMark/>
          </w:tcPr>
          <w:p w:rsidRPr="00674EC6" w:rsidR="005C5C74" w:rsidP="007B3F1A" w:rsidRDefault="005C5C74" w14:paraId="170873A5" w14:textId="77777777">
            <w:pPr>
              <w:jc w:val="center"/>
              <w:rPr>
                <w:rFonts w:ascii="Arial" w:hAnsi="Arial" w:eastAsia="Times New Roman" w:cs="Arial"/>
                <w:sz w:val="20"/>
                <w:szCs w:val="20"/>
              </w:rPr>
            </w:pPr>
            <w:r w:rsidRPr="00674EC6">
              <w:rPr>
                <w:rFonts w:ascii="Arial" w:hAnsi="Arial"/>
                <w:sz w:val="20"/>
              </w:rPr>
              <w:t> </w:t>
            </w:r>
          </w:p>
        </w:tc>
      </w:tr>
      <w:tr w:rsidRPr="00674EC6" w:rsidR="005C5C74" w:rsidTr="007B3F1A" w14:paraId="5C273948" w14:textId="77777777">
        <w:trPr>
          <w:trHeight w:val="300"/>
        </w:trPr>
        <w:tc>
          <w:tcPr>
            <w:tcW w:w="6804" w:type="dxa"/>
            <w:gridSpan w:val="2"/>
            <w:tcBorders>
              <w:left w:val="nil"/>
              <w:right w:val="nil"/>
            </w:tcBorders>
            <w:noWrap/>
            <w:hideMark/>
          </w:tcPr>
          <w:p w:rsidRPr="005C5C74" w:rsidR="005C5C74" w:rsidP="005C5C74" w:rsidRDefault="005C5C74" w14:paraId="2566FECE" w14:textId="77777777">
            <w:pPr>
              <w:ind w:left="171" w:firstLine="48" w:firstLineChars="22"/>
            </w:pPr>
            <w:r w:rsidRPr="005C5C74">
              <w:t>(3) Offentliggørelsesdato (åååå-mm-dd)</w:t>
            </w:r>
          </w:p>
        </w:tc>
        <w:tc>
          <w:tcPr>
            <w:tcW w:w="2745" w:type="dxa"/>
            <w:tcBorders>
              <w:left w:val="nil"/>
              <w:bottom w:val="single" w:color="auto" w:sz="4" w:space="0"/>
              <w:right w:val="nil"/>
            </w:tcBorders>
            <w:noWrap/>
            <w:hideMark/>
          </w:tcPr>
          <w:p w:rsidRPr="00674EC6" w:rsidR="005C5C74" w:rsidP="007B3F1A" w:rsidRDefault="005C5C74" w14:paraId="7B49E01A" w14:textId="77777777">
            <w:pPr>
              <w:jc w:val="center"/>
              <w:rPr>
                <w:rFonts w:ascii="Arial" w:hAnsi="Arial" w:eastAsia="Times New Roman" w:cs="Arial"/>
                <w:sz w:val="20"/>
                <w:szCs w:val="20"/>
              </w:rPr>
            </w:pPr>
            <w:r w:rsidRPr="00674EC6">
              <w:rPr>
                <w:rFonts w:ascii="Arial" w:hAnsi="Arial"/>
                <w:sz w:val="20"/>
              </w:rPr>
              <w:t> </w:t>
            </w:r>
          </w:p>
        </w:tc>
      </w:tr>
      <w:tr w:rsidRPr="00674EC6" w:rsidR="005C5C74" w:rsidTr="007B3F1A" w14:paraId="3D8A6A2B" w14:textId="77777777">
        <w:trPr>
          <w:trHeight w:val="300"/>
        </w:trPr>
        <w:tc>
          <w:tcPr>
            <w:tcW w:w="6804" w:type="dxa"/>
            <w:gridSpan w:val="2"/>
            <w:tcBorders>
              <w:left w:val="nil"/>
              <w:right w:val="nil"/>
            </w:tcBorders>
            <w:noWrap/>
            <w:hideMark/>
          </w:tcPr>
          <w:p w:rsidRPr="005C5C74" w:rsidR="005C5C74" w:rsidP="005C5C74" w:rsidRDefault="005C5C74" w14:paraId="67CD7877" w14:textId="77777777">
            <w:pPr>
              <w:ind w:left="171" w:firstLine="48" w:firstLineChars="22"/>
            </w:pPr>
            <w:r w:rsidRPr="005C5C74">
              <w:t>(4) Offentliggørelsessprog</w:t>
            </w:r>
          </w:p>
        </w:tc>
        <w:tc>
          <w:tcPr>
            <w:tcW w:w="2745" w:type="dxa"/>
            <w:tcBorders>
              <w:left w:val="nil"/>
              <w:bottom w:val="single" w:color="auto" w:sz="4" w:space="0"/>
              <w:right w:val="nil"/>
            </w:tcBorders>
            <w:hideMark/>
          </w:tcPr>
          <w:p w:rsidRPr="00674EC6" w:rsidR="005C5C74" w:rsidP="007B3F1A" w:rsidRDefault="005C5C74" w14:paraId="509349FE" w14:textId="77777777">
            <w:pPr>
              <w:jc w:val="center"/>
              <w:rPr>
                <w:rFonts w:ascii="Arial" w:hAnsi="Arial" w:eastAsia="Times New Roman" w:cs="Arial"/>
                <w:sz w:val="20"/>
                <w:szCs w:val="20"/>
              </w:rPr>
            </w:pPr>
            <w:r w:rsidRPr="00674EC6">
              <w:rPr>
                <w:rFonts w:ascii="Arial" w:hAnsi="Arial"/>
                <w:sz w:val="20"/>
              </w:rPr>
              <w:t> </w:t>
            </w:r>
          </w:p>
        </w:tc>
      </w:tr>
      <w:tr w:rsidRPr="00674EC6" w:rsidR="005C5C74" w:rsidTr="007B3F1A" w14:paraId="47EA61C9" w14:textId="77777777">
        <w:trPr>
          <w:trHeight w:val="300"/>
        </w:trPr>
        <w:tc>
          <w:tcPr>
            <w:tcW w:w="6804" w:type="dxa"/>
            <w:gridSpan w:val="2"/>
            <w:tcBorders>
              <w:left w:val="nil"/>
              <w:bottom w:val="single" w:color="auto" w:sz="4" w:space="0"/>
              <w:right w:val="nil"/>
            </w:tcBorders>
            <w:noWrap/>
            <w:hideMark/>
          </w:tcPr>
          <w:p w:rsidRPr="005C5C74" w:rsidR="005C5C74" w:rsidP="005C5C74" w:rsidRDefault="005C5C74" w14:paraId="0217C5BF" w14:textId="77777777">
            <w:pPr>
              <w:ind w:left="171" w:firstLine="48" w:firstLineChars="22"/>
            </w:pPr>
            <w:r w:rsidRPr="005C5C74">
              <w:t>(5) Websted for offentliggørelsen</w:t>
            </w:r>
          </w:p>
        </w:tc>
        <w:tc>
          <w:tcPr>
            <w:tcW w:w="2745" w:type="dxa"/>
            <w:tcBorders>
              <w:left w:val="nil"/>
              <w:bottom w:val="single" w:color="auto" w:sz="4" w:space="0"/>
              <w:right w:val="nil"/>
            </w:tcBorders>
            <w:noWrap/>
            <w:hideMark/>
          </w:tcPr>
          <w:p w:rsidRPr="00674EC6" w:rsidR="005C5C74" w:rsidP="007B3F1A" w:rsidRDefault="005C5C74" w14:paraId="6509E6DC" w14:textId="77777777">
            <w:pPr>
              <w:jc w:val="center"/>
              <w:rPr>
                <w:rFonts w:ascii="Arial" w:hAnsi="Arial" w:eastAsia="Times New Roman" w:cs="Arial"/>
                <w:color w:val="0000FF"/>
                <w:sz w:val="20"/>
                <w:szCs w:val="20"/>
                <w:u w:val="single"/>
                <w:lang w:eastAsia="en-GB"/>
              </w:rPr>
            </w:pPr>
          </w:p>
        </w:tc>
      </w:tr>
      <w:tr w:rsidRPr="00674EC6" w:rsidR="005C5C74" w:rsidTr="007B3F1A" w14:paraId="01C7E452" w14:textId="77777777">
        <w:trPr>
          <w:trHeight w:val="300"/>
        </w:trPr>
        <w:tc>
          <w:tcPr>
            <w:tcW w:w="6804" w:type="dxa"/>
            <w:gridSpan w:val="2"/>
            <w:tcBorders>
              <w:left w:val="nil"/>
              <w:bottom w:val="single" w:color="auto" w:sz="4" w:space="0"/>
              <w:right w:val="nil"/>
            </w:tcBorders>
            <w:noWrap/>
            <w:hideMark/>
          </w:tcPr>
          <w:p w:rsidRPr="005C5C74" w:rsidR="005C5C74" w:rsidP="005C5C74" w:rsidRDefault="005C5C74" w14:paraId="05B64107" w14:textId="77777777">
            <w:pPr>
              <w:ind w:left="171" w:firstLine="48" w:firstLineChars="22"/>
            </w:pPr>
            <w:r w:rsidRPr="005C5C74">
              <w:t>(6) LEI-kode</w:t>
            </w:r>
          </w:p>
        </w:tc>
        <w:tc>
          <w:tcPr>
            <w:tcW w:w="2745" w:type="dxa"/>
            <w:tcBorders>
              <w:left w:val="nil"/>
              <w:bottom w:val="single" w:color="auto" w:sz="4" w:space="0"/>
              <w:right w:val="nil"/>
            </w:tcBorders>
            <w:hideMark/>
          </w:tcPr>
          <w:p w:rsidRPr="00674EC6" w:rsidR="005C5C74" w:rsidP="007B3F1A" w:rsidRDefault="005C5C74" w14:paraId="3BE95753" w14:textId="77777777">
            <w:pPr>
              <w:jc w:val="center"/>
              <w:rPr>
                <w:rFonts w:ascii="Arial" w:hAnsi="Arial" w:eastAsia="Times New Roman" w:cs="Arial"/>
                <w:sz w:val="20"/>
                <w:szCs w:val="20"/>
              </w:rPr>
            </w:pPr>
            <w:r w:rsidRPr="00674EC6">
              <w:rPr>
                <w:rFonts w:ascii="Arial" w:hAnsi="Arial"/>
                <w:sz w:val="20"/>
              </w:rPr>
              <w:t> </w:t>
            </w:r>
          </w:p>
        </w:tc>
      </w:tr>
      <w:tr w:rsidRPr="00674EC6" w:rsidR="005C5C74" w:rsidTr="007B3F1A" w14:paraId="11A669D1" w14:textId="77777777">
        <w:trPr>
          <w:trHeight w:val="300"/>
        </w:trPr>
        <w:tc>
          <w:tcPr>
            <w:tcW w:w="6804" w:type="dxa"/>
            <w:gridSpan w:val="2"/>
            <w:tcBorders>
              <w:left w:val="nil"/>
              <w:bottom w:val="nil"/>
              <w:right w:val="nil"/>
            </w:tcBorders>
            <w:noWrap/>
          </w:tcPr>
          <w:p w:rsidRPr="00674EC6" w:rsidR="005C5C74" w:rsidP="007B3F1A" w:rsidRDefault="005C5C74" w14:paraId="6C8ED71B" w14:textId="77777777">
            <w:pPr>
              <w:ind w:firstLine="400" w:firstLineChars="200"/>
              <w:rPr>
                <w:rFonts w:ascii="Arial" w:hAnsi="Arial" w:eastAsia="Times New Roman" w:cs="Arial"/>
                <w:sz w:val="20"/>
                <w:szCs w:val="20"/>
                <w:lang w:eastAsia="en-GB"/>
              </w:rPr>
            </w:pPr>
          </w:p>
        </w:tc>
        <w:tc>
          <w:tcPr>
            <w:tcW w:w="2745" w:type="dxa"/>
            <w:tcBorders>
              <w:left w:val="nil"/>
              <w:bottom w:val="nil"/>
              <w:right w:val="nil"/>
            </w:tcBorders>
          </w:tcPr>
          <w:p w:rsidRPr="00674EC6" w:rsidR="005C5C74" w:rsidP="007B3F1A" w:rsidRDefault="005C5C74" w14:paraId="3EDF254A" w14:textId="77777777">
            <w:pPr>
              <w:jc w:val="center"/>
              <w:rPr>
                <w:rFonts w:ascii="Arial" w:hAnsi="Arial" w:eastAsia="Times New Roman" w:cs="Arial"/>
                <w:sz w:val="20"/>
                <w:szCs w:val="20"/>
                <w:lang w:eastAsia="en-GB"/>
              </w:rPr>
            </w:pPr>
          </w:p>
        </w:tc>
      </w:tr>
      <w:tr w:rsidRPr="00674EC6" w:rsidR="005C5C74" w:rsidTr="007B3F1A" w14:paraId="4672821D" w14:textId="77777777">
        <w:trPr>
          <w:trHeight w:val="300"/>
        </w:trPr>
        <w:tc>
          <w:tcPr>
            <w:tcW w:w="6804" w:type="dxa"/>
            <w:gridSpan w:val="2"/>
            <w:tcBorders>
              <w:top w:val="nil"/>
              <w:left w:val="nil"/>
              <w:bottom w:val="nil"/>
              <w:right w:val="nil"/>
            </w:tcBorders>
            <w:noWrap/>
          </w:tcPr>
          <w:p w:rsidRPr="00674EC6" w:rsidR="005C5C74" w:rsidP="007B3F1A" w:rsidRDefault="005C5C74" w14:paraId="383639EA" w14:textId="77777777">
            <w:pPr>
              <w:keepNext/>
              <w:keepLines/>
              <w:spacing w:before="47"/>
              <w:outlineLvl w:val="5"/>
              <w:rPr>
                <w:rFonts w:ascii="Arial" w:hAnsi="Arial" w:eastAsia="Times New Roman" w:cs="Arial"/>
                <w:i/>
                <w:iCs/>
                <w:caps/>
                <w:color w:val="172B39" w:themeColor="accent1" w:themeShade="80"/>
                <w:sz w:val="20"/>
                <w:szCs w:val="20"/>
              </w:rPr>
            </w:pPr>
            <w:r w:rsidRPr="00674EC6">
              <w:rPr>
                <w:rFonts w:asciiTheme="majorHAnsi" w:hAnsiTheme="majorHAnsi"/>
                <w:b/>
                <w:i/>
                <w:caps/>
              </w:rPr>
              <w:t>Størrelsesindikatorer</w:t>
            </w:r>
          </w:p>
        </w:tc>
        <w:tc>
          <w:tcPr>
            <w:tcW w:w="2745" w:type="dxa"/>
            <w:tcBorders>
              <w:top w:val="nil"/>
              <w:left w:val="nil"/>
              <w:bottom w:val="nil"/>
              <w:right w:val="nil"/>
            </w:tcBorders>
          </w:tcPr>
          <w:p w:rsidRPr="00674EC6" w:rsidR="005C5C74" w:rsidP="007B3F1A" w:rsidRDefault="005C5C74" w14:paraId="13588853" w14:textId="77777777">
            <w:pPr>
              <w:jc w:val="center"/>
              <w:rPr>
                <w:rFonts w:ascii="Arial" w:hAnsi="Arial" w:eastAsia="Times New Roman" w:cs="Arial"/>
                <w:sz w:val="20"/>
                <w:szCs w:val="20"/>
                <w:lang w:eastAsia="en-GB"/>
              </w:rPr>
            </w:pPr>
          </w:p>
        </w:tc>
      </w:tr>
      <w:tr w:rsidRPr="00674EC6" w:rsidR="005C5C74" w:rsidTr="007B3F1A" w14:paraId="3256F3FF" w14:textId="77777777">
        <w:trPr>
          <w:trHeight w:val="300"/>
        </w:trPr>
        <w:tc>
          <w:tcPr>
            <w:tcW w:w="6804" w:type="dxa"/>
            <w:gridSpan w:val="2"/>
            <w:tcBorders>
              <w:top w:val="nil"/>
              <w:left w:val="nil"/>
              <w:bottom w:val="single" w:color="auto" w:sz="4" w:space="0"/>
              <w:right w:val="nil"/>
            </w:tcBorders>
            <w:noWrap/>
          </w:tcPr>
          <w:p w:rsidRPr="00674EC6" w:rsidR="005C5C74" w:rsidP="007B3F1A" w:rsidRDefault="005C5C74" w14:paraId="31F66196" w14:textId="77777777">
            <w:pPr>
              <w:ind w:firstLine="400" w:firstLineChars="200"/>
              <w:rPr>
                <w:rFonts w:ascii="Arial" w:hAnsi="Arial" w:eastAsia="Times New Roman" w:cs="Arial"/>
                <w:sz w:val="20"/>
                <w:szCs w:val="20"/>
                <w:lang w:eastAsia="en-GB"/>
              </w:rPr>
            </w:pPr>
          </w:p>
        </w:tc>
        <w:tc>
          <w:tcPr>
            <w:tcW w:w="2745" w:type="dxa"/>
            <w:tcBorders>
              <w:top w:val="nil"/>
              <w:left w:val="nil"/>
              <w:bottom w:val="single" w:color="auto" w:sz="4" w:space="0"/>
              <w:right w:val="nil"/>
            </w:tcBorders>
          </w:tcPr>
          <w:p w:rsidRPr="00674EC6" w:rsidR="005C5C74" w:rsidP="007B3F1A" w:rsidRDefault="005C5C74" w14:paraId="540A832B" w14:textId="77777777">
            <w:pPr>
              <w:jc w:val="center"/>
              <w:rPr>
                <w:rFonts w:ascii="Arial" w:hAnsi="Arial" w:eastAsia="Times New Roman" w:cs="Arial"/>
                <w:sz w:val="20"/>
                <w:szCs w:val="20"/>
                <w:lang w:eastAsia="en-GB"/>
              </w:rPr>
            </w:pPr>
          </w:p>
        </w:tc>
      </w:tr>
      <w:tr w:rsidRPr="00674EC6" w:rsidR="005C5C74" w:rsidTr="007B3F1A" w14:paraId="65CF275A" w14:textId="77777777">
        <w:trPr>
          <w:trHeight w:val="300"/>
        </w:trPr>
        <w:tc>
          <w:tcPr>
            <w:tcW w:w="6804" w:type="dxa"/>
            <w:gridSpan w:val="2"/>
            <w:tcBorders>
              <w:left w:val="nil"/>
              <w:right w:val="nil"/>
            </w:tcBorders>
            <w:noWrap/>
          </w:tcPr>
          <w:p w:rsidRPr="00674EC6" w:rsidR="005C5C74" w:rsidP="007B3F1A" w:rsidRDefault="005C5C74" w14:paraId="4CDB3C47" w14:textId="77777777">
            <w:pPr>
              <w:rPr>
                <w:rFonts w:ascii="Arial" w:hAnsi="Arial" w:eastAsia="Times New Roman" w:cs="Arial"/>
                <w:sz w:val="20"/>
                <w:szCs w:val="20"/>
              </w:rPr>
            </w:pPr>
            <w:r w:rsidRPr="00674EC6">
              <w:rPr>
                <w:rFonts w:ascii="Arial" w:hAnsi="Arial"/>
                <w:b/>
                <w:sz w:val="20"/>
              </w:rPr>
              <w:t>Afdeling 2 – Eksponeringer i alt</w:t>
            </w:r>
          </w:p>
        </w:tc>
        <w:tc>
          <w:tcPr>
            <w:tcW w:w="2745" w:type="dxa"/>
            <w:tcBorders>
              <w:left w:val="nil"/>
              <w:right w:val="nil"/>
            </w:tcBorders>
            <w:noWrap/>
          </w:tcPr>
          <w:p w:rsidRPr="00674EC6" w:rsidR="005C5C74" w:rsidP="007B3F1A" w:rsidRDefault="005C5C74" w14:paraId="11A443F1" w14:textId="77777777">
            <w:pPr>
              <w:ind w:firstLine="201" w:firstLineChars="100"/>
              <w:jc w:val="center"/>
              <w:rPr>
                <w:rFonts w:ascii="Arial" w:hAnsi="Arial" w:eastAsia="Times New Roman" w:cs="Arial"/>
                <w:sz w:val="20"/>
                <w:szCs w:val="20"/>
              </w:rPr>
            </w:pPr>
            <w:r w:rsidRPr="00674EC6">
              <w:rPr>
                <w:rFonts w:ascii="Arial" w:hAnsi="Arial"/>
                <w:b/>
                <w:sz w:val="20"/>
              </w:rPr>
              <w:t>Beløb</w:t>
            </w:r>
          </w:p>
        </w:tc>
      </w:tr>
      <w:tr w:rsidRPr="00674EC6" w:rsidR="005C5C74" w:rsidTr="007B3F1A" w14:paraId="5E94A9E9" w14:textId="77777777">
        <w:trPr>
          <w:trHeight w:val="300"/>
        </w:trPr>
        <w:tc>
          <w:tcPr>
            <w:tcW w:w="6804" w:type="dxa"/>
            <w:gridSpan w:val="2"/>
            <w:tcBorders>
              <w:left w:val="nil"/>
              <w:right w:val="nil"/>
            </w:tcBorders>
            <w:noWrap/>
            <w:hideMark/>
          </w:tcPr>
          <w:p w:rsidRPr="005C5C74" w:rsidR="005C5C74" w:rsidP="005C5C74" w:rsidRDefault="005C5C74" w14:paraId="57258761" w14:textId="77777777">
            <w:pPr>
              <w:ind w:left="171" w:firstLine="48" w:firstLineChars="22"/>
            </w:pPr>
            <w:r w:rsidRPr="005C5C74">
              <w:t>a. Derivater</w:t>
            </w:r>
          </w:p>
        </w:tc>
        <w:tc>
          <w:tcPr>
            <w:tcW w:w="2745" w:type="dxa"/>
            <w:tcBorders>
              <w:left w:val="nil"/>
              <w:right w:val="nil"/>
            </w:tcBorders>
            <w:noWrap/>
            <w:hideMark/>
          </w:tcPr>
          <w:p w:rsidRPr="00674EC6" w:rsidR="005C5C74" w:rsidP="007B3F1A" w:rsidRDefault="005C5C74" w14:paraId="55C76C5A" w14:textId="77777777">
            <w:pPr>
              <w:ind w:firstLine="200" w:firstLineChars="100"/>
              <w:rPr>
                <w:rFonts w:ascii="Arial" w:hAnsi="Arial" w:eastAsia="Times New Roman" w:cs="Arial"/>
                <w:sz w:val="20"/>
                <w:szCs w:val="20"/>
              </w:rPr>
            </w:pPr>
            <w:r w:rsidRPr="00674EC6">
              <w:rPr>
                <w:rFonts w:ascii="Arial" w:hAnsi="Arial"/>
                <w:sz w:val="20"/>
              </w:rPr>
              <w:t> </w:t>
            </w:r>
          </w:p>
        </w:tc>
      </w:tr>
      <w:tr w:rsidRPr="00674EC6" w:rsidR="005C5C74" w:rsidTr="007B3F1A" w14:paraId="797BDF89" w14:textId="77777777">
        <w:trPr>
          <w:trHeight w:val="300"/>
        </w:trPr>
        <w:tc>
          <w:tcPr>
            <w:tcW w:w="6804" w:type="dxa"/>
            <w:gridSpan w:val="2"/>
            <w:tcBorders>
              <w:left w:val="nil"/>
              <w:right w:val="nil"/>
            </w:tcBorders>
            <w:noWrap/>
            <w:hideMark/>
          </w:tcPr>
          <w:p w:rsidRPr="005C5C74" w:rsidR="005C5C74" w:rsidP="005C5C74" w:rsidRDefault="005C5C74" w14:paraId="08473B18" w14:textId="77777777">
            <w:pPr>
              <w:ind w:left="171" w:firstLine="48" w:firstLineChars="22"/>
            </w:pPr>
            <w:r w:rsidRPr="005C5C74">
              <w:t>(1) Modpartseksponering i forbindelse med derivatkontrakter</w:t>
            </w:r>
          </w:p>
        </w:tc>
        <w:tc>
          <w:tcPr>
            <w:tcW w:w="2745" w:type="dxa"/>
            <w:tcBorders>
              <w:left w:val="nil"/>
              <w:right w:val="nil"/>
            </w:tcBorders>
            <w:noWrap/>
            <w:hideMark/>
          </w:tcPr>
          <w:p w:rsidRPr="00674EC6" w:rsidR="005C5C74" w:rsidP="007B3F1A" w:rsidRDefault="005C5C74" w14:paraId="2FB2CD54"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6DDEB7AF" w14:textId="77777777">
        <w:trPr>
          <w:trHeight w:val="300"/>
        </w:trPr>
        <w:tc>
          <w:tcPr>
            <w:tcW w:w="6804" w:type="dxa"/>
            <w:gridSpan w:val="2"/>
            <w:tcBorders>
              <w:left w:val="nil"/>
              <w:right w:val="nil"/>
            </w:tcBorders>
            <w:noWrap/>
            <w:hideMark/>
          </w:tcPr>
          <w:p w:rsidRPr="005C5C74" w:rsidR="005C5C74" w:rsidP="005C5C74" w:rsidRDefault="005C5C74" w14:paraId="203B8AAD" w14:textId="77777777">
            <w:pPr>
              <w:ind w:left="171" w:firstLine="48" w:firstLineChars="22"/>
            </w:pPr>
            <w:r w:rsidRPr="005C5C74">
              <w:t>(2) Nominel nettoværdi af kreditderivater (capped)</w:t>
            </w:r>
          </w:p>
        </w:tc>
        <w:tc>
          <w:tcPr>
            <w:tcW w:w="2745" w:type="dxa"/>
            <w:tcBorders>
              <w:left w:val="nil"/>
              <w:right w:val="nil"/>
            </w:tcBorders>
            <w:noWrap/>
            <w:hideMark/>
          </w:tcPr>
          <w:p w:rsidRPr="00674EC6" w:rsidR="005C5C74" w:rsidP="007B3F1A" w:rsidRDefault="005C5C74" w14:paraId="2743C4B9"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01D32524" w14:textId="77777777">
        <w:trPr>
          <w:trHeight w:val="300"/>
        </w:trPr>
        <w:tc>
          <w:tcPr>
            <w:tcW w:w="6804" w:type="dxa"/>
            <w:gridSpan w:val="2"/>
            <w:tcBorders>
              <w:left w:val="nil"/>
              <w:right w:val="nil"/>
            </w:tcBorders>
            <w:noWrap/>
            <w:hideMark/>
          </w:tcPr>
          <w:p w:rsidRPr="005C5C74" w:rsidR="005C5C74" w:rsidP="005C5C74" w:rsidRDefault="005C5C74" w14:paraId="1439A38C" w14:textId="77777777">
            <w:pPr>
              <w:ind w:left="171" w:firstLine="48" w:firstLineChars="22"/>
            </w:pPr>
            <w:r w:rsidRPr="005C5C74">
              <w:t>(3) Potentiel fremtidig eksponering i forbindelse med derivatkontrakter</w:t>
            </w:r>
          </w:p>
        </w:tc>
        <w:tc>
          <w:tcPr>
            <w:tcW w:w="2745" w:type="dxa"/>
            <w:tcBorders>
              <w:left w:val="nil"/>
              <w:right w:val="nil"/>
            </w:tcBorders>
            <w:noWrap/>
            <w:hideMark/>
          </w:tcPr>
          <w:p w:rsidRPr="00674EC6" w:rsidR="005C5C74" w:rsidP="007B3F1A" w:rsidRDefault="005C5C74" w14:paraId="0243E5CA"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5BFF7A6A" w14:textId="77777777">
        <w:trPr>
          <w:trHeight w:val="300"/>
        </w:trPr>
        <w:tc>
          <w:tcPr>
            <w:tcW w:w="6804" w:type="dxa"/>
            <w:gridSpan w:val="2"/>
            <w:tcBorders>
              <w:left w:val="nil"/>
              <w:right w:val="nil"/>
            </w:tcBorders>
            <w:noWrap/>
            <w:hideMark/>
          </w:tcPr>
          <w:p w:rsidRPr="005C5C74" w:rsidR="005C5C74" w:rsidP="005C5C74" w:rsidRDefault="005C5C74" w14:paraId="1C4496BF" w14:textId="77777777">
            <w:pPr>
              <w:ind w:left="171" w:firstLine="48" w:firstLineChars="22"/>
            </w:pPr>
            <w:r w:rsidRPr="005C5C74">
              <w:t>b. Værdipapirfinansieringstransaktioner (VFT'er)</w:t>
            </w:r>
          </w:p>
        </w:tc>
        <w:tc>
          <w:tcPr>
            <w:tcW w:w="2745" w:type="dxa"/>
            <w:tcBorders>
              <w:left w:val="nil"/>
              <w:right w:val="nil"/>
            </w:tcBorders>
            <w:noWrap/>
            <w:hideMark/>
          </w:tcPr>
          <w:p w:rsidRPr="00674EC6" w:rsidR="005C5C74" w:rsidP="007B3F1A" w:rsidRDefault="005C5C74" w14:paraId="0E57DE80" w14:textId="77777777">
            <w:pPr>
              <w:ind w:firstLine="200" w:firstLineChars="100"/>
              <w:rPr>
                <w:rFonts w:ascii="Arial" w:hAnsi="Arial" w:eastAsia="Times New Roman" w:cs="Arial"/>
                <w:sz w:val="20"/>
                <w:szCs w:val="20"/>
              </w:rPr>
            </w:pPr>
            <w:r w:rsidRPr="00674EC6">
              <w:rPr>
                <w:rFonts w:ascii="Arial" w:hAnsi="Arial"/>
                <w:sz w:val="20"/>
              </w:rPr>
              <w:t> </w:t>
            </w:r>
          </w:p>
        </w:tc>
      </w:tr>
      <w:tr w:rsidRPr="00674EC6" w:rsidR="005C5C74" w:rsidTr="007B3F1A" w14:paraId="3A7F7EC8" w14:textId="77777777">
        <w:trPr>
          <w:trHeight w:val="300"/>
        </w:trPr>
        <w:tc>
          <w:tcPr>
            <w:tcW w:w="6804" w:type="dxa"/>
            <w:gridSpan w:val="2"/>
            <w:tcBorders>
              <w:left w:val="nil"/>
              <w:right w:val="nil"/>
            </w:tcBorders>
            <w:noWrap/>
            <w:hideMark/>
          </w:tcPr>
          <w:p w:rsidRPr="005C5C74" w:rsidR="005C5C74" w:rsidP="005C5C74" w:rsidRDefault="005C5C74" w14:paraId="73080AE6" w14:textId="77777777">
            <w:pPr>
              <w:ind w:left="171" w:firstLine="48" w:firstLineChars="22"/>
            </w:pPr>
            <w:r w:rsidRPr="005C5C74">
              <w:t>(1) Justeret bruttoværdi af VFT'er</w:t>
            </w:r>
          </w:p>
        </w:tc>
        <w:tc>
          <w:tcPr>
            <w:tcW w:w="2745" w:type="dxa"/>
            <w:tcBorders>
              <w:left w:val="nil"/>
              <w:right w:val="nil"/>
            </w:tcBorders>
            <w:noWrap/>
            <w:hideMark/>
          </w:tcPr>
          <w:p w:rsidRPr="00674EC6" w:rsidR="005C5C74" w:rsidP="007B3F1A" w:rsidRDefault="005C5C74" w14:paraId="169703F5"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1D7893B5" w14:textId="77777777">
        <w:trPr>
          <w:trHeight w:val="300"/>
        </w:trPr>
        <w:tc>
          <w:tcPr>
            <w:tcW w:w="6804" w:type="dxa"/>
            <w:gridSpan w:val="2"/>
            <w:tcBorders>
              <w:left w:val="nil"/>
              <w:right w:val="nil"/>
            </w:tcBorders>
            <w:noWrap/>
            <w:hideMark/>
          </w:tcPr>
          <w:p w:rsidRPr="005C5C74" w:rsidR="005C5C74" w:rsidP="005C5C74" w:rsidRDefault="005C5C74" w14:paraId="482FA203" w14:textId="77777777">
            <w:pPr>
              <w:ind w:left="171" w:firstLine="48" w:firstLineChars="22"/>
            </w:pPr>
            <w:r w:rsidRPr="005C5C74">
              <w:t>(2) Modpartseksponering i forbindelse med VFT'er</w:t>
            </w:r>
          </w:p>
        </w:tc>
        <w:tc>
          <w:tcPr>
            <w:tcW w:w="2745" w:type="dxa"/>
            <w:tcBorders>
              <w:left w:val="nil"/>
              <w:right w:val="nil"/>
            </w:tcBorders>
            <w:noWrap/>
            <w:hideMark/>
          </w:tcPr>
          <w:p w:rsidRPr="00674EC6" w:rsidR="005C5C74" w:rsidP="007B3F1A" w:rsidRDefault="005C5C74" w14:paraId="66672162"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757697B2" w14:textId="77777777">
        <w:trPr>
          <w:trHeight w:val="300"/>
        </w:trPr>
        <w:tc>
          <w:tcPr>
            <w:tcW w:w="6804" w:type="dxa"/>
            <w:gridSpan w:val="2"/>
            <w:tcBorders>
              <w:left w:val="nil"/>
              <w:right w:val="nil"/>
            </w:tcBorders>
            <w:noWrap/>
            <w:hideMark/>
          </w:tcPr>
          <w:p w:rsidRPr="005C5C74" w:rsidR="005C5C74" w:rsidP="005C5C74" w:rsidRDefault="005C5C74" w14:paraId="35C737D5" w14:textId="77777777">
            <w:pPr>
              <w:ind w:left="171" w:firstLine="48" w:firstLineChars="22"/>
            </w:pPr>
            <w:r w:rsidRPr="005C5C74">
              <w:t>c. Andre aktiver</w:t>
            </w:r>
          </w:p>
        </w:tc>
        <w:tc>
          <w:tcPr>
            <w:tcW w:w="2745" w:type="dxa"/>
            <w:tcBorders>
              <w:left w:val="nil"/>
              <w:right w:val="nil"/>
            </w:tcBorders>
            <w:noWrap/>
            <w:hideMark/>
          </w:tcPr>
          <w:p w:rsidRPr="00674EC6" w:rsidR="005C5C74" w:rsidP="007B3F1A" w:rsidRDefault="005C5C74" w14:paraId="36B5BF3F"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77E1D49E" w14:textId="77777777">
        <w:trPr>
          <w:trHeight w:val="300"/>
        </w:trPr>
        <w:tc>
          <w:tcPr>
            <w:tcW w:w="6804" w:type="dxa"/>
            <w:gridSpan w:val="2"/>
            <w:tcBorders>
              <w:left w:val="nil"/>
              <w:right w:val="nil"/>
            </w:tcBorders>
            <w:noWrap/>
            <w:hideMark/>
          </w:tcPr>
          <w:p w:rsidRPr="005C5C74" w:rsidR="005C5C74" w:rsidP="005C5C74" w:rsidRDefault="005C5C74" w14:paraId="61A67043" w14:textId="77777777">
            <w:pPr>
              <w:ind w:left="171" w:firstLine="48" w:firstLineChars="22"/>
            </w:pPr>
            <w:r w:rsidRPr="005C5C74">
              <w:t>d. Nominel bruttoværdi af ikkebalanceførte poster</w:t>
            </w:r>
          </w:p>
        </w:tc>
        <w:tc>
          <w:tcPr>
            <w:tcW w:w="2745" w:type="dxa"/>
            <w:tcBorders>
              <w:left w:val="nil"/>
              <w:right w:val="nil"/>
            </w:tcBorders>
            <w:noWrap/>
            <w:hideMark/>
          </w:tcPr>
          <w:p w:rsidRPr="00674EC6" w:rsidR="005C5C74" w:rsidP="007B3F1A" w:rsidRDefault="005C5C74" w14:paraId="492DAA0F" w14:textId="77777777">
            <w:pPr>
              <w:ind w:firstLine="200" w:firstLineChars="100"/>
              <w:rPr>
                <w:rFonts w:ascii="Arial" w:hAnsi="Arial" w:eastAsia="Times New Roman" w:cs="Arial"/>
                <w:sz w:val="20"/>
                <w:szCs w:val="20"/>
              </w:rPr>
            </w:pPr>
            <w:r w:rsidRPr="00674EC6">
              <w:rPr>
                <w:rFonts w:ascii="Arial" w:hAnsi="Arial"/>
                <w:sz w:val="20"/>
              </w:rPr>
              <w:t> </w:t>
            </w:r>
          </w:p>
        </w:tc>
      </w:tr>
      <w:tr w:rsidRPr="00674EC6" w:rsidR="005C5C74" w:rsidTr="007B3F1A" w14:paraId="316151DF" w14:textId="77777777">
        <w:trPr>
          <w:trHeight w:val="300"/>
        </w:trPr>
        <w:tc>
          <w:tcPr>
            <w:tcW w:w="6804" w:type="dxa"/>
            <w:gridSpan w:val="2"/>
            <w:tcBorders>
              <w:left w:val="nil"/>
              <w:right w:val="nil"/>
            </w:tcBorders>
            <w:noWrap/>
            <w:hideMark/>
          </w:tcPr>
          <w:p w:rsidRPr="005C5C74" w:rsidR="005C5C74" w:rsidP="005C5C74" w:rsidRDefault="005C5C74" w14:paraId="2DA6A311" w14:textId="77777777">
            <w:pPr>
              <w:ind w:left="171" w:firstLine="48" w:firstLineChars="22"/>
            </w:pPr>
            <w:r w:rsidRPr="005C5C74">
              <w:t>(1) Poster med en kreditkonverteringsfaktor (CCF) på 0 %</w:t>
            </w:r>
          </w:p>
        </w:tc>
        <w:tc>
          <w:tcPr>
            <w:tcW w:w="2745" w:type="dxa"/>
            <w:tcBorders>
              <w:left w:val="nil"/>
              <w:right w:val="nil"/>
            </w:tcBorders>
            <w:noWrap/>
            <w:hideMark/>
          </w:tcPr>
          <w:p w:rsidRPr="00674EC6" w:rsidR="005C5C74" w:rsidP="007B3F1A" w:rsidRDefault="005C5C74" w14:paraId="6CCA8BC7"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04E99C40" w14:textId="77777777">
        <w:trPr>
          <w:trHeight w:val="300"/>
        </w:trPr>
        <w:tc>
          <w:tcPr>
            <w:tcW w:w="6804" w:type="dxa"/>
            <w:gridSpan w:val="2"/>
            <w:tcBorders>
              <w:left w:val="nil"/>
              <w:right w:val="nil"/>
            </w:tcBorders>
            <w:noWrap/>
            <w:hideMark/>
          </w:tcPr>
          <w:p w:rsidRPr="005C5C74" w:rsidR="005C5C74" w:rsidP="005C5C74" w:rsidRDefault="005C5C74" w14:paraId="7D8EA629" w14:textId="77777777">
            <w:pPr>
              <w:ind w:left="171" w:firstLine="48" w:firstLineChars="22"/>
            </w:pPr>
            <w:r w:rsidRPr="005C5C74">
              <w:t>(2) Poster med en CCF på 20 %</w:t>
            </w:r>
          </w:p>
        </w:tc>
        <w:tc>
          <w:tcPr>
            <w:tcW w:w="2745" w:type="dxa"/>
            <w:tcBorders>
              <w:left w:val="nil"/>
              <w:right w:val="nil"/>
            </w:tcBorders>
            <w:noWrap/>
            <w:hideMark/>
          </w:tcPr>
          <w:p w:rsidRPr="00674EC6" w:rsidR="005C5C74" w:rsidP="007B3F1A" w:rsidRDefault="005C5C74" w14:paraId="64895E0A"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09868ED4" w14:textId="77777777">
        <w:trPr>
          <w:trHeight w:val="300"/>
        </w:trPr>
        <w:tc>
          <w:tcPr>
            <w:tcW w:w="6804" w:type="dxa"/>
            <w:gridSpan w:val="2"/>
            <w:tcBorders>
              <w:left w:val="nil"/>
              <w:right w:val="nil"/>
            </w:tcBorders>
            <w:noWrap/>
            <w:hideMark/>
          </w:tcPr>
          <w:p w:rsidRPr="005C5C74" w:rsidR="005C5C74" w:rsidP="005C5C74" w:rsidRDefault="005C5C74" w14:paraId="111BE4F9" w14:textId="77777777">
            <w:pPr>
              <w:ind w:left="171" w:firstLine="48" w:firstLineChars="22"/>
            </w:pPr>
            <w:r w:rsidRPr="005C5C74">
              <w:t>(3) Poster med en CCF på 50 %</w:t>
            </w:r>
          </w:p>
        </w:tc>
        <w:tc>
          <w:tcPr>
            <w:tcW w:w="2745" w:type="dxa"/>
            <w:tcBorders>
              <w:left w:val="nil"/>
              <w:right w:val="nil"/>
            </w:tcBorders>
            <w:noWrap/>
            <w:hideMark/>
          </w:tcPr>
          <w:p w:rsidRPr="00674EC6" w:rsidR="005C5C74" w:rsidP="007B3F1A" w:rsidRDefault="005C5C74" w14:paraId="762BCDE4"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23300660" w14:textId="77777777">
        <w:trPr>
          <w:trHeight w:val="300"/>
        </w:trPr>
        <w:tc>
          <w:tcPr>
            <w:tcW w:w="6804" w:type="dxa"/>
            <w:gridSpan w:val="2"/>
            <w:tcBorders>
              <w:left w:val="nil"/>
              <w:right w:val="nil"/>
            </w:tcBorders>
            <w:noWrap/>
            <w:hideMark/>
          </w:tcPr>
          <w:p w:rsidRPr="005C5C74" w:rsidR="005C5C74" w:rsidP="005C5C74" w:rsidRDefault="005C5C74" w14:paraId="0A221D2E" w14:textId="77777777">
            <w:pPr>
              <w:ind w:left="171" w:firstLine="48" w:firstLineChars="22"/>
            </w:pPr>
            <w:r w:rsidRPr="005C5C74">
              <w:t>(4) Poster med en CCF på 100 %</w:t>
            </w:r>
          </w:p>
        </w:tc>
        <w:tc>
          <w:tcPr>
            <w:tcW w:w="2745" w:type="dxa"/>
            <w:tcBorders>
              <w:left w:val="nil"/>
              <w:right w:val="nil"/>
            </w:tcBorders>
            <w:noWrap/>
            <w:hideMark/>
          </w:tcPr>
          <w:p w:rsidRPr="00674EC6" w:rsidR="005C5C74" w:rsidP="007B3F1A" w:rsidRDefault="005C5C74" w14:paraId="59C63019"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07772152" w14:textId="77777777">
        <w:trPr>
          <w:trHeight w:val="300"/>
        </w:trPr>
        <w:tc>
          <w:tcPr>
            <w:tcW w:w="6804" w:type="dxa"/>
            <w:gridSpan w:val="2"/>
            <w:tcBorders>
              <w:left w:val="nil"/>
              <w:right w:val="nil"/>
            </w:tcBorders>
            <w:noWrap/>
            <w:hideMark/>
          </w:tcPr>
          <w:p w:rsidRPr="005C5C74" w:rsidR="005C5C74" w:rsidP="005C5C74" w:rsidRDefault="005C5C74" w14:paraId="04715BCF" w14:textId="77777777">
            <w:pPr>
              <w:ind w:left="171" w:firstLine="48" w:firstLineChars="22"/>
            </w:pPr>
            <w:r w:rsidRPr="005C5C74">
              <w:t>e. Lovpligtige justeringer</w:t>
            </w:r>
          </w:p>
        </w:tc>
        <w:tc>
          <w:tcPr>
            <w:tcW w:w="2745" w:type="dxa"/>
            <w:tcBorders>
              <w:left w:val="nil"/>
              <w:right w:val="nil"/>
            </w:tcBorders>
            <w:noWrap/>
            <w:hideMark/>
          </w:tcPr>
          <w:p w:rsidRPr="00674EC6" w:rsidR="005C5C74" w:rsidP="007B3F1A" w:rsidRDefault="005C5C74" w14:paraId="0BDBB9E4"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7C9E220A" w14:textId="77777777">
        <w:trPr>
          <w:trHeight w:val="300"/>
        </w:trPr>
        <w:tc>
          <w:tcPr>
            <w:tcW w:w="6804" w:type="dxa"/>
            <w:gridSpan w:val="2"/>
            <w:tcBorders>
              <w:left w:val="nil"/>
              <w:right w:val="nil"/>
            </w:tcBorders>
            <w:noWrap/>
          </w:tcPr>
          <w:p w:rsidRPr="005C5C74" w:rsidR="005C5C74" w:rsidP="005C5C74" w:rsidRDefault="005C5C74" w14:paraId="0045F0D4" w14:textId="77777777">
            <w:pPr>
              <w:ind w:left="171" w:firstLine="48" w:firstLineChars="22"/>
            </w:pPr>
            <w:r w:rsidRPr="005C5C74">
              <w:t>f. Eksponeringer i alt inden lovpligtige justeringer (summen af post 2.a.(1) til 2.c., 0,1 gange post 2.d.(1), 0,2 gange post 2.d.(2), 0,5 gange post 2.d.(3), og post 2.d.(4))</w:t>
            </w:r>
          </w:p>
        </w:tc>
        <w:tc>
          <w:tcPr>
            <w:tcW w:w="2745" w:type="dxa"/>
            <w:tcBorders>
              <w:left w:val="nil"/>
              <w:right w:val="nil"/>
            </w:tcBorders>
            <w:noWrap/>
          </w:tcPr>
          <w:p w:rsidRPr="00674EC6" w:rsidR="005C5C74" w:rsidP="007B3F1A" w:rsidRDefault="005C5C74" w14:paraId="1634A4AC" w14:textId="77777777">
            <w:pPr>
              <w:jc w:val="right"/>
              <w:rPr>
                <w:rFonts w:ascii="Arial" w:hAnsi="Arial" w:eastAsia="Times New Roman" w:cs="Arial"/>
                <w:sz w:val="20"/>
                <w:szCs w:val="20"/>
                <w:lang w:eastAsia="en-GB"/>
              </w:rPr>
            </w:pPr>
          </w:p>
        </w:tc>
      </w:tr>
      <w:tr w:rsidRPr="00674EC6" w:rsidR="005C5C74" w:rsidTr="007B3F1A" w14:paraId="5713101E" w14:textId="77777777">
        <w:trPr>
          <w:trHeight w:val="300"/>
        </w:trPr>
        <w:tc>
          <w:tcPr>
            <w:tcW w:w="6804" w:type="dxa"/>
            <w:gridSpan w:val="2"/>
            <w:tcBorders>
              <w:left w:val="nil"/>
              <w:right w:val="nil"/>
            </w:tcBorders>
            <w:noWrap/>
          </w:tcPr>
          <w:p w:rsidRPr="005C5C74" w:rsidR="005C5C74" w:rsidP="005C5C74" w:rsidRDefault="005C5C74" w14:paraId="598CD3BF" w14:textId="77777777">
            <w:pPr>
              <w:ind w:left="171" w:firstLine="48" w:firstLineChars="22"/>
            </w:pPr>
            <w:r w:rsidRPr="005C5C74">
              <w:lastRenderedPageBreak/>
              <w:t>g. Eksponeringer i forbindelse med forsikringsdatterselskaber, der ikke er omfattet af post 2.f., eksklusive koncerninterne eksponeringer:</w:t>
            </w:r>
          </w:p>
        </w:tc>
        <w:tc>
          <w:tcPr>
            <w:tcW w:w="2745" w:type="dxa"/>
            <w:tcBorders>
              <w:left w:val="nil"/>
              <w:right w:val="nil"/>
            </w:tcBorders>
            <w:noWrap/>
          </w:tcPr>
          <w:p w:rsidRPr="00674EC6" w:rsidR="005C5C74" w:rsidP="007B3F1A" w:rsidRDefault="005C5C74" w14:paraId="0AA42B05" w14:textId="77777777">
            <w:pPr>
              <w:jc w:val="right"/>
              <w:rPr>
                <w:rFonts w:ascii="Arial" w:hAnsi="Arial" w:eastAsia="Times New Roman" w:cs="Arial"/>
                <w:sz w:val="20"/>
                <w:szCs w:val="20"/>
                <w:lang w:eastAsia="en-GB"/>
              </w:rPr>
            </w:pPr>
          </w:p>
        </w:tc>
      </w:tr>
      <w:tr w:rsidRPr="00674EC6" w:rsidR="005C5C74" w:rsidTr="007B3F1A" w14:paraId="28031930" w14:textId="77777777">
        <w:trPr>
          <w:trHeight w:val="300"/>
        </w:trPr>
        <w:tc>
          <w:tcPr>
            <w:tcW w:w="6804" w:type="dxa"/>
            <w:gridSpan w:val="2"/>
            <w:tcBorders>
              <w:left w:val="nil"/>
              <w:right w:val="nil"/>
            </w:tcBorders>
            <w:noWrap/>
          </w:tcPr>
          <w:p w:rsidRPr="005C5C74" w:rsidR="005C5C74" w:rsidP="005C5C74" w:rsidRDefault="005C5C74" w14:paraId="115E3CAC" w14:textId="77777777">
            <w:pPr>
              <w:ind w:left="171" w:firstLine="48" w:firstLineChars="22"/>
            </w:pPr>
            <w:r w:rsidRPr="005C5C74">
              <w:t>(1) Forsikringsdatterselskabers balanceførte og ikkebalanceførte aktiver</w:t>
            </w:r>
          </w:p>
        </w:tc>
        <w:tc>
          <w:tcPr>
            <w:tcW w:w="2745" w:type="dxa"/>
            <w:tcBorders>
              <w:left w:val="nil"/>
              <w:right w:val="nil"/>
            </w:tcBorders>
            <w:noWrap/>
          </w:tcPr>
          <w:p w:rsidRPr="00674EC6" w:rsidR="005C5C74" w:rsidP="007B3F1A" w:rsidRDefault="005C5C74" w14:paraId="674A49EE" w14:textId="77777777">
            <w:pPr>
              <w:jc w:val="right"/>
              <w:rPr>
                <w:rFonts w:ascii="Arial" w:hAnsi="Arial" w:eastAsia="Times New Roman" w:cs="Arial"/>
                <w:sz w:val="20"/>
                <w:szCs w:val="20"/>
                <w:lang w:eastAsia="en-GB"/>
              </w:rPr>
            </w:pPr>
          </w:p>
        </w:tc>
      </w:tr>
      <w:tr w:rsidRPr="00674EC6" w:rsidR="005C5C74" w:rsidTr="007B3F1A" w14:paraId="7F29FD16" w14:textId="77777777">
        <w:trPr>
          <w:trHeight w:val="300"/>
        </w:trPr>
        <w:tc>
          <w:tcPr>
            <w:tcW w:w="6804" w:type="dxa"/>
            <w:gridSpan w:val="2"/>
            <w:tcBorders>
              <w:left w:val="nil"/>
              <w:right w:val="nil"/>
            </w:tcBorders>
            <w:noWrap/>
          </w:tcPr>
          <w:p w:rsidRPr="005C5C74" w:rsidR="005C5C74" w:rsidP="005C5C74" w:rsidRDefault="005C5C74" w14:paraId="19EA053B" w14:textId="77777777">
            <w:pPr>
              <w:ind w:left="171" w:firstLine="48" w:firstLineChars="22"/>
            </w:pPr>
            <w:r w:rsidRPr="005C5C74">
              <w:t>(2) Potentiel fremtidig eksponering i forbindelse med derivatkontrakter for forsikringsdatterselskaber</w:t>
            </w:r>
          </w:p>
        </w:tc>
        <w:tc>
          <w:tcPr>
            <w:tcW w:w="2745" w:type="dxa"/>
            <w:tcBorders>
              <w:left w:val="nil"/>
              <w:right w:val="nil"/>
            </w:tcBorders>
            <w:noWrap/>
          </w:tcPr>
          <w:p w:rsidRPr="00674EC6" w:rsidR="005C5C74" w:rsidP="007B3F1A" w:rsidRDefault="005C5C74" w14:paraId="41D76427" w14:textId="77777777">
            <w:pPr>
              <w:jc w:val="right"/>
              <w:rPr>
                <w:rFonts w:ascii="Arial" w:hAnsi="Arial" w:eastAsia="Times New Roman" w:cs="Arial"/>
                <w:sz w:val="20"/>
                <w:szCs w:val="20"/>
                <w:lang w:eastAsia="en-GB"/>
              </w:rPr>
            </w:pPr>
          </w:p>
        </w:tc>
      </w:tr>
      <w:tr w:rsidRPr="00674EC6" w:rsidR="005C5C74" w:rsidTr="007B3F1A" w14:paraId="29E08162" w14:textId="77777777">
        <w:trPr>
          <w:trHeight w:val="300"/>
        </w:trPr>
        <w:tc>
          <w:tcPr>
            <w:tcW w:w="6804" w:type="dxa"/>
            <w:gridSpan w:val="2"/>
            <w:tcBorders>
              <w:left w:val="nil"/>
              <w:right w:val="nil"/>
            </w:tcBorders>
            <w:noWrap/>
          </w:tcPr>
          <w:p w:rsidRPr="005C5C74" w:rsidR="005C5C74" w:rsidP="005C5C74" w:rsidRDefault="005C5C74" w14:paraId="08DF3BCB" w14:textId="77777777">
            <w:pPr>
              <w:ind w:left="171" w:firstLine="48" w:firstLineChars="22"/>
            </w:pPr>
            <w:r w:rsidRPr="005C5C74">
              <w:t>(3) Investeringsværdi i konsoliderede enheder</w:t>
            </w:r>
          </w:p>
        </w:tc>
        <w:tc>
          <w:tcPr>
            <w:tcW w:w="2745" w:type="dxa"/>
            <w:tcBorders>
              <w:left w:val="nil"/>
              <w:right w:val="nil"/>
            </w:tcBorders>
            <w:noWrap/>
          </w:tcPr>
          <w:p w:rsidRPr="00674EC6" w:rsidR="005C5C74" w:rsidP="007B3F1A" w:rsidRDefault="005C5C74" w14:paraId="77058587" w14:textId="77777777">
            <w:pPr>
              <w:jc w:val="right"/>
              <w:rPr>
                <w:rFonts w:ascii="Arial" w:hAnsi="Arial" w:eastAsia="Times New Roman" w:cs="Arial"/>
                <w:sz w:val="20"/>
                <w:szCs w:val="20"/>
                <w:lang w:eastAsia="en-GB"/>
              </w:rPr>
            </w:pPr>
          </w:p>
        </w:tc>
      </w:tr>
      <w:tr w:rsidRPr="00674EC6" w:rsidR="005C5C74" w:rsidTr="007B3F1A" w14:paraId="1F619737" w14:textId="77777777">
        <w:trPr>
          <w:trHeight w:val="300"/>
        </w:trPr>
        <w:tc>
          <w:tcPr>
            <w:tcW w:w="6804" w:type="dxa"/>
            <w:gridSpan w:val="2"/>
            <w:tcBorders>
              <w:left w:val="nil"/>
              <w:right w:val="nil"/>
            </w:tcBorders>
            <w:noWrap/>
          </w:tcPr>
          <w:p w:rsidRPr="005C5C74" w:rsidR="005C5C74" w:rsidP="005C5C74" w:rsidRDefault="005C5C74" w14:paraId="24D05176" w14:textId="77777777">
            <w:pPr>
              <w:ind w:left="171" w:firstLine="48" w:firstLineChars="22"/>
            </w:pPr>
            <w:r w:rsidRPr="005C5C74">
              <w:t>h. Koncerninterne eksponeringer, der er omfattet af post 2.f., i forbindelse med forsikringsdatterselskaber indberettet under post 2.g.</w:t>
            </w:r>
          </w:p>
        </w:tc>
        <w:tc>
          <w:tcPr>
            <w:tcW w:w="2745" w:type="dxa"/>
            <w:tcBorders>
              <w:left w:val="nil"/>
              <w:right w:val="nil"/>
            </w:tcBorders>
            <w:noWrap/>
          </w:tcPr>
          <w:p w:rsidRPr="00674EC6" w:rsidR="005C5C74" w:rsidP="007B3F1A" w:rsidRDefault="005C5C74" w14:paraId="66D1F2EF" w14:textId="77777777">
            <w:pPr>
              <w:jc w:val="right"/>
              <w:rPr>
                <w:rFonts w:ascii="Arial" w:hAnsi="Arial" w:eastAsia="Times New Roman" w:cs="Arial"/>
                <w:sz w:val="20"/>
                <w:szCs w:val="20"/>
                <w:lang w:eastAsia="en-GB"/>
              </w:rPr>
            </w:pPr>
          </w:p>
        </w:tc>
      </w:tr>
      <w:tr w:rsidRPr="00674EC6" w:rsidR="005C5C74" w:rsidTr="007B3F1A" w14:paraId="1F7A99E4" w14:textId="77777777">
        <w:trPr>
          <w:trHeight w:val="300"/>
        </w:trPr>
        <w:tc>
          <w:tcPr>
            <w:tcW w:w="6804" w:type="dxa"/>
            <w:gridSpan w:val="2"/>
            <w:tcBorders>
              <w:left w:val="nil"/>
              <w:bottom w:val="single" w:color="auto" w:sz="4" w:space="0"/>
              <w:right w:val="nil"/>
            </w:tcBorders>
            <w:noWrap/>
          </w:tcPr>
          <w:p w:rsidRPr="005C5C74" w:rsidR="005C5C74" w:rsidP="005C5C74" w:rsidRDefault="005C5C74" w14:paraId="7DF2CB07" w14:textId="77777777">
            <w:pPr>
              <w:ind w:left="171" w:firstLine="48" w:firstLineChars="22"/>
            </w:pPr>
            <w:r w:rsidRPr="005C5C74">
              <w:t>i. Indikator for eksponeringer i alt, inklusive forsikringsdatterselskaber (summen af post 2.f., 2.g.(1) til 2.g.(2) minus 2.g.(3) til 2.h.)</w:t>
            </w:r>
          </w:p>
        </w:tc>
        <w:tc>
          <w:tcPr>
            <w:tcW w:w="2745" w:type="dxa"/>
            <w:tcBorders>
              <w:left w:val="nil"/>
              <w:bottom w:val="single" w:color="auto" w:sz="4" w:space="0"/>
              <w:right w:val="nil"/>
            </w:tcBorders>
            <w:noWrap/>
          </w:tcPr>
          <w:p w:rsidRPr="00674EC6" w:rsidR="005C5C74" w:rsidP="007B3F1A" w:rsidRDefault="005C5C74" w14:paraId="6663D8A2" w14:textId="77777777">
            <w:pPr>
              <w:jc w:val="right"/>
              <w:rPr>
                <w:rFonts w:ascii="Arial" w:hAnsi="Arial" w:eastAsia="Times New Roman" w:cs="Arial"/>
                <w:sz w:val="20"/>
                <w:szCs w:val="20"/>
                <w:lang w:eastAsia="en-GB"/>
              </w:rPr>
            </w:pPr>
          </w:p>
        </w:tc>
      </w:tr>
      <w:tr w:rsidRPr="00674EC6" w:rsidR="005C5C74" w:rsidTr="007B3F1A" w14:paraId="1787A41C" w14:textId="77777777">
        <w:trPr>
          <w:trHeight w:val="403"/>
        </w:trPr>
        <w:tc>
          <w:tcPr>
            <w:tcW w:w="9549" w:type="dxa"/>
            <w:gridSpan w:val="3"/>
            <w:tcBorders>
              <w:left w:val="nil"/>
              <w:right w:val="nil"/>
            </w:tcBorders>
            <w:noWrap/>
            <w:hideMark/>
          </w:tcPr>
          <w:p w:rsidRPr="00674EC6" w:rsidR="005C5C74" w:rsidP="007B3F1A" w:rsidRDefault="005C5C74" w14:paraId="3D6E8DE7" w14:textId="77777777">
            <w:pPr>
              <w:keepNext/>
              <w:keepLines/>
              <w:spacing w:before="47"/>
              <w:outlineLvl w:val="5"/>
              <w:rPr>
                <w:rFonts w:ascii="Arial" w:hAnsi="Arial" w:eastAsia="Times New Roman" w:cs="Arial"/>
                <w:b/>
                <w:bCs/>
                <w:i/>
                <w:iCs/>
                <w:caps/>
                <w:color w:val="172B39" w:themeColor="accent1" w:themeShade="80"/>
                <w:sz w:val="20"/>
                <w:szCs w:val="20"/>
                <w:lang w:eastAsia="en-GB"/>
              </w:rPr>
            </w:pPr>
          </w:p>
          <w:p w:rsidRPr="00674EC6" w:rsidR="005C5C74" w:rsidP="007B3F1A" w:rsidRDefault="005C5C74" w14:paraId="5546BB19" w14:textId="77777777">
            <w:pPr>
              <w:keepNext/>
              <w:keepLines/>
              <w:spacing w:before="47"/>
              <w:outlineLvl w:val="5"/>
              <w:rPr>
                <w:rFonts w:ascii="Arial" w:hAnsi="Arial" w:eastAsia="Times New Roman" w:cs="Arial"/>
                <w:i/>
                <w:iCs/>
                <w:caps/>
                <w:color w:val="172B39" w:themeColor="accent1" w:themeShade="80"/>
                <w:sz w:val="20"/>
                <w:szCs w:val="20"/>
              </w:rPr>
            </w:pPr>
            <w:r w:rsidRPr="00674EC6">
              <w:rPr>
                <w:rFonts w:ascii="Arial" w:hAnsi="Arial"/>
                <w:b/>
                <w:i/>
                <w:caps/>
                <w:color w:val="172B39" w:themeColor="accent1" w:themeShade="80"/>
                <w:sz w:val="24"/>
              </w:rPr>
              <w:t> </w:t>
            </w:r>
            <w:r w:rsidRPr="00674EC6">
              <w:rPr>
                <w:rFonts w:asciiTheme="majorHAnsi" w:hAnsiTheme="majorHAnsi"/>
                <w:b/>
                <w:i/>
                <w:caps/>
              </w:rPr>
              <w:t>Indikatorer for forbundethed</w:t>
            </w:r>
          </w:p>
          <w:p w:rsidRPr="00674EC6" w:rsidR="005C5C74" w:rsidP="007B3F1A" w:rsidRDefault="005C5C74" w14:paraId="1584824E" w14:textId="77777777">
            <w:pPr>
              <w:rPr>
                <w:rFonts w:ascii="Arial" w:hAnsi="Arial" w:eastAsia="Times New Roman" w:cs="Arial"/>
                <w:b/>
                <w:bCs/>
                <w:sz w:val="24"/>
                <w:szCs w:val="24"/>
              </w:rPr>
            </w:pPr>
            <w:r w:rsidRPr="00674EC6">
              <w:rPr>
                <w:rFonts w:ascii="Arial" w:hAnsi="Arial"/>
                <w:b/>
                <w:sz w:val="24"/>
              </w:rPr>
              <w:t> </w:t>
            </w:r>
          </w:p>
        </w:tc>
      </w:tr>
      <w:tr w:rsidRPr="00674EC6" w:rsidR="005C5C74" w:rsidTr="007B3F1A" w14:paraId="269821B2" w14:textId="77777777">
        <w:trPr>
          <w:trHeight w:val="300"/>
        </w:trPr>
        <w:tc>
          <w:tcPr>
            <w:tcW w:w="6804" w:type="dxa"/>
            <w:gridSpan w:val="2"/>
            <w:tcBorders>
              <w:left w:val="nil"/>
              <w:bottom w:val="single" w:color="auto" w:sz="4" w:space="0"/>
              <w:right w:val="nil"/>
            </w:tcBorders>
            <w:noWrap/>
            <w:hideMark/>
          </w:tcPr>
          <w:p w:rsidRPr="00674EC6" w:rsidR="005C5C74" w:rsidP="007B3F1A" w:rsidRDefault="005C5C74" w14:paraId="49AF7B5F" w14:textId="77777777">
            <w:pPr>
              <w:rPr>
                <w:rFonts w:ascii="Arial" w:hAnsi="Arial" w:eastAsia="Times New Roman" w:cs="Arial"/>
                <w:b/>
                <w:bCs/>
                <w:sz w:val="20"/>
                <w:szCs w:val="20"/>
              </w:rPr>
            </w:pPr>
            <w:r w:rsidRPr="00674EC6">
              <w:rPr>
                <w:rFonts w:ascii="Arial" w:hAnsi="Arial"/>
                <w:b/>
                <w:sz w:val="20"/>
              </w:rPr>
              <w:t>Afdeling 3 – Aktiver inden for det finansielle system</w:t>
            </w:r>
          </w:p>
        </w:tc>
        <w:tc>
          <w:tcPr>
            <w:tcW w:w="2745" w:type="dxa"/>
            <w:tcBorders>
              <w:left w:val="nil"/>
              <w:bottom w:val="single" w:color="auto" w:sz="4" w:space="0"/>
              <w:right w:val="nil"/>
            </w:tcBorders>
            <w:hideMark/>
          </w:tcPr>
          <w:p w:rsidRPr="00674EC6" w:rsidR="005C5C74" w:rsidP="007B3F1A" w:rsidRDefault="005C5C74" w14:paraId="6C1CC400"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48297E88" w14:textId="77777777">
        <w:trPr>
          <w:trHeight w:val="300"/>
        </w:trPr>
        <w:tc>
          <w:tcPr>
            <w:tcW w:w="6804" w:type="dxa"/>
            <w:gridSpan w:val="2"/>
            <w:tcBorders>
              <w:left w:val="nil"/>
              <w:right w:val="nil"/>
            </w:tcBorders>
            <w:noWrap/>
            <w:hideMark/>
          </w:tcPr>
          <w:p w:rsidRPr="005C5C74" w:rsidR="005C5C74" w:rsidP="005C5C74" w:rsidRDefault="005C5C74" w14:paraId="35518082" w14:textId="77777777">
            <w:pPr>
              <w:ind w:left="171" w:firstLine="48" w:firstLineChars="22"/>
            </w:pPr>
            <w:r w:rsidRPr="005C5C74">
              <w:t>a. Midler deponeret hos eller lånt til andre finansielle institutter</w:t>
            </w:r>
          </w:p>
        </w:tc>
        <w:tc>
          <w:tcPr>
            <w:tcW w:w="2745" w:type="dxa"/>
            <w:tcBorders>
              <w:left w:val="nil"/>
              <w:right w:val="nil"/>
            </w:tcBorders>
            <w:noWrap/>
            <w:hideMark/>
          </w:tcPr>
          <w:p w:rsidRPr="00674EC6" w:rsidR="005C5C74" w:rsidP="007B3F1A" w:rsidRDefault="005C5C74" w14:paraId="12BBC2B6"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6918FB3F" w14:textId="77777777">
        <w:trPr>
          <w:trHeight w:val="300"/>
        </w:trPr>
        <w:tc>
          <w:tcPr>
            <w:tcW w:w="6804" w:type="dxa"/>
            <w:gridSpan w:val="2"/>
            <w:tcBorders>
              <w:left w:val="nil"/>
              <w:bottom w:val="single" w:color="auto" w:sz="4" w:space="0"/>
              <w:right w:val="nil"/>
            </w:tcBorders>
            <w:noWrap/>
            <w:hideMark/>
          </w:tcPr>
          <w:p w:rsidRPr="005C5C74" w:rsidR="005C5C74" w:rsidP="005C5C74" w:rsidRDefault="005C5C74" w14:paraId="7AE80D01" w14:textId="77777777">
            <w:pPr>
              <w:ind w:left="171" w:firstLine="48" w:firstLineChars="22"/>
            </w:pPr>
            <w:r w:rsidRPr="005C5C74">
              <w:t xml:space="preserve">(1) Indskudsbeviser </w:t>
            </w:r>
          </w:p>
        </w:tc>
        <w:tc>
          <w:tcPr>
            <w:tcW w:w="2745" w:type="dxa"/>
            <w:tcBorders>
              <w:left w:val="nil"/>
              <w:right w:val="nil"/>
            </w:tcBorders>
            <w:noWrap/>
            <w:hideMark/>
          </w:tcPr>
          <w:p w:rsidRPr="00674EC6" w:rsidR="005C5C74" w:rsidP="007B3F1A" w:rsidRDefault="005C5C74" w14:paraId="3347EB41"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7E882AF3" w14:textId="77777777">
        <w:trPr>
          <w:gridAfter w:val="1"/>
          <w:wAfter w:w="2745" w:type="dxa"/>
          <w:trHeight w:val="300"/>
        </w:trPr>
        <w:tc>
          <w:tcPr>
            <w:tcW w:w="6804" w:type="dxa"/>
            <w:gridSpan w:val="2"/>
            <w:tcBorders>
              <w:left w:val="nil"/>
              <w:right w:val="nil"/>
            </w:tcBorders>
            <w:noWrap/>
            <w:hideMark/>
          </w:tcPr>
          <w:p w:rsidRPr="005C5C74" w:rsidR="005C5C74" w:rsidP="005C5C74" w:rsidRDefault="005C5C74" w14:paraId="7E6B8988" w14:textId="77777777">
            <w:pPr>
              <w:ind w:left="171" w:firstLine="48" w:firstLineChars="22"/>
            </w:pPr>
            <w:r w:rsidRPr="005C5C74">
              <w:t>b. Uudnyttede bekræftede kreditlinjer, der er ydet andre finansielle institutter</w:t>
            </w:r>
          </w:p>
        </w:tc>
      </w:tr>
      <w:tr w:rsidRPr="00674EC6" w:rsidR="005C5C74" w:rsidTr="007B3F1A" w14:paraId="7D27522A" w14:textId="77777777">
        <w:trPr>
          <w:trHeight w:val="300"/>
        </w:trPr>
        <w:tc>
          <w:tcPr>
            <w:tcW w:w="6804" w:type="dxa"/>
            <w:gridSpan w:val="2"/>
            <w:tcBorders>
              <w:left w:val="nil"/>
              <w:right w:val="nil"/>
            </w:tcBorders>
            <w:noWrap/>
            <w:hideMark/>
          </w:tcPr>
          <w:p w:rsidRPr="005C5C74" w:rsidR="005C5C74" w:rsidP="005C5C74" w:rsidRDefault="005C5C74" w14:paraId="48E4B8EB" w14:textId="77777777">
            <w:pPr>
              <w:ind w:left="171" w:firstLine="48" w:firstLineChars="22"/>
            </w:pPr>
            <w:r w:rsidRPr="005C5C74">
              <w:t>c. Beholdninger af værdipapirer, der er udstedt af andre finansielle institutter</w:t>
            </w:r>
          </w:p>
        </w:tc>
        <w:tc>
          <w:tcPr>
            <w:tcW w:w="2745" w:type="dxa"/>
            <w:tcBorders>
              <w:left w:val="nil"/>
              <w:right w:val="nil"/>
            </w:tcBorders>
            <w:noWrap/>
            <w:hideMark/>
          </w:tcPr>
          <w:p w:rsidRPr="00674EC6" w:rsidR="005C5C74" w:rsidP="007B3F1A" w:rsidRDefault="005C5C74" w14:paraId="0996E6F7" w14:textId="77777777">
            <w:pPr>
              <w:ind w:firstLine="200" w:firstLineChars="100"/>
              <w:rPr>
                <w:rFonts w:ascii="Arial" w:hAnsi="Arial" w:eastAsia="Times New Roman" w:cs="Arial"/>
                <w:sz w:val="20"/>
                <w:szCs w:val="20"/>
              </w:rPr>
            </w:pPr>
            <w:r w:rsidRPr="00674EC6">
              <w:rPr>
                <w:rFonts w:ascii="Arial" w:hAnsi="Arial"/>
                <w:sz w:val="20"/>
              </w:rPr>
              <w:t> </w:t>
            </w:r>
          </w:p>
        </w:tc>
      </w:tr>
      <w:tr w:rsidRPr="00674EC6" w:rsidR="005C5C74" w:rsidTr="007B3F1A" w14:paraId="37471096" w14:textId="77777777">
        <w:trPr>
          <w:trHeight w:val="300"/>
        </w:trPr>
        <w:tc>
          <w:tcPr>
            <w:tcW w:w="6804" w:type="dxa"/>
            <w:gridSpan w:val="2"/>
            <w:tcBorders>
              <w:left w:val="nil"/>
              <w:right w:val="nil"/>
            </w:tcBorders>
            <w:noWrap/>
            <w:hideMark/>
          </w:tcPr>
          <w:p w:rsidRPr="005C5C74" w:rsidR="005C5C74" w:rsidP="005C5C74" w:rsidRDefault="005C5C74" w14:paraId="68881D8D" w14:textId="77777777">
            <w:pPr>
              <w:ind w:left="171" w:firstLine="48" w:firstLineChars="22"/>
            </w:pPr>
            <w:r w:rsidRPr="005C5C74">
              <w:t>(1) Sikrede gældsværdipapirer</w:t>
            </w:r>
          </w:p>
        </w:tc>
        <w:tc>
          <w:tcPr>
            <w:tcW w:w="2745" w:type="dxa"/>
            <w:tcBorders>
              <w:left w:val="nil"/>
              <w:right w:val="nil"/>
            </w:tcBorders>
            <w:noWrap/>
            <w:hideMark/>
          </w:tcPr>
          <w:p w:rsidRPr="00674EC6" w:rsidR="005C5C74" w:rsidP="007B3F1A" w:rsidRDefault="005C5C74" w14:paraId="48E293A6"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31138C83" w14:textId="77777777">
        <w:trPr>
          <w:trHeight w:val="300"/>
        </w:trPr>
        <w:tc>
          <w:tcPr>
            <w:tcW w:w="6804" w:type="dxa"/>
            <w:gridSpan w:val="2"/>
            <w:tcBorders>
              <w:left w:val="nil"/>
              <w:right w:val="nil"/>
            </w:tcBorders>
            <w:noWrap/>
            <w:hideMark/>
          </w:tcPr>
          <w:p w:rsidRPr="005C5C74" w:rsidR="005C5C74" w:rsidP="005C5C74" w:rsidRDefault="005C5C74" w14:paraId="3C5416B2" w14:textId="77777777">
            <w:pPr>
              <w:ind w:left="171" w:firstLine="48" w:firstLineChars="22"/>
            </w:pPr>
            <w:r w:rsidRPr="005C5C74">
              <w:t>(2) Ikke-efterstillede usikrede gældsværdipapirer</w:t>
            </w:r>
          </w:p>
        </w:tc>
        <w:tc>
          <w:tcPr>
            <w:tcW w:w="2745" w:type="dxa"/>
            <w:tcBorders>
              <w:left w:val="nil"/>
              <w:right w:val="nil"/>
            </w:tcBorders>
            <w:noWrap/>
            <w:hideMark/>
          </w:tcPr>
          <w:p w:rsidRPr="00674EC6" w:rsidR="005C5C74" w:rsidP="007B3F1A" w:rsidRDefault="005C5C74" w14:paraId="00F77A18"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51BBAEE9" w14:textId="77777777">
        <w:trPr>
          <w:trHeight w:val="300"/>
        </w:trPr>
        <w:tc>
          <w:tcPr>
            <w:tcW w:w="6804" w:type="dxa"/>
            <w:gridSpan w:val="2"/>
            <w:tcBorders>
              <w:left w:val="nil"/>
              <w:right w:val="nil"/>
            </w:tcBorders>
            <w:noWrap/>
            <w:hideMark/>
          </w:tcPr>
          <w:p w:rsidRPr="005C5C74" w:rsidR="005C5C74" w:rsidP="005C5C74" w:rsidRDefault="005C5C74" w14:paraId="5602545B" w14:textId="77777777">
            <w:pPr>
              <w:ind w:left="171" w:firstLine="48" w:firstLineChars="22"/>
            </w:pPr>
            <w:r w:rsidRPr="005C5C74">
              <w:t>(3) Efterstillede gældsværdipapirer</w:t>
            </w:r>
          </w:p>
        </w:tc>
        <w:tc>
          <w:tcPr>
            <w:tcW w:w="2745" w:type="dxa"/>
            <w:tcBorders>
              <w:left w:val="nil"/>
              <w:right w:val="nil"/>
            </w:tcBorders>
            <w:noWrap/>
            <w:hideMark/>
          </w:tcPr>
          <w:p w:rsidRPr="00674EC6" w:rsidR="005C5C74" w:rsidP="007B3F1A" w:rsidRDefault="005C5C74" w14:paraId="326B1970"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333641EB" w14:textId="77777777">
        <w:trPr>
          <w:trHeight w:val="300"/>
        </w:trPr>
        <w:tc>
          <w:tcPr>
            <w:tcW w:w="6804" w:type="dxa"/>
            <w:gridSpan w:val="2"/>
            <w:tcBorders>
              <w:left w:val="nil"/>
              <w:right w:val="nil"/>
            </w:tcBorders>
            <w:noWrap/>
            <w:hideMark/>
          </w:tcPr>
          <w:p w:rsidRPr="005C5C74" w:rsidR="005C5C74" w:rsidP="005C5C74" w:rsidRDefault="005C5C74" w14:paraId="2831F697" w14:textId="77777777">
            <w:pPr>
              <w:ind w:left="171" w:firstLine="48" w:firstLineChars="22"/>
            </w:pPr>
            <w:r w:rsidRPr="005C5C74">
              <w:t xml:space="preserve">(4) Virksomhedscertifikat (commercial paper) </w:t>
            </w:r>
          </w:p>
        </w:tc>
        <w:tc>
          <w:tcPr>
            <w:tcW w:w="2745" w:type="dxa"/>
            <w:tcBorders>
              <w:left w:val="nil"/>
              <w:right w:val="nil"/>
            </w:tcBorders>
            <w:noWrap/>
            <w:hideMark/>
          </w:tcPr>
          <w:p w:rsidRPr="00674EC6" w:rsidR="005C5C74" w:rsidP="007B3F1A" w:rsidRDefault="005C5C74" w14:paraId="1FCDBF72"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4F1652AA" w14:textId="77777777">
        <w:trPr>
          <w:trHeight w:val="300"/>
        </w:trPr>
        <w:tc>
          <w:tcPr>
            <w:tcW w:w="6804" w:type="dxa"/>
            <w:gridSpan w:val="2"/>
            <w:tcBorders>
              <w:left w:val="nil"/>
              <w:bottom w:val="single" w:color="auto" w:sz="4" w:space="0"/>
              <w:right w:val="nil"/>
            </w:tcBorders>
            <w:noWrap/>
            <w:hideMark/>
          </w:tcPr>
          <w:p w:rsidRPr="005C5C74" w:rsidR="005C5C74" w:rsidP="005C5C74" w:rsidRDefault="005C5C74" w14:paraId="438BB57A" w14:textId="77777777">
            <w:pPr>
              <w:ind w:left="171" w:firstLine="48" w:firstLineChars="22"/>
            </w:pPr>
            <w:r w:rsidRPr="005C5C74">
              <w:t>(5) Værdipapirer, der er kapitalandele</w:t>
            </w:r>
          </w:p>
        </w:tc>
        <w:tc>
          <w:tcPr>
            <w:tcW w:w="2745" w:type="dxa"/>
            <w:tcBorders>
              <w:left w:val="nil"/>
              <w:right w:val="nil"/>
            </w:tcBorders>
            <w:noWrap/>
            <w:hideMark/>
          </w:tcPr>
          <w:p w:rsidRPr="00674EC6" w:rsidR="005C5C74" w:rsidP="007B3F1A" w:rsidRDefault="005C5C74" w14:paraId="61BDF2BE"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070F3EED" w14:textId="77777777">
        <w:trPr>
          <w:trHeight w:val="300"/>
        </w:trPr>
        <w:tc>
          <w:tcPr>
            <w:tcW w:w="6804" w:type="dxa"/>
            <w:gridSpan w:val="2"/>
            <w:tcBorders>
              <w:left w:val="nil"/>
              <w:bottom w:val="single" w:color="auto" w:sz="4" w:space="0"/>
              <w:right w:val="nil"/>
            </w:tcBorders>
            <w:noWrap/>
          </w:tcPr>
          <w:p w:rsidRPr="005C5C74" w:rsidR="005C5C74" w:rsidP="005C5C74" w:rsidRDefault="005C5C74" w14:paraId="266E3653" w14:textId="77777777">
            <w:pPr>
              <w:ind w:left="171" w:firstLine="48" w:firstLineChars="22"/>
            </w:pPr>
            <w:r w:rsidRPr="005C5C74">
              <w:t>(6) Korte positioner, der kan modregnes, i tilknytning til de specifikke værdipapirer, der er kapitalandele, omfattet af post 3.c.(5)</w:t>
            </w:r>
          </w:p>
        </w:tc>
        <w:tc>
          <w:tcPr>
            <w:tcW w:w="2745" w:type="dxa"/>
            <w:tcBorders>
              <w:left w:val="nil"/>
              <w:right w:val="nil"/>
            </w:tcBorders>
            <w:noWrap/>
          </w:tcPr>
          <w:p w:rsidRPr="00674EC6" w:rsidR="005C5C74" w:rsidP="007B3F1A" w:rsidRDefault="005C5C74" w14:paraId="6D26DD93" w14:textId="77777777">
            <w:pPr>
              <w:jc w:val="right"/>
              <w:rPr>
                <w:rFonts w:ascii="Arial" w:hAnsi="Arial" w:eastAsia="Times New Roman" w:cs="Arial"/>
                <w:sz w:val="20"/>
                <w:szCs w:val="20"/>
                <w:lang w:eastAsia="en-GB"/>
              </w:rPr>
            </w:pPr>
          </w:p>
        </w:tc>
      </w:tr>
      <w:tr w:rsidRPr="00674EC6" w:rsidR="005C5C74" w:rsidTr="007B3F1A" w14:paraId="082060D2" w14:textId="77777777">
        <w:trPr>
          <w:trHeight w:val="300"/>
        </w:trPr>
        <w:tc>
          <w:tcPr>
            <w:tcW w:w="6804" w:type="dxa"/>
            <w:gridSpan w:val="2"/>
            <w:tcBorders>
              <w:left w:val="nil"/>
              <w:bottom w:val="single" w:color="auto" w:sz="4" w:space="0"/>
              <w:right w:val="nil"/>
            </w:tcBorders>
            <w:noWrap/>
          </w:tcPr>
          <w:p w:rsidRPr="005C5C74" w:rsidR="005C5C74" w:rsidP="005C5C74" w:rsidRDefault="005C5C74" w14:paraId="6EEDBA93" w14:textId="77777777">
            <w:pPr>
              <w:ind w:left="171" w:firstLine="48" w:firstLineChars="22"/>
            </w:pPr>
            <w:r w:rsidRPr="005C5C74">
              <w:t>d. Positiv nettoværdi af VFT'er med andre finansielle institutter</w:t>
            </w:r>
          </w:p>
        </w:tc>
        <w:tc>
          <w:tcPr>
            <w:tcW w:w="2745" w:type="dxa"/>
            <w:tcBorders>
              <w:left w:val="nil"/>
              <w:right w:val="nil"/>
            </w:tcBorders>
            <w:noWrap/>
          </w:tcPr>
          <w:p w:rsidRPr="00674EC6" w:rsidR="005C5C74" w:rsidP="007B3F1A" w:rsidRDefault="005C5C74" w14:paraId="311B8740" w14:textId="77777777">
            <w:pPr>
              <w:jc w:val="right"/>
              <w:rPr>
                <w:rFonts w:ascii="Arial" w:hAnsi="Arial" w:eastAsia="Times New Roman" w:cs="Arial"/>
                <w:sz w:val="20"/>
                <w:szCs w:val="20"/>
                <w:lang w:eastAsia="en-GB"/>
              </w:rPr>
            </w:pPr>
          </w:p>
        </w:tc>
      </w:tr>
      <w:tr w:rsidRPr="00674EC6" w:rsidR="005C5C74" w:rsidTr="007B3F1A" w14:paraId="0A34963F" w14:textId="77777777">
        <w:trPr>
          <w:trHeight w:val="300"/>
        </w:trPr>
        <w:tc>
          <w:tcPr>
            <w:tcW w:w="6804" w:type="dxa"/>
            <w:gridSpan w:val="2"/>
            <w:tcBorders>
              <w:left w:val="nil"/>
              <w:bottom w:val="single" w:color="auto" w:sz="4" w:space="0"/>
              <w:right w:val="nil"/>
            </w:tcBorders>
            <w:noWrap/>
          </w:tcPr>
          <w:p w:rsidRPr="005C5C74" w:rsidR="005C5C74" w:rsidP="005C5C74" w:rsidRDefault="005C5C74" w14:paraId="5D2EFF1A" w14:textId="77777777">
            <w:pPr>
              <w:ind w:left="171" w:firstLine="48" w:firstLineChars="22"/>
            </w:pPr>
            <w:r w:rsidRPr="005C5C74">
              <w:t>e. OTC-derivater med andre finansielle institutter, der har en positiv nettodagsværdi</w:t>
            </w:r>
          </w:p>
        </w:tc>
        <w:tc>
          <w:tcPr>
            <w:tcW w:w="2745" w:type="dxa"/>
            <w:tcBorders>
              <w:left w:val="nil"/>
              <w:right w:val="nil"/>
            </w:tcBorders>
            <w:noWrap/>
          </w:tcPr>
          <w:p w:rsidRPr="00674EC6" w:rsidR="005C5C74" w:rsidP="007B3F1A" w:rsidRDefault="005C5C74" w14:paraId="6EFD65BA" w14:textId="77777777">
            <w:pPr>
              <w:jc w:val="right"/>
              <w:rPr>
                <w:rFonts w:ascii="Arial" w:hAnsi="Arial" w:eastAsia="Times New Roman" w:cs="Arial"/>
                <w:sz w:val="20"/>
                <w:szCs w:val="20"/>
                <w:lang w:eastAsia="en-GB"/>
              </w:rPr>
            </w:pPr>
          </w:p>
        </w:tc>
      </w:tr>
      <w:tr w:rsidRPr="00674EC6" w:rsidR="005C5C74" w:rsidTr="007B3F1A" w14:paraId="26439E45" w14:textId="77777777">
        <w:trPr>
          <w:trHeight w:val="300"/>
        </w:trPr>
        <w:tc>
          <w:tcPr>
            <w:tcW w:w="6804" w:type="dxa"/>
            <w:gridSpan w:val="2"/>
            <w:tcBorders>
              <w:left w:val="nil"/>
              <w:bottom w:val="single" w:color="auto" w:sz="4" w:space="0"/>
              <w:right w:val="nil"/>
            </w:tcBorders>
            <w:noWrap/>
          </w:tcPr>
          <w:p w:rsidRPr="005C5C74" w:rsidR="005C5C74" w:rsidP="005C5C74" w:rsidRDefault="005C5C74" w14:paraId="1E74A42A" w14:textId="77777777">
            <w:pPr>
              <w:ind w:left="171" w:firstLine="48" w:firstLineChars="22"/>
            </w:pPr>
            <w:r w:rsidRPr="005C5C74">
              <w:t>(1) Positiv nettodagsværdi</w:t>
            </w:r>
          </w:p>
        </w:tc>
        <w:tc>
          <w:tcPr>
            <w:tcW w:w="2745" w:type="dxa"/>
            <w:tcBorders>
              <w:left w:val="nil"/>
              <w:right w:val="nil"/>
            </w:tcBorders>
            <w:noWrap/>
          </w:tcPr>
          <w:p w:rsidRPr="00674EC6" w:rsidR="005C5C74" w:rsidP="007B3F1A" w:rsidRDefault="005C5C74" w14:paraId="7BCA985A" w14:textId="77777777">
            <w:pPr>
              <w:jc w:val="right"/>
              <w:rPr>
                <w:rFonts w:ascii="Arial" w:hAnsi="Arial" w:eastAsia="Times New Roman" w:cs="Arial"/>
                <w:sz w:val="20"/>
                <w:szCs w:val="20"/>
                <w:lang w:eastAsia="en-GB"/>
              </w:rPr>
            </w:pPr>
          </w:p>
        </w:tc>
      </w:tr>
      <w:tr w:rsidRPr="00674EC6" w:rsidR="005C5C74" w:rsidTr="007B3F1A" w14:paraId="66A540BF" w14:textId="77777777">
        <w:trPr>
          <w:trHeight w:val="300"/>
        </w:trPr>
        <w:tc>
          <w:tcPr>
            <w:tcW w:w="6804" w:type="dxa"/>
            <w:gridSpan w:val="2"/>
            <w:tcBorders>
              <w:left w:val="nil"/>
              <w:bottom w:val="single" w:color="auto" w:sz="4" w:space="0"/>
              <w:right w:val="nil"/>
            </w:tcBorders>
            <w:noWrap/>
          </w:tcPr>
          <w:p w:rsidRPr="005C5C74" w:rsidR="005C5C74" w:rsidP="005C5C74" w:rsidRDefault="005C5C74" w14:paraId="0B1B945D" w14:textId="77777777">
            <w:pPr>
              <w:ind w:left="171" w:firstLine="48" w:firstLineChars="22"/>
            </w:pPr>
            <w:r w:rsidRPr="005C5C74">
              <w:t>(2) Potentiel fremtidig eksponering</w:t>
            </w:r>
          </w:p>
        </w:tc>
        <w:tc>
          <w:tcPr>
            <w:tcW w:w="2745" w:type="dxa"/>
            <w:tcBorders>
              <w:left w:val="nil"/>
              <w:right w:val="nil"/>
            </w:tcBorders>
            <w:noWrap/>
          </w:tcPr>
          <w:p w:rsidRPr="00674EC6" w:rsidR="005C5C74" w:rsidP="007B3F1A" w:rsidRDefault="005C5C74" w14:paraId="3C17585A" w14:textId="77777777">
            <w:pPr>
              <w:jc w:val="right"/>
              <w:rPr>
                <w:rFonts w:ascii="Arial" w:hAnsi="Arial" w:eastAsia="Times New Roman" w:cs="Arial"/>
                <w:sz w:val="20"/>
                <w:szCs w:val="20"/>
                <w:lang w:eastAsia="en-GB"/>
              </w:rPr>
            </w:pPr>
          </w:p>
        </w:tc>
      </w:tr>
      <w:tr w:rsidRPr="00674EC6" w:rsidR="005C5C74" w:rsidTr="007B3F1A" w14:paraId="7B353F8E" w14:textId="77777777">
        <w:trPr>
          <w:gridAfter w:val="1"/>
          <w:wAfter w:w="2745" w:type="dxa"/>
          <w:trHeight w:val="450"/>
        </w:trPr>
        <w:tc>
          <w:tcPr>
            <w:tcW w:w="6804" w:type="dxa"/>
            <w:gridSpan w:val="2"/>
            <w:vMerge w:val="restart"/>
            <w:tcBorders>
              <w:left w:val="nil"/>
              <w:right w:val="nil"/>
            </w:tcBorders>
            <w:hideMark/>
          </w:tcPr>
          <w:p w:rsidRPr="005C5C74" w:rsidR="005C5C74" w:rsidP="005C5C74" w:rsidRDefault="005C5C74" w14:paraId="6CB1C73C" w14:textId="77777777">
            <w:pPr>
              <w:ind w:left="171" w:firstLine="48" w:firstLineChars="22"/>
            </w:pPr>
            <w:r w:rsidRPr="005C5C74">
              <w:t>f. Indikator for aktiver inden for det finansielle system, inklusive forsikringsdatterselskaber (summen af post 3.a, 3.b til 3.c.(5), 3.d, 3.e.(1), og 3.e.(2) minus post 3.c.(6))</w:t>
            </w:r>
          </w:p>
        </w:tc>
      </w:tr>
      <w:tr w:rsidRPr="00674EC6" w:rsidR="005C5C74" w:rsidTr="007B3F1A" w14:paraId="19EA9F99" w14:textId="77777777">
        <w:trPr>
          <w:gridAfter w:val="1"/>
          <w:wAfter w:w="2745" w:type="dxa"/>
          <w:trHeight w:val="450"/>
        </w:trPr>
        <w:tc>
          <w:tcPr>
            <w:tcW w:w="6804" w:type="dxa"/>
            <w:gridSpan w:val="2"/>
            <w:vMerge/>
            <w:tcBorders>
              <w:left w:val="nil"/>
              <w:right w:val="nil"/>
            </w:tcBorders>
            <w:hideMark/>
          </w:tcPr>
          <w:p w:rsidRPr="00674EC6" w:rsidR="005C5C74" w:rsidP="007B3F1A" w:rsidRDefault="005C5C74" w14:paraId="44D4270B" w14:textId="77777777">
            <w:pPr>
              <w:rPr>
                <w:rFonts w:ascii="Arial" w:hAnsi="Arial" w:eastAsia="Times New Roman" w:cs="Arial"/>
                <w:sz w:val="20"/>
                <w:szCs w:val="20"/>
                <w:lang w:eastAsia="en-GB"/>
              </w:rPr>
            </w:pPr>
          </w:p>
        </w:tc>
      </w:tr>
      <w:tr w:rsidRPr="00674EC6" w:rsidR="005C5C74" w:rsidTr="007B3F1A" w14:paraId="14E4C35E" w14:textId="77777777">
        <w:trPr>
          <w:trHeight w:val="300"/>
        </w:trPr>
        <w:tc>
          <w:tcPr>
            <w:tcW w:w="6804" w:type="dxa"/>
            <w:gridSpan w:val="2"/>
            <w:tcBorders>
              <w:left w:val="nil"/>
              <w:bottom w:val="nil"/>
              <w:right w:val="nil"/>
            </w:tcBorders>
            <w:noWrap/>
          </w:tcPr>
          <w:p w:rsidRPr="00674EC6" w:rsidR="005C5C74" w:rsidP="007B3F1A" w:rsidRDefault="005C5C74" w14:paraId="58F978D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674EC6" w:rsidR="005C5C74" w:rsidP="007B3F1A" w:rsidRDefault="005C5C74" w14:paraId="759CA14B" w14:textId="77777777">
            <w:pPr>
              <w:jc w:val="center"/>
              <w:rPr>
                <w:rFonts w:ascii="Arial" w:hAnsi="Arial" w:eastAsia="Times New Roman" w:cs="Arial"/>
                <w:b/>
                <w:bCs/>
                <w:sz w:val="20"/>
                <w:szCs w:val="20"/>
                <w:lang w:eastAsia="en-GB"/>
              </w:rPr>
            </w:pPr>
          </w:p>
        </w:tc>
      </w:tr>
      <w:tr w:rsidRPr="00674EC6" w:rsidR="005C5C74" w:rsidTr="007B3F1A" w14:paraId="661DD3C1" w14:textId="77777777">
        <w:trPr>
          <w:trHeight w:val="300"/>
        </w:trPr>
        <w:tc>
          <w:tcPr>
            <w:tcW w:w="6804" w:type="dxa"/>
            <w:gridSpan w:val="2"/>
            <w:tcBorders>
              <w:top w:val="nil"/>
              <w:left w:val="nil"/>
              <w:bottom w:val="single" w:color="auto" w:sz="4" w:space="0"/>
              <w:right w:val="nil"/>
            </w:tcBorders>
            <w:noWrap/>
            <w:hideMark/>
          </w:tcPr>
          <w:p w:rsidRPr="00674EC6" w:rsidR="005C5C74" w:rsidP="007B3F1A" w:rsidRDefault="005C5C74" w14:paraId="2727B036" w14:textId="77777777">
            <w:pPr>
              <w:rPr>
                <w:rFonts w:ascii="Arial" w:hAnsi="Arial" w:eastAsia="Times New Roman" w:cs="Arial"/>
                <w:b/>
                <w:bCs/>
                <w:sz w:val="20"/>
                <w:szCs w:val="20"/>
              </w:rPr>
            </w:pPr>
            <w:r w:rsidRPr="00674EC6">
              <w:rPr>
                <w:rFonts w:ascii="Arial" w:hAnsi="Arial"/>
                <w:b/>
                <w:sz w:val="20"/>
              </w:rPr>
              <w:t>Afdeling 4 – Passiver inden for det finansielle system</w:t>
            </w:r>
          </w:p>
        </w:tc>
        <w:tc>
          <w:tcPr>
            <w:tcW w:w="2745" w:type="dxa"/>
            <w:tcBorders>
              <w:top w:val="nil"/>
              <w:left w:val="nil"/>
              <w:right w:val="nil"/>
            </w:tcBorders>
            <w:hideMark/>
          </w:tcPr>
          <w:p w:rsidRPr="00674EC6" w:rsidR="005C5C74" w:rsidP="007B3F1A" w:rsidRDefault="005C5C74" w14:paraId="389FD0E6"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4FFDCE13" w14:textId="77777777">
        <w:trPr>
          <w:gridAfter w:val="1"/>
          <w:wAfter w:w="2745" w:type="dxa"/>
          <w:trHeight w:val="300"/>
        </w:trPr>
        <w:tc>
          <w:tcPr>
            <w:tcW w:w="6804" w:type="dxa"/>
            <w:gridSpan w:val="2"/>
            <w:tcBorders>
              <w:left w:val="nil"/>
              <w:right w:val="nil"/>
            </w:tcBorders>
            <w:noWrap/>
            <w:hideMark/>
          </w:tcPr>
          <w:p w:rsidRPr="005C5C74" w:rsidR="005C5C74" w:rsidP="005C5C74" w:rsidRDefault="005C5C74" w14:paraId="215188E7" w14:textId="77777777">
            <w:pPr>
              <w:ind w:left="171" w:firstLine="48" w:firstLineChars="22"/>
            </w:pPr>
            <w:r w:rsidRPr="005C5C74">
              <w:t>a. Indskud og lån fra andre finansielle institutter</w:t>
            </w:r>
          </w:p>
        </w:tc>
      </w:tr>
      <w:tr w:rsidRPr="00674EC6" w:rsidR="005C5C74" w:rsidTr="007B3F1A" w14:paraId="377E3A8A" w14:textId="77777777">
        <w:trPr>
          <w:trHeight w:val="300"/>
        </w:trPr>
        <w:tc>
          <w:tcPr>
            <w:tcW w:w="6804" w:type="dxa"/>
            <w:gridSpan w:val="2"/>
            <w:tcBorders>
              <w:left w:val="nil"/>
              <w:right w:val="nil"/>
            </w:tcBorders>
            <w:noWrap/>
            <w:hideMark/>
          </w:tcPr>
          <w:p w:rsidRPr="005C5C74" w:rsidR="005C5C74" w:rsidP="005C5C74" w:rsidRDefault="005C5C74" w14:paraId="56D785AB" w14:textId="77777777">
            <w:pPr>
              <w:ind w:left="171" w:firstLine="48" w:firstLineChars="22"/>
            </w:pPr>
            <w:r w:rsidRPr="005C5C74">
              <w:t>(1) Indskud, som tilkommer depotinstitutter</w:t>
            </w:r>
          </w:p>
        </w:tc>
        <w:tc>
          <w:tcPr>
            <w:tcW w:w="2745" w:type="dxa"/>
            <w:tcBorders>
              <w:left w:val="nil"/>
              <w:right w:val="nil"/>
            </w:tcBorders>
            <w:noWrap/>
            <w:hideMark/>
          </w:tcPr>
          <w:p w:rsidRPr="00674EC6" w:rsidR="005C5C74" w:rsidP="007B3F1A" w:rsidRDefault="005C5C74" w14:paraId="252FD800"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22145DBE" w14:textId="77777777">
        <w:trPr>
          <w:trHeight w:val="300"/>
        </w:trPr>
        <w:tc>
          <w:tcPr>
            <w:tcW w:w="6804" w:type="dxa"/>
            <w:gridSpan w:val="2"/>
            <w:tcBorders>
              <w:left w:val="nil"/>
              <w:right w:val="nil"/>
            </w:tcBorders>
            <w:noWrap/>
            <w:hideMark/>
          </w:tcPr>
          <w:p w:rsidRPr="005C5C74" w:rsidR="005C5C74" w:rsidP="005C5C74" w:rsidRDefault="005C5C74" w14:paraId="00987F00" w14:textId="77777777">
            <w:pPr>
              <w:ind w:left="171" w:firstLine="48" w:firstLineChars="22"/>
            </w:pPr>
            <w:r w:rsidRPr="005C5C74">
              <w:t>(2) Indskud, som tilkommer finansielle institutter, der ikke er depotinstitutter</w:t>
            </w:r>
          </w:p>
        </w:tc>
        <w:tc>
          <w:tcPr>
            <w:tcW w:w="2745" w:type="dxa"/>
            <w:tcBorders>
              <w:left w:val="nil"/>
              <w:right w:val="nil"/>
            </w:tcBorders>
            <w:noWrap/>
            <w:hideMark/>
          </w:tcPr>
          <w:p w:rsidRPr="00674EC6" w:rsidR="005C5C74" w:rsidP="007B3F1A" w:rsidRDefault="005C5C74" w14:paraId="754CE5AF"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50C76343" w14:textId="77777777">
        <w:trPr>
          <w:trHeight w:val="300"/>
        </w:trPr>
        <w:tc>
          <w:tcPr>
            <w:tcW w:w="6804" w:type="dxa"/>
            <w:gridSpan w:val="2"/>
            <w:tcBorders>
              <w:left w:val="nil"/>
              <w:right w:val="nil"/>
            </w:tcBorders>
            <w:noWrap/>
            <w:hideMark/>
          </w:tcPr>
          <w:p w:rsidRPr="005C5C74" w:rsidR="005C5C74" w:rsidP="005C5C74" w:rsidRDefault="005C5C74" w14:paraId="025D0816" w14:textId="77777777">
            <w:pPr>
              <w:ind w:left="171" w:firstLine="48" w:firstLineChars="22"/>
            </w:pPr>
            <w:r w:rsidRPr="005C5C74">
              <w:t>(3) Lån fra andre finansielle institutter</w:t>
            </w:r>
          </w:p>
        </w:tc>
        <w:tc>
          <w:tcPr>
            <w:tcW w:w="2745" w:type="dxa"/>
            <w:tcBorders>
              <w:left w:val="nil"/>
              <w:right w:val="nil"/>
            </w:tcBorders>
            <w:noWrap/>
            <w:hideMark/>
          </w:tcPr>
          <w:p w:rsidRPr="00674EC6" w:rsidR="005C5C74" w:rsidP="007B3F1A" w:rsidRDefault="005C5C74" w14:paraId="460BE119"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103709BD" w14:textId="77777777">
        <w:trPr>
          <w:trHeight w:val="300"/>
        </w:trPr>
        <w:tc>
          <w:tcPr>
            <w:tcW w:w="6804" w:type="dxa"/>
            <w:gridSpan w:val="2"/>
            <w:tcBorders>
              <w:left w:val="nil"/>
              <w:right w:val="nil"/>
            </w:tcBorders>
            <w:noWrap/>
          </w:tcPr>
          <w:p w:rsidRPr="005C5C74" w:rsidR="005C5C74" w:rsidP="005C5C74" w:rsidRDefault="005C5C74" w14:paraId="0C37D065" w14:textId="77777777">
            <w:pPr>
              <w:ind w:left="171" w:firstLine="48" w:firstLineChars="22"/>
            </w:pPr>
            <w:r w:rsidRPr="005C5C74">
              <w:t>b. Uudnyttede bekræftede kreditlinjer, der er ydet af andre finansielle institutter</w:t>
            </w:r>
          </w:p>
        </w:tc>
        <w:tc>
          <w:tcPr>
            <w:tcW w:w="2745" w:type="dxa"/>
            <w:tcBorders>
              <w:left w:val="nil"/>
              <w:right w:val="nil"/>
            </w:tcBorders>
            <w:noWrap/>
          </w:tcPr>
          <w:p w:rsidRPr="00674EC6" w:rsidR="005C5C74" w:rsidP="007B3F1A" w:rsidRDefault="005C5C74" w14:paraId="54425801" w14:textId="77777777">
            <w:pPr>
              <w:jc w:val="right"/>
              <w:rPr>
                <w:rFonts w:ascii="Arial" w:hAnsi="Arial" w:eastAsia="Times New Roman" w:cs="Arial"/>
                <w:sz w:val="20"/>
                <w:szCs w:val="20"/>
                <w:lang w:eastAsia="en-GB"/>
              </w:rPr>
            </w:pPr>
          </w:p>
        </w:tc>
      </w:tr>
      <w:tr w:rsidRPr="00674EC6" w:rsidR="005C5C74" w:rsidTr="007B3F1A" w14:paraId="1FC60411" w14:textId="77777777">
        <w:trPr>
          <w:trHeight w:val="300"/>
        </w:trPr>
        <w:tc>
          <w:tcPr>
            <w:tcW w:w="6804" w:type="dxa"/>
            <w:gridSpan w:val="2"/>
            <w:tcBorders>
              <w:left w:val="nil"/>
              <w:right w:val="nil"/>
            </w:tcBorders>
            <w:noWrap/>
          </w:tcPr>
          <w:p w:rsidRPr="005C5C74" w:rsidR="005C5C74" w:rsidP="005C5C74" w:rsidRDefault="005C5C74" w14:paraId="2A7D564D" w14:textId="77777777">
            <w:pPr>
              <w:ind w:left="171" w:firstLine="48" w:firstLineChars="22"/>
            </w:pPr>
            <w:r w:rsidRPr="005C5C74">
              <w:t>c. Negativ nettoværdi af VFT'er med andre finansielle institutter</w:t>
            </w:r>
          </w:p>
        </w:tc>
        <w:tc>
          <w:tcPr>
            <w:tcW w:w="2745" w:type="dxa"/>
            <w:tcBorders>
              <w:left w:val="nil"/>
              <w:right w:val="nil"/>
            </w:tcBorders>
            <w:noWrap/>
          </w:tcPr>
          <w:p w:rsidRPr="00674EC6" w:rsidR="005C5C74" w:rsidP="007B3F1A" w:rsidRDefault="005C5C74" w14:paraId="25649C1E" w14:textId="77777777">
            <w:pPr>
              <w:jc w:val="right"/>
              <w:rPr>
                <w:rFonts w:ascii="Arial" w:hAnsi="Arial" w:eastAsia="Times New Roman" w:cs="Arial"/>
                <w:sz w:val="20"/>
                <w:szCs w:val="20"/>
                <w:lang w:eastAsia="en-GB"/>
              </w:rPr>
            </w:pPr>
          </w:p>
        </w:tc>
      </w:tr>
      <w:tr w:rsidRPr="00674EC6" w:rsidR="005C5C74" w:rsidTr="007B3F1A" w14:paraId="4ED72977" w14:textId="77777777">
        <w:trPr>
          <w:trHeight w:val="300"/>
        </w:trPr>
        <w:tc>
          <w:tcPr>
            <w:tcW w:w="6804" w:type="dxa"/>
            <w:gridSpan w:val="2"/>
            <w:tcBorders>
              <w:left w:val="nil"/>
              <w:bottom w:val="single" w:color="auto" w:sz="4" w:space="0"/>
              <w:right w:val="nil"/>
            </w:tcBorders>
            <w:noWrap/>
          </w:tcPr>
          <w:p w:rsidRPr="005C5C74" w:rsidR="005C5C74" w:rsidP="005C5C74" w:rsidRDefault="005C5C74" w14:paraId="0A96B980" w14:textId="77777777">
            <w:pPr>
              <w:ind w:left="171" w:firstLine="48" w:firstLineChars="22"/>
            </w:pPr>
            <w:r w:rsidRPr="005C5C74">
              <w:lastRenderedPageBreak/>
              <w:t>d. OTC-derivater med andre finansielle institutter, der har en negativ nettodagsværdi</w:t>
            </w:r>
          </w:p>
        </w:tc>
        <w:tc>
          <w:tcPr>
            <w:tcW w:w="2745" w:type="dxa"/>
            <w:tcBorders>
              <w:left w:val="nil"/>
              <w:bottom w:val="single" w:color="auto" w:sz="4" w:space="0"/>
              <w:right w:val="nil"/>
            </w:tcBorders>
            <w:noWrap/>
          </w:tcPr>
          <w:p w:rsidRPr="00674EC6" w:rsidR="005C5C74" w:rsidP="007B3F1A" w:rsidRDefault="005C5C74" w14:paraId="53571540" w14:textId="77777777">
            <w:pPr>
              <w:jc w:val="right"/>
              <w:rPr>
                <w:rFonts w:ascii="Arial" w:hAnsi="Arial" w:eastAsia="Times New Roman" w:cs="Arial"/>
                <w:sz w:val="20"/>
                <w:szCs w:val="20"/>
                <w:lang w:eastAsia="en-GB"/>
              </w:rPr>
            </w:pPr>
          </w:p>
        </w:tc>
      </w:tr>
      <w:tr w:rsidRPr="00674EC6" w:rsidR="005C5C74" w:rsidTr="007B3F1A" w14:paraId="68794D4F" w14:textId="77777777">
        <w:trPr>
          <w:trHeight w:val="300"/>
        </w:trPr>
        <w:tc>
          <w:tcPr>
            <w:tcW w:w="6804" w:type="dxa"/>
            <w:gridSpan w:val="2"/>
            <w:tcBorders>
              <w:left w:val="nil"/>
              <w:right w:val="nil"/>
            </w:tcBorders>
            <w:noWrap/>
            <w:hideMark/>
          </w:tcPr>
          <w:p w:rsidRPr="005C5C74" w:rsidR="005C5C74" w:rsidP="005C5C74" w:rsidRDefault="005C5C74" w14:paraId="2F5EA5AE" w14:textId="77777777">
            <w:pPr>
              <w:ind w:left="171" w:firstLine="48" w:firstLineChars="22"/>
            </w:pPr>
            <w:r w:rsidRPr="005C5C74">
              <w:t>(1) Negativ nettodagsværdi</w:t>
            </w:r>
          </w:p>
        </w:tc>
        <w:tc>
          <w:tcPr>
            <w:tcW w:w="2745" w:type="dxa"/>
            <w:tcBorders>
              <w:left w:val="nil"/>
              <w:right w:val="nil"/>
            </w:tcBorders>
            <w:noWrap/>
            <w:hideMark/>
          </w:tcPr>
          <w:p w:rsidRPr="00674EC6" w:rsidR="005C5C74" w:rsidP="007B3F1A" w:rsidRDefault="005C5C74" w14:paraId="5D06C9D1"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58C3ACAE" w14:textId="77777777">
        <w:trPr>
          <w:trHeight w:val="300"/>
        </w:trPr>
        <w:tc>
          <w:tcPr>
            <w:tcW w:w="6804" w:type="dxa"/>
            <w:gridSpan w:val="2"/>
            <w:tcBorders>
              <w:left w:val="nil"/>
              <w:right w:val="nil"/>
            </w:tcBorders>
            <w:noWrap/>
            <w:hideMark/>
          </w:tcPr>
          <w:p w:rsidRPr="005C5C74" w:rsidR="005C5C74" w:rsidP="005C5C74" w:rsidRDefault="005C5C74" w14:paraId="1097CF9B" w14:textId="77777777">
            <w:pPr>
              <w:ind w:left="171" w:firstLine="48" w:firstLineChars="22"/>
            </w:pPr>
            <w:r w:rsidRPr="005C5C74">
              <w:t>(2) Potentiel fremtidig eksponering</w:t>
            </w:r>
          </w:p>
        </w:tc>
        <w:tc>
          <w:tcPr>
            <w:tcW w:w="2745" w:type="dxa"/>
            <w:tcBorders>
              <w:left w:val="nil"/>
              <w:right w:val="nil"/>
            </w:tcBorders>
            <w:noWrap/>
            <w:hideMark/>
          </w:tcPr>
          <w:p w:rsidRPr="00674EC6" w:rsidR="005C5C74" w:rsidP="007B3F1A" w:rsidRDefault="005C5C74" w14:paraId="2B04231C"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0AFE063D" w14:textId="77777777">
        <w:trPr>
          <w:trHeight w:val="300"/>
        </w:trPr>
        <w:tc>
          <w:tcPr>
            <w:tcW w:w="6804" w:type="dxa"/>
            <w:gridSpan w:val="2"/>
            <w:tcBorders>
              <w:left w:val="nil"/>
              <w:bottom w:val="single" w:color="auto" w:sz="4" w:space="0"/>
              <w:right w:val="nil"/>
            </w:tcBorders>
            <w:noWrap/>
          </w:tcPr>
          <w:p w:rsidRPr="005C5C74" w:rsidR="005C5C74" w:rsidP="005C5C74" w:rsidRDefault="005C5C74" w14:paraId="65C4824C" w14:textId="77777777">
            <w:pPr>
              <w:ind w:left="171" w:firstLine="48" w:firstLineChars="22"/>
            </w:pPr>
            <w:r w:rsidRPr="005C5C74">
              <w:t>e. Indikator for passiver inden for det finansielle system, inklusive forsikringsdatterselskaber (summen af post 4.a.(1) til 4.d.(2))</w:t>
            </w:r>
          </w:p>
        </w:tc>
        <w:tc>
          <w:tcPr>
            <w:tcW w:w="2745" w:type="dxa"/>
            <w:tcBorders>
              <w:left w:val="nil"/>
              <w:bottom w:val="single" w:color="auto" w:sz="4" w:space="0"/>
              <w:right w:val="nil"/>
            </w:tcBorders>
            <w:noWrap/>
          </w:tcPr>
          <w:p w:rsidRPr="00674EC6" w:rsidR="005C5C74" w:rsidP="007B3F1A" w:rsidRDefault="005C5C74" w14:paraId="3EC79DD0" w14:textId="77777777">
            <w:pPr>
              <w:jc w:val="right"/>
              <w:rPr>
                <w:rFonts w:ascii="Arial" w:hAnsi="Arial" w:eastAsia="Times New Roman" w:cs="Arial"/>
                <w:sz w:val="20"/>
                <w:szCs w:val="20"/>
                <w:lang w:eastAsia="en-GB"/>
              </w:rPr>
            </w:pPr>
          </w:p>
        </w:tc>
      </w:tr>
      <w:tr w:rsidRPr="00674EC6" w:rsidR="005C5C74" w:rsidTr="007B3F1A" w14:paraId="53CAD582" w14:textId="77777777">
        <w:trPr>
          <w:trHeight w:val="300"/>
        </w:trPr>
        <w:tc>
          <w:tcPr>
            <w:tcW w:w="6804" w:type="dxa"/>
            <w:gridSpan w:val="2"/>
            <w:tcBorders>
              <w:left w:val="nil"/>
              <w:bottom w:val="nil"/>
              <w:right w:val="nil"/>
            </w:tcBorders>
            <w:noWrap/>
          </w:tcPr>
          <w:p w:rsidRPr="00674EC6" w:rsidR="005C5C74" w:rsidP="007B3F1A" w:rsidRDefault="005C5C74" w14:paraId="4E42053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674EC6" w:rsidR="005C5C74" w:rsidP="007B3F1A" w:rsidRDefault="005C5C74" w14:paraId="55CDD0A9" w14:textId="77777777">
            <w:pPr>
              <w:jc w:val="center"/>
              <w:rPr>
                <w:rFonts w:ascii="Arial" w:hAnsi="Arial" w:eastAsia="Times New Roman" w:cs="Arial"/>
                <w:b/>
                <w:bCs/>
                <w:sz w:val="20"/>
                <w:szCs w:val="20"/>
                <w:lang w:eastAsia="en-GB"/>
              </w:rPr>
            </w:pPr>
          </w:p>
        </w:tc>
      </w:tr>
      <w:tr w:rsidRPr="00674EC6" w:rsidR="005C5C74" w:rsidTr="007B3F1A" w14:paraId="52034F78" w14:textId="77777777">
        <w:trPr>
          <w:trHeight w:val="300"/>
        </w:trPr>
        <w:tc>
          <w:tcPr>
            <w:tcW w:w="6804" w:type="dxa"/>
            <w:gridSpan w:val="2"/>
            <w:tcBorders>
              <w:top w:val="nil"/>
              <w:left w:val="nil"/>
              <w:right w:val="nil"/>
            </w:tcBorders>
            <w:noWrap/>
            <w:hideMark/>
          </w:tcPr>
          <w:p w:rsidRPr="00674EC6" w:rsidR="005C5C74" w:rsidP="007B3F1A" w:rsidRDefault="005C5C74" w14:paraId="276DCE92" w14:textId="77777777">
            <w:pPr>
              <w:rPr>
                <w:rFonts w:ascii="Arial" w:hAnsi="Arial" w:eastAsia="Times New Roman" w:cs="Arial"/>
                <w:b/>
                <w:bCs/>
                <w:sz w:val="20"/>
                <w:szCs w:val="20"/>
              </w:rPr>
            </w:pPr>
            <w:r w:rsidRPr="00674EC6">
              <w:rPr>
                <w:rFonts w:ascii="Arial" w:hAnsi="Arial"/>
                <w:b/>
                <w:sz w:val="20"/>
              </w:rPr>
              <w:t>Afdeling 5 – Udstedte værdipapirer</w:t>
            </w:r>
          </w:p>
        </w:tc>
        <w:tc>
          <w:tcPr>
            <w:tcW w:w="2745" w:type="dxa"/>
            <w:tcBorders>
              <w:top w:val="nil"/>
              <w:left w:val="nil"/>
              <w:right w:val="nil"/>
            </w:tcBorders>
            <w:hideMark/>
          </w:tcPr>
          <w:p w:rsidRPr="00674EC6" w:rsidR="005C5C74" w:rsidP="007B3F1A" w:rsidRDefault="005C5C74" w14:paraId="3A9A718F"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7ACF7525" w14:textId="77777777">
        <w:trPr>
          <w:trHeight w:val="300"/>
        </w:trPr>
        <w:tc>
          <w:tcPr>
            <w:tcW w:w="6804" w:type="dxa"/>
            <w:gridSpan w:val="2"/>
            <w:tcBorders>
              <w:left w:val="nil"/>
              <w:right w:val="nil"/>
            </w:tcBorders>
            <w:noWrap/>
            <w:hideMark/>
          </w:tcPr>
          <w:p w:rsidRPr="005C5C74" w:rsidR="005C5C74" w:rsidP="005C5C74" w:rsidRDefault="005C5C74" w14:paraId="640C843C" w14:textId="77777777">
            <w:pPr>
              <w:ind w:left="171" w:firstLine="48" w:firstLineChars="22"/>
            </w:pPr>
            <w:r w:rsidRPr="005C5C74">
              <w:t>a. Sikrede gældsværdipapirer</w:t>
            </w:r>
          </w:p>
        </w:tc>
        <w:tc>
          <w:tcPr>
            <w:tcW w:w="2745" w:type="dxa"/>
            <w:tcBorders>
              <w:left w:val="nil"/>
              <w:right w:val="nil"/>
            </w:tcBorders>
            <w:noWrap/>
            <w:hideMark/>
          </w:tcPr>
          <w:p w:rsidRPr="00674EC6" w:rsidR="005C5C74" w:rsidP="007B3F1A" w:rsidRDefault="005C5C74" w14:paraId="4F39E33D"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453B2501" w14:textId="77777777">
        <w:trPr>
          <w:trHeight w:val="300"/>
        </w:trPr>
        <w:tc>
          <w:tcPr>
            <w:tcW w:w="6804" w:type="dxa"/>
            <w:gridSpan w:val="2"/>
            <w:tcBorders>
              <w:left w:val="nil"/>
              <w:right w:val="nil"/>
            </w:tcBorders>
            <w:noWrap/>
            <w:hideMark/>
          </w:tcPr>
          <w:p w:rsidRPr="005C5C74" w:rsidR="005C5C74" w:rsidP="005C5C74" w:rsidRDefault="005C5C74" w14:paraId="03CE126B" w14:textId="77777777">
            <w:pPr>
              <w:ind w:left="171" w:firstLine="48" w:firstLineChars="22"/>
            </w:pPr>
            <w:r w:rsidRPr="005C5C74">
              <w:t>b. Ikkeefterstillede usikrede gældsværdipapirer</w:t>
            </w:r>
          </w:p>
        </w:tc>
        <w:tc>
          <w:tcPr>
            <w:tcW w:w="2745" w:type="dxa"/>
            <w:tcBorders>
              <w:left w:val="nil"/>
              <w:right w:val="nil"/>
            </w:tcBorders>
            <w:noWrap/>
            <w:hideMark/>
          </w:tcPr>
          <w:p w:rsidRPr="00674EC6" w:rsidR="005C5C74" w:rsidP="007B3F1A" w:rsidRDefault="005C5C74" w14:paraId="13A53DA8"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784EF58D" w14:textId="77777777">
        <w:trPr>
          <w:trHeight w:val="300"/>
        </w:trPr>
        <w:tc>
          <w:tcPr>
            <w:tcW w:w="6804" w:type="dxa"/>
            <w:gridSpan w:val="2"/>
            <w:tcBorders>
              <w:left w:val="nil"/>
              <w:right w:val="nil"/>
            </w:tcBorders>
            <w:noWrap/>
            <w:hideMark/>
          </w:tcPr>
          <w:p w:rsidRPr="005C5C74" w:rsidR="005C5C74" w:rsidP="005C5C74" w:rsidRDefault="005C5C74" w14:paraId="09078271" w14:textId="77777777">
            <w:pPr>
              <w:ind w:left="171" w:firstLine="48" w:firstLineChars="22"/>
            </w:pPr>
            <w:r w:rsidRPr="005C5C74">
              <w:t>c. Efterstillede gældsværdipapirer</w:t>
            </w:r>
          </w:p>
        </w:tc>
        <w:tc>
          <w:tcPr>
            <w:tcW w:w="2745" w:type="dxa"/>
            <w:tcBorders>
              <w:left w:val="nil"/>
              <w:right w:val="nil"/>
            </w:tcBorders>
            <w:noWrap/>
            <w:hideMark/>
          </w:tcPr>
          <w:p w:rsidRPr="00674EC6" w:rsidR="005C5C74" w:rsidP="007B3F1A" w:rsidRDefault="005C5C74" w14:paraId="0023CBD2"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63C1F5CB" w14:textId="77777777">
        <w:trPr>
          <w:trHeight w:val="300"/>
        </w:trPr>
        <w:tc>
          <w:tcPr>
            <w:tcW w:w="6804" w:type="dxa"/>
            <w:gridSpan w:val="2"/>
            <w:tcBorders>
              <w:left w:val="nil"/>
              <w:right w:val="nil"/>
            </w:tcBorders>
            <w:noWrap/>
            <w:hideMark/>
          </w:tcPr>
          <w:p w:rsidRPr="005C5C74" w:rsidR="005C5C74" w:rsidP="005C5C74" w:rsidRDefault="005C5C74" w14:paraId="082F2042" w14:textId="77777777">
            <w:pPr>
              <w:ind w:left="171" w:firstLine="48" w:firstLineChars="22"/>
            </w:pPr>
            <w:r w:rsidRPr="005C5C74">
              <w:t>d. Virksomhedscertifikat (commercial paper)</w:t>
            </w:r>
          </w:p>
        </w:tc>
        <w:tc>
          <w:tcPr>
            <w:tcW w:w="2745" w:type="dxa"/>
            <w:tcBorders>
              <w:left w:val="nil"/>
              <w:right w:val="nil"/>
            </w:tcBorders>
            <w:noWrap/>
            <w:hideMark/>
          </w:tcPr>
          <w:p w:rsidRPr="00674EC6" w:rsidR="005C5C74" w:rsidP="007B3F1A" w:rsidRDefault="005C5C74" w14:paraId="12F53369"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6668D279" w14:textId="77777777">
        <w:trPr>
          <w:trHeight w:val="300"/>
        </w:trPr>
        <w:tc>
          <w:tcPr>
            <w:tcW w:w="6804" w:type="dxa"/>
            <w:gridSpan w:val="2"/>
            <w:tcBorders>
              <w:left w:val="nil"/>
              <w:right w:val="nil"/>
            </w:tcBorders>
            <w:noWrap/>
            <w:hideMark/>
          </w:tcPr>
          <w:p w:rsidRPr="005C5C74" w:rsidR="005C5C74" w:rsidP="005C5C74" w:rsidRDefault="005C5C74" w14:paraId="22FF64DC" w14:textId="77777777">
            <w:pPr>
              <w:ind w:left="171" w:firstLine="48" w:firstLineChars="22"/>
            </w:pPr>
            <w:r w:rsidRPr="005C5C74">
              <w:t>e. Indskudsbeviser</w:t>
            </w:r>
          </w:p>
        </w:tc>
        <w:tc>
          <w:tcPr>
            <w:tcW w:w="2745" w:type="dxa"/>
            <w:tcBorders>
              <w:left w:val="nil"/>
              <w:right w:val="nil"/>
            </w:tcBorders>
            <w:noWrap/>
            <w:hideMark/>
          </w:tcPr>
          <w:p w:rsidRPr="00674EC6" w:rsidR="005C5C74" w:rsidP="007B3F1A" w:rsidRDefault="005C5C74" w14:paraId="3ACD05EB"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0CDC0C14" w14:textId="77777777">
        <w:trPr>
          <w:trHeight w:val="300"/>
        </w:trPr>
        <w:tc>
          <w:tcPr>
            <w:tcW w:w="6804" w:type="dxa"/>
            <w:gridSpan w:val="2"/>
            <w:tcBorders>
              <w:left w:val="nil"/>
              <w:right w:val="nil"/>
            </w:tcBorders>
            <w:noWrap/>
            <w:hideMark/>
          </w:tcPr>
          <w:p w:rsidRPr="005C5C74" w:rsidR="005C5C74" w:rsidP="005C5C74" w:rsidRDefault="005C5C74" w14:paraId="5E5F5E72" w14:textId="77777777">
            <w:pPr>
              <w:ind w:left="171" w:firstLine="48" w:firstLineChars="22"/>
            </w:pPr>
            <w:r w:rsidRPr="005C5C74">
              <w:t>f. Ordinære aktier</w:t>
            </w:r>
          </w:p>
        </w:tc>
        <w:tc>
          <w:tcPr>
            <w:tcW w:w="2745" w:type="dxa"/>
            <w:tcBorders>
              <w:left w:val="nil"/>
              <w:right w:val="nil"/>
            </w:tcBorders>
            <w:noWrap/>
            <w:hideMark/>
          </w:tcPr>
          <w:p w:rsidRPr="00674EC6" w:rsidR="005C5C74" w:rsidP="007B3F1A" w:rsidRDefault="005C5C74" w14:paraId="0BB72A3D"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7AE55F14" w14:textId="77777777">
        <w:trPr>
          <w:trHeight w:val="300"/>
        </w:trPr>
        <w:tc>
          <w:tcPr>
            <w:tcW w:w="6804" w:type="dxa"/>
            <w:gridSpan w:val="2"/>
            <w:tcBorders>
              <w:left w:val="nil"/>
              <w:right w:val="nil"/>
            </w:tcBorders>
            <w:noWrap/>
          </w:tcPr>
          <w:p w:rsidRPr="005C5C74" w:rsidR="005C5C74" w:rsidP="005C5C74" w:rsidRDefault="005C5C74" w14:paraId="70C80B4B" w14:textId="77777777">
            <w:pPr>
              <w:ind w:left="171" w:firstLine="48" w:firstLineChars="22"/>
            </w:pPr>
            <w:r w:rsidRPr="005C5C74">
              <w:t>g. Præferenceaktier og andre former for efterstillet finansiering, der ikke er omfattet af post 5.c.</w:t>
            </w:r>
          </w:p>
        </w:tc>
        <w:tc>
          <w:tcPr>
            <w:tcW w:w="2745" w:type="dxa"/>
            <w:tcBorders>
              <w:left w:val="nil"/>
              <w:right w:val="nil"/>
            </w:tcBorders>
            <w:noWrap/>
          </w:tcPr>
          <w:p w:rsidRPr="00674EC6" w:rsidR="005C5C74" w:rsidP="007B3F1A" w:rsidRDefault="005C5C74" w14:paraId="456626A5" w14:textId="77777777">
            <w:pPr>
              <w:jc w:val="right"/>
              <w:rPr>
                <w:rFonts w:ascii="Arial" w:hAnsi="Arial" w:eastAsia="Times New Roman" w:cs="Arial"/>
                <w:sz w:val="20"/>
                <w:szCs w:val="20"/>
                <w:lang w:eastAsia="en-GB"/>
              </w:rPr>
            </w:pPr>
          </w:p>
        </w:tc>
      </w:tr>
      <w:tr w:rsidRPr="00674EC6" w:rsidR="005C5C74" w:rsidTr="007B3F1A" w14:paraId="722EDCF2" w14:textId="77777777">
        <w:trPr>
          <w:trHeight w:val="300"/>
        </w:trPr>
        <w:tc>
          <w:tcPr>
            <w:tcW w:w="6804" w:type="dxa"/>
            <w:gridSpan w:val="2"/>
            <w:tcBorders>
              <w:left w:val="nil"/>
              <w:bottom w:val="single" w:color="auto" w:sz="4" w:space="0"/>
              <w:right w:val="nil"/>
            </w:tcBorders>
            <w:noWrap/>
          </w:tcPr>
          <w:p w:rsidRPr="005C5C74" w:rsidR="005C5C74" w:rsidP="005C5C74" w:rsidRDefault="005C5C74" w14:paraId="4C7D8BFC" w14:textId="77777777">
            <w:pPr>
              <w:ind w:left="171" w:firstLine="48" w:firstLineChars="22"/>
            </w:pPr>
            <w:r w:rsidRPr="005C5C74">
              <w:t>h. Indikator for udstedte værdipapirer, inklusive værdipapirer udstedt af forsikringsdatterselskaber (summen af post 5.a. til 5.g.)</w:t>
            </w:r>
          </w:p>
        </w:tc>
        <w:tc>
          <w:tcPr>
            <w:tcW w:w="2745" w:type="dxa"/>
            <w:tcBorders>
              <w:left w:val="nil"/>
              <w:bottom w:val="single" w:color="auto" w:sz="4" w:space="0"/>
              <w:right w:val="nil"/>
            </w:tcBorders>
            <w:noWrap/>
          </w:tcPr>
          <w:p w:rsidRPr="00674EC6" w:rsidR="005C5C74" w:rsidP="007B3F1A" w:rsidRDefault="005C5C74" w14:paraId="077016FF" w14:textId="77777777">
            <w:pPr>
              <w:jc w:val="right"/>
              <w:rPr>
                <w:rFonts w:ascii="Arial" w:hAnsi="Arial" w:eastAsia="Times New Roman" w:cs="Arial"/>
                <w:sz w:val="20"/>
                <w:szCs w:val="20"/>
                <w:lang w:eastAsia="en-GB"/>
              </w:rPr>
            </w:pPr>
          </w:p>
        </w:tc>
      </w:tr>
      <w:tr w:rsidRPr="00674EC6" w:rsidR="005C5C74" w:rsidTr="007B3F1A" w14:paraId="76ED9DD2" w14:textId="77777777">
        <w:trPr>
          <w:trHeight w:val="300"/>
        </w:trPr>
        <w:tc>
          <w:tcPr>
            <w:tcW w:w="6804" w:type="dxa"/>
            <w:gridSpan w:val="2"/>
            <w:tcBorders>
              <w:top w:val="single" w:color="auto" w:sz="4" w:space="0"/>
              <w:left w:val="nil"/>
              <w:bottom w:val="nil"/>
              <w:right w:val="nil"/>
            </w:tcBorders>
            <w:noWrap/>
          </w:tcPr>
          <w:p w:rsidRPr="00674EC6" w:rsidR="005C5C74" w:rsidP="007B3F1A" w:rsidRDefault="005C5C74" w14:paraId="0ADF257B" w14:textId="77777777">
            <w:pPr>
              <w:keepNext/>
              <w:keepLines/>
              <w:spacing w:before="47"/>
              <w:outlineLvl w:val="5"/>
              <w:rPr>
                <w:rFonts w:ascii="Arial" w:hAnsi="Arial" w:cs="Arial" w:eastAsiaTheme="majorEastAsia"/>
                <w:b/>
                <w:bCs/>
                <w:i/>
                <w:iCs/>
                <w:caps/>
                <w:spacing w:val="-2"/>
                <w:sz w:val="20"/>
                <w:szCs w:val="20"/>
              </w:rPr>
            </w:pPr>
          </w:p>
        </w:tc>
        <w:tc>
          <w:tcPr>
            <w:tcW w:w="2745" w:type="dxa"/>
            <w:tcBorders>
              <w:top w:val="single" w:color="auto" w:sz="4" w:space="0"/>
              <w:left w:val="nil"/>
              <w:bottom w:val="nil"/>
              <w:right w:val="nil"/>
            </w:tcBorders>
            <w:noWrap/>
          </w:tcPr>
          <w:p w:rsidRPr="00674EC6" w:rsidR="005C5C74" w:rsidP="007B3F1A" w:rsidRDefault="005C5C74" w14:paraId="2DAD9303" w14:textId="77777777">
            <w:pPr>
              <w:jc w:val="center"/>
              <w:rPr>
                <w:rFonts w:ascii="Arial" w:hAnsi="Arial" w:eastAsia="Times New Roman" w:cs="Arial"/>
                <w:b/>
                <w:bCs/>
                <w:sz w:val="20"/>
                <w:szCs w:val="20"/>
                <w:lang w:eastAsia="en-GB"/>
              </w:rPr>
            </w:pPr>
          </w:p>
        </w:tc>
      </w:tr>
      <w:tr w:rsidRPr="00674EC6" w:rsidR="005C5C74" w:rsidTr="007B3F1A" w14:paraId="6B77320A" w14:textId="77777777">
        <w:trPr>
          <w:trHeight w:val="300"/>
        </w:trPr>
        <w:tc>
          <w:tcPr>
            <w:tcW w:w="6804" w:type="dxa"/>
            <w:gridSpan w:val="2"/>
            <w:tcBorders>
              <w:top w:val="nil"/>
              <w:left w:val="nil"/>
              <w:bottom w:val="nil"/>
              <w:right w:val="nil"/>
            </w:tcBorders>
            <w:noWrap/>
          </w:tcPr>
          <w:p w:rsidRPr="00674EC6" w:rsidR="005C5C74" w:rsidP="007B3F1A" w:rsidRDefault="005C5C74" w14:paraId="14CC8949" w14:textId="77777777">
            <w:pPr>
              <w:keepNext/>
              <w:keepLines/>
              <w:spacing w:before="47"/>
              <w:outlineLvl w:val="5"/>
              <w:rPr>
                <w:rFonts w:asciiTheme="majorHAnsi" w:hAnsiTheme="majorHAnsi" w:eastAsiaTheme="majorEastAsia" w:cstheme="majorBidi"/>
                <w:b/>
                <w:bCs/>
                <w:i/>
                <w:iCs/>
                <w:caps/>
                <w:spacing w:val="-2"/>
              </w:rPr>
            </w:pPr>
            <w:r w:rsidRPr="00674EC6">
              <w:rPr>
                <w:rFonts w:asciiTheme="majorHAnsi" w:hAnsiTheme="majorHAnsi"/>
                <w:b/>
                <w:i/>
                <w:caps/>
              </w:rPr>
              <w:t>Indikatorer for substituerbarhed/det finansielle instituts infrastruktur</w:t>
            </w:r>
          </w:p>
          <w:p w:rsidRPr="00674EC6" w:rsidR="005C5C74" w:rsidP="007B3F1A" w:rsidRDefault="005C5C74" w14:paraId="05BB8313" w14:textId="77777777">
            <w:pPr>
              <w:rPr>
                <w:rFonts w:ascii="Arial" w:hAnsi="Arial" w:eastAsia="Times New Roman" w:cs="Arial"/>
                <w:b/>
                <w:bCs/>
                <w:sz w:val="20"/>
                <w:szCs w:val="20"/>
                <w:lang w:eastAsia="en-GB"/>
              </w:rPr>
            </w:pPr>
          </w:p>
        </w:tc>
        <w:tc>
          <w:tcPr>
            <w:tcW w:w="2745" w:type="dxa"/>
            <w:tcBorders>
              <w:top w:val="nil"/>
              <w:left w:val="nil"/>
              <w:bottom w:val="nil"/>
              <w:right w:val="nil"/>
            </w:tcBorders>
            <w:noWrap/>
          </w:tcPr>
          <w:p w:rsidRPr="00674EC6" w:rsidR="005C5C74" w:rsidP="007B3F1A" w:rsidRDefault="005C5C74" w14:paraId="05A0234F" w14:textId="77777777">
            <w:pPr>
              <w:jc w:val="center"/>
              <w:rPr>
                <w:rFonts w:ascii="Arial" w:hAnsi="Arial" w:eastAsia="Times New Roman" w:cs="Arial"/>
                <w:b/>
                <w:bCs/>
                <w:sz w:val="20"/>
                <w:szCs w:val="20"/>
                <w:lang w:eastAsia="en-GB"/>
              </w:rPr>
            </w:pPr>
          </w:p>
        </w:tc>
      </w:tr>
      <w:tr w:rsidRPr="00674EC6" w:rsidR="005C5C74" w:rsidTr="007B3F1A" w14:paraId="544C6085"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56C78724" w14:textId="77777777">
            <w:pPr>
              <w:rPr>
                <w:rFonts w:ascii="Arial" w:hAnsi="Arial" w:eastAsia="Times New Roman" w:cs="Arial"/>
                <w:sz w:val="20"/>
                <w:szCs w:val="20"/>
              </w:rPr>
            </w:pPr>
            <w:r w:rsidRPr="00674EC6">
              <w:rPr>
                <w:rFonts w:ascii="Arial" w:hAnsi="Arial"/>
                <w:b/>
                <w:sz w:val="20"/>
              </w:rPr>
              <w:t>Afdeling 6 – Betalinger foretaget i indberetningsåret (eksklusive koncerninterne betalinger)</w:t>
            </w:r>
          </w:p>
        </w:tc>
        <w:tc>
          <w:tcPr>
            <w:tcW w:w="2745" w:type="dxa"/>
            <w:tcBorders>
              <w:left w:val="nil"/>
              <w:bottom w:val="single" w:color="auto" w:sz="4" w:space="0"/>
              <w:right w:val="nil"/>
            </w:tcBorders>
            <w:noWrap/>
          </w:tcPr>
          <w:p w:rsidRPr="00674EC6" w:rsidR="005C5C74" w:rsidP="007B3F1A" w:rsidRDefault="005C5C74" w14:paraId="3F98644B"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296E5671" w14:textId="77777777">
        <w:trPr>
          <w:trHeight w:val="300"/>
        </w:trPr>
        <w:tc>
          <w:tcPr>
            <w:tcW w:w="6804" w:type="dxa"/>
            <w:gridSpan w:val="2"/>
            <w:tcBorders>
              <w:left w:val="nil"/>
              <w:right w:val="nil"/>
            </w:tcBorders>
            <w:noWrap/>
            <w:hideMark/>
          </w:tcPr>
          <w:p w:rsidRPr="005C5C74" w:rsidR="005C5C74" w:rsidP="005C5C74" w:rsidRDefault="005C5C74" w14:paraId="111FAEE7" w14:textId="454332F5">
            <w:pPr>
              <w:ind w:left="171" w:firstLine="48" w:firstLineChars="22"/>
            </w:pPr>
            <w:r w:rsidRPr="005C5C74">
              <w:t>a. Australsk dollar (AUD)</w:t>
            </w:r>
          </w:p>
        </w:tc>
        <w:tc>
          <w:tcPr>
            <w:tcW w:w="2745" w:type="dxa"/>
            <w:tcBorders>
              <w:left w:val="nil"/>
              <w:right w:val="nil"/>
            </w:tcBorders>
            <w:noWrap/>
            <w:hideMark/>
          </w:tcPr>
          <w:p w:rsidRPr="00674EC6" w:rsidR="005C5C74" w:rsidP="007B3F1A" w:rsidRDefault="005C5C74" w14:paraId="07858C91"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5E4B879D" w14:textId="77777777">
        <w:trPr>
          <w:trHeight w:val="300"/>
        </w:trPr>
        <w:tc>
          <w:tcPr>
            <w:tcW w:w="6804" w:type="dxa"/>
            <w:gridSpan w:val="2"/>
            <w:tcBorders>
              <w:left w:val="nil"/>
              <w:right w:val="nil"/>
            </w:tcBorders>
            <w:noWrap/>
            <w:hideMark/>
          </w:tcPr>
          <w:p w:rsidRPr="005C5C74" w:rsidR="005C5C74" w:rsidP="005C5C74" w:rsidRDefault="005C5C74" w14:paraId="08F6F6A2" w14:textId="77777777">
            <w:pPr>
              <w:ind w:left="171" w:firstLine="48" w:firstLineChars="22"/>
            </w:pPr>
            <w:r w:rsidRPr="005C5C74">
              <w:t>b. ﻿Canadisk dollar (CAD)</w:t>
            </w:r>
          </w:p>
        </w:tc>
        <w:tc>
          <w:tcPr>
            <w:tcW w:w="2745" w:type="dxa"/>
            <w:tcBorders>
              <w:left w:val="nil"/>
              <w:right w:val="nil"/>
            </w:tcBorders>
            <w:noWrap/>
            <w:hideMark/>
          </w:tcPr>
          <w:p w:rsidRPr="00674EC6" w:rsidR="005C5C74" w:rsidP="007B3F1A" w:rsidRDefault="005C5C74" w14:paraId="05606691"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47660F63" w14:textId="77777777">
        <w:trPr>
          <w:trHeight w:val="300"/>
        </w:trPr>
        <w:tc>
          <w:tcPr>
            <w:tcW w:w="6804" w:type="dxa"/>
            <w:gridSpan w:val="2"/>
            <w:tcBorders>
              <w:left w:val="nil"/>
              <w:right w:val="nil"/>
            </w:tcBorders>
            <w:noWrap/>
            <w:hideMark/>
          </w:tcPr>
          <w:p w:rsidRPr="005C5C74" w:rsidR="005C5C74" w:rsidP="005C5C74" w:rsidRDefault="005C5C74" w14:paraId="129E820E" w14:textId="77777777">
            <w:pPr>
              <w:ind w:left="171" w:firstLine="48" w:firstLineChars="22"/>
            </w:pPr>
            <w:r w:rsidRPr="005C5C74">
              <w:t>c. Schweizerfranc (CHF)</w:t>
            </w:r>
          </w:p>
        </w:tc>
        <w:tc>
          <w:tcPr>
            <w:tcW w:w="2745" w:type="dxa"/>
            <w:tcBorders>
              <w:left w:val="nil"/>
              <w:right w:val="nil"/>
            </w:tcBorders>
            <w:noWrap/>
            <w:hideMark/>
          </w:tcPr>
          <w:p w:rsidRPr="00674EC6" w:rsidR="005C5C74" w:rsidP="007B3F1A" w:rsidRDefault="005C5C74" w14:paraId="65F01BC4"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59BBAFAF" w14:textId="77777777">
        <w:trPr>
          <w:trHeight w:val="300"/>
        </w:trPr>
        <w:tc>
          <w:tcPr>
            <w:tcW w:w="6804" w:type="dxa"/>
            <w:gridSpan w:val="2"/>
            <w:tcBorders>
              <w:left w:val="nil"/>
              <w:right w:val="nil"/>
            </w:tcBorders>
            <w:noWrap/>
            <w:hideMark/>
          </w:tcPr>
          <w:p w:rsidRPr="005C5C74" w:rsidR="005C5C74" w:rsidP="005C5C74" w:rsidRDefault="005C5C74" w14:paraId="316912FF" w14:textId="77777777">
            <w:pPr>
              <w:ind w:left="171" w:firstLine="48" w:firstLineChars="22"/>
            </w:pPr>
            <w:r w:rsidRPr="005C5C74">
              <w:t>d. Kinesisk yuan (CNY)</w:t>
            </w:r>
          </w:p>
        </w:tc>
        <w:tc>
          <w:tcPr>
            <w:tcW w:w="2745" w:type="dxa"/>
            <w:tcBorders>
              <w:left w:val="nil"/>
              <w:right w:val="nil"/>
            </w:tcBorders>
            <w:noWrap/>
            <w:hideMark/>
          </w:tcPr>
          <w:p w:rsidRPr="00674EC6" w:rsidR="005C5C74" w:rsidP="007B3F1A" w:rsidRDefault="005C5C74" w14:paraId="270A85CC"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1AFB5076" w14:textId="77777777">
        <w:trPr>
          <w:trHeight w:val="300"/>
        </w:trPr>
        <w:tc>
          <w:tcPr>
            <w:tcW w:w="6804" w:type="dxa"/>
            <w:gridSpan w:val="2"/>
            <w:tcBorders>
              <w:left w:val="nil"/>
              <w:right w:val="nil"/>
            </w:tcBorders>
            <w:noWrap/>
            <w:hideMark/>
          </w:tcPr>
          <w:p w:rsidRPr="005C5C74" w:rsidR="005C5C74" w:rsidP="005C5C74" w:rsidRDefault="005C5C74" w14:paraId="104FBED8" w14:textId="77777777">
            <w:pPr>
              <w:ind w:left="171" w:firstLine="48" w:firstLineChars="22"/>
            </w:pPr>
            <w:r w:rsidRPr="005C5C74">
              <w:t>e. Euro (EUR)</w:t>
            </w:r>
          </w:p>
        </w:tc>
        <w:tc>
          <w:tcPr>
            <w:tcW w:w="2745" w:type="dxa"/>
            <w:tcBorders>
              <w:left w:val="nil"/>
              <w:right w:val="nil"/>
            </w:tcBorders>
            <w:noWrap/>
            <w:hideMark/>
          </w:tcPr>
          <w:p w:rsidRPr="00674EC6" w:rsidR="005C5C74" w:rsidP="007B3F1A" w:rsidRDefault="005C5C74" w14:paraId="5E591805"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2D9410A3" w14:textId="77777777">
        <w:trPr>
          <w:trHeight w:val="300"/>
        </w:trPr>
        <w:tc>
          <w:tcPr>
            <w:tcW w:w="6804" w:type="dxa"/>
            <w:gridSpan w:val="2"/>
            <w:tcBorders>
              <w:left w:val="nil"/>
              <w:right w:val="nil"/>
            </w:tcBorders>
            <w:noWrap/>
            <w:hideMark/>
          </w:tcPr>
          <w:p w:rsidRPr="005C5C74" w:rsidR="005C5C74" w:rsidP="005C5C74" w:rsidRDefault="005C5C74" w14:paraId="364A6DC6" w14:textId="77777777">
            <w:pPr>
              <w:ind w:left="171" w:firstLine="48" w:firstLineChars="22"/>
            </w:pPr>
            <w:r w:rsidRPr="005C5C74">
              <w:t>f. Britisk pund (GBP)</w:t>
            </w:r>
          </w:p>
        </w:tc>
        <w:tc>
          <w:tcPr>
            <w:tcW w:w="2745" w:type="dxa"/>
            <w:tcBorders>
              <w:left w:val="nil"/>
              <w:right w:val="nil"/>
            </w:tcBorders>
            <w:noWrap/>
            <w:hideMark/>
          </w:tcPr>
          <w:p w:rsidRPr="00674EC6" w:rsidR="005C5C74" w:rsidP="007B3F1A" w:rsidRDefault="005C5C74" w14:paraId="60621387"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1BB27F2F" w14:textId="77777777">
        <w:trPr>
          <w:trHeight w:val="300"/>
        </w:trPr>
        <w:tc>
          <w:tcPr>
            <w:tcW w:w="6804" w:type="dxa"/>
            <w:gridSpan w:val="2"/>
            <w:tcBorders>
              <w:left w:val="nil"/>
              <w:right w:val="nil"/>
            </w:tcBorders>
            <w:noWrap/>
            <w:hideMark/>
          </w:tcPr>
          <w:p w:rsidRPr="005C5C74" w:rsidR="005C5C74" w:rsidP="005C5C74" w:rsidRDefault="005C5C74" w14:paraId="244F1AF4" w14:textId="77777777">
            <w:pPr>
              <w:ind w:left="171" w:firstLine="48" w:firstLineChars="22"/>
            </w:pPr>
            <w:r w:rsidRPr="005C5C74">
              <w:t>g. Hongkongsk dollar (HKD)</w:t>
            </w:r>
          </w:p>
        </w:tc>
        <w:tc>
          <w:tcPr>
            <w:tcW w:w="2745" w:type="dxa"/>
            <w:tcBorders>
              <w:left w:val="nil"/>
              <w:right w:val="nil"/>
            </w:tcBorders>
            <w:noWrap/>
            <w:hideMark/>
          </w:tcPr>
          <w:p w:rsidRPr="00674EC6" w:rsidR="005C5C74" w:rsidP="007B3F1A" w:rsidRDefault="005C5C74" w14:paraId="09C9BF09"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7DCC2C19" w14:textId="77777777">
        <w:trPr>
          <w:trHeight w:val="300"/>
        </w:trPr>
        <w:tc>
          <w:tcPr>
            <w:tcW w:w="6804" w:type="dxa"/>
            <w:gridSpan w:val="2"/>
            <w:tcBorders>
              <w:left w:val="nil"/>
              <w:right w:val="nil"/>
            </w:tcBorders>
            <w:noWrap/>
            <w:hideMark/>
          </w:tcPr>
          <w:p w:rsidRPr="005C5C74" w:rsidR="005C5C74" w:rsidP="005C5C74" w:rsidRDefault="005C5C74" w14:paraId="29C5E96B" w14:textId="77777777">
            <w:pPr>
              <w:ind w:left="171" w:firstLine="48" w:firstLineChars="22"/>
            </w:pPr>
            <w:r w:rsidRPr="005C5C74">
              <w:t>h. Indisk rupee (INR)</w:t>
            </w:r>
          </w:p>
        </w:tc>
        <w:tc>
          <w:tcPr>
            <w:tcW w:w="2745" w:type="dxa"/>
            <w:tcBorders>
              <w:left w:val="nil"/>
              <w:right w:val="nil"/>
            </w:tcBorders>
            <w:noWrap/>
            <w:hideMark/>
          </w:tcPr>
          <w:p w:rsidRPr="00674EC6" w:rsidR="005C5C74" w:rsidP="007B3F1A" w:rsidRDefault="005C5C74" w14:paraId="28988251"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27FBA197" w14:textId="77777777">
        <w:trPr>
          <w:trHeight w:val="300"/>
        </w:trPr>
        <w:tc>
          <w:tcPr>
            <w:tcW w:w="6804" w:type="dxa"/>
            <w:gridSpan w:val="2"/>
            <w:tcBorders>
              <w:left w:val="nil"/>
              <w:right w:val="nil"/>
            </w:tcBorders>
            <w:noWrap/>
            <w:hideMark/>
          </w:tcPr>
          <w:p w:rsidRPr="005C5C74" w:rsidR="005C5C74" w:rsidP="005C5C74" w:rsidRDefault="005C5C74" w14:paraId="1CC4B0A6" w14:textId="77777777">
            <w:pPr>
              <w:ind w:left="171" w:firstLine="48" w:firstLineChars="22"/>
            </w:pPr>
            <w:r w:rsidRPr="005C5C74">
              <w:t>i. Japansk yen (JPY)</w:t>
            </w:r>
          </w:p>
        </w:tc>
        <w:tc>
          <w:tcPr>
            <w:tcW w:w="2745" w:type="dxa"/>
            <w:tcBorders>
              <w:left w:val="nil"/>
              <w:right w:val="nil"/>
            </w:tcBorders>
            <w:noWrap/>
            <w:hideMark/>
          </w:tcPr>
          <w:p w:rsidRPr="00674EC6" w:rsidR="005C5C74" w:rsidP="007B3F1A" w:rsidRDefault="005C5C74" w14:paraId="40B983A1"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2B8CAE64" w14:textId="77777777">
        <w:trPr>
          <w:trHeight w:val="300"/>
        </w:trPr>
        <w:tc>
          <w:tcPr>
            <w:tcW w:w="6804" w:type="dxa"/>
            <w:gridSpan w:val="2"/>
            <w:tcBorders>
              <w:left w:val="nil"/>
              <w:right w:val="nil"/>
            </w:tcBorders>
            <w:noWrap/>
            <w:hideMark/>
          </w:tcPr>
          <w:p w:rsidRPr="005C5C74" w:rsidR="005C5C74" w:rsidP="005C5C74" w:rsidRDefault="005C5C74" w14:paraId="7B72D91F" w14:textId="77777777">
            <w:pPr>
              <w:ind w:left="171" w:firstLine="48" w:firstLineChars="22"/>
            </w:pPr>
            <w:r w:rsidRPr="005C5C74">
              <w:t>j. Newzealandsk dollar (NZD)</w:t>
            </w:r>
          </w:p>
        </w:tc>
        <w:tc>
          <w:tcPr>
            <w:tcW w:w="2745" w:type="dxa"/>
            <w:tcBorders>
              <w:left w:val="nil"/>
              <w:right w:val="nil"/>
            </w:tcBorders>
            <w:noWrap/>
            <w:hideMark/>
          </w:tcPr>
          <w:p w:rsidRPr="00674EC6" w:rsidR="005C5C74" w:rsidP="007B3F1A" w:rsidRDefault="005C5C74" w14:paraId="00006E1B"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475CE393" w14:textId="77777777">
        <w:trPr>
          <w:trHeight w:val="300"/>
        </w:trPr>
        <w:tc>
          <w:tcPr>
            <w:tcW w:w="6804" w:type="dxa"/>
            <w:gridSpan w:val="2"/>
            <w:tcBorders>
              <w:left w:val="nil"/>
              <w:right w:val="nil"/>
            </w:tcBorders>
            <w:noWrap/>
            <w:hideMark/>
          </w:tcPr>
          <w:p w:rsidRPr="005C5C74" w:rsidR="005C5C74" w:rsidP="005C5C74" w:rsidRDefault="005C5C74" w14:paraId="4F0B0F17" w14:textId="77777777">
            <w:pPr>
              <w:ind w:left="171" w:firstLine="48" w:firstLineChars="22"/>
            </w:pPr>
            <w:r w:rsidRPr="005C5C74">
              <w:t>k. Svensk krone (SEK)</w:t>
            </w:r>
          </w:p>
        </w:tc>
        <w:tc>
          <w:tcPr>
            <w:tcW w:w="2745" w:type="dxa"/>
            <w:tcBorders>
              <w:left w:val="nil"/>
              <w:right w:val="nil"/>
            </w:tcBorders>
            <w:noWrap/>
            <w:hideMark/>
          </w:tcPr>
          <w:p w:rsidRPr="00674EC6" w:rsidR="005C5C74" w:rsidP="007B3F1A" w:rsidRDefault="005C5C74" w14:paraId="764EC808"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22EECA10" w14:textId="77777777">
        <w:trPr>
          <w:trHeight w:val="300"/>
        </w:trPr>
        <w:tc>
          <w:tcPr>
            <w:tcW w:w="6804" w:type="dxa"/>
            <w:gridSpan w:val="2"/>
            <w:tcBorders>
              <w:left w:val="nil"/>
              <w:right w:val="nil"/>
            </w:tcBorders>
            <w:noWrap/>
            <w:hideMark/>
          </w:tcPr>
          <w:p w:rsidRPr="005C5C74" w:rsidR="005C5C74" w:rsidP="005C5C74" w:rsidRDefault="005C5C74" w14:paraId="5193643B" w14:textId="77777777">
            <w:pPr>
              <w:ind w:left="171" w:firstLine="48" w:firstLineChars="22"/>
            </w:pPr>
            <w:r w:rsidRPr="005C5C74">
              <w:t>l. US-dollar (USD)</w:t>
            </w:r>
          </w:p>
        </w:tc>
        <w:tc>
          <w:tcPr>
            <w:tcW w:w="2745" w:type="dxa"/>
            <w:tcBorders>
              <w:left w:val="nil"/>
              <w:right w:val="nil"/>
            </w:tcBorders>
            <w:noWrap/>
            <w:hideMark/>
          </w:tcPr>
          <w:p w:rsidRPr="00674EC6" w:rsidR="005C5C74" w:rsidP="007B3F1A" w:rsidRDefault="005C5C74" w14:paraId="1E78FF81"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0F9FFF70" w14:textId="77777777">
        <w:trPr>
          <w:trHeight w:val="300"/>
        </w:trPr>
        <w:tc>
          <w:tcPr>
            <w:tcW w:w="6804" w:type="dxa"/>
            <w:gridSpan w:val="2"/>
            <w:tcBorders>
              <w:left w:val="nil"/>
              <w:bottom w:val="single" w:color="auto" w:sz="4" w:space="0"/>
              <w:right w:val="nil"/>
            </w:tcBorders>
            <w:noWrap/>
            <w:hideMark/>
          </w:tcPr>
          <w:p w:rsidRPr="005C5C74" w:rsidR="005C5C74" w:rsidP="005C5C74" w:rsidRDefault="005C5C74" w14:paraId="3DCA8541" w14:textId="77777777">
            <w:pPr>
              <w:ind w:left="171" w:firstLine="48" w:firstLineChars="22"/>
            </w:pPr>
            <w:r w:rsidRPr="005C5C74">
              <w:t>m. Indikator for betalingsaktivitet (summen af post 6.a til 6.l)</w:t>
            </w:r>
          </w:p>
        </w:tc>
        <w:tc>
          <w:tcPr>
            <w:tcW w:w="2745" w:type="dxa"/>
            <w:tcBorders>
              <w:left w:val="nil"/>
              <w:bottom w:val="single" w:color="auto" w:sz="4" w:space="0"/>
              <w:right w:val="nil"/>
            </w:tcBorders>
            <w:noWrap/>
            <w:hideMark/>
          </w:tcPr>
          <w:p w:rsidRPr="00674EC6" w:rsidR="005C5C74" w:rsidP="007B3F1A" w:rsidRDefault="005C5C74" w14:paraId="1D66E65B" w14:textId="77777777">
            <w:pPr>
              <w:jc w:val="right"/>
              <w:rPr>
                <w:rFonts w:ascii="Arial" w:hAnsi="Arial" w:eastAsia="Times New Roman" w:cs="Arial"/>
                <w:sz w:val="20"/>
                <w:szCs w:val="20"/>
              </w:rPr>
            </w:pPr>
            <w:r w:rsidRPr="00674EC6">
              <w:rPr>
                <w:rFonts w:ascii="Arial" w:hAnsi="Arial"/>
                <w:sz w:val="20"/>
              </w:rPr>
              <w:t xml:space="preserve"> </w:t>
            </w:r>
          </w:p>
        </w:tc>
      </w:tr>
      <w:tr w:rsidRPr="00674EC6" w:rsidR="005C5C74" w:rsidTr="007B3F1A" w14:paraId="77C73311" w14:textId="77777777">
        <w:trPr>
          <w:trHeight w:val="300"/>
        </w:trPr>
        <w:tc>
          <w:tcPr>
            <w:tcW w:w="6804" w:type="dxa"/>
            <w:gridSpan w:val="2"/>
            <w:tcBorders>
              <w:left w:val="nil"/>
              <w:bottom w:val="nil"/>
              <w:right w:val="nil"/>
            </w:tcBorders>
            <w:noWrap/>
          </w:tcPr>
          <w:p w:rsidRPr="00674EC6" w:rsidR="005C5C74" w:rsidP="007B3F1A" w:rsidRDefault="005C5C74" w14:paraId="08171F04"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674EC6" w:rsidR="005C5C74" w:rsidP="007B3F1A" w:rsidRDefault="005C5C74" w14:paraId="7A0DA02F" w14:textId="77777777">
            <w:pPr>
              <w:jc w:val="center"/>
              <w:rPr>
                <w:rFonts w:ascii="Arial" w:hAnsi="Arial" w:eastAsia="Times New Roman" w:cs="Arial"/>
                <w:b/>
                <w:bCs/>
                <w:sz w:val="20"/>
                <w:szCs w:val="20"/>
                <w:lang w:eastAsia="en-GB"/>
              </w:rPr>
            </w:pPr>
          </w:p>
        </w:tc>
      </w:tr>
      <w:tr w:rsidRPr="00674EC6" w:rsidR="005C5C74" w:rsidTr="007B3F1A" w14:paraId="0BAF6AD7" w14:textId="77777777">
        <w:trPr>
          <w:trHeight w:val="300"/>
        </w:trPr>
        <w:tc>
          <w:tcPr>
            <w:tcW w:w="6804" w:type="dxa"/>
            <w:gridSpan w:val="2"/>
            <w:tcBorders>
              <w:top w:val="nil"/>
              <w:left w:val="nil"/>
              <w:bottom w:val="single" w:color="auto" w:sz="4" w:space="0"/>
              <w:right w:val="nil"/>
            </w:tcBorders>
            <w:noWrap/>
            <w:hideMark/>
          </w:tcPr>
          <w:p w:rsidRPr="00674EC6" w:rsidR="005C5C74" w:rsidP="007B3F1A" w:rsidRDefault="005C5C74" w14:paraId="2FFF0717" w14:textId="77777777">
            <w:pPr>
              <w:rPr>
                <w:rFonts w:ascii="Arial" w:hAnsi="Arial" w:eastAsia="Times New Roman" w:cs="Arial"/>
                <w:b/>
                <w:bCs/>
                <w:sz w:val="20"/>
                <w:szCs w:val="20"/>
              </w:rPr>
            </w:pPr>
            <w:r w:rsidRPr="00674EC6">
              <w:rPr>
                <w:rFonts w:ascii="Arial" w:hAnsi="Arial"/>
                <w:b/>
                <w:sz w:val="20"/>
              </w:rPr>
              <w:t>Afdeling 7 – Aktiver i depot</w:t>
            </w:r>
          </w:p>
        </w:tc>
        <w:tc>
          <w:tcPr>
            <w:tcW w:w="2745" w:type="dxa"/>
            <w:tcBorders>
              <w:top w:val="nil"/>
              <w:left w:val="nil"/>
              <w:bottom w:val="single" w:color="auto" w:sz="4" w:space="0"/>
              <w:right w:val="nil"/>
            </w:tcBorders>
            <w:hideMark/>
          </w:tcPr>
          <w:p w:rsidRPr="00674EC6" w:rsidR="005C5C74" w:rsidP="007B3F1A" w:rsidRDefault="005C5C74" w14:paraId="65BFD731"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10C81C85" w14:textId="77777777">
        <w:trPr>
          <w:trHeight w:val="300"/>
        </w:trPr>
        <w:tc>
          <w:tcPr>
            <w:tcW w:w="6804" w:type="dxa"/>
            <w:gridSpan w:val="2"/>
            <w:tcBorders>
              <w:left w:val="nil"/>
              <w:bottom w:val="single" w:color="auto" w:sz="4" w:space="0"/>
              <w:right w:val="nil"/>
            </w:tcBorders>
            <w:noWrap/>
            <w:hideMark/>
          </w:tcPr>
          <w:p w:rsidRPr="00674EC6" w:rsidR="005C5C74" w:rsidP="005C5C74" w:rsidRDefault="005C5C74" w14:paraId="63A26D21" w14:textId="77777777">
            <w:pPr>
              <w:ind w:left="171" w:firstLine="48" w:firstLineChars="22"/>
              <w:rPr>
                <w:rFonts w:ascii="Arial" w:hAnsi="Arial" w:eastAsia="Times New Roman" w:cs="Arial"/>
                <w:sz w:val="20"/>
                <w:szCs w:val="20"/>
              </w:rPr>
            </w:pPr>
            <w:r w:rsidRPr="005C5C74">
              <w:t>a. Indikator for aktiver i depot</w:t>
            </w:r>
          </w:p>
        </w:tc>
        <w:tc>
          <w:tcPr>
            <w:tcW w:w="2745" w:type="dxa"/>
            <w:tcBorders>
              <w:left w:val="nil"/>
              <w:bottom w:val="single" w:color="auto" w:sz="4" w:space="0"/>
              <w:right w:val="nil"/>
            </w:tcBorders>
            <w:noWrap/>
            <w:hideMark/>
          </w:tcPr>
          <w:p w:rsidRPr="00674EC6" w:rsidR="005C5C74" w:rsidP="007B3F1A" w:rsidRDefault="005C5C74" w14:paraId="69417F93"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01154283" w14:textId="77777777">
        <w:trPr>
          <w:trHeight w:val="300"/>
        </w:trPr>
        <w:tc>
          <w:tcPr>
            <w:tcW w:w="6804" w:type="dxa"/>
            <w:gridSpan w:val="2"/>
            <w:tcBorders>
              <w:left w:val="nil"/>
              <w:bottom w:val="nil"/>
              <w:right w:val="nil"/>
            </w:tcBorders>
            <w:noWrap/>
          </w:tcPr>
          <w:p w:rsidRPr="00674EC6" w:rsidR="005C5C74" w:rsidP="007B3F1A" w:rsidRDefault="005C5C74" w14:paraId="67FAE64B"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674EC6" w:rsidR="005C5C74" w:rsidP="007B3F1A" w:rsidRDefault="005C5C74" w14:paraId="1F61AC21" w14:textId="77777777">
            <w:pPr>
              <w:jc w:val="center"/>
              <w:rPr>
                <w:rFonts w:ascii="Arial" w:hAnsi="Arial" w:eastAsia="Times New Roman" w:cs="Arial"/>
                <w:b/>
                <w:bCs/>
                <w:sz w:val="20"/>
                <w:szCs w:val="20"/>
                <w:lang w:eastAsia="en-GB"/>
              </w:rPr>
            </w:pPr>
          </w:p>
        </w:tc>
      </w:tr>
      <w:tr w:rsidRPr="00674EC6" w:rsidR="005C5C74" w:rsidTr="007B3F1A" w14:paraId="35470FD9" w14:textId="77777777">
        <w:trPr>
          <w:trHeight w:val="300"/>
        </w:trPr>
        <w:tc>
          <w:tcPr>
            <w:tcW w:w="6804" w:type="dxa"/>
            <w:gridSpan w:val="2"/>
            <w:tcBorders>
              <w:top w:val="nil"/>
              <w:left w:val="nil"/>
              <w:bottom w:val="single" w:color="auto" w:sz="4" w:space="0"/>
              <w:right w:val="nil"/>
            </w:tcBorders>
            <w:noWrap/>
          </w:tcPr>
          <w:p w:rsidRPr="00674EC6" w:rsidR="005C5C74" w:rsidP="007B3F1A" w:rsidRDefault="005C5C74" w14:paraId="27A54ADF" w14:textId="77777777">
            <w:pPr>
              <w:rPr>
                <w:rFonts w:ascii="Arial" w:hAnsi="Arial" w:eastAsia="Times New Roman" w:cs="Arial"/>
                <w:sz w:val="20"/>
                <w:szCs w:val="20"/>
              </w:rPr>
            </w:pPr>
            <w:r w:rsidRPr="00674EC6">
              <w:rPr>
                <w:rFonts w:ascii="Arial" w:hAnsi="Arial"/>
                <w:b/>
                <w:sz w:val="20"/>
              </w:rPr>
              <w:t>Afdeling 8 – Garanterede transaktioner på gældsbevis- og aktiemarkeder</w:t>
            </w:r>
          </w:p>
        </w:tc>
        <w:tc>
          <w:tcPr>
            <w:tcW w:w="2745" w:type="dxa"/>
            <w:tcBorders>
              <w:top w:val="nil"/>
              <w:left w:val="nil"/>
              <w:bottom w:val="single" w:color="auto" w:sz="4" w:space="0"/>
              <w:right w:val="nil"/>
            </w:tcBorders>
            <w:noWrap/>
          </w:tcPr>
          <w:p w:rsidRPr="00674EC6" w:rsidR="005C5C74" w:rsidP="007B3F1A" w:rsidRDefault="005C5C74" w14:paraId="0B361818"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69E8181B" w14:textId="77777777">
        <w:trPr>
          <w:trHeight w:val="300"/>
        </w:trPr>
        <w:tc>
          <w:tcPr>
            <w:tcW w:w="6804" w:type="dxa"/>
            <w:gridSpan w:val="2"/>
            <w:tcBorders>
              <w:left w:val="nil"/>
              <w:right w:val="nil"/>
            </w:tcBorders>
            <w:noWrap/>
            <w:hideMark/>
          </w:tcPr>
          <w:p w:rsidRPr="005C5C74" w:rsidR="005C5C74" w:rsidP="005C5C74" w:rsidRDefault="005C5C74" w14:paraId="0237BFBB" w14:textId="77777777">
            <w:pPr>
              <w:ind w:left="171" w:firstLine="48" w:firstLineChars="22"/>
            </w:pPr>
            <w:r w:rsidRPr="005C5C74">
              <w:t>a. Aktivitet i forbindelse med garantistillelse for afsætning af aktier (underwritingaktivitet)</w:t>
            </w:r>
          </w:p>
        </w:tc>
        <w:tc>
          <w:tcPr>
            <w:tcW w:w="2745" w:type="dxa"/>
            <w:tcBorders>
              <w:left w:val="nil"/>
              <w:right w:val="nil"/>
            </w:tcBorders>
            <w:noWrap/>
            <w:hideMark/>
          </w:tcPr>
          <w:p w:rsidRPr="00674EC6" w:rsidR="005C5C74" w:rsidP="007B3F1A" w:rsidRDefault="005C5C74" w14:paraId="2FC31422"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1AAF55A6" w14:textId="77777777">
        <w:trPr>
          <w:trHeight w:val="300"/>
        </w:trPr>
        <w:tc>
          <w:tcPr>
            <w:tcW w:w="6804" w:type="dxa"/>
            <w:gridSpan w:val="2"/>
            <w:tcBorders>
              <w:left w:val="nil"/>
              <w:right w:val="nil"/>
            </w:tcBorders>
            <w:noWrap/>
            <w:hideMark/>
          </w:tcPr>
          <w:p w:rsidRPr="005C5C74" w:rsidR="005C5C74" w:rsidP="005C5C74" w:rsidRDefault="005C5C74" w14:paraId="07F1C267" w14:textId="77777777">
            <w:pPr>
              <w:ind w:left="171" w:firstLine="48" w:firstLineChars="22"/>
            </w:pPr>
            <w:r w:rsidRPr="005C5C74">
              <w:lastRenderedPageBreak/>
              <w:t>b. Aktivitet i forbindelse med garantistillelse for afsætning af gældsbeviser (underwritingaktivitet)</w:t>
            </w:r>
          </w:p>
        </w:tc>
        <w:tc>
          <w:tcPr>
            <w:tcW w:w="2745" w:type="dxa"/>
            <w:tcBorders>
              <w:left w:val="nil"/>
              <w:right w:val="nil"/>
            </w:tcBorders>
            <w:noWrap/>
            <w:hideMark/>
          </w:tcPr>
          <w:p w:rsidRPr="00674EC6" w:rsidR="005C5C74" w:rsidP="007B3F1A" w:rsidRDefault="005C5C74" w14:paraId="60BBAB81"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2943959C" w14:textId="77777777">
        <w:trPr>
          <w:trHeight w:val="300"/>
        </w:trPr>
        <w:tc>
          <w:tcPr>
            <w:tcW w:w="6804" w:type="dxa"/>
            <w:gridSpan w:val="2"/>
            <w:tcBorders>
              <w:left w:val="nil"/>
              <w:bottom w:val="single" w:color="auto" w:sz="4" w:space="0"/>
              <w:right w:val="nil"/>
            </w:tcBorders>
            <w:noWrap/>
            <w:hideMark/>
          </w:tcPr>
          <w:p w:rsidRPr="005C5C74" w:rsidR="005C5C74" w:rsidP="005C5C74" w:rsidRDefault="005C5C74" w14:paraId="5375765A" w14:textId="77777777">
            <w:pPr>
              <w:ind w:left="171" w:firstLine="48" w:firstLineChars="22"/>
            </w:pPr>
            <w:r w:rsidRPr="005C5C74">
              <w:t>c. Indikator for underwritingaktivitet (summen af post 8.a og 8.b)</w:t>
            </w:r>
          </w:p>
        </w:tc>
        <w:tc>
          <w:tcPr>
            <w:tcW w:w="2745" w:type="dxa"/>
            <w:tcBorders>
              <w:left w:val="nil"/>
              <w:bottom w:val="single" w:color="auto" w:sz="4" w:space="0"/>
              <w:right w:val="nil"/>
            </w:tcBorders>
            <w:noWrap/>
            <w:hideMark/>
          </w:tcPr>
          <w:p w:rsidRPr="00674EC6" w:rsidR="005C5C74" w:rsidP="007B3F1A" w:rsidRDefault="005C5C74" w14:paraId="5C4A4B9C"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7B2F6F31" w14:textId="77777777">
        <w:trPr>
          <w:trHeight w:val="300"/>
        </w:trPr>
        <w:tc>
          <w:tcPr>
            <w:tcW w:w="6804" w:type="dxa"/>
            <w:gridSpan w:val="2"/>
            <w:tcBorders>
              <w:left w:val="nil"/>
              <w:bottom w:val="nil"/>
              <w:right w:val="nil"/>
            </w:tcBorders>
            <w:noWrap/>
          </w:tcPr>
          <w:p w:rsidRPr="00674EC6" w:rsidR="005C5C74" w:rsidP="007B3F1A" w:rsidRDefault="005C5C74" w14:paraId="20CF57C4"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674EC6" w:rsidR="005C5C74" w:rsidP="007B3F1A" w:rsidRDefault="005C5C74" w14:paraId="4D66C8BA" w14:textId="77777777">
            <w:pPr>
              <w:jc w:val="center"/>
              <w:rPr>
                <w:rFonts w:ascii="Arial" w:hAnsi="Arial" w:eastAsia="Times New Roman" w:cs="Arial"/>
                <w:b/>
                <w:bCs/>
                <w:sz w:val="20"/>
                <w:szCs w:val="20"/>
                <w:lang w:eastAsia="en-GB"/>
              </w:rPr>
            </w:pPr>
          </w:p>
        </w:tc>
      </w:tr>
      <w:tr w:rsidRPr="00674EC6" w:rsidR="005C5C74" w:rsidTr="007B3F1A" w14:paraId="569E8FB3" w14:textId="77777777">
        <w:trPr>
          <w:trHeight w:val="300"/>
        </w:trPr>
        <w:tc>
          <w:tcPr>
            <w:tcW w:w="6804" w:type="dxa"/>
            <w:gridSpan w:val="2"/>
            <w:tcBorders>
              <w:top w:val="nil"/>
              <w:left w:val="nil"/>
              <w:right w:val="nil"/>
            </w:tcBorders>
            <w:noWrap/>
            <w:hideMark/>
          </w:tcPr>
          <w:p w:rsidRPr="00674EC6" w:rsidR="005C5C74" w:rsidP="007B3F1A" w:rsidRDefault="005C5C74" w14:paraId="65C9B305" w14:textId="77777777">
            <w:pPr>
              <w:rPr>
                <w:rFonts w:ascii="Arial" w:hAnsi="Arial" w:eastAsia="Times New Roman" w:cs="Arial"/>
                <w:b/>
                <w:bCs/>
                <w:sz w:val="20"/>
                <w:szCs w:val="20"/>
              </w:rPr>
            </w:pPr>
            <w:r w:rsidRPr="00674EC6">
              <w:rPr>
                <w:rFonts w:ascii="Arial" w:hAnsi="Arial"/>
                <w:b/>
                <w:sz w:val="20"/>
              </w:rPr>
              <w:t>Afdeling 9 – Handel</w:t>
            </w:r>
          </w:p>
        </w:tc>
        <w:tc>
          <w:tcPr>
            <w:tcW w:w="2745" w:type="dxa"/>
            <w:tcBorders>
              <w:top w:val="nil"/>
              <w:left w:val="nil"/>
              <w:right w:val="nil"/>
            </w:tcBorders>
            <w:hideMark/>
          </w:tcPr>
          <w:p w:rsidRPr="00674EC6" w:rsidR="005C5C74" w:rsidP="007B3F1A" w:rsidRDefault="005C5C74" w14:paraId="05E5A95A"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7E51A6A7" w14:textId="77777777">
        <w:trPr>
          <w:trHeight w:val="300"/>
        </w:trPr>
        <w:tc>
          <w:tcPr>
            <w:tcW w:w="6804" w:type="dxa"/>
            <w:gridSpan w:val="2"/>
            <w:tcBorders>
              <w:left w:val="nil"/>
              <w:right w:val="nil"/>
            </w:tcBorders>
            <w:noWrap/>
          </w:tcPr>
          <w:p w:rsidRPr="005C5C74" w:rsidR="005C5C74" w:rsidP="005C5C74" w:rsidRDefault="005C5C74" w14:paraId="1BFBB419" w14:textId="77777777">
            <w:pPr>
              <w:ind w:left="171" w:firstLine="48" w:firstLineChars="22"/>
            </w:pPr>
            <w:r w:rsidRPr="005C5C74">
              <w:t>a. Handel med værdipapirer udstedt af andre offentlige enheder, eksklusive koncerninterne transaktioner</w:t>
            </w:r>
          </w:p>
        </w:tc>
        <w:tc>
          <w:tcPr>
            <w:tcW w:w="2745" w:type="dxa"/>
            <w:tcBorders>
              <w:left w:val="nil"/>
              <w:right w:val="nil"/>
            </w:tcBorders>
            <w:noWrap/>
          </w:tcPr>
          <w:p w:rsidRPr="00674EC6" w:rsidR="005C5C74" w:rsidP="007B3F1A" w:rsidRDefault="005C5C74" w14:paraId="2238F668" w14:textId="77777777">
            <w:pPr>
              <w:jc w:val="right"/>
              <w:rPr>
                <w:rFonts w:ascii="Arial" w:hAnsi="Arial" w:eastAsia="Times New Roman" w:cs="Arial"/>
                <w:sz w:val="20"/>
                <w:szCs w:val="20"/>
                <w:lang w:eastAsia="en-GB"/>
              </w:rPr>
            </w:pPr>
          </w:p>
        </w:tc>
      </w:tr>
      <w:tr w:rsidRPr="00674EC6" w:rsidR="005C5C74" w:rsidTr="007B3F1A" w14:paraId="717A4E01" w14:textId="77777777">
        <w:trPr>
          <w:trHeight w:val="300"/>
        </w:trPr>
        <w:tc>
          <w:tcPr>
            <w:tcW w:w="6804" w:type="dxa"/>
            <w:gridSpan w:val="2"/>
            <w:tcBorders>
              <w:left w:val="nil"/>
              <w:bottom w:val="single" w:color="auto" w:sz="4" w:space="0"/>
              <w:right w:val="nil"/>
            </w:tcBorders>
            <w:noWrap/>
            <w:hideMark/>
          </w:tcPr>
          <w:p w:rsidRPr="005C5C74" w:rsidR="005C5C74" w:rsidP="005C5C74" w:rsidRDefault="005C5C74" w14:paraId="1D7361AF" w14:textId="77777777">
            <w:pPr>
              <w:ind w:left="171" w:firstLine="48" w:firstLineChars="22"/>
            </w:pPr>
            <w:r w:rsidRPr="005C5C74">
              <w:t>b. Handel med andre fastforrentede værdipapirer, eksklusive koncerninterne transaktioner</w:t>
            </w:r>
          </w:p>
        </w:tc>
        <w:tc>
          <w:tcPr>
            <w:tcW w:w="2745" w:type="dxa"/>
            <w:tcBorders>
              <w:left w:val="nil"/>
              <w:right w:val="nil"/>
            </w:tcBorders>
            <w:noWrap/>
            <w:hideMark/>
          </w:tcPr>
          <w:p w:rsidRPr="00674EC6" w:rsidR="005C5C74" w:rsidP="007B3F1A" w:rsidRDefault="005C5C74" w14:paraId="6E774AB7"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7A108E13" w14:textId="77777777">
        <w:trPr>
          <w:gridAfter w:val="1"/>
          <w:wAfter w:w="2745" w:type="dxa"/>
          <w:trHeight w:val="300"/>
        </w:trPr>
        <w:tc>
          <w:tcPr>
            <w:tcW w:w="6804" w:type="dxa"/>
            <w:gridSpan w:val="2"/>
            <w:tcBorders>
              <w:left w:val="nil"/>
              <w:bottom w:val="single" w:color="auto" w:sz="4" w:space="0"/>
              <w:right w:val="nil"/>
            </w:tcBorders>
            <w:noWrap/>
            <w:hideMark/>
          </w:tcPr>
          <w:p w:rsidRPr="005C5C74" w:rsidR="005C5C74" w:rsidP="005C5C74" w:rsidRDefault="005C5C74" w14:paraId="7C0F828E" w14:textId="77777777">
            <w:pPr>
              <w:ind w:left="171" w:firstLine="48" w:firstLineChars="22"/>
            </w:pPr>
            <w:r w:rsidRPr="005C5C74">
              <w:t>c. Delindikator for handelsvolumen – fastforrentet (summen af post 9.a og 9.b.)</w:t>
            </w:r>
          </w:p>
        </w:tc>
      </w:tr>
      <w:tr w:rsidRPr="00674EC6" w:rsidR="005C5C74" w:rsidTr="007B3F1A" w14:paraId="1A903F90" w14:textId="77777777">
        <w:trPr>
          <w:trHeight w:val="300"/>
        </w:trPr>
        <w:tc>
          <w:tcPr>
            <w:tcW w:w="6804" w:type="dxa"/>
            <w:gridSpan w:val="2"/>
            <w:tcBorders>
              <w:left w:val="nil"/>
              <w:right w:val="nil"/>
            </w:tcBorders>
            <w:noWrap/>
            <w:hideMark/>
          </w:tcPr>
          <w:p w:rsidRPr="005C5C74" w:rsidR="005C5C74" w:rsidP="005C5C74" w:rsidRDefault="005C5C74" w14:paraId="68275EEB" w14:textId="77777777">
            <w:pPr>
              <w:ind w:left="171" w:firstLine="48" w:firstLineChars="22"/>
            </w:pPr>
            <w:r w:rsidRPr="005C5C74">
              <w:t>d. Handel med børsnoterede aktier, eksklusive koncerninterne transaktioner</w:t>
            </w:r>
          </w:p>
        </w:tc>
        <w:tc>
          <w:tcPr>
            <w:tcW w:w="2745" w:type="dxa"/>
            <w:tcBorders>
              <w:left w:val="nil"/>
              <w:right w:val="nil"/>
            </w:tcBorders>
            <w:noWrap/>
            <w:hideMark/>
          </w:tcPr>
          <w:p w:rsidRPr="00674EC6" w:rsidR="005C5C74" w:rsidP="007B3F1A" w:rsidRDefault="005C5C74" w14:paraId="49714C7D"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0F280895" w14:textId="77777777">
        <w:trPr>
          <w:trHeight w:val="300"/>
        </w:trPr>
        <w:tc>
          <w:tcPr>
            <w:tcW w:w="6804" w:type="dxa"/>
            <w:gridSpan w:val="2"/>
            <w:tcBorders>
              <w:left w:val="nil"/>
              <w:bottom w:val="single" w:color="auto" w:sz="4" w:space="0"/>
              <w:right w:val="nil"/>
            </w:tcBorders>
            <w:noWrap/>
            <w:hideMark/>
          </w:tcPr>
          <w:p w:rsidRPr="005C5C74" w:rsidR="005C5C74" w:rsidP="005C5C74" w:rsidRDefault="005C5C74" w14:paraId="2AE33D39" w14:textId="77777777">
            <w:pPr>
              <w:ind w:left="171" w:firstLine="48" w:firstLineChars="22"/>
            </w:pPr>
            <w:r w:rsidRPr="005C5C74">
              <w:t>e. Handel med alle andre værdipapirer, eksklusive koncerninterne transaktioner</w:t>
            </w:r>
          </w:p>
        </w:tc>
        <w:tc>
          <w:tcPr>
            <w:tcW w:w="2745" w:type="dxa"/>
            <w:tcBorders>
              <w:left w:val="nil"/>
              <w:right w:val="nil"/>
            </w:tcBorders>
            <w:noWrap/>
            <w:hideMark/>
          </w:tcPr>
          <w:p w:rsidRPr="00674EC6" w:rsidR="005C5C74" w:rsidP="007B3F1A" w:rsidRDefault="005C5C74" w14:paraId="6AB0793D"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16D07863" w14:textId="77777777">
        <w:trPr>
          <w:gridAfter w:val="1"/>
          <w:wAfter w:w="2745" w:type="dxa"/>
          <w:trHeight w:val="300"/>
        </w:trPr>
        <w:tc>
          <w:tcPr>
            <w:tcW w:w="6804" w:type="dxa"/>
            <w:gridSpan w:val="2"/>
            <w:tcBorders>
              <w:left w:val="nil"/>
              <w:bottom w:val="single" w:color="auto" w:sz="4" w:space="0"/>
              <w:right w:val="nil"/>
            </w:tcBorders>
            <w:noWrap/>
            <w:hideMark/>
          </w:tcPr>
          <w:p w:rsidRPr="005C5C74" w:rsidR="005C5C74" w:rsidP="005C5C74" w:rsidRDefault="005C5C74" w14:paraId="0DDDF36E" w14:textId="77777777">
            <w:pPr>
              <w:ind w:left="171" w:firstLine="48" w:firstLineChars="22"/>
            </w:pPr>
            <w:r w:rsidRPr="005C5C74">
              <w:t>f. Delindikator for handelsvolumen – aktier og andre værdipapirer (summen af post 9.d. og 9.e.)</w:t>
            </w:r>
          </w:p>
        </w:tc>
      </w:tr>
      <w:tr w:rsidRPr="00674EC6" w:rsidR="005C5C74" w:rsidTr="007B3F1A" w14:paraId="58D7310F" w14:textId="77777777">
        <w:trPr>
          <w:trHeight w:val="403"/>
        </w:trPr>
        <w:tc>
          <w:tcPr>
            <w:tcW w:w="6804" w:type="dxa"/>
            <w:gridSpan w:val="2"/>
            <w:tcBorders>
              <w:left w:val="nil"/>
              <w:bottom w:val="nil"/>
              <w:right w:val="nil"/>
            </w:tcBorders>
            <w:noWrap/>
          </w:tcPr>
          <w:p w:rsidRPr="00674EC6" w:rsidR="005C5C74" w:rsidP="007B3F1A" w:rsidRDefault="005C5C74" w14:paraId="56A734FF" w14:textId="77777777">
            <w:pPr>
              <w:keepNext/>
              <w:keepLines/>
              <w:spacing w:before="47"/>
              <w:outlineLvl w:val="5"/>
              <w:rPr>
                <w:rFonts w:ascii="Arial" w:hAnsi="Arial" w:eastAsia="Times New Roman" w:cs="Arial"/>
                <w:i/>
                <w:iCs/>
                <w:caps/>
                <w:color w:val="172B39" w:themeColor="accent1" w:themeShade="80"/>
                <w:sz w:val="20"/>
                <w:szCs w:val="20"/>
                <w:lang w:eastAsia="en-GB"/>
              </w:rPr>
            </w:pPr>
          </w:p>
        </w:tc>
        <w:tc>
          <w:tcPr>
            <w:tcW w:w="2745" w:type="dxa"/>
            <w:tcBorders>
              <w:left w:val="nil"/>
              <w:bottom w:val="nil"/>
              <w:right w:val="nil"/>
            </w:tcBorders>
            <w:noWrap/>
          </w:tcPr>
          <w:p w:rsidRPr="00674EC6" w:rsidR="005C5C74" w:rsidP="007B3F1A" w:rsidRDefault="005C5C74" w14:paraId="67A8FBF7" w14:textId="77777777">
            <w:pPr>
              <w:rPr>
                <w:rFonts w:ascii="Arial" w:hAnsi="Arial" w:eastAsia="Times New Roman" w:cs="Arial"/>
                <w:sz w:val="20"/>
                <w:szCs w:val="20"/>
                <w:lang w:eastAsia="en-GB"/>
              </w:rPr>
            </w:pPr>
          </w:p>
        </w:tc>
      </w:tr>
      <w:tr w:rsidRPr="00674EC6" w:rsidR="005C5C74" w:rsidTr="007B3F1A" w14:paraId="552E0498" w14:textId="77777777">
        <w:trPr>
          <w:trHeight w:val="403"/>
        </w:trPr>
        <w:tc>
          <w:tcPr>
            <w:tcW w:w="6804" w:type="dxa"/>
            <w:gridSpan w:val="2"/>
            <w:tcBorders>
              <w:top w:val="nil"/>
              <w:left w:val="nil"/>
              <w:bottom w:val="nil"/>
              <w:right w:val="nil"/>
            </w:tcBorders>
            <w:noWrap/>
            <w:hideMark/>
          </w:tcPr>
          <w:p w:rsidRPr="00674EC6" w:rsidR="005C5C74" w:rsidP="007B3F1A" w:rsidRDefault="005C5C74" w14:paraId="5281EFBA" w14:textId="77777777">
            <w:pPr>
              <w:keepNext/>
              <w:keepLines/>
              <w:spacing w:before="47"/>
              <w:outlineLvl w:val="5"/>
              <w:rPr>
                <w:rFonts w:asciiTheme="majorHAnsi" w:hAnsiTheme="majorHAnsi" w:eastAsiaTheme="majorEastAsia" w:cstheme="majorBidi"/>
                <w:b/>
                <w:bCs/>
                <w:i/>
                <w:iCs/>
                <w:caps/>
                <w:spacing w:val="-2"/>
              </w:rPr>
            </w:pPr>
            <w:r w:rsidRPr="00674EC6">
              <w:rPr>
                <w:rFonts w:ascii="Arial" w:hAnsi="Arial"/>
                <w:i/>
                <w:caps/>
                <w:color w:val="172B39" w:themeColor="accent1" w:themeShade="80"/>
                <w:sz w:val="20"/>
              </w:rPr>
              <w:t> </w:t>
            </w:r>
            <w:r w:rsidRPr="00674EC6">
              <w:rPr>
                <w:rFonts w:asciiTheme="majorHAnsi" w:hAnsiTheme="majorHAnsi"/>
                <w:b/>
                <w:i/>
                <w:caps/>
              </w:rPr>
              <w:t>Kompleksitetsindikatorer</w:t>
            </w:r>
          </w:p>
          <w:p w:rsidRPr="00674EC6" w:rsidR="005C5C74" w:rsidP="007B3F1A" w:rsidRDefault="005C5C74" w14:paraId="5DD6A642" w14:textId="77777777">
            <w:pPr>
              <w:ind w:firstLine="200" w:firstLineChars="100"/>
              <w:rPr>
                <w:rFonts w:ascii="Arial" w:hAnsi="Arial" w:eastAsia="Times New Roman" w:cs="Arial"/>
                <w:sz w:val="20"/>
                <w:szCs w:val="20"/>
                <w:lang w:eastAsia="en-GB"/>
              </w:rPr>
            </w:pPr>
          </w:p>
        </w:tc>
        <w:tc>
          <w:tcPr>
            <w:tcW w:w="2745" w:type="dxa"/>
            <w:tcBorders>
              <w:top w:val="nil"/>
              <w:left w:val="nil"/>
              <w:bottom w:val="nil"/>
              <w:right w:val="nil"/>
            </w:tcBorders>
            <w:noWrap/>
            <w:hideMark/>
          </w:tcPr>
          <w:p w:rsidRPr="00674EC6" w:rsidR="005C5C74" w:rsidP="007B3F1A" w:rsidRDefault="005C5C74" w14:paraId="0EB51D34" w14:textId="77777777">
            <w:pPr>
              <w:rPr>
                <w:rFonts w:ascii="Arial" w:hAnsi="Arial" w:eastAsia="Times New Roman" w:cs="Arial"/>
                <w:sz w:val="20"/>
                <w:szCs w:val="20"/>
              </w:rPr>
            </w:pPr>
            <w:r w:rsidRPr="00674EC6">
              <w:rPr>
                <w:rFonts w:ascii="Arial" w:hAnsi="Arial"/>
                <w:sz w:val="20"/>
              </w:rPr>
              <w:t> </w:t>
            </w:r>
          </w:p>
        </w:tc>
      </w:tr>
      <w:tr w:rsidRPr="00674EC6" w:rsidR="005C5C74" w:rsidTr="007B3F1A" w14:paraId="764738EE" w14:textId="77777777">
        <w:trPr>
          <w:trHeight w:val="403"/>
        </w:trPr>
        <w:tc>
          <w:tcPr>
            <w:tcW w:w="6804" w:type="dxa"/>
            <w:gridSpan w:val="2"/>
            <w:tcBorders>
              <w:top w:val="nil"/>
              <w:left w:val="nil"/>
              <w:bottom w:val="single" w:color="auto" w:sz="4" w:space="0"/>
              <w:right w:val="nil"/>
            </w:tcBorders>
            <w:noWrap/>
          </w:tcPr>
          <w:p w:rsidRPr="00674EC6" w:rsidR="005C5C74" w:rsidP="007B3F1A" w:rsidRDefault="005C5C74" w14:paraId="6173179B" w14:textId="77777777">
            <w:pPr>
              <w:keepNext/>
              <w:keepLines/>
              <w:spacing w:before="47"/>
              <w:outlineLvl w:val="5"/>
              <w:rPr>
                <w:rFonts w:ascii="Arial" w:hAnsi="Arial" w:eastAsia="Times New Roman" w:cs="Arial"/>
                <w:i/>
                <w:iCs/>
                <w:caps/>
                <w:color w:val="172B39" w:themeColor="accent1" w:themeShade="80"/>
                <w:sz w:val="20"/>
                <w:szCs w:val="20"/>
                <w:lang w:eastAsia="en-GB"/>
              </w:rPr>
            </w:pPr>
          </w:p>
        </w:tc>
        <w:tc>
          <w:tcPr>
            <w:tcW w:w="2745" w:type="dxa"/>
            <w:tcBorders>
              <w:top w:val="nil"/>
              <w:left w:val="nil"/>
              <w:bottom w:val="single" w:color="auto" w:sz="4" w:space="0"/>
              <w:right w:val="nil"/>
            </w:tcBorders>
            <w:noWrap/>
          </w:tcPr>
          <w:p w:rsidRPr="00674EC6" w:rsidR="005C5C74" w:rsidP="007B3F1A" w:rsidRDefault="005C5C74" w14:paraId="175D6DBA" w14:textId="77777777">
            <w:pPr>
              <w:rPr>
                <w:rFonts w:ascii="Arial" w:hAnsi="Arial" w:eastAsia="Times New Roman" w:cs="Arial"/>
                <w:sz w:val="20"/>
                <w:szCs w:val="20"/>
                <w:lang w:eastAsia="en-GB"/>
              </w:rPr>
            </w:pPr>
          </w:p>
        </w:tc>
      </w:tr>
      <w:tr w:rsidRPr="00674EC6" w:rsidR="005C5C74" w:rsidTr="007B3F1A" w14:paraId="552A1A73" w14:textId="77777777">
        <w:trPr>
          <w:trHeight w:val="300"/>
        </w:trPr>
        <w:tc>
          <w:tcPr>
            <w:tcW w:w="6804" w:type="dxa"/>
            <w:gridSpan w:val="2"/>
            <w:tcBorders>
              <w:left w:val="nil"/>
              <w:right w:val="nil"/>
            </w:tcBorders>
            <w:noWrap/>
          </w:tcPr>
          <w:p w:rsidRPr="00674EC6" w:rsidR="005C5C74" w:rsidP="007B3F1A" w:rsidRDefault="005C5C74" w14:paraId="256003CA" w14:textId="77777777">
            <w:pPr>
              <w:ind w:firstLine="201" w:firstLineChars="100"/>
              <w:rPr>
                <w:rFonts w:ascii="Arial" w:hAnsi="Arial" w:eastAsia="Times New Roman" w:cs="Arial"/>
                <w:sz w:val="20"/>
                <w:szCs w:val="20"/>
              </w:rPr>
            </w:pPr>
            <w:r w:rsidRPr="00674EC6">
              <w:rPr>
                <w:rFonts w:ascii="Arial" w:hAnsi="Arial"/>
                <w:b/>
                <w:sz w:val="20"/>
              </w:rPr>
              <w:t>Afdeling 10 – Nominel værdi af OTC-derivater</w:t>
            </w:r>
          </w:p>
        </w:tc>
        <w:tc>
          <w:tcPr>
            <w:tcW w:w="2745" w:type="dxa"/>
            <w:tcBorders>
              <w:left w:val="nil"/>
              <w:right w:val="nil"/>
            </w:tcBorders>
            <w:noWrap/>
          </w:tcPr>
          <w:p w:rsidRPr="00674EC6" w:rsidR="005C5C74" w:rsidP="007B3F1A" w:rsidRDefault="005C5C74" w14:paraId="6F7E23A3"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1A8BB282" w14:textId="77777777">
        <w:trPr>
          <w:trHeight w:val="300"/>
        </w:trPr>
        <w:tc>
          <w:tcPr>
            <w:tcW w:w="6804" w:type="dxa"/>
            <w:gridSpan w:val="2"/>
            <w:tcBorders>
              <w:left w:val="nil"/>
              <w:right w:val="nil"/>
            </w:tcBorders>
            <w:noWrap/>
            <w:hideMark/>
          </w:tcPr>
          <w:p w:rsidRPr="005C5C74" w:rsidR="005C5C74" w:rsidP="005C5C74" w:rsidRDefault="005C5C74" w14:paraId="4B459FE5" w14:textId="77777777">
            <w:pPr>
              <w:ind w:left="171" w:firstLine="48" w:firstLineChars="22"/>
            </w:pPr>
            <w:r w:rsidRPr="005C5C74">
              <w:t>a. OTC-derivater, der er clearet gennem en central modpart</w:t>
            </w:r>
          </w:p>
        </w:tc>
        <w:tc>
          <w:tcPr>
            <w:tcW w:w="2745" w:type="dxa"/>
            <w:tcBorders>
              <w:left w:val="nil"/>
              <w:right w:val="nil"/>
            </w:tcBorders>
            <w:noWrap/>
            <w:hideMark/>
          </w:tcPr>
          <w:p w:rsidRPr="00674EC6" w:rsidR="005C5C74" w:rsidP="007B3F1A" w:rsidRDefault="005C5C74" w14:paraId="4913E02B"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0923380B" w14:textId="77777777">
        <w:trPr>
          <w:trHeight w:val="300"/>
        </w:trPr>
        <w:tc>
          <w:tcPr>
            <w:tcW w:w="6804" w:type="dxa"/>
            <w:gridSpan w:val="2"/>
            <w:tcBorders>
              <w:left w:val="nil"/>
              <w:right w:val="nil"/>
            </w:tcBorders>
            <w:noWrap/>
            <w:hideMark/>
          </w:tcPr>
          <w:p w:rsidRPr="005C5C74" w:rsidR="005C5C74" w:rsidP="005C5C74" w:rsidRDefault="005C5C74" w14:paraId="7C4BD361" w14:textId="77777777">
            <w:pPr>
              <w:ind w:left="171" w:firstLine="48" w:firstLineChars="22"/>
            </w:pPr>
            <w:r w:rsidRPr="005C5C74">
              <w:t>b. OTC-derivater, der er afregnet bilateralt</w:t>
            </w:r>
          </w:p>
        </w:tc>
        <w:tc>
          <w:tcPr>
            <w:tcW w:w="2745" w:type="dxa"/>
            <w:tcBorders>
              <w:left w:val="nil"/>
              <w:right w:val="nil"/>
            </w:tcBorders>
            <w:noWrap/>
            <w:hideMark/>
          </w:tcPr>
          <w:p w:rsidRPr="00674EC6" w:rsidR="005C5C74" w:rsidP="007B3F1A" w:rsidRDefault="005C5C74" w14:paraId="03F92C40"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0FFF857E" w14:textId="77777777">
        <w:trPr>
          <w:trHeight w:val="300"/>
        </w:trPr>
        <w:tc>
          <w:tcPr>
            <w:tcW w:w="6804" w:type="dxa"/>
            <w:gridSpan w:val="2"/>
            <w:tcBorders>
              <w:left w:val="nil"/>
              <w:bottom w:val="single" w:color="auto" w:sz="4" w:space="0"/>
              <w:right w:val="nil"/>
            </w:tcBorders>
            <w:noWrap/>
          </w:tcPr>
          <w:p w:rsidRPr="005C5C74" w:rsidR="005C5C74" w:rsidP="005C5C74" w:rsidRDefault="005C5C74" w14:paraId="2729B898" w14:textId="77777777">
            <w:pPr>
              <w:ind w:left="171" w:firstLine="48" w:firstLineChars="22"/>
            </w:pPr>
            <w:r w:rsidRPr="005C5C74">
              <w:t>c. Indikator for nominel værdi af OTC-derivater, inklusive forsikringsdatterselskaber (summen af post 10.a. og 10.b.)</w:t>
            </w:r>
          </w:p>
        </w:tc>
        <w:tc>
          <w:tcPr>
            <w:tcW w:w="2745" w:type="dxa"/>
            <w:tcBorders>
              <w:left w:val="nil"/>
              <w:bottom w:val="single" w:color="auto" w:sz="4" w:space="0"/>
              <w:right w:val="nil"/>
            </w:tcBorders>
            <w:noWrap/>
          </w:tcPr>
          <w:p w:rsidRPr="00674EC6" w:rsidR="005C5C74" w:rsidP="007B3F1A" w:rsidRDefault="005C5C74" w14:paraId="069B5459" w14:textId="77777777">
            <w:pPr>
              <w:jc w:val="right"/>
              <w:rPr>
                <w:rFonts w:ascii="Arial" w:hAnsi="Arial" w:eastAsia="Times New Roman" w:cs="Arial"/>
                <w:sz w:val="20"/>
                <w:szCs w:val="20"/>
                <w:lang w:eastAsia="en-GB"/>
              </w:rPr>
            </w:pPr>
          </w:p>
        </w:tc>
      </w:tr>
      <w:tr w:rsidRPr="00674EC6" w:rsidR="005C5C74" w:rsidTr="007B3F1A" w14:paraId="747AF222" w14:textId="77777777">
        <w:trPr>
          <w:trHeight w:val="300"/>
        </w:trPr>
        <w:tc>
          <w:tcPr>
            <w:tcW w:w="6804" w:type="dxa"/>
            <w:gridSpan w:val="2"/>
            <w:tcBorders>
              <w:left w:val="nil"/>
              <w:bottom w:val="nil"/>
              <w:right w:val="nil"/>
            </w:tcBorders>
            <w:noWrap/>
          </w:tcPr>
          <w:p w:rsidRPr="00674EC6" w:rsidR="005C5C74" w:rsidP="007B3F1A" w:rsidRDefault="005C5C74" w14:paraId="58B0FE3A"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674EC6" w:rsidR="005C5C74" w:rsidP="007B3F1A" w:rsidRDefault="005C5C74" w14:paraId="1915CD8A" w14:textId="77777777">
            <w:pPr>
              <w:jc w:val="center"/>
              <w:rPr>
                <w:rFonts w:ascii="Arial" w:hAnsi="Arial" w:eastAsia="Times New Roman" w:cs="Arial"/>
                <w:b/>
                <w:bCs/>
                <w:sz w:val="20"/>
                <w:szCs w:val="20"/>
                <w:lang w:eastAsia="en-GB"/>
              </w:rPr>
            </w:pPr>
          </w:p>
        </w:tc>
      </w:tr>
      <w:tr w:rsidRPr="00674EC6" w:rsidR="005C5C74" w:rsidTr="007B3F1A" w14:paraId="218BC051" w14:textId="77777777">
        <w:trPr>
          <w:trHeight w:val="300"/>
        </w:trPr>
        <w:tc>
          <w:tcPr>
            <w:tcW w:w="6804" w:type="dxa"/>
            <w:gridSpan w:val="2"/>
            <w:tcBorders>
              <w:top w:val="nil"/>
              <w:left w:val="nil"/>
              <w:bottom w:val="single" w:color="auto" w:sz="4" w:space="0"/>
              <w:right w:val="nil"/>
            </w:tcBorders>
            <w:noWrap/>
            <w:hideMark/>
          </w:tcPr>
          <w:p w:rsidRPr="00674EC6" w:rsidR="005C5C74" w:rsidP="007B3F1A" w:rsidRDefault="005C5C74" w14:paraId="2BA7FBBD" w14:textId="77777777">
            <w:pPr>
              <w:rPr>
                <w:rFonts w:ascii="Arial" w:hAnsi="Arial" w:eastAsia="Times New Roman" w:cs="Arial"/>
                <w:b/>
                <w:bCs/>
                <w:sz w:val="20"/>
                <w:szCs w:val="20"/>
              </w:rPr>
            </w:pPr>
            <w:r w:rsidRPr="00674EC6">
              <w:rPr>
                <w:rFonts w:ascii="Arial" w:hAnsi="Arial"/>
                <w:b/>
                <w:sz w:val="20"/>
              </w:rPr>
              <w:t>Afdeling 11 – Værdipapirer, der besiddes med handel for øje, og værdipapirer, der er disponible for salg</w:t>
            </w:r>
          </w:p>
        </w:tc>
        <w:tc>
          <w:tcPr>
            <w:tcW w:w="2745" w:type="dxa"/>
            <w:tcBorders>
              <w:top w:val="nil"/>
              <w:left w:val="nil"/>
              <w:bottom w:val="single" w:color="auto" w:sz="4" w:space="0"/>
              <w:right w:val="nil"/>
            </w:tcBorders>
            <w:hideMark/>
          </w:tcPr>
          <w:p w:rsidRPr="00674EC6" w:rsidR="005C5C74" w:rsidP="007B3F1A" w:rsidRDefault="005C5C74" w14:paraId="66713F06"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37F0D1FB" w14:textId="77777777">
        <w:trPr>
          <w:trHeight w:val="300"/>
        </w:trPr>
        <w:tc>
          <w:tcPr>
            <w:tcW w:w="6804" w:type="dxa"/>
            <w:gridSpan w:val="2"/>
            <w:tcBorders>
              <w:left w:val="nil"/>
              <w:right w:val="nil"/>
            </w:tcBorders>
            <w:noWrap/>
            <w:hideMark/>
          </w:tcPr>
          <w:p w:rsidRPr="005C5C74" w:rsidR="005C5C74" w:rsidP="005C5C74" w:rsidRDefault="005C5C74" w14:paraId="095DB5ED" w14:textId="77777777">
            <w:pPr>
              <w:ind w:left="171" w:firstLine="48" w:firstLineChars="22"/>
            </w:pPr>
            <w:r w:rsidRPr="005C5C74">
              <w:t>a. Værdipapirer, der besiddes med handel for øje (HFT)</w:t>
            </w:r>
          </w:p>
        </w:tc>
        <w:tc>
          <w:tcPr>
            <w:tcW w:w="2745" w:type="dxa"/>
            <w:tcBorders>
              <w:left w:val="nil"/>
              <w:right w:val="nil"/>
            </w:tcBorders>
            <w:noWrap/>
            <w:hideMark/>
          </w:tcPr>
          <w:p w:rsidRPr="00674EC6" w:rsidR="005C5C74" w:rsidP="007B3F1A" w:rsidRDefault="005C5C74" w14:paraId="6B18F80C"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7F7AEA04" w14:textId="77777777">
        <w:trPr>
          <w:trHeight w:val="300"/>
        </w:trPr>
        <w:tc>
          <w:tcPr>
            <w:tcW w:w="6804" w:type="dxa"/>
            <w:gridSpan w:val="2"/>
            <w:tcBorders>
              <w:left w:val="nil"/>
              <w:bottom w:val="single" w:color="auto" w:sz="4" w:space="0"/>
              <w:right w:val="nil"/>
            </w:tcBorders>
            <w:noWrap/>
            <w:hideMark/>
          </w:tcPr>
          <w:p w:rsidRPr="005C5C74" w:rsidR="005C5C74" w:rsidP="005C5C74" w:rsidRDefault="005C5C74" w14:paraId="2CB45A22" w14:textId="77777777">
            <w:pPr>
              <w:ind w:left="171" w:firstLine="48" w:firstLineChars="22"/>
            </w:pPr>
            <w:r w:rsidRPr="005C5C74">
              <w:t>b. Værdipapirer, der er disponible for salg (AFS)</w:t>
            </w:r>
          </w:p>
        </w:tc>
        <w:tc>
          <w:tcPr>
            <w:tcW w:w="2745" w:type="dxa"/>
            <w:tcBorders>
              <w:left w:val="nil"/>
              <w:right w:val="nil"/>
            </w:tcBorders>
            <w:noWrap/>
            <w:hideMark/>
          </w:tcPr>
          <w:p w:rsidRPr="00674EC6" w:rsidR="005C5C74" w:rsidP="007B3F1A" w:rsidRDefault="005C5C74" w14:paraId="1DF29CED"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672A76E8" w14:textId="77777777">
        <w:trPr>
          <w:trHeight w:val="300"/>
        </w:trPr>
        <w:tc>
          <w:tcPr>
            <w:tcW w:w="6804" w:type="dxa"/>
            <w:gridSpan w:val="2"/>
            <w:tcBorders>
              <w:left w:val="nil"/>
              <w:bottom w:val="single" w:color="auto" w:sz="4" w:space="0"/>
              <w:right w:val="nil"/>
            </w:tcBorders>
            <w:noWrap/>
          </w:tcPr>
          <w:p w:rsidRPr="005C5C74" w:rsidR="005C5C74" w:rsidP="005C5C74" w:rsidRDefault="005C5C74" w14:paraId="297084F4" w14:textId="77777777">
            <w:pPr>
              <w:ind w:left="171" w:firstLine="48" w:firstLineChars="22"/>
            </w:pPr>
            <w:r w:rsidRPr="005C5C74">
              <w:t>c. HFT- og AFS-værdipapirer, der opfylder definitionen af aktiver på niveau 1</w:t>
            </w:r>
          </w:p>
        </w:tc>
        <w:tc>
          <w:tcPr>
            <w:tcW w:w="2745" w:type="dxa"/>
            <w:tcBorders>
              <w:left w:val="nil"/>
              <w:right w:val="nil"/>
            </w:tcBorders>
            <w:noWrap/>
          </w:tcPr>
          <w:p w:rsidRPr="00674EC6" w:rsidR="005C5C74" w:rsidP="007B3F1A" w:rsidRDefault="005C5C74" w14:paraId="5CA954E3" w14:textId="77777777">
            <w:pPr>
              <w:jc w:val="right"/>
              <w:rPr>
                <w:rFonts w:ascii="Arial" w:hAnsi="Arial" w:eastAsia="Times New Roman" w:cs="Arial"/>
                <w:sz w:val="20"/>
                <w:szCs w:val="20"/>
                <w:lang w:eastAsia="en-GB"/>
              </w:rPr>
            </w:pPr>
          </w:p>
        </w:tc>
      </w:tr>
      <w:tr w:rsidRPr="00674EC6" w:rsidR="005C5C74" w:rsidTr="007B3F1A" w14:paraId="30123EE3" w14:textId="77777777">
        <w:trPr>
          <w:trHeight w:val="300"/>
        </w:trPr>
        <w:tc>
          <w:tcPr>
            <w:tcW w:w="6804" w:type="dxa"/>
            <w:gridSpan w:val="2"/>
            <w:tcBorders>
              <w:left w:val="nil"/>
              <w:bottom w:val="single" w:color="auto" w:sz="4" w:space="0"/>
              <w:right w:val="nil"/>
            </w:tcBorders>
            <w:noWrap/>
          </w:tcPr>
          <w:p w:rsidRPr="005C5C74" w:rsidR="005C5C74" w:rsidP="005C5C74" w:rsidRDefault="005C5C74" w14:paraId="63209871" w14:textId="77777777">
            <w:pPr>
              <w:ind w:left="171" w:firstLine="48" w:firstLineChars="22"/>
            </w:pPr>
            <w:r w:rsidRPr="005C5C74">
              <w:t>d. HFT- og AFS-værdipapirer, der opfylder definitionen af aktiver på niveau 2, med haircuts</w:t>
            </w:r>
          </w:p>
        </w:tc>
        <w:tc>
          <w:tcPr>
            <w:tcW w:w="2745" w:type="dxa"/>
            <w:tcBorders>
              <w:left w:val="nil"/>
              <w:right w:val="nil"/>
            </w:tcBorders>
            <w:noWrap/>
          </w:tcPr>
          <w:p w:rsidRPr="00674EC6" w:rsidR="005C5C74" w:rsidP="007B3F1A" w:rsidRDefault="005C5C74" w14:paraId="7485120C" w14:textId="77777777">
            <w:pPr>
              <w:jc w:val="right"/>
              <w:rPr>
                <w:rFonts w:ascii="Arial" w:hAnsi="Arial" w:eastAsia="Times New Roman" w:cs="Arial"/>
                <w:sz w:val="20"/>
                <w:szCs w:val="20"/>
                <w:lang w:eastAsia="en-GB"/>
              </w:rPr>
            </w:pPr>
          </w:p>
        </w:tc>
      </w:tr>
      <w:tr w:rsidRPr="00674EC6" w:rsidR="005C5C74" w:rsidTr="007B3F1A" w14:paraId="0EECD63C" w14:textId="77777777">
        <w:trPr>
          <w:trHeight w:val="300"/>
        </w:trPr>
        <w:tc>
          <w:tcPr>
            <w:tcW w:w="6804" w:type="dxa"/>
            <w:gridSpan w:val="2"/>
            <w:tcBorders>
              <w:left w:val="nil"/>
              <w:bottom w:val="single" w:color="auto" w:sz="4" w:space="0"/>
              <w:right w:val="nil"/>
            </w:tcBorders>
            <w:noWrap/>
          </w:tcPr>
          <w:p w:rsidRPr="005C5C74" w:rsidR="005C5C74" w:rsidP="005C5C74" w:rsidRDefault="005C5C74" w14:paraId="47034CED" w14:textId="77777777">
            <w:pPr>
              <w:ind w:left="171" w:firstLine="48" w:firstLineChars="22"/>
            </w:pPr>
            <w:r w:rsidRPr="005C5C74">
              <w:t>e. Indikator for HFT- og AFS-værdipapirer (summen af post 11.a og 11.b, minus summen af post 11.c og 11.d)</w:t>
            </w:r>
          </w:p>
        </w:tc>
        <w:tc>
          <w:tcPr>
            <w:tcW w:w="2745" w:type="dxa"/>
            <w:tcBorders>
              <w:left w:val="nil"/>
              <w:bottom w:val="single" w:color="auto" w:sz="4" w:space="0"/>
              <w:right w:val="nil"/>
            </w:tcBorders>
            <w:noWrap/>
          </w:tcPr>
          <w:p w:rsidRPr="00674EC6" w:rsidR="005C5C74" w:rsidP="007B3F1A" w:rsidRDefault="005C5C74" w14:paraId="64AAFE5B" w14:textId="77777777">
            <w:pPr>
              <w:jc w:val="right"/>
              <w:rPr>
                <w:rFonts w:ascii="Arial" w:hAnsi="Arial" w:eastAsia="Times New Roman" w:cs="Arial"/>
                <w:sz w:val="20"/>
                <w:szCs w:val="20"/>
                <w:lang w:eastAsia="en-GB"/>
              </w:rPr>
            </w:pPr>
          </w:p>
        </w:tc>
      </w:tr>
      <w:tr w:rsidRPr="00674EC6" w:rsidR="005C5C74" w:rsidTr="007B3F1A" w14:paraId="578B8E68" w14:textId="77777777">
        <w:trPr>
          <w:trHeight w:val="300"/>
        </w:trPr>
        <w:tc>
          <w:tcPr>
            <w:tcW w:w="6804" w:type="dxa"/>
            <w:gridSpan w:val="2"/>
            <w:tcBorders>
              <w:left w:val="nil"/>
              <w:bottom w:val="nil"/>
              <w:right w:val="nil"/>
            </w:tcBorders>
            <w:noWrap/>
          </w:tcPr>
          <w:p w:rsidRPr="00674EC6" w:rsidR="005C5C74" w:rsidP="007B3F1A" w:rsidRDefault="005C5C74" w14:paraId="2EE361DD"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674EC6" w:rsidR="005C5C74" w:rsidP="007B3F1A" w:rsidRDefault="005C5C74" w14:paraId="642E1940" w14:textId="77777777">
            <w:pPr>
              <w:jc w:val="center"/>
              <w:rPr>
                <w:rFonts w:ascii="Arial" w:hAnsi="Arial" w:eastAsia="Times New Roman" w:cs="Arial"/>
                <w:b/>
                <w:bCs/>
                <w:sz w:val="20"/>
                <w:szCs w:val="20"/>
                <w:lang w:eastAsia="en-GB"/>
              </w:rPr>
            </w:pPr>
          </w:p>
        </w:tc>
      </w:tr>
      <w:tr w:rsidRPr="00674EC6" w:rsidR="005C5C74" w:rsidTr="007B3F1A" w14:paraId="13B4988F" w14:textId="77777777">
        <w:trPr>
          <w:trHeight w:val="300"/>
        </w:trPr>
        <w:tc>
          <w:tcPr>
            <w:tcW w:w="6804" w:type="dxa"/>
            <w:gridSpan w:val="2"/>
            <w:tcBorders>
              <w:top w:val="nil"/>
              <w:left w:val="nil"/>
              <w:bottom w:val="single" w:color="auto" w:sz="4" w:space="0"/>
              <w:right w:val="nil"/>
            </w:tcBorders>
            <w:noWrap/>
            <w:hideMark/>
          </w:tcPr>
          <w:p w:rsidRPr="00674EC6" w:rsidR="005C5C74" w:rsidP="007B3F1A" w:rsidRDefault="005C5C74" w14:paraId="1FE303AD" w14:textId="77777777">
            <w:pPr>
              <w:rPr>
                <w:rFonts w:ascii="Arial" w:hAnsi="Arial" w:eastAsia="Times New Roman" w:cs="Arial"/>
                <w:b/>
                <w:bCs/>
                <w:sz w:val="20"/>
                <w:szCs w:val="20"/>
              </w:rPr>
            </w:pPr>
            <w:r w:rsidRPr="00674EC6">
              <w:rPr>
                <w:rFonts w:ascii="Arial" w:hAnsi="Arial"/>
                <w:b/>
                <w:sz w:val="20"/>
              </w:rPr>
              <w:t>Afdeling 12 – Aktiver på niveau 3</w:t>
            </w:r>
          </w:p>
        </w:tc>
        <w:tc>
          <w:tcPr>
            <w:tcW w:w="2745" w:type="dxa"/>
            <w:tcBorders>
              <w:top w:val="nil"/>
              <w:left w:val="nil"/>
              <w:bottom w:val="single" w:color="auto" w:sz="4" w:space="0"/>
              <w:right w:val="nil"/>
            </w:tcBorders>
            <w:hideMark/>
          </w:tcPr>
          <w:p w:rsidRPr="00674EC6" w:rsidR="005C5C74" w:rsidP="007B3F1A" w:rsidRDefault="005C5C74" w14:paraId="6310B9CB"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715821A2" w14:textId="77777777">
        <w:trPr>
          <w:trHeight w:val="300"/>
        </w:trPr>
        <w:tc>
          <w:tcPr>
            <w:tcW w:w="6804" w:type="dxa"/>
            <w:gridSpan w:val="2"/>
            <w:tcBorders>
              <w:left w:val="nil"/>
              <w:bottom w:val="single" w:color="auto" w:sz="4" w:space="0"/>
              <w:right w:val="nil"/>
            </w:tcBorders>
            <w:noWrap/>
            <w:hideMark/>
          </w:tcPr>
          <w:p w:rsidRPr="00674EC6" w:rsidR="005C5C74" w:rsidP="005C5C74" w:rsidRDefault="005C5C74" w14:paraId="124D6A70" w14:textId="77777777">
            <w:pPr>
              <w:ind w:left="171" w:firstLine="48" w:firstLineChars="22"/>
              <w:rPr>
                <w:rFonts w:ascii="Arial" w:hAnsi="Arial" w:eastAsia="Times New Roman" w:cs="Arial"/>
                <w:sz w:val="20"/>
                <w:szCs w:val="20"/>
              </w:rPr>
            </w:pPr>
            <w:r w:rsidRPr="005C5C74">
              <w:t>a. Indikator for aktiver på niveau 3, inklusive forsikringsdatterselskaber</w:t>
            </w:r>
            <w:r w:rsidRPr="00674EC6">
              <w:rPr>
                <w:rFonts w:ascii="Arial" w:hAnsi="Arial"/>
                <w:sz w:val="20"/>
              </w:rPr>
              <w:t xml:space="preserve"> </w:t>
            </w:r>
          </w:p>
        </w:tc>
        <w:tc>
          <w:tcPr>
            <w:tcW w:w="2745" w:type="dxa"/>
            <w:tcBorders>
              <w:left w:val="nil"/>
              <w:bottom w:val="single" w:color="auto" w:sz="4" w:space="0"/>
              <w:right w:val="nil"/>
            </w:tcBorders>
            <w:noWrap/>
            <w:hideMark/>
          </w:tcPr>
          <w:p w:rsidRPr="00674EC6" w:rsidR="005C5C74" w:rsidP="007B3F1A" w:rsidRDefault="005C5C74" w14:paraId="3EF8FEEA"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4469FE8C" w14:textId="77777777">
        <w:trPr>
          <w:trHeight w:val="300"/>
        </w:trPr>
        <w:tc>
          <w:tcPr>
            <w:tcW w:w="6804" w:type="dxa"/>
            <w:gridSpan w:val="2"/>
            <w:tcBorders>
              <w:left w:val="nil"/>
              <w:bottom w:val="nil"/>
              <w:right w:val="nil"/>
            </w:tcBorders>
            <w:noWrap/>
          </w:tcPr>
          <w:p w:rsidRPr="00674EC6" w:rsidR="005C5C74" w:rsidP="007B3F1A" w:rsidRDefault="005C5C74" w14:paraId="5D0F40C1"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674EC6" w:rsidR="005C5C74" w:rsidP="007B3F1A" w:rsidRDefault="005C5C74" w14:paraId="2D342486" w14:textId="77777777">
            <w:pPr>
              <w:jc w:val="right"/>
              <w:rPr>
                <w:rFonts w:ascii="Arial" w:hAnsi="Arial" w:eastAsia="Times New Roman" w:cs="Arial"/>
                <w:sz w:val="20"/>
                <w:szCs w:val="20"/>
                <w:lang w:eastAsia="en-GB"/>
              </w:rPr>
            </w:pPr>
          </w:p>
        </w:tc>
      </w:tr>
      <w:tr w:rsidRPr="00674EC6" w:rsidR="005C5C74" w:rsidTr="007B3F1A" w14:paraId="1F099574" w14:textId="77777777">
        <w:trPr>
          <w:trHeight w:val="300"/>
        </w:trPr>
        <w:tc>
          <w:tcPr>
            <w:tcW w:w="6804" w:type="dxa"/>
            <w:gridSpan w:val="2"/>
            <w:tcBorders>
              <w:top w:val="nil"/>
              <w:left w:val="nil"/>
              <w:bottom w:val="nil"/>
              <w:right w:val="nil"/>
            </w:tcBorders>
            <w:noWrap/>
          </w:tcPr>
          <w:p w:rsidRPr="00674EC6" w:rsidR="005C5C74" w:rsidP="007B3F1A" w:rsidRDefault="005C5C74" w14:paraId="315720D8" w14:textId="77777777">
            <w:pPr>
              <w:ind w:firstLine="221" w:firstLineChars="100"/>
              <w:rPr>
                <w:rFonts w:ascii="Arial" w:hAnsi="Arial" w:eastAsia="Times New Roman" w:cs="Arial"/>
                <w:sz w:val="20"/>
                <w:szCs w:val="20"/>
              </w:rPr>
            </w:pPr>
            <w:r w:rsidRPr="00674EC6">
              <w:rPr>
                <w:rFonts w:asciiTheme="majorHAnsi" w:hAnsiTheme="majorHAnsi"/>
                <w:b/>
                <w:i/>
                <w:caps/>
              </w:rPr>
              <w:t>Indikatorer for aktiviteter på tværs af jurisdiktioner</w:t>
            </w:r>
          </w:p>
        </w:tc>
        <w:tc>
          <w:tcPr>
            <w:tcW w:w="2745" w:type="dxa"/>
            <w:tcBorders>
              <w:top w:val="nil"/>
              <w:left w:val="nil"/>
              <w:bottom w:val="nil"/>
              <w:right w:val="nil"/>
            </w:tcBorders>
            <w:noWrap/>
          </w:tcPr>
          <w:p w:rsidRPr="00674EC6" w:rsidR="005C5C74" w:rsidP="007B3F1A" w:rsidRDefault="005C5C74" w14:paraId="7693CC17" w14:textId="77777777">
            <w:pPr>
              <w:jc w:val="right"/>
              <w:rPr>
                <w:rFonts w:ascii="Arial" w:hAnsi="Arial" w:eastAsia="Times New Roman" w:cs="Arial"/>
                <w:sz w:val="20"/>
                <w:szCs w:val="20"/>
                <w:lang w:eastAsia="en-GB"/>
              </w:rPr>
            </w:pPr>
          </w:p>
        </w:tc>
      </w:tr>
      <w:tr w:rsidRPr="00674EC6" w:rsidR="005C5C74" w:rsidTr="007B3F1A" w14:paraId="3A4CF8F0" w14:textId="77777777">
        <w:trPr>
          <w:trHeight w:val="300"/>
        </w:trPr>
        <w:tc>
          <w:tcPr>
            <w:tcW w:w="6804" w:type="dxa"/>
            <w:gridSpan w:val="2"/>
            <w:tcBorders>
              <w:top w:val="nil"/>
              <w:left w:val="nil"/>
              <w:bottom w:val="single" w:color="auto" w:sz="4" w:space="0"/>
              <w:right w:val="nil"/>
            </w:tcBorders>
            <w:noWrap/>
          </w:tcPr>
          <w:p w:rsidRPr="00674EC6" w:rsidR="005C5C74" w:rsidP="007B3F1A" w:rsidRDefault="005C5C74" w14:paraId="4DB749CC" w14:textId="77777777">
            <w:pPr>
              <w:ind w:firstLine="200" w:firstLineChars="100"/>
              <w:rPr>
                <w:rFonts w:ascii="Arial" w:hAnsi="Arial" w:eastAsia="Times New Roman" w:cs="Arial"/>
                <w:sz w:val="20"/>
                <w:szCs w:val="20"/>
                <w:lang w:eastAsia="en-GB"/>
              </w:rPr>
            </w:pPr>
          </w:p>
        </w:tc>
        <w:tc>
          <w:tcPr>
            <w:tcW w:w="2745" w:type="dxa"/>
            <w:tcBorders>
              <w:top w:val="nil"/>
              <w:left w:val="nil"/>
              <w:bottom w:val="single" w:color="auto" w:sz="4" w:space="0"/>
              <w:right w:val="nil"/>
            </w:tcBorders>
            <w:noWrap/>
          </w:tcPr>
          <w:p w:rsidRPr="00674EC6" w:rsidR="005C5C74" w:rsidP="007B3F1A" w:rsidRDefault="005C5C74" w14:paraId="0B96FBF7" w14:textId="77777777">
            <w:pPr>
              <w:jc w:val="right"/>
              <w:rPr>
                <w:rFonts w:ascii="Arial" w:hAnsi="Arial" w:eastAsia="Times New Roman" w:cs="Arial"/>
                <w:sz w:val="20"/>
                <w:szCs w:val="20"/>
                <w:lang w:eastAsia="en-GB"/>
              </w:rPr>
            </w:pPr>
          </w:p>
        </w:tc>
      </w:tr>
      <w:tr w:rsidRPr="00674EC6" w:rsidR="005C5C74" w:rsidTr="007B3F1A" w14:paraId="7FBC7553" w14:textId="77777777">
        <w:trPr>
          <w:trHeight w:val="300"/>
        </w:trPr>
        <w:tc>
          <w:tcPr>
            <w:tcW w:w="6804" w:type="dxa"/>
            <w:gridSpan w:val="2"/>
            <w:tcBorders>
              <w:left w:val="nil"/>
              <w:bottom w:val="single" w:color="auto" w:sz="4" w:space="0"/>
              <w:right w:val="nil"/>
            </w:tcBorders>
            <w:noWrap/>
            <w:hideMark/>
          </w:tcPr>
          <w:p w:rsidRPr="00674EC6" w:rsidR="005C5C74" w:rsidP="007B3F1A" w:rsidRDefault="005C5C74" w14:paraId="35F6F098" w14:textId="77777777">
            <w:pPr>
              <w:rPr>
                <w:rFonts w:ascii="Arial" w:hAnsi="Arial" w:eastAsia="Times New Roman" w:cs="Arial"/>
                <w:b/>
                <w:bCs/>
                <w:sz w:val="20"/>
                <w:szCs w:val="20"/>
              </w:rPr>
            </w:pPr>
            <w:r w:rsidRPr="00674EC6">
              <w:rPr>
                <w:rFonts w:ascii="Arial" w:hAnsi="Arial"/>
                <w:b/>
                <w:sz w:val="20"/>
              </w:rPr>
              <w:t>Afdeling 13 – Fordringer på tværs af jurisdiktioner</w:t>
            </w:r>
          </w:p>
        </w:tc>
        <w:tc>
          <w:tcPr>
            <w:tcW w:w="2745" w:type="dxa"/>
            <w:tcBorders>
              <w:left w:val="nil"/>
              <w:bottom w:val="single" w:color="auto" w:sz="4" w:space="0"/>
              <w:right w:val="nil"/>
            </w:tcBorders>
            <w:hideMark/>
          </w:tcPr>
          <w:p w:rsidRPr="00674EC6" w:rsidR="005C5C74" w:rsidP="007B3F1A" w:rsidRDefault="005C5C74" w14:paraId="5D78D627"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603019FB" w14:textId="77777777">
        <w:trPr>
          <w:trHeight w:val="300"/>
        </w:trPr>
        <w:tc>
          <w:tcPr>
            <w:tcW w:w="6804" w:type="dxa"/>
            <w:gridSpan w:val="2"/>
            <w:tcBorders>
              <w:left w:val="nil"/>
              <w:right w:val="nil"/>
            </w:tcBorders>
            <w:noWrap/>
            <w:hideMark/>
          </w:tcPr>
          <w:p w:rsidRPr="005C5C74" w:rsidR="005C5C74" w:rsidP="005C5C74" w:rsidRDefault="005C5C74" w14:paraId="7BEDE537" w14:textId="77777777">
            <w:pPr>
              <w:ind w:left="171" w:firstLine="48" w:firstLineChars="22"/>
            </w:pPr>
            <w:r w:rsidRPr="005C5C74">
              <w:t>a. Udenlandske fordringer på ultimativ risikobasis i alt</w:t>
            </w:r>
          </w:p>
        </w:tc>
        <w:tc>
          <w:tcPr>
            <w:tcW w:w="2745" w:type="dxa"/>
            <w:tcBorders>
              <w:left w:val="nil"/>
              <w:right w:val="nil"/>
            </w:tcBorders>
            <w:noWrap/>
            <w:hideMark/>
          </w:tcPr>
          <w:p w:rsidRPr="00674EC6" w:rsidR="005C5C74" w:rsidP="007B3F1A" w:rsidRDefault="005C5C74" w14:paraId="707F56C1"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243A74DF" w14:textId="77777777">
        <w:trPr>
          <w:trHeight w:val="300"/>
        </w:trPr>
        <w:tc>
          <w:tcPr>
            <w:tcW w:w="6804" w:type="dxa"/>
            <w:gridSpan w:val="2"/>
            <w:tcBorders>
              <w:left w:val="nil"/>
              <w:right w:val="nil"/>
            </w:tcBorders>
            <w:noWrap/>
            <w:hideMark/>
          </w:tcPr>
          <w:p w:rsidRPr="005C5C74" w:rsidR="005C5C74" w:rsidP="005C5C74" w:rsidRDefault="005C5C74" w14:paraId="3061935E" w14:textId="77777777">
            <w:pPr>
              <w:ind w:left="171" w:firstLine="48" w:firstLineChars="22"/>
            </w:pPr>
            <w:r w:rsidRPr="005C5C74">
              <w:t>b. Udenlandske derivatfordringer på ultimativ risikobasis</w:t>
            </w:r>
          </w:p>
        </w:tc>
        <w:tc>
          <w:tcPr>
            <w:tcW w:w="2745" w:type="dxa"/>
            <w:tcBorders>
              <w:left w:val="nil"/>
              <w:right w:val="nil"/>
            </w:tcBorders>
            <w:noWrap/>
            <w:hideMark/>
          </w:tcPr>
          <w:p w:rsidRPr="00674EC6" w:rsidR="005C5C74" w:rsidP="007B3F1A" w:rsidRDefault="005C5C74" w14:paraId="2A5F472E"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7CA07BC1" w14:textId="77777777">
        <w:trPr>
          <w:gridAfter w:val="1"/>
          <w:wAfter w:w="2745" w:type="dxa"/>
          <w:trHeight w:val="300"/>
        </w:trPr>
        <w:tc>
          <w:tcPr>
            <w:tcW w:w="6804" w:type="dxa"/>
            <w:gridSpan w:val="2"/>
            <w:tcBorders>
              <w:left w:val="nil"/>
              <w:bottom w:val="single" w:color="auto" w:sz="4" w:space="0"/>
              <w:right w:val="nil"/>
            </w:tcBorders>
            <w:hideMark/>
          </w:tcPr>
          <w:p w:rsidRPr="005C5C74" w:rsidR="005C5C74" w:rsidP="005C5C74" w:rsidRDefault="005C5C74" w14:paraId="71A25B96" w14:textId="77777777">
            <w:pPr>
              <w:ind w:left="171" w:firstLine="48" w:firstLineChars="22"/>
            </w:pPr>
            <w:r w:rsidRPr="005C5C74">
              <w:lastRenderedPageBreak/>
              <w:t>c. Indikator for fordringer på tværs af jurisdiktioner (summen af post 13.a og 13.b)</w:t>
            </w:r>
          </w:p>
        </w:tc>
      </w:tr>
      <w:tr w:rsidRPr="00674EC6" w:rsidR="005C5C74" w:rsidTr="007B3F1A" w14:paraId="0F700020" w14:textId="77777777">
        <w:trPr>
          <w:trHeight w:val="300"/>
        </w:trPr>
        <w:tc>
          <w:tcPr>
            <w:tcW w:w="6804" w:type="dxa"/>
            <w:gridSpan w:val="2"/>
            <w:tcBorders>
              <w:left w:val="nil"/>
              <w:bottom w:val="nil"/>
              <w:right w:val="nil"/>
            </w:tcBorders>
            <w:noWrap/>
          </w:tcPr>
          <w:p w:rsidRPr="00674EC6" w:rsidR="005C5C74" w:rsidP="007B3F1A" w:rsidRDefault="005C5C74" w14:paraId="33B89B77"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674EC6" w:rsidR="005C5C74" w:rsidP="007B3F1A" w:rsidRDefault="005C5C74" w14:paraId="4C3103EA" w14:textId="77777777">
            <w:pPr>
              <w:jc w:val="center"/>
              <w:rPr>
                <w:rFonts w:ascii="Arial" w:hAnsi="Arial" w:eastAsia="Times New Roman" w:cs="Arial"/>
                <w:b/>
                <w:bCs/>
                <w:sz w:val="20"/>
                <w:szCs w:val="20"/>
                <w:lang w:eastAsia="en-GB"/>
              </w:rPr>
            </w:pPr>
          </w:p>
        </w:tc>
      </w:tr>
      <w:tr w:rsidRPr="00674EC6" w:rsidR="005C5C74" w:rsidTr="007B3F1A" w14:paraId="0ACE982E" w14:textId="77777777">
        <w:trPr>
          <w:trHeight w:val="300"/>
        </w:trPr>
        <w:tc>
          <w:tcPr>
            <w:tcW w:w="6804" w:type="dxa"/>
            <w:gridSpan w:val="2"/>
            <w:tcBorders>
              <w:top w:val="nil"/>
              <w:left w:val="nil"/>
              <w:bottom w:val="single" w:color="auto" w:sz="4" w:space="0"/>
              <w:right w:val="nil"/>
            </w:tcBorders>
            <w:noWrap/>
            <w:hideMark/>
          </w:tcPr>
          <w:p w:rsidRPr="00674EC6" w:rsidR="005C5C74" w:rsidP="007B3F1A" w:rsidRDefault="005C5C74" w14:paraId="56C1967A" w14:textId="77777777">
            <w:pPr>
              <w:rPr>
                <w:rFonts w:ascii="Arial" w:hAnsi="Arial" w:eastAsia="Times New Roman" w:cs="Arial"/>
                <w:b/>
                <w:bCs/>
                <w:sz w:val="20"/>
                <w:szCs w:val="20"/>
              </w:rPr>
            </w:pPr>
            <w:r w:rsidRPr="00674EC6">
              <w:rPr>
                <w:rFonts w:ascii="Arial" w:hAnsi="Arial"/>
                <w:b/>
                <w:sz w:val="20"/>
              </w:rPr>
              <w:t>Afdeling 14 – Passiver på tværs af jurisdiktioner</w:t>
            </w:r>
          </w:p>
        </w:tc>
        <w:tc>
          <w:tcPr>
            <w:tcW w:w="2745" w:type="dxa"/>
            <w:tcBorders>
              <w:top w:val="nil"/>
              <w:left w:val="nil"/>
              <w:right w:val="nil"/>
            </w:tcBorders>
            <w:hideMark/>
          </w:tcPr>
          <w:p w:rsidRPr="00674EC6" w:rsidR="005C5C74" w:rsidP="007B3F1A" w:rsidRDefault="005C5C74" w14:paraId="5BB6B1C4"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42B7040D" w14:textId="77777777">
        <w:trPr>
          <w:gridAfter w:val="1"/>
          <w:wAfter w:w="2745" w:type="dxa"/>
          <w:trHeight w:val="300"/>
        </w:trPr>
        <w:tc>
          <w:tcPr>
            <w:tcW w:w="6804" w:type="dxa"/>
            <w:gridSpan w:val="2"/>
            <w:tcBorders>
              <w:left w:val="nil"/>
              <w:right w:val="nil"/>
            </w:tcBorders>
            <w:noWrap/>
            <w:hideMark/>
          </w:tcPr>
          <w:p w:rsidRPr="005C5C74" w:rsidR="005C5C74" w:rsidP="005C5C74" w:rsidRDefault="005C5C74" w14:paraId="32B0C65F" w14:textId="77777777">
            <w:pPr>
              <w:ind w:left="171" w:firstLine="48" w:firstLineChars="22"/>
            </w:pPr>
            <w:r w:rsidRPr="005C5C74">
              <w:t>a. Udenlandske passiver på umiddelbar risikobasis, eksklusive derivater og inklusive lokale passiver i lokal valuta</w:t>
            </w:r>
          </w:p>
        </w:tc>
      </w:tr>
      <w:tr w:rsidRPr="00674EC6" w:rsidR="005C5C74" w:rsidTr="007B3F1A" w14:paraId="6023608C" w14:textId="77777777">
        <w:trPr>
          <w:trHeight w:val="300"/>
        </w:trPr>
        <w:tc>
          <w:tcPr>
            <w:tcW w:w="6804" w:type="dxa"/>
            <w:gridSpan w:val="2"/>
            <w:tcBorders>
              <w:left w:val="nil"/>
              <w:right w:val="nil"/>
            </w:tcBorders>
            <w:noWrap/>
            <w:hideMark/>
          </w:tcPr>
          <w:p w:rsidRPr="005C5C74" w:rsidR="005C5C74" w:rsidP="005C5C74" w:rsidRDefault="005C5C74" w14:paraId="022342E3" w14:textId="77777777">
            <w:pPr>
              <w:ind w:left="171" w:firstLine="48" w:firstLineChars="22"/>
            </w:pPr>
            <w:r w:rsidRPr="005C5C74">
              <w:t>b. Udenlandske derivatpassiver på umiddelbar risikobasis</w:t>
            </w:r>
          </w:p>
        </w:tc>
        <w:tc>
          <w:tcPr>
            <w:tcW w:w="2745" w:type="dxa"/>
            <w:tcBorders>
              <w:left w:val="nil"/>
              <w:right w:val="nil"/>
            </w:tcBorders>
            <w:noWrap/>
            <w:hideMark/>
          </w:tcPr>
          <w:p w:rsidRPr="00674EC6" w:rsidR="005C5C74" w:rsidP="007B3F1A" w:rsidRDefault="005C5C74" w14:paraId="1DC9C1FA"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390280FF" w14:textId="77777777">
        <w:trPr>
          <w:gridAfter w:val="1"/>
          <w:wAfter w:w="2745" w:type="dxa"/>
          <w:trHeight w:val="300"/>
        </w:trPr>
        <w:tc>
          <w:tcPr>
            <w:tcW w:w="6804" w:type="dxa"/>
            <w:gridSpan w:val="2"/>
            <w:tcBorders>
              <w:left w:val="nil"/>
              <w:bottom w:val="single" w:color="auto" w:sz="4" w:space="0"/>
              <w:right w:val="nil"/>
            </w:tcBorders>
            <w:hideMark/>
          </w:tcPr>
          <w:p w:rsidRPr="005C5C74" w:rsidR="005C5C74" w:rsidP="005C5C74" w:rsidRDefault="005C5C74" w14:paraId="483BCBB4" w14:textId="77777777">
            <w:pPr>
              <w:ind w:left="171" w:firstLine="48" w:firstLineChars="22"/>
            </w:pPr>
            <w:r w:rsidRPr="005C5C74">
              <w:t>c. Indikator for passiver på tværs af jurisdiktioner (summen af post 14.a og 14.b)</w:t>
            </w:r>
          </w:p>
        </w:tc>
      </w:tr>
      <w:tr w:rsidRPr="00674EC6" w:rsidR="005C5C74" w:rsidTr="007B3F1A" w14:paraId="4989201E" w14:textId="77777777">
        <w:trPr>
          <w:trHeight w:val="300"/>
        </w:trPr>
        <w:tc>
          <w:tcPr>
            <w:tcW w:w="6804" w:type="dxa"/>
            <w:gridSpan w:val="2"/>
            <w:tcBorders>
              <w:left w:val="nil"/>
              <w:bottom w:val="nil"/>
              <w:right w:val="nil"/>
            </w:tcBorders>
            <w:noWrap/>
          </w:tcPr>
          <w:p w:rsidRPr="00674EC6" w:rsidR="005C5C74" w:rsidP="007B3F1A" w:rsidRDefault="005C5C74" w14:paraId="301B90DA"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674EC6" w:rsidR="005C5C74" w:rsidP="007B3F1A" w:rsidRDefault="005C5C74" w14:paraId="2C90C959" w14:textId="77777777">
            <w:pPr>
              <w:jc w:val="center"/>
              <w:rPr>
                <w:rFonts w:ascii="Arial" w:hAnsi="Arial" w:eastAsia="Times New Roman" w:cs="Arial"/>
                <w:b/>
                <w:bCs/>
                <w:sz w:val="20"/>
                <w:szCs w:val="20"/>
                <w:lang w:eastAsia="en-GB"/>
              </w:rPr>
            </w:pPr>
          </w:p>
        </w:tc>
      </w:tr>
      <w:tr w:rsidRPr="00674EC6" w:rsidR="005C5C74" w:rsidTr="007B3F1A" w14:paraId="3BE59C7C" w14:textId="77777777">
        <w:trPr>
          <w:trHeight w:val="300"/>
        </w:trPr>
        <w:tc>
          <w:tcPr>
            <w:tcW w:w="6804" w:type="dxa"/>
            <w:gridSpan w:val="2"/>
            <w:tcBorders>
              <w:top w:val="nil"/>
              <w:left w:val="nil"/>
              <w:bottom w:val="nil"/>
              <w:right w:val="nil"/>
            </w:tcBorders>
            <w:noWrap/>
          </w:tcPr>
          <w:p w:rsidRPr="00674EC6" w:rsidR="005C5C74" w:rsidP="007B3F1A" w:rsidRDefault="005C5C74" w14:paraId="2CA1EF00" w14:textId="77777777">
            <w:pPr>
              <w:keepNext/>
              <w:keepLines/>
              <w:spacing w:before="47"/>
              <w:outlineLvl w:val="5"/>
              <w:rPr>
                <w:rFonts w:ascii="Arial" w:hAnsi="Arial" w:eastAsia="Times New Roman" w:cs="Arial"/>
                <w:b/>
                <w:bCs/>
                <w:i/>
                <w:iCs/>
                <w:caps/>
                <w:color w:val="172B39" w:themeColor="accent1" w:themeShade="80"/>
                <w:sz w:val="20"/>
                <w:szCs w:val="20"/>
              </w:rPr>
            </w:pPr>
            <w:r w:rsidRPr="00674EC6">
              <w:rPr>
                <w:rFonts w:asciiTheme="majorHAnsi" w:hAnsiTheme="majorHAnsi"/>
                <w:b/>
                <w:i/>
                <w:caps/>
              </w:rPr>
              <w:t>SUPPLERENDE DATA</w:t>
            </w:r>
          </w:p>
        </w:tc>
        <w:tc>
          <w:tcPr>
            <w:tcW w:w="2745" w:type="dxa"/>
            <w:tcBorders>
              <w:top w:val="nil"/>
              <w:left w:val="nil"/>
              <w:bottom w:val="nil"/>
              <w:right w:val="nil"/>
            </w:tcBorders>
          </w:tcPr>
          <w:p w:rsidRPr="00674EC6" w:rsidR="005C5C74" w:rsidP="007B3F1A" w:rsidRDefault="005C5C74" w14:paraId="5B5A8D25" w14:textId="77777777">
            <w:pPr>
              <w:jc w:val="center"/>
              <w:rPr>
                <w:rFonts w:ascii="Arial" w:hAnsi="Arial" w:eastAsia="Times New Roman" w:cs="Arial"/>
                <w:b/>
                <w:bCs/>
                <w:sz w:val="20"/>
                <w:szCs w:val="20"/>
                <w:lang w:eastAsia="en-GB"/>
              </w:rPr>
            </w:pPr>
          </w:p>
        </w:tc>
      </w:tr>
      <w:tr w:rsidRPr="00674EC6" w:rsidR="005C5C74" w:rsidTr="007B3F1A" w14:paraId="6B820E36" w14:textId="77777777">
        <w:trPr>
          <w:trHeight w:val="300"/>
        </w:trPr>
        <w:tc>
          <w:tcPr>
            <w:tcW w:w="6804" w:type="dxa"/>
            <w:gridSpan w:val="2"/>
            <w:tcBorders>
              <w:top w:val="nil"/>
              <w:left w:val="nil"/>
              <w:bottom w:val="single" w:color="auto" w:sz="4" w:space="0"/>
              <w:right w:val="nil"/>
            </w:tcBorders>
            <w:noWrap/>
          </w:tcPr>
          <w:p w:rsidRPr="00674EC6" w:rsidR="005C5C74" w:rsidP="007B3F1A" w:rsidRDefault="005C5C74" w14:paraId="72B104EE"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tcPr>
          <w:p w:rsidRPr="00674EC6" w:rsidR="005C5C74" w:rsidP="007B3F1A" w:rsidRDefault="005C5C74" w14:paraId="0C170E08" w14:textId="77777777">
            <w:pPr>
              <w:jc w:val="center"/>
              <w:rPr>
                <w:rFonts w:ascii="Arial" w:hAnsi="Arial" w:eastAsia="Times New Roman" w:cs="Arial"/>
                <w:b/>
                <w:bCs/>
                <w:sz w:val="20"/>
                <w:szCs w:val="20"/>
                <w:lang w:eastAsia="en-GB"/>
              </w:rPr>
            </w:pPr>
          </w:p>
        </w:tc>
      </w:tr>
      <w:tr w:rsidRPr="00674EC6" w:rsidR="005C5C74" w:rsidTr="007B3F1A" w14:paraId="2A9C49D9" w14:textId="77777777">
        <w:trPr>
          <w:trHeight w:val="300"/>
        </w:trPr>
        <w:tc>
          <w:tcPr>
            <w:tcW w:w="6804" w:type="dxa"/>
            <w:gridSpan w:val="2"/>
            <w:tcBorders>
              <w:left w:val="nil"/>
              <w:bottom w:val="single" w:color="auto" w:sz="4" w:space="0"/>
              <w:right w:val="nil"/>
            </w:tcBorders>
            <w:noWrap/>
            <w:hideMark/>
          </w:tcPr>
          <w:p w:rsidRPr="00674EC6" w:rsidR="005C5C74" w:rsidP="007B3F1A" w:rsidRDefault="005C5C74" w14:paraId="77682E7E" w14:textId="77777777">
            <w:pPr>
              <w:rPr>
                <w:rFonts w:ascii="Arial" w:hAnsi="Arial" w:eastAsia="Times New Roman" w:cs="Arial"/>
                <w:b/>
                <w:bCs/>
                <w:sz w:val="20"/>
                <w:szCs w:val="20"/>
              </w:rPr>
            </w:pPr>
            <w:r w:rsidRPr="00674EC6">
              <w:rPr>
                <w:rFonts w:ascii="Arial" w:hAnsi="Arial"/>
                <w:b/>
                <w:sz w:val="20"/>
              </w:rPr>
              <w:t>Afdeling 15 – Supplerende indikatorer</w:t>
            </w:r>
          </w:p>
        </w:tc>
        <w:tc>
          <w:tcPr>
            <w:tcW w:w="2745" w:type="dxa"/>
            <w:tcBorders>
              <w:left w:val="nil"/>
              <w:bottom w:val="single" w:color="auto" w:sz="4" w:space="0"/>
              <w:right w:val="nil"/>
            </w:tcBorders>
            <w:hideMark/>
          </w:tcPr>
          <w:p w:rsidRPr="00674EC6" w:rsidR="005C5C74" w:rsidP="007B3F1A" w:rsidRDefault="005C5C74" w14:paraId="72CC81CB"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5E5BACAB" w14:textId="77777777">
        <w:trPr>
          <w:trHeight w:val="300"/>
        </w:trPr>
        <w:tc>
          <w:tcPr>
            <w:tcW w:w="6804" w:type="dxa"/>
            <w:gridSpan w:val="2"/>
            <w:tcBorders>
              <w:left w:val="nil"/>
              <w:right w:val="nil"/>
            </w:tcBorders>
            <w:noWrap/>
            <w:hideMark/>
          </w:tcPr>
          <w:p w:rsidRPr="005C5C74" w:rsidR="005C5C74" w:rsidP="005C5C74" w:rsidRDefault="005C5C74" w14:paraId="48C9E279" w14:textId="77777777">
            <w:pPr>
              <w:ind w:left="171" w:firstLine="48" w:firstLineChars="22"/>
            </w:pPr>
            <w:r w:rsidRPr="005C5C74">
              <w:t>a. Passiver i alt</w:t>
            </w:r>
          </w:p>
        </w:tc>
        <w:tc>
          <w:tcPr>
            <w:tcW w:w="2745" w:type="dxa"/>
            <w:tcBorders>
              <w:left w:val="nil"/>
              <w:right w:val="nil"/>
            </w:tcBorders>
            <w:noWrap/>
            <w:hideMark/>
          </w:tcPr>
          <w:p w:rsidRPr="00674EC6" w:rsidR="005C5C74" w:rsidP="007B3F1A" w:rsidRDefault="005C5C74" w14:paraId="0402113B"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67F9DCCF" w14:textId="77777777">
        <w:trPr>
          <w:trHeight w:val="300"/>
        </w:trPr>
        <w:tc>
          <w:tcPr>
            <w:tcW w:w="6804" w:type="dxa"/>
            <w:gridSpan w:val="2"/>
            <w:tcBorders>
              <w:left w:val="nil"/>
              <w:right w:val="nil"/>
            </w:tcBorders>
            <w:noWrap/>
            <w:hideMark/>
          </w:tcPr>
          <w:p w:rsidRPr="005C5C74" w:rsidR="005C5C74" w:rsidP="005C5C74" w:rsidRDefault="005C5C74" w14:paraId="7DFC0AB6" w14:textId="77777777">
            <w:pPr>
              <w:ind w:left="171" w:firstLine="48" w:firstLineChars="22"/>
            </w:pPr>
            <w:r w:rsidRPr="005C5C74">
              <w:t>b. Detailfinansiering</w:t>
            </w:r>
          </w:p>
        </w:tc>
        <w:tc>
          <w:tcPr>
            <w:tcW w:w="2745" w:type="dxa"/>
            <w:tcBorders>
              <w:left w:val="nil"/>
              <w:right w:val="nil"/>
            </w:tcBorders>
            <w:noWrap/>
            <w:hideMark/>
          </w:tcPr>
          <w:p w:rsidRPr="00674EC6" w:rsidR="005C5C74" w:rsidP="007B3F1A" w:rsidRDefault="005C5C74" w14:paraId="4933EC37"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3F0D89A3" w14:textId="77777777">
        <w:trPr>
          <w:gridAfter w:val="1"/>
          <w:wAfter w:w="2745" w:type="dxa"/>
          <w:trHeight w:val="540"/>
        </w:trPr>
        <w:tc>
          <w:tcPr>
            <w:tcW w:w="6804" w:type="dxa"/>
            <w:gridSpan w:val="2"/>
            <w:tcBorders>
              <w:left w:val="nil"/>
              <w:right w:val="nil"/>
            </w:tcBorders>
            <w:noWrap/>
            <w:hideMark/>
          </w:tcPr>
          <w:p w:rsidRPr="005C5C74" w:rsidR="005C5C74" w:rsidP="005C5C74" w:rsidRDefault="005C5C74" w14:paraId="7798E170" w14:textId="77777777">
            <w:pPr>
              <w:ind w:left="171" w:firstLine="48" w:firstLineChars="22"/>
            </w:pPr>
            <w:r w:rsidRPr="005C5C74">
              <w:t>c. Kvotient for afhængighed af bruttofinansiering (forskellen mellem post 15.a og 15.b, divideret med post 15.a)</w:t>
            </w:r>
          </w:p>
        </w:tc>
      </w:tr>
      <w:tr w:rsidRPr="00674EC6" w:rsidR="005C5C74" w:rsidTr="007B3F1A" w14:paraId="40250D15" w14:textId="77777777">
        <w:trPr>
          <w:trHeight w:val="300"/>
        </w:trPr>
        <w:tc>
          <w:tcPr>
            <w:tcW w:w="6804" w:type="dxa"/>
            <w:gridSpan w:val="2"/>
            <w:tcBorders>
              <w:left w:val="nil"/>
              <w:right w:val="nil"/>
            </w:tcBorders>
            <w:noWrap/>
            <w:hideMark/>
          </w:tcPr>
          <w:p w:rsidRPr="005C5C74" w:rsidR="005C5C74" w:rsidP="005C5C74" w:rsidRDefault="005C5C74" w14:paraId="0566071D" w14:textId="77777777">
            <w:pPr>
              <w:ind w:left="171" w:firstLine="48" w:firstLineChars="22"/>
            </w:pPr>
            <w:r w:rsidRPr="005C5C74">
              <w:t>d. Bruttoindtægt i alt</w:t>
            </w:r>
          </w:p>
        </w:tc>
        <w:tc>
          <w:tcPr>
            <w:tcW w:w="2745" w:type="dxa"/>
            <w:tcBorders>
              <w:left w:val="nil"/>
              <w:right w:val="nil"/>
            </w:tcBorders>
            <w:noWrap/>
            <w:hideMark/>
          </w:tcPr>
          <w:p w:rsidRPr="00674EC6" w:rsidR="005C5C74" w:rsidP="007B3F1A" w:rsidRDefault="005C5C74" w14:paraId="362B8F4B"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62D62624" w14:textId="77777777">
        <w:trPr>
          <w:trHeight w:val="300"/>
        </w:trPr>
        <w:tc>
          <w:tcPr>
            <w:tcW w:w="6804" w:type="dxa"/>
            <w:gridSpan w:val="2"/>
            <w:tcBorders>
              <w:left w:val="nil"/>
              <w:right w:val="nil"/>
            </w:tcBorders>
            <w:noWrap/>
            <w:hideMark/>
          </w:tcPr>
          <w:p w:rsidRPr="005C5C74" w:rsidR="005C5C74" w:rsidP="005C5C74" w:rsidRDefault="005C5C74" w14:paraId="6873BA7D" w14:textId="77777777">
            <w:pPr>
              <w:ind w:left="171" w:firstLine="48" w:firstLineChars="22"/>
            </w:pPr>
            <w:r w:rsidRPr="005C5C74">
              <w:t>e. Nettoindtægt i alt</w:t>
            </w:r>
          </w:p>
        </w:tc>
        <w:tc>
          <w:tcPr>
            <w:tcW w:w="2745" w:type="dxa"/>
            <w:tcBorders>
              <w:left w:val="nil"/>
              <w:right w:val="nil"/>
            </w:tcBorders>
            <w:noWrap/>
            <w:hideMark/>
          </w:tcPr>
          <w:p w:rsidRPr="00674EC6" w:rsidR="005C5C74" w:rsidP="007B3F1A" w:rsidRDefault="005C5C74" w14:paraId="3AC641C6"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084EEA93" w14:textId="77777777">
        <w:trPr>
          <w:trHeight w:val="300"/>
        </w:trPr>
        <w:tc>
          <w:tcPr>
            <w:tcW w:w="6804" w:type="dxa"/>
            <w:gridSpan w:val="2"/>
            <w:tcBorders>
              <w:left w:val="nil"/>
              <w:right w:val="nil"/>
            </w:tcBorders>
            <w:noWrap/>
            <w:hideMark/>
          </w:tcPr>
          <w:p w:rsidRPr="005C5C74" w:rsidR="005C5C74" w:rsidP="005C5C74" w:rsidRDefault="005C5C74" w14:paraId="4C820B6B" w14:textId="77777777">
            <w:pPr>
              <w:ind w:left="171" w:firstLine="48" w:firstLineChars="22"/>
            </w:pPr>
            <w:r w:rsidRPr="005C5C74">
              <w:t>f. Udenlandsk nettoindtægt</w:t>
            </w:r>
          </w:p>
        </w:tc>
        <w:tc>
          <w:tcPr>
            <w:tcW w:w="2745" w:type="dxa"/>
            <w:tcBorders>
              <w:left w:val="nil"/>
              <w:right w:val="nil"/>
            </w:tcBorders>
            <w:noWrap/>
            <w:hideMark/>
          </w:tcPr>
          <w:p w:rsidRPr="00674EC6" w:rsidR="005C5C74" w:rsidP="007B3F1A" w:rsidRDefault="005C5C74" w14:paraId="33FCE7A1"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7DFB446E" w14:textId="77777777">
        <w:trPr>
          <w:trHeight w:val="300"/>
        </w:trPr>
        <w:tc>
          <w:tcPr>
            <w:tcW w:w="6804" w:type="dxa"/>
            <w:gridSpan w:val="2"/>
            <w:tcBorders>
              <w:left w:val="nil"/>
              <w:right w:val="nil"/>
            </w:tcBorders>
            <w:noWrap/>
          </w:tcPr>
          <w:p w:rsidRPr="005C5C74" w:rsidR="005C5C74" w:rsidP="005C5C74" w:rsidRDefault="005C5C74" w14:paraId="5689D022" w14:textId="77777777">
            <w:pPr>
              <w:ind w:left="171" w:firstLine="48" w:firstLineChars="22"/>
            </w:pPr>
            <w:r w:rsidRPr="005C5C74">
              <w:t>g. Bruttoværdi af udlånte kontante midler og bruttodagsværdi af værdipapirer udlånt som led i VFT'er</w:t>
            </w:r>
          </w:p>
        </w:tc>
        <w:tc>
          <w:tcPr>
            <w:tcW w:w="2745" w:type="dxa"/>
            <w:tcBorders>
              <w:left w:val="nil"/>
              <w:right w:val="nil"/>
            </w:tcBorders>
            <w:noWrap/>
          </w:tcPr>
          <w:p w:rsidRPr="00674EC6" w:rsidR="005C5C74" w:rsidP="007B3F1A" w:rsidRDefault="005C5C74" w14:paraId="0002942D" w14:textId="77777777">
            <w:pPr>
              <w:jc w:val="right"/>
              <w:rPr>
                <w:rFonts w:ascii="Arial" w:hAnsi="Arial" w:eastAsia="Times New Roman" w:cs="Arial"/>
                <w:sz w:val="20"/>
                <w:szCs w:val="20"/>
                <w:lang w:eastAsia="en-GB"/>
              </w:rPr>
            </w:pPr>
          </w:p>
        </w:tc>
      </w:tr>
      <w:tr w:rsidRPr="00674EC6" w:rsidR="005C5C74" w:rsidTr="007B3F1A" w14:paraId="54400056" w14:textId="77777777">
        <w:trPr>
          <w:trHeight w:val="300"/>
        </w:trPr>
        <w:tc>
          <w:tcPr>
            <w:tcW w:w="6804" w:type="dxa"/>
            <w:gridSpan w:val="2"/>
            <w:tcBorders>
              <w:left w:val="nil"/>
              <w:right w:val="nil"/>
            </w:tcBorders>
            <w:noWrap/>
          </w:tcPr>
          <w:p w:rsidRPr="005C5C74" w:rsidR="005C5C74" w:rsidP="005C5C74" w:rsidRDefault="005C5C74" w14:paraId="2B7D381C" w14:textId="77777777">
            <w:pPr>
              <w:ind w:left="171" w:firstLine="48" w:firstLineChars="22"/>
            </w:pPr>
            <w:r w:rsidRPr="005C5C74">
              <w:t>h. Bruttoværdi af lånte kontante midler og bruttodagsværdi af værdipapirer lånt som led i VFT'er</w:t>
            </w:r>
          </w:p>
        </w:tc>
        <w:tc>
          <w:tcPr>
            <w:tcW w:w="2745" w:type="dxa"/>
            <w:tcBorders>
              <w:left w:val="nil"/>
              <w:right w:val="nil"/>
            </w:tcBorders>
            <w:noWrap/>
          </w:tcPr>
          <w:p w:rsidRPr="00674EC6" w:rsidR="005C5C74" w:rsidP="007B3F1A" w:rsidRDefault="005C5C74" w14:paraId="7DDE4D14" w14:textId="77777777">
            <w:pPr>
              <w:jc w:val="right"/>
              <w:rPr>
                <w:rFonts w:ascii="Arial" w:hAnsi="Arial" w:eastAsia="Times New Roman" w:cs="Arial"/>
                <w:sz w:val="20"/>
                <w:szCs w:val="20"/>
                <w:lang w:eastAsia="en-GB"/>
              </w:rPr>
            </w:pPr>
          </w:p>
        </w:tc>
      </w:tr>
      <w:tr w:rsidRPr="00674EC6" w:rsidR="005C5C74" w:rsidTr="007B3F1A" w14:paraId="3ABFBB3C" w14:textId="77777777">
        <w:trPr>
          <w:trHeight w:val="300"/>
        </w:trPr>
        <w:tc>
          <w:tcPr>
            <w:tcW w:w="6804" w:type="dxa"/>
            <w:gridSpan w:val="2"/>
            <w:tcBorders>
              <w:left w:val="nil"/>
              <w:right w:val="nil"/>
            </w:tcBorders>
            <w:noWrap/>
          </w:tcPr>
          <w:p w:rsidRPr="005C5C74" w:rsidR="005C5C74" w:rsidP="005C5C74" w:rsidRDefault="005C5C74" w14:paraId="3659B7B0" w14:textId="77777777">
            <w:pPr>
              <w:ind w:left="171" w:firstLine="48" w:firstLineChars="22"/>
            </w:pPr>
            <w:r w:rsidRPr="005C5C74">
              <w:t>i. Positiv bruttodagsværdi af OTC-derivattransaktioner</w:t>
            </w:r>
          </w:p>
        </w:tc>
        <w:tc>
          <w:tcPr>
            <w:tcW w:w="2745" w:type="dxa"/>
            <w:tcBorders>
              <w:left w:val="nil"/>
              <w:right w:val="nil"/>
            </w:tcBorders>
            <w:noWrap/>
          </w:tcPr>
          <w:p w:rsidRPr="00674EC6" w:rsidR="005C5C74" w:rsidP="007B3F1A" w:rsidRDefault="005C5C74" w14:paraId="2AE8A99D" w14:textId="77777777">
            <w:pPr>
              <w:jc w:val="right"/>
              <w:rPr>
                <w:rFonts w:ascii="Arial" w:hAnsi="Arial" w:eastAsia="Times New Roman" w:cs="Arial"/>
                <w:sz w:val="20"/>
                <w:szCs w:val="20"/>
                <w:lang w:eastAsia="en-GB"/>
              </w:rPr>
            </w:pPr>
          </w:p>
        </w:tc>
      </w:tr>
      <w:tr w:rsidRPr="00674EC6" w:rsidR="005C5C74" w:rsidTr="007B3F1A" w14:paraId="11CE9C2F" w14:textId="77777777">
        <w:trPr>
          <w:trHeight w:val="300"/>
        </w:trPr>
        <w:tc>
          <w:tcPr>
            <w:tcW w:w="6804" w:type="dxa"/>
            <w:gridSpan w:val="2"/>
            <w:tcBorders>
              <w:left w:val="nil"/>
              <w:bottom w:val="single" w:color="auto" w:sz="4" w:space="0"/>
              <w:right w:val="nil"/>
            </w:tcBorders>
            <w:noWrap/>
          </w:tcPr>
          <w:p w:rsidRPr="005C5C74" w:rsidR="005C5C74" w:rsidP="005C5C74" w:rsidRDefault="005C5C74" w14:paraId="687EC669" w14:textId="77777777">
            <w:pPr>
              <w:ind w:left="171" w:firstLine="48" w:firstLineChars="22"/>
            </w:pPr>
            <w:r w:rsidRPr="005C5C74">
              <w:t>j. Negativ bruttodagsværdi af OTC-derivattransaktioner</w:t>
            </w:r>
          </w:p>
        </w:tc>
        <w:tc>
          <w:tcPr>
            <w:tcW w:w="2745" w:type="dxa"/>
            <w:tcBorders>
              <w:left w:val="nil"/>
              <w:bottom w:val="single" w:color="auto" w:sz="4" w:space="0"/>
              <w:right w:val="nil"/>
            </w:tcBorders>
            <w:noWrap/>
          </w:tcPr>
          <w:p w:rsidRPr="00674EC6" w:rsidR="005C5C74" w:rsidP="007B3F1A" w:rsidRDefault="005C5C74" w14:paraId="628E8D46" w14:textId="77777777">
            <w:pPr>
              <w:jc w:val="right"/>
              <w:rPr>
                <w:rFonts w:ascii="Arial" w:hAnsi="Arial" w:eastAsia="Times New Roman" w:cs="Arial"/>
                <w:sz w:val="20"/>
                <w:szCs w:val="20"/>
                <w:lang w:eastAsia="en-GB"/>
              </w:rPr>
            </w:pPr>
          </w:p>
        </w:tc>
      </w:tr>
      <w:tr w:rsidRPr="00674EC6" w:rsidR="005C5C74" w:rsidTr="007B3F1A" w14:paraId="4130C530" w14:textId="77777777">
        <w:trPr>
          <w:trHeight w:val="300"/>
        </w:trPr>
        <w:tc>
          <w:tcPr>
            <w:tcW w:w="6804" w:type="dxa"/>
            <w:gridSpan w:val="2"/>
            <w:tcBorders>
              <w:left w:val="nil"/>
              <w:bottom w:val="single" w:color="auto" w:sz="4" w:space="0"/>
              <w:right w:val="nil"/>
            </w:tcBorders>
            <w:noWrap/>
            <w:hideMark/>
          </w:tcPr>
          <w:p w:rsidRPr="005C5C74" w:rsidR="005C5C74" w:rsidP="005C5C74" w:rsidRDefault="005C5C74" w14:paraId="3E4A842D" w14:textId="77777777">
            <w:pPr>
              <w:ind w:left="171" w:firstLine="48" w:firstLineChars="22"/>
            </w:pPr>
            <w:r w:rsidRPr="005C5C74">
              <w:t> </w:t>
            </w:r>
          </w:p>
        </w:tc>
        <w:tc>
          <w:tcPr>
            <w:tcW w:w="2745" w:type="dxa"/>
            <w:tcBorders>
              <w:left w:val="nil"/>
              <w:bottom w:val="single" w:color="auto" w:sz="4" w:space="0"/>
              <w:right w:val="nil"/>
            </w:tcBorders>
            <w:hideMark/>
          </w:tcPr>
          <w:p w:rsidRPr="00674EC6" w:rsidR="005C5C74" w:rsidP="007B3F1A" w:rsidRDefault="005C5C74" w14:paraId="4BBD88AA" w14:textId="77777777">
            <w:pPr>
              <w:jc w:val="center"/>
              <w:rPr>
                <w:rFonts w:ascii="Arial" w:hAnsi="Arial" w:eastAsia="Times New Roman" w:cs="Arial"/>
                <w:b/>
                <w:bCs/>
                <w:sz w:val="20"/>
                <w:szCs w:val="20"/>
              </w:rPr>
            </w:pPr>
            <w:r w:rsidRPr="00674EC6">
              <w:rPr>
                <w:rFonts w:ascii="Arial" w:hAnsi="Arial"/>
                <w:b/>
                <w:sz w:val="20"/>
              </w:rPr>
              <w:t>Beløb i hele enheder</w:t>
            </w:r>
          </w:p>
        </w:tc>
      </w:tr>
      <w:tr w:rsidRPr="00674EC6" w:rsidR="005C5C74" w:rsidTr="007B3F1A" w14:paraId="1FF3878B" w14:textId="77777777">
        <w:trPr>
          <w:trHeight w:val="300"/>
        </w:trPr>
        <w:tc>
          <w:tcPr>
            <w:tcW w:w="6804" w:type="dxa"/>
            <w:gridSpan w:val="2"/>
            <w:tcBorders>
              <w:left w:val="nil"/>
              <w:bottom w:val="single" w:color="auto" w:sz="4" w:space="0"/>
              <w:right w:val="nil"/>
            </w:tcBorders>
            <w:noWrap/>
            <w:hideMark/>
          </w:tcPr>
          <w:p w:rsidRPr="005C5C74" w:rsidR="005C5C74" w:rsidP="005C5C74" w:rsidRDefault="005C5C74" w14:paraId="07099DB4" w14:textId="77777777">
            <w:pPr>
              <w:ind w:left="171" w:firstLine="48" w:firstLineChars="22"/>
            </w:pPr>
            <w:r w:rsidRPr="005C5C74">
              <w:t xml:space="preserve">k. Antal jurisdiktioner </w:t>
            </w:r>
          </w:p>
        </w:tc>
        <w:tc>
          <w:tcPr>
            <w:tcW w:w="2745" w:type="dxa"/>
            <w:tcBorders>
              <w:left w:val="nil"/>
              <w:bottom w:val="single" w:color="auto" w:sz="4" w:space="0"/>
              <w:right w:val="nil"/>
            </w:tcBorders>
            <w:noWrap/>
            <w:hideMark/>
          </w:tcPr>
          <w:p w:rsidRPr="00674EC6" w:rsidR="005C5C74" w:rsidP="007B3F1A" w:rsidRDefault="005C5C74" w14:paraId="16F3BF03"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0EDEBDF6" w14:textId="77777777">
        <w:trPr>
          <w:trHeight w:val="300"/>
        </w:trPr>
        <w:tc>
          <w:tcPr>
            <w:tcW w:w="6804" w:type="dxa"/>
            <w:gridSpan w:val="2"/>
            <w:tcBorders>
              <w:left w:val="nil"/>
              <w:bottom w:val="nil"/>
              <w:right w:val="nil"/>
            </w:tcBorders>
            <w:noWrap/>
          </w:tcPr>
          <w:p w:rsidRPr="00674EC6" w:rsidR="005C5C74" w:rsidP="007B3F1A" w:rsidRDefault="005C5C74" w14:paraId="5CA3B4D7"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674EC6" w:rsidR="005C5C74" w:rsidP="007B3F1A" w:rsidRDefault="005C5C74" w14:paraId="0F5D71AD" w14:textId="77777777">
            <w:pPr>
              <w:jc w:val="center"/>
              <w:rPr>
                <w:rFonts w:ascii="Arial" w:hAnsi="Arial" w:eastAsia="Times New Roman" w:cs="Arial"/>
                <w:b/>
                <w:bCs/>
                <w:sz w:val="20"/>
                <w:szCs w:val="20"/>
                <w:lang w:eastAsia="en-GB"/>
              </w:rPr>
            </w:pPr>
          </w:p>
        </w:tc>
      </w:tr>
      <w:tr w:rsidRPr="00674EC6" w:rsidR="005C5C74" w:rsidTr="007B3F1A" w14:paraId="3386033D" w14:textId="77777777">
        <w:trPr>
          <w:trHeight w:val="300"/>
        </w:trPr>
        <w:tc>
          <w:tcPr>
            <w:tcW w:w="6804" w:type="dxa"/>
            <w:gridSpan w:val="2"/>
            <w:tcBorders>
              <w:top w:val="nil"/>
              <w:left w:val="nil"/>
              <w:bottom w:val="single" w:color="auto" w:sz="4" w:space="0"/>
              <w:right w:val="nil"/>
            </w:tcBorders>
            <w:noWrap/>
            <w:hideMark/>
          </w:tcPr>
          <w:p w:rsidRPr="00674EC6" w:rsidR="005C5C74" w:rsidP="007B3F1A" w:rsidRDefault="005C5C74" w14:paraId="122A3E1E" w14:textId="77777777">
            <w:pPr>
              <w:rPr>
                <w:rFonts w:ascii="Arial" w:hAnsi="Arial" w:eastAsia="Times New Roman" w:cs="Arial"/>
                <w:b/>
                <w:bCs/>
                <w:sz w:val="20"/>
                <w:szCs w:val="20"/>
              </w:rPr>
            </w:pPr>
            <w:r w:rsidRPr="00674EC6">
              <w:rPr>
                <w:rFonts w:ascii="Arial" w:hAnsi="Arial"/>
                <w:b/>
                <w:sz w:val="20"/>
              </w:rPr>
              <w:t>Afdeling 16 – Supplerende poster</w:t>
            </w:r>
          </w:p>
        </w:tc>
        <w:tc>
          <w:tcPr>
            <w:tcW w:w="2745" w:type="dxa"/>
            <w:tcBorders>
              <w:top w:val="nil"/>
              <w:left w:val="nil"/>
              <w:bottom w:val="single" w:color="auto" w:sz="4" w:space="0"/>
              <w:right w:val="nil"/>
            </w:tcBorders>
            <w:hideMark/>
          </w:tcPr>
          <w:p w:rsidRPr="00674EC6" w:rsidR="005C5C74" w:rsidP="007B3F1A" w:rsidRDefault="005C5C74" w14:paraId="799DBDC4"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550FDB6C" w14:textId="77777777">
        <w:trPr>
          <w:trHeight w:val="300"/>
        </w:trPr>
        <w:tc>
          <w:tcPr>
            <w:tcW w:w="6804" w:type="dxa"/>
            <w:gridSpan w:val="2"/>
            <w:tcBorders>
              <w:left w:val="nil"/>
              <w:right w:val="nil"/>
            </w:tcBorders>
            <w:noWrap/>
            <w:hideMark/>
          </w:tcPr>
          <w:p w:rsidRPr="005C5C74" w:rsidR="005C5C74" w:rsidP="005C5C74" w:rsidRDefault="005C5C74" w14:paraId="3736F887" w14:textId="77777777">
            <w:pPr>
              <w:ind w:left="171" w:firstLine="48" w:firstLineChars="22"/>
            </w:pPr>
            <w:r w:rsidRPr="005C5C74">
              <w:t>a. Værdipapirer, der holdes til udløb</w:t>
            </w:r>
          </w:p>
        </w:tc>
        <w:tc>
          <w:tcPr>
            <w:tcW w:w="2745" w:type="dxa"/>
            <w:tcBorders>
              <w:left w:val="nil"/>
              <w:right w:val="nil"/>
            </w:tcBorders>
            <w:noWrap/>
            <w:hideMark/>
          </w:tcPr>
          <w:p w:rsidRPr="00674EC6" w:rsidR="005C5C74" w:rsidP="007B3F1A" w:rsidRDefault="005C5C74" w14:paraId="52E923D1"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3CFB158F" w14:textId="77777777">
        <w:trPr>
          <w:trHeight w:val="300"/>
        </w:trPr>
        <w:tc>
          <w:tcPr>
            <w:tcW w:w="6804" w:type="dxa"/>
            <w:gridSpan w:val="2"/>
            <w:tcBorders>
              <w:left w:val="nil"/>
              <w:right w:val="nil"/>
            </w:tcBorders>
            <w:noWrap/>
            <w:hideMark/>
          </w:tcPr>
          <w:p w:rsidRPr="005C5C74" w:rsidR="005C5C74" w:rsidP="005C5C74" w:rsidRDefault="005C5C74" w14:paraId="5C61978C" w14:textId="77777777">
            <w:pPr>
              <w:ind w:left="171" w:firstLine="48" w:firstLineChars="22"/>
            </w:pPr>
            <w:r w:rsidRPr="005C5C74">
              <w:t>b. Betalinger foretaget i indberetningsåret</w:t>
            </w:r>
          </w:p>
        </w:tc>
        <w:tc>
          <w:tcPr>
            <w:tcW w:w="2745" w:type="dxa"/>
            <w:tcBorders>
              <w:left w:val="nil"/>
              <w:right w:val="nil"/>
            </w:tcBorders>
            <w:noWrap/>
            <w:hideMark/>
          </w:tcPr>
          <w:p w:rsidRPr="00674EC6" w:rsidR="005C5C74" w:rsidP="007B3F1A" w:rsidRDefault="005C5C74" w14:paraId="26FFC37B" w14:textId="77777777">
            <w:pPr>
              <w:ind w:firstLine="200" w:firstLineChars="100"/>
              <w:rPr>
                <w:rFonts w:ascii="Arial" w:hAnsi="Arial" w:eastAsia="Times New Roman" w:cs="Arial"/>
                <w:sz w:val="20"/>
                <w:szCs w:val="20"/>
              </w:rPr>
            </w:pPr>
            <w:r w:rsidRPr="00674EC6">
              <w:rPr>
                <w:rFonts w:ascii="Arial" w:hAnsi="Arial"/>
                <w:sz w:val="20"/>
              </w:rPr>
              <w:t> </w:t>
            </w:r>
          </w:p>
        </w:tc>
      </w:tr>
      <w:tr w:rsidRPr="00674EC6" w:rsidR="005C5C74" w:rsidTr="007B3F1A" w14:paraId="4481DE40" w14:textId="77777777">
        <w:trPr>
          <w:trHeight w:val="300"/>
        </w:trPr>
        <w:tc>
          <w:tcPr>
            <w:tcW w:w="6804" w:type="dxa"/>
            <w:gridSpan w:val="2"/>
            <w:tcBorders>
              <w:left w:val="nil"/>
              <w:right w:val="nil"/>
            </w:tcBorders>
            <w:noWrap/>
            <w:hideMark/>
          </w:tcPr>
          <w:p w:rsidRPr="005C5C74" w:rsidR="005C5C74" w:rsidP="005C5C74" w:rsidRDefault="005C5C74" w14:paraId="0776DA8E" w14:textId="77777777">
            <w:pPr>
              <w:ind w:left="171" w:firstLine="48" w:firstLineChars="22"/>
            </w:pPr>
            <w:r w:rsidRPr="005C5C74">
              <w:t>(1) Brasiliansk real (BRL)</w:t>
            </w:r>
          </w:p>
        </w:tc>
        <w:tc>
          <w:tcPr>
            <w:tcW w:w="2745" w:type="dxa"/>
            <w:tcBorders>
              <w:left w:val="nil"/>
              <w:right w:val="nil"/>
            </w:tcBorders>
            <w:noWrap/>
            <w:hideMark/>
          </w:tcPr>
          <w:p w:rsidRPr="00674EC6" w:rsidR="005C5C74" w:rsidP="007B3F1A" w:rsidRDefault="005C5C74" w14:paraId="75AB37A0"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4F1291AE" w14:textId="77777777">
        <w:trPr>
          <w:trHeight w:val="300"/>
        </w:trPr>
        <w:tc>
          <w:tcPr>
            <w:tcW w:w="6804" w:type="dxa"/>
            <w:gridSpan w:val="2"/>
            <w:tcBorders>
              <w:left w:val="nil"/>
              <w:right w:val="nil"/>
            </w:tcBorders>
            <w:noWrap/>
            <w:hideMark/>
          </w:tcPr>
          <w:p w:rsidRPr="005C5C74" w:rsidR="005C5C74" w:rsidP="005C5C74" w:rsidRDefault="005C5C74" w14:paraId="45381118" w14:textId="77777777">
            <w:pPr>
              <w:ind w:left="171" w:firstLine="48" w:firstLineChars="22"/>
            </w:pPr>
            <w:r w:rsidRPr="005C5C74">
              <w:t>(2) Mexicansk peso (MXN)</w:t>
            </w:r>
          </w:p>
        </w:tc>
        <w:tc>
          <w:tcPr>
            <w:tcW w:w="2745" w:type="dxa"/>
            <w:tcBorders>
              <w:left w:val="nil"/>
              <w:right w:val="nil"/>
            </w:tcBorders>
            <w:noWrap/>
            <w:hideMark/>
          </w:tcPr>
          <w:p w:rsidRPr="00674EC6" w:rsidR="005C5C74" w:rsidP="007B3F1A" w:rsidRDefault="005C5C74" w14:paraId="12F4A960"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0BEB50C9" w14:textId="77777777">
        <w:trPr>
          <w:trHeight w:val="300"/>
        </w:trPr>
        <w:tc>
          <w:tcPr>
            <w:tcW w:w="6804" w:type="dxa"/>
            <w:gridSpan w:val="2"/>
            <w:tcBorders>
              <w:left w:val="nil"/>
              <w:right w:val="nil"/>
            </w:tcBorders>
            <w:noWrap/>
            <w:hideMark/>
          </w:tcPr>
          <w:p w:rsidRPr="005C5C74" w:rsidR="005C5C74" w:rsidP="005C5C74" w:rsidRDefault="005C5C74" w14:paraId="166B96D5" w14:textId="77777777">
            <w:pPr>
              <w:ind w:left="171" w:firstLine="48" w:firstLineChars="22"/>
            </w:pPr>
            <w:r w:rsidRPr="005C5C74">
              <w:t>(3) Norsk krone (NOK)</w:t>
            </w:r>
          </w:p>
        </w:tc>
        <w:tc>
          <w:tcPr>
            <w:tcW w:w="2745" w:type="dxa"/>
            <w:tcBorders>
              <w:left w:val="nil"/>
              <w:right w:val="nil"/>
            </w:tcBorders>
            <w:noWrap/>
            <w:hideMark/>
          </w:tcPr>
          <w:p w:rsidRPr="00674EC6" w:rsidR="005C5C74" w:rsidP="007B3F1A" w:rsidRDefault="005C5C74" w14:paraId="38861BF5"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7CC3E20F" w14:textId="77777777">
        <w:trPr>
          <w:trHeight w:val="300"/>
        </w:trPr>
        <w:tc>
          <w:tcPr>
            <w:tcW w:w="6804" w:type="dxa"/>
            <w:gridSpan w:val="2"/>
            <w:tcBorders>
              <w:left w:val="nil"/>
              <w:right w:val="nil"/>
            </w:tcBorders>
            <w:noWrap/>
            <w:hideMark/>
          </w:tcPr>
          <w:p w:rsidRPr="005C5C74" w:rsidR="005C5C74" w:rsidP="005C5C74" w:rsidRDefault="005C5C74" w14:paraId="5D86ED22" w14:textId="77777777">
            <w:pPr>
              <w:ind w:left="171" w:firstLine="48" w:firstLineChars="22"/>
            </w:pPr>
            <w:r w:rsidRPr="005C5C74">
              <w:t>(4) Russisk rubel (RUB)</w:t>
            </w:r>
          </w:p>
        </w:tc>
        <w:tc>
          <w:tcPr>
            <w:tcW w:w="2745" w:type="dxa"/>
            <w:tcBorders>
              <w:left w:val="nil"/>
              <w:right w:val="nil"/>
            </w:tcBorders>
            <w:noWrap/>
            <w:hideMark/>
          </w:tcPr>
          <w:p w:rsidRPr="00674EC6" w:rsidR="005C5C74" w:rsidP="007B3F1A" w:rsidRDefault="005C5C74" w14:paraId="1C442172"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5BA1C509" w14:textId="77777777">
        <w:trPr>
          <w:trHeight w:val="300"/>
        </w:trPr>
        <w:tc>
          <w:tcPr>
            <w:tcW w:w="6804" w:type="dxa"/>
            <w:gridSpan w:val="2"/>
            <w:tcBorders>
              <w:left w:val="nil"/>
              <w:right w:val="nil"/>
            </w:tcBorders>
            <w:noWrap/>
            <w:hideMark/>
          </w:tcPr>
          <w:p w:rsidRPr="005C5C74" w:rsidR="005C5C74" w:rsidP="005C5C74" w:rsidRDefault="005C5C74" w14:paraId="01C45CE1" w14:textId="77777777">
            <w:pPr>
              <w:ind w:left="171" w:firstLine="48" w:firstLineChars="22"/>
            </w:pPr>
            <w:r w:rsidRPr="005C5C74">
              <w:t>(5) Singaporeansk dollar (SGD)</w:t>
            </w:r>
          </w:p>
        </w:tc>
        <w:tc>
          <w:tcPr>
            <w:tcW w:w="2745" w:type="dxa"/>
            <w:tcBorders>
              <w:left w:val="nil"/>
              <w:right w:val="nil"/>
            </w:tcBorders>
            <w:noWrap/>
            <w:hideMark/>
          </w:tcPr>
          <w:p w:rsidRPr="00674EC6" w:rsidR="005C5C74" w:rsidP="007B3F1A" w:rsidRDefault="005C5C74" w14:paraId="652BC7ED"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7D5B80C1" w14:textId="77777777">
        <w:trPr>
          <w:trHeight w:val="300"/>
        </w:trPr>
        <w:tc>
          <w:tcPr>
            <w:tcW w:w="6804" w:type="dxa"/>
            <w:gridSpan w:val="2"/>
            <w:tcBorders>
              <w:left w:val="nil"/>
              <w:bottom w:val="single" w:color="auto" w:sz="4" w:space="0"/>
              <w:right w:val="nil"/>
            </w:tcBorders>
            <w:noWrap/>
            <w:hideMark/>
          </w:tcPr>
          <w:p w:rsidRPr="005C5C74" w:rsidR="005C5C74" w:rsidP="005C5C74" w:rsidRDefault="005C5C74" w14:paraId="6810D75D" w14:textId="77777777">
            <w:pPr>
              <w:ind w:left="171" w:firstLine="48" w:firstLineChars="22"/>
            </w:pPr>
            <w:r w:rsidRPr="005C5C74">
              <w:t>(6) Sydkoreansk won (KRW)</w:t>
            </w:r>
          </w:p>
        </w:tc>
        <w:tc>
          <w:tcPr>
            <w:tcW w:w="2745" w:type="dxa"/>
            <w:tcBorders>
              <w:left w:val="nil"/>
              <w:bottom w:val="single" w:color="auto" w:sz="4" w:space="0"/>
              <w:right w:val="nil"/>
            </w:tcBorders>
            <w:noWrap/>
            <w:hideMark/>
          </w:tcPr>
          <w:p w:rsidRPr="00674EC6" w:rsidR="005C5C74" w:rsidP="007B3F1A" w:rsidRDefault="005C5C74" w14:paraId="6922F69B"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1A9A1DC1" w14:textId="77777777">
        <w:trPr>
          <w:trHeight w:val="403"/>
        </w:trPr>
        <w:tc>
          <w:tcPr>
            <w:tcW w:w="6804" w:type="dxa"/>
            <w:gridSpan w:val="2"/>
            <w:tcBorders>
              <w:left w:val="nil"/>
              <w:bottom w:val="nil"/>
              <w:right w:val="nil"/>
            </w:tcBorders>
            <w:noWrap/>
            <w:hideMark/>
          </w:tcPr>
          <w:p w:rsidRPr="00674EC6" w:rsidR="005C5C74" w:rsidP="007B3F1A" w:rsidRDefault="005C5C74" w14:paraId="3A677442" w14:textId="77777777">
            <w:pPr>
              <w:rPr>
                <w:rFonts w:ascii="Arial" w:hAnsi="Arial" w:eastAsia="Times New Roman" w:cs="Arial"/>
                <w:sz w:val="20"/>
                <w:szCs w:val="20"/>
              </w:rPr>
            </w:pPr>
            <w:r w:rsidRPr="00674EC6">
              <w:rPr>
                <w:rFonts w:ascii="Arial" w:hAnsi="Arial"/>
                <w:sz w:val="20"/>
              </w:rPr>
              <w:t> </w:t>
            </w:r>
          </w:p>
        </w:tc>
        <w:tc>
          <w:tcPr>
            <w:tcW w:w="2745" w:type="dxa"/>
            <w:tcBorders>
              <w:left w:val="nil"/>
              <w:bottom w:val="nil"/>
              <w:right w:val="nil"/>
            </w:tcBorders>
            <w:noWrap/>
            <w:hideMark/>
          </w:tcPr>
          <w:p w:rsidRPr="00674EC6" w:rsidR="005C5C74" w:rsidP="007B3F1A" w:rsidRDefault="005C5C74" w14:paraId="2DE3E377" w14:textId="77777777">
            <w:pPr>
              <w:rPr>
                <w:rFonts w:ascii="Arial" w:hAnsi="Arial" w:eastAsia="Times New Roman" w:cs="Arial"/>
                <w:sz w:val="20"/>
                <w:szCs w:val="20"/>
              </w:rPr>
            </w:pPr>
            <w:r w:rsidRPr="00674EC6">
              <w:rPr>
                <w:rFonts w:ascii="Arial" w:hAnsi="Arial"/>
                <w:sz w:val="20"/>
              </w:rPr>
              <w:t> </w:t>
            </w:r>
          </w:p>
        </w:tc>
      </w:tr>
      <w:tr w:rsidRPr="00674EC6" w:rsidR="005C5C74" w:rsidTr="007B3F1A" w14:paraId="13AD4373" w14:textId="77777777">
        <w:trPr>
          <w:trHeight w:val="403"/>
        </w:trPr>
        <w:tc>
          <w:tcPr>
            <w:tcW w:w="6804" w:type="dxa"/>
            <w:gridSpan w:val="2"/>
            <w:tcBorders>
              <w:top w:val="nil"/>
              <w:left w:val="nil"/>
              <w:bottom w:val="nil"/>
              <w:right w:val="nil"/>
            </w:tcBorders>
            <w:noWrap/>
            <w:hideMark/>
          </w:tcPr>
          <w:p w:rsidRPr="00674EC6" w:rsidR="005C5C74" w:rsidP="007B3F1A" w:rsidRDefault="005C5C74" w14:paraId="25744091" w14:textId="77777777">
            <w:pPr>
              <w:rPr>
                <w:rFonts w:asciiTheme="majorHAnsi" w:hAnsiTheme="majorHAnsi" w:eastAsiaTheme="majorEastAsia" w:cstheme="majorBidi"/>
                <w:b/>
                <w:bCs/>
                <w:i/>
                <w:iCs/>
                <w:caps/>
                <w:spacing w:val="-2"/>
              </w:rPr>
            </w:pPr>
            <w:r w:rsidRPr="00674EC6">
              <w:rPr>
                <w:rFonts w:asciiTheme="majorHAnsi" w:hAnsiTheme="majorHAnsi"/>
                <w:b/>
                <w:i/>
                <w:caps/>
              </w:rPr>
              <w:t> Memorandumposter</w:t>
            </w:r>
          </w:p>
        </w:tc>
        <w:tc>
          <w:tcPr>
            <w:tcW w:w="2745" w:type="dxa"/>
            <w:tcBorders>
              <w:top w:val="nil"/>
              <w:left w:val="nil"/>
              <w:bottom w:val="nil"/>
              <w:right w:val="nil"/>
            </w:tcBorders>
            <w:noWrap/>
            <w:hideMark/>
          </w:tcPr>
          <w:p w:rsidRPr="00674EC6" w:rsidR="005C5C74" w:rsidP="007B3F1A" w:rsidRDefault="005C5C74" w14:paraId="77DDD124" w14:textId="77777777">
            <w:pPr>
              <w:rPr>
                <w:rFonts w:ascii="Arial" w:hAnsi="Arial" w:eastAsia="Times New Roman" w:cs="Arial"/>
                <w:b/>
                <w:bCs/>
                <w:sz w:val="24"/>
                <w:szCs w:val="24"/>
              </w:rPr>
            </w:pPr>
            <w:r w:rsidRPr="00674EC6">
              <w:rPr>
                <w:rFonts w:ascii="Arial" w:hAnsi="Arial"/>
                <w:b/>
                <w:sz w:val="24"/>
              </w:rPr>
              <w:t> </w:t>
            </w:r>
          </w:p>
        </w:tc>
      </w:tr>
      <w:tr w:rsidRPr="00674EC6" w:rsidR="005C5C74" w:rsidTr="007B3F1A" w14:paraId="337078C0" w14:textId="77777777">
        <w:trPr>
          <w:trHeight w:val="403"/>
        </w:trPr>
        <w:tc>
          <w:tcPr>
            <w:tcW w:w="6804" w:type="dxa"/>
            <w:gridSpan w:val="2"/>
            <w:tcBorders>
              <w:top w:val="nil"/>
              <w:left w:val="nil"/>
              <w:bottom w:val="single" w:color="auto" w:sz="4" w:space="0"/>
              <w:right w:val="nil"/>
            </w:tcBorders>
            <w:noWrap/>
            <w:hideMark/>
          </w:tcPr>
          <w:p w:rsidRPr="00674EC6" w:rsidR="005C5C74" w:rsidP="007B3F1A" w:rsidRDefault="005C5C74" w14:paraId="79013F82" w14:textId="77777777">
            <w:pPr>
              <w:ind w:firstLine="241" w:firstLineChars="100"/>
              <w:rPr>
                <w:rFonts w:ascii="Arial" w:hAnsi="Arial" w:eastAsia="Times New Roman" w:cs="Arial"/>
                <w:b/>
                <w:bCs/>
                <w:sz w:val="24"/>
                <w:szCs w:val="24"/>
              </w:rPr>
            </w:pPr>
            <w:r w:rsidRPr="00674EC6">
              <w:rPr>
                <w:rFonts w:ascii="Arial" w:hAnsi="Arial"/>
                <w:b/>
                <w:sz w:val="24"/>
              </w:rPr>
              <w:t> </w:t>
            </w:r>
          </w:p>
        </w:tc>
        <w:tc>
          <w:tcPr>
            <w:tcW w:w="2745" w:type="dxa"/>
            <w:tcBorders>
              <w:top w:val="nil"/>
              <w:left w:val="nil"/>
              <w:bottom w:val="single" w:color="auto" w:sz="4" w:space="0"/>
              <w:right w:val="nil"/>
            </w:tcBorders>
            <w:noWrap/>
            <w:hideMark/>
          </w:tcPr>
          <w:p w:rsidRPr="00674EC6" w:rsidR="005C5C74" w:rsidP="007B3F1A" w:rsidRDefault="005C5C74" w14:paraId="3FEE48ED" w14:textId="77777777">
            <w:pPr>
              <w:rPr>
                <w:rFonts w:ascii="Arial" w:hAnsi="Arial" w:eastAsia="Times New Roman" w:cs="Arial"/>
                <w:b/>
                <w:bCs/>
                <w:sz w:val="24"/>
                <w:szCs w:val="24"/>
              </w:rPr>
            </w:pPr>
            <w:r w:rsidRPr="00674EC6">
              <w:rPr>
                <w:rFonts w:ascii="Arial" w:hAnsi="Arial"/>
                <w:b/>
                <w:sz w:val="24"/>
              </w:rPr>
              <w:t> </w:t>
            </w:r>
          </w:p>
        </w:tc>
      </w:tr>
      <w:tr w:rsidRPr="00674EC6" w:rsidR="005C5C74" w:rsidTr="007B3F1A" w14:paraId="205C35AE" w14:textId="77777777">
        <w:trPr>
          <w:trHeight w:val="300"/>
        </w:trPr>
        <w:tc>
          <w:tcPr>
            <w:tcW w:w="6804" w:type="dxa"/>
            <w:gridSpan w:val="2"/>
            <w:tcBorders>
              <w:left w:val="nil"/>
              <w:right w:val="nil"/>
            </w:tcBorders>
            <w:noWrap/>
            <w:hideMark/>
          </w:tcPr>
          <w:p w:rsidRPr="00674EC6" w:rsidR="005C5C74" w:rsidP="007B3F1A" w:rsidRDefault="005C5C74" w14:paraId="7CD5309E" w14:textId="77777777">
            <w:pPr>
              <w:rPr>
                <w:rFonts w:ascii="Arial" w:hAnsi="Arial" w:eastAsia="Times New Roman" w:cs="Arial"/>
                <w:b/>
                <w:bCs/>
                <w:sz w:val="20"/>
                <w:szCs w:val="20"/>
              </w:rPr>
            </w:pPr>
            <w:r w:rsidRPr="00674EC6">
              <w:rPr>
                <w:rFonts w:ascii="Arial" w:hAnsi="Arial"/>
                <w:b/>
                <w:sz w:val="20"/>
              </w:rPr>
              <w:t>Afdeling 17 – Poster vedrørende størrelse</w:t>
            </w:r>
          </w:p>
        </w:tc>
        <w:tc>
          <w:tcPr>
            <w:tcW w:w="2745" w:type="dxa"/>
            <w:tcBorders>
              <w:left w:val="nil"/>
              <w:right w:val="nil"/>
            </w:tcBorders>
            <w:hideMark/>
          </w:tcPr>
          <w:p w:rsidRPr="00674EC6" w:rsidR="005C5C74" w:rsidP="007B3F1A" w:rsidRDefault="005C5C74" w14:paraId="19B7198F"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3FFC9E8D" w14:textId="77777777">
        <w:trPr>
          <w:gridAfter w:val="1"/>
          <w:wAfter w:w="2745" w:type="dxa"/>
          <w:trHeight w:val="300"/>
        </w:trPr>
        <w:tc>
          <w:tcPr>
            <w:tcW w:w="6804" w:type="dxa"/>
            <w:gridSpan w:val="2"/>
            <w:tcBorders>
              <w:left w:val="nil"/>
              <w:right w:val="nil"/>
            </w:tcBorders>
            <w:noWrap/>
            <w:hideMark/>
          </w:tcPr>
          <w:p w:rsidRPr="005C5C74" w:rsidR="005C5C74" w:rsidP="005C5C74" w:rsidRDefault="005C5C74" w14:paraId="0C840691" w14:textId="77777777">
            <w:pPr>
              <w:ind w:left="171" w:firstLine="48" w:firstLineChars="22"/>
            </w:pPr>
            <w:r w:rsidRPr="005C5C74">
              <w:t>a. Eksponering i forbindelse med forsikringsdatterselskaber, som allerede er omfattet af den tilsynsmæssige konsolideringsramme</w:t>
            </w:r>
          </w:p>
        </w:tc>
      </w:tr>
      <w:tr w:rsidRPr="00674EC6" w:rsidR="005C5C74" w:rsidTr="007B3F1A" w14:paraId="61C9C6D9" w14:textId="77777777">
        <w:trPr>
          <w:trHeight w:val="300"/>
        </w:trPr>
        <w:tc>
          <w:tcPr>
            <w:tcW w:w="6804" w:type="dxa"/>
            <w:gridSpan w:val="2"/>
            <w:tcBorders>
              <w:left w:val="nil"/>
              <w:right w:val="nil"/>
            </w:tcBorders>
            <w:noWrap/>
            <w:hideMark/>
          </w:tcPr>
          <w:p w:rsidRPr="005C5C74" w:rsidR="005C5C74" w:rsidP="005C5C74" w:rsidRDefault="005C5C74" w14:paraId="595B51B3" w14:textId="77777777">
            <w:pPr>
              <w:ind w:left="171" w:firstLine="48" w:firstLineChars="22"/>
            </w:pPr>
            <w:r w:rsidRPr="005C5C74">
              <w:lastRenderedPageBreak/>
              <w:t xml:space="preserve">b. Kvartalsvis gennemsnitlig værdi af eksponeringer i alt </w:t>
            </w:r>
          </w:p>
        </w:tc>
        <w:tc>
          <w:tcPr>
            <w:tcW w:w="2745" w:type="dxa"/>
            <w:tcBorders>
              <w:left w:val="nil"/>
              <w:right w:val="nil"/>
            </w:tcBorders>
            <w:noWrap/>
            <w:hideMark/>
          </w:tcPr>
          <w:p w:rsidRPr="00674EC6" w:rsidR="005C5C74" w:rsidP="007B3F1A" w:rsidRDefault="005C5C74" w14:paraId="1F5A2F00"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4138FCFF" w14:textId="77777777">
        <w:trPr>
          <w:trHeight w:val="300"/>
        </w:trPr>
        <w:tc>
          <w:tcPr>
            <w:tcW w:w="6804" w:type="dxa"/>
            <w:gridSpan w:val="2"/>
            <w:tcBorders>
              <w:left w:val="nil"/>
              <w:bottom w:val="single" w:color="auto" w:sz="4" w:space="0"/>
              <w:right w:val="nil"/>
            </w:tcBorders>
            <w:noWrap/>
            <w:hideMark/>
          </w:tcPr>
          <w:p w:rsidRPr="005C5C74" w:rsidR="005C5C74" w:rsidP="005C5C74" w:rsidRDefault="005C5C74" w14:paraId="14DE6759" w14:textId="77777777">
            <w:pPr>
              <w:ind w:left="171" w:firstLine="48" w:firstLineChars="22"/>
            </w:pPr>
            <w:r w:rsidRPr="005C5C74">
              <w:t xml:space="preserve">c. Månedlige gennemsnitlig værdi af eksponeringer i alt </w:t>
            </w:r>
          </w:p>
        </w:tc>
        <w:tc>
          <w:tcPr>
            <w:tcW w:w="2745" w:type="dxa"/>
            <w:tcBorders>
              <w:left w:val="nil"/>
              <w:bottom w:val="single" w:color="auto" w:sz="4" w:space="0"/>
              <w:right w:val="nil"/>
            </w:tcBorders>
            <w:noWrap/>
            <w:hideMark/>
          </w:tcPr>
          <w:p w:rsidRPr="00674EC6" w:rsidR="005C5C74" w:rsidP="007B3F1A" w:rsidRDefault="005C5C74" w14:paraId="332F861E"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66944AEE" w14:textId="77777777">
        <w:trPr>
          <w:trHeight w:val="300"/>
        </w:trPr>
        <w:tc>
          <w:tcPr>
            <w:tcW w:w="6804" w:type="dxa"/>
            <w:gridSpan w:val="2"/>
            <w:tcBorders>
              <w:left w:val="nil"/>
              <w:bottom w:val="nil"/>
              <w:right w:val="nil"/>
            </w:tcBorders>
            <w:noWrap/>
          </w:tcPr>
          <w:p w:rsidRPr="00674EC6" w:rsidR="005C5C74" w:rsidP="007B3F1A" w:rsidRDefault="005C5C74" w14:paraId="424EA325"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674EC6" w:rsidR="005C5C74" w:rsidP="007B3F1A" w:rsidRDefault="005C5C74" w14:paraId="5DD59A7B" w14:textId="77777777">
            <w:pPr>
              <w:jc w:val="center"/>
              <w:rPr>
                <w:rFonts w:ascii="Arial" w:hAnsi="Arial" w:eastAsia="Times New Roman" w:cs="Arial"/>
                <w:b/>
                <w:bCs/>
                <w:sz w:val="20"/>
                <w:szCs w:val="20"/>
                <w:lang w:eastAsia="en-GB"/>
              </w:rPr>
            </w:pPr>
          </w:p>
        </w:tc>
      </w:tr>
      <w:tr w:rsidRPr="00674EC6" w:rsidR="005C5C74" w:rsidTr="007B3F1A" w14:paraId="7B85AC9F" w14:textId="77777777">
        <w:trPr>
          <w:trHeight w:val="300"/>
        </w:trPr>
        <w:tc>
          <w:tcPr>
            <w:tcW w:w="6804" w:type="dxa"/>
            <w:gridSpan w:val="2"/>
            <w:tcBorders>
              <w:top w:val="nil"/>
              <w:left w:val="nil"/>
              <w:right w:val="nil"/>
            </w:tcBorders>
            <w:noWrap/>
            <w:hideMark/>
          </w:tcPr>
          <w:p w:rsidRPr="00674EC6" w:rsidR="005C5C74" w:rsidP="007B3F1A" w:rsidRDefault="005C5C74" w14:paraId="620B7C07" w14:textId="77777777">
            <w:pPr>
              <w:rPr>
                <w:rFonts w:ascii="Arial" w:hAnsi="Arial" w:eastAsia="Times New Roman" w:cs="Arial"/>
                <w:b/>
                <w:bCs/>
                <w:sz w:val="20"/>
                <w:szCs w:val="20"/>
              </w:rPr>
            </w:pPr>
            <w:r w:rsidRPr="00674EC6">
              <w:rPr>
                <w:rFonts w:ascii="Arial" w:hAnsi="Arial"/>
                <w:b/>
                <w:sz w:val="20"/>
              </w:rPr>
              <w:t>Afdeling 18 – Poster vedrørende forbundethed</w:t>
            </w:r>
          </w:p>
        </w:tc>
        <w:tc>
          <w:tcPr>
            <w:tcW w:w="2745" w:type="dxa"/>
            <w:tcBorders>
              <w:top w:val="nil"/>
              <w:left w:val="nil"/>
              <w:right w:val="nil"/>
            </w:tcBorders>
            <w:hideMark/>
          </w:tcPr>
          <w:p w:rsidRPr="00674EC6" w:rsidR="005C5C74" w:rsidP="007B3F1A" w:rsidRDefault="005C5C74" w14:paraId="6DA20423"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08814AEC" w14:textId="77777777">
        <w:trPr>
          <w:trHeight w:val="300"/>
        </w:trPr>
        <w:tc>
          <w:tcPr>
            <w:tcW w:w="6804" w:type="dxa"/>
            <w:gridSpan w:val="2"/>
            <w:tcBorders>
              <w:left w:val="nil"/>
              <w:right w:val="nil"/>
            </w:tcBorders>
            <w:noWrap/>
            <w:hideMark/>
          </w:tcPr>
          <w:p w:rsidRPr="005C5C74" w:rsidR="005C5C74" w:rsidP="005C5C74" w:rsidRDefault="005C5C74" w14:paraId="523C3DFB" w14:textId="77777777">
            <w:pPr>
              <w:ind w:left="171" w:firstLine="48" w:firstLineChars="22"/>
            </w:pPr>
            <w:r w:rsidRPr="005C5C74">
              <w:t>a. Indikator for aktiver inden for det finansielle system (gammel indikator)</w:t>
            </w:r>
          </w:p>
        </w:tc>
        <w:tc>
          <w:tcPr>
            <w:tcW w:w="2745" w:type="dxa"/>
            <w:tcBorders>
              <w:left w:val="nil"/>
              <w:right w:val="nil"/>
            </w:tcBorders>
            <w:noWrap/>
            <w:hideMark/>
          </w:tcPr>
          <w:p w:rsidRPr="00674EC6" w:rsidR="005C5C74" w:rsidP="007B3F1A" w:rsidRDefault="005C5C74" w14:paraId="6C22A783"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5E1C5247" w14:textId="77777777">
        <w:trPr>
          <w:trHeight w:val="300"/>
        </w:trPr>
        <w:tc>
          <w:tcPr>
            <w:tcW w:w="6804" w:type="dxa"/>
            <w:gridSpan w:val="2"/>
            <w:tcBorders>
              <w:left w:val="nil"/>
              <w:right w:val="nil"/>
            </w:tcBorders>
            <w:noWrap/>
            <w:hideMark/>
          </w:tcPr>
          <w:p w:rsidRPr="005C5C74" w:rsidR="005C5C74" w:rsidP="005C5C74" w:rsidRDefault="005C5C74" w14:paraId="6323FCCD" w14:textId="77777777">
            <w:pPr>
              <w:ind w:left="171" w:firstLine="48" w:firstLineChars="22"/>
            </w:pPr>
            <w:r w:rsidRPr="005C5C74">
              <w:t xml:space="preserve">b. Kvartalsmæssig gennemsnitlig værdi af aktiver inden for det finansielle system </w:t>
            </w:r>
          </w:p>
        </w:tc>
        <w:tc>
          <w:tcPr>
            <w:tcW w:w="2745" w:type="dxa"/>
            <w:tcBorders>
              <w:left w:val="nil"/>
              <w:right w:val="nil"/>
            </w:tcBorders>
            <w:noWrap/>
            <w:hideMark/>
          </w:tcPr>
          <w:p w:rsidRPr="00674EC6" w:rsidR="005C5C74" w:rsidP="007B3F1A" w:rsidRDefault="005C5C74" w14:paraId="76A61FBB"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325BA3EA" w14:textId="77777777">
        <w:trPr>
          <w:trHeight w:val="300"/>
        </w:trPr>
        <w:tc>
          <w:tcPr>
            <w:tcW w:w="6804" w:type="dxa"/>
            <w:gridSpan w:val="2"/>
            <w:tcBorders>
              <w:left w:val="nil"/>
              <w:right w:val="nil"/>
            </w:tcBorders>
            <w:noWrap/>
            <w:hideMark/>
          </w:tcPr>
          <w:p w:rsidRPr="005C5C74" w:rsidR="005C5C74" w:rsidP="005C5C74" w:rsidRDefault="005C5C74" w14:paraId="7F8D45AE" w14:textId="77777777">
            <w:pPr>
              <w:ind w:left="171" w:firstLine="48" w:firstLineChars="22"/>
            </w:pPr>
            <w:r w:rsidRPr="005C5C74">
              <w:t xml:space="preserve">c. Månedlig gennemsnitlig værdi af aktiver inden for det finansielle system </w:t>
            </w:r>
          </w:p>
        </w:tc>
        <w:tc>
          <w:tcPr>
            <w:tcW w:w="2745" w:type="dxa"/>
            <w:tcBorders>
              <w:left w:val="nil"/>
              <w:right w:val="nil"/>
            </w:tcBorders>
            <w:noWrap/>
            <w:hideMark/>
          </w:tcPr>
          <w:p w:rsidRPr="00674EC6" w:rsidR="005C5C74" w:rsidP="007B3F1A" w:rsidRDefault="005C5C74" w14:paraId="69B726E2"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2B7B726B" w14:textId="77777777">
        <w:trPr>
          <w:trHeight w:val="300"/>
        </w:trPr>
        <w:tc>
          <w:tcPr>
            <w:tcW w:w="6804" w:type="dxa"/>
            <w:gridSpan w:val="2"/>
            <w:tcBorders>
              <w:left w:val="nil"/>
              <w:right w:val="nil"/>
            </w:tcBorders>
            <w:noWrap/>
            <w:hideMark/>
          </w:tcPr>
          <w:p w:rsidRPr="005C5C74" w:rsidR="005C5C74" w:rsidP="005C5C74" w:rsidRDefault="005C5C74" w14:paraId="00AC0C7F" w14:textId="77777777">
            <w:pPr>
              <w:ind w:left="171" w:firstLine="48" w:firstLineChars="22"/>
            </w:pPr>
            <w:r w:rsidRPr="005C5C74">
              <w:t>d. Indikator for passiver inden for det finansielle system (gammel indikator)</w:t>
            </w:r>
          </w:p>
        </w:tc>
        <w:tc>
          <w:tcPr>
            <w:tcW w:w="2745" w:type="dxa"/>
            <w:tcBorders>
              <w:left w:val="nil"/>
              <w:right w:val="nil"/>
            </w:tcBorders>
            <w:noWrap/>
            <w:hideMark/>
          </w:tcPr>
          <w:p w:rsidRPr="00674EC6" w:rsidR="005C5C74" w:rsidP="007B3F1A" w:rsidRDefault="005C5C74" w14:paraId="6368185C"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4E4D73D6" w14:textId="77777777">
        <w:trPr>
          <w:trHeight w:val="300"/>
        </w:trPr>
        <w:tc>
          <w:tcPr>
            <w:tcW w:w="6804" w:type="dxa"/>
            <w:gridSpan w:val="2"/>
            <w:tcBorders>
              <w:left w:val="nil"/>
              <w:right w:val="nil"/>
            </w:tcBorders>
            <w:noWrap/>
            <w:hideMark/>
          </w:tcPr>
          <w:p w:rsidRPr="005C5C74" w:rsidR="005C5C74" w:rsidP="005C5C74" w:rsidRDefault="005C5C74" w14:paraId="39E12E84" w14:textId="77777777">
            <w:pPr>
              <w:ind w:left="171" w:firstLine="48" w:firstLineChars="22"/>
            </w:pPr>
            <w:r w:rsidRPr="005C5C74">
              <w:t xml:space="preserve">e. Kvartalsmæssig gennemsnitlig værdi af passiver inden for det finansielle system </w:t>
            </w:r>
          </w:p>
        </w:tc>
        <w:tc>
          <w:tcPr>
            <w:tcW w:w="2745" w:type="dxa"/>
            <w:tcBorders>
              <w:left w:val="nil"/>
              <w:right w:val="nil"/>
            </w:tcBorders>
            <w:noWrap/>
            <w:hideMark/>
          </w:tcPr>
          <w:p w:rsidRPr="00674EC6" w:rsidR="005C5C74" w:rsidP="007B3F1A" w:rsidRDefault="005C5C74" w14:paraId="0EC247E9"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47FE4E33" w14:textId="77777777">
        <w:trPr>
          <w:trHeight w:val="300"/>
        </w:trPr>
        <w:tc>
          <w:tcPr>
            <w:tcW w:w="6804" w:type="dxa"/>
            <w:gridSpan w:val="2"/>
            <w:tcBorders>
              <w:left w:val="nil"/>
              <w:right w:val="nil"/>
            </w:tcBorders>
            <w:noWrap/>
            <w:hideMark/>
          </w:tcPr>
          <w:p w:rsidRPr="005C5C74" w:rsidR="005C5C74" w:rsidP="005C5C74" w:rsidRDefault="005C5C74" w14:paraId="0C61A972" w14:textId="77777777">
            <w:pPr>
              <w:ind w:left="171" w:firstLine="48" w:firstLineChars="22"/>
            </w:pPr>
            <w:r w:rsidRPr="005C5C74">
              <w:t xml:space="preserve">f. Månedlig gennemsnitlig værdi af passiver inden for det finansielle system </w:t>
            </w:r>
          </w:p>
        </w:tc>
        <w:tc>
          <w:tcPr>
            <w:tcW w:w="2745" w:type="dxa"/>
            <w:tcBorders>
              <w:left w:val="nil"/>
              <w:right w:val="nil"/>
            </w:tcBorders>
            <w:noWrap/>
            <w:hideMark/>
          </w:tcPr>
          <w:p w:rsidRPr="00674EC6" w:rsidR="005C5C74" w:rsidP="007B3F1A" w:rsidRDefault="005C5C74" w14:paraId="19AE1F95"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487DD25D" w14:textId="77777777">
        <w:trPr>
          <w:trHeight w:val="300"/>
        </w:trPr>
        <w:tc>
          <w:tcPr>
            <w:tcW w:w="6804" w:type="dxa"/>
            <w:gridSpan w:val="2"/>
            <w:tcBorders>
              <w:left w:val="nil"/>
              <w:right w:val="nil"/>
            </w:tcBorders>
            <w:noWrap/>
            <w:hideMark/>
          </w:tcPr>
          <w:p w:rsidRPr="005C5C74" w:rsidR="005C5C74" w:rsidP="005C5C74" w:rsidRDefault="005C5C74" w14:paraId="020AE7C7" w14:textId="77777777">
            <w:pPr>
              <w:ind w:left="171" w:firstLine="48" w:firstLineChars="22"/>
            </w:pPr>
            <w:r w:rsidRPr="005C5C74">
              <w:t>g. Indikator for udstedte værdipapirer (gammel indikator)</w:t>
            </w:r>
          </w:p>
        </w:tc>
        <w:tc>
          <w:tcPr>
            <w:tcW w:w="2745" w:type="dxa"/>
            <w:tcBorders>
              <w:left w:val="nil"/>
              <w:right w:val="nil"/>
            </w:tcBorders>
            <w:noWrap/>
            <w:hideMark/>
          </w:tcPr>
          <w:p w:rsidRPr="00674EC6" w:rsidR="005C5C74" w:rsidP="007B3F1A" w:rsidRDefault="005C5C74" w14:paraId="776A6A52"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5768AF1F" w14:textId="77777777">
        <w:trPr>
          <w:trHeight w:val="300"/>
        </w:trPr>
        <w:tc>
          <w:tcPr>
            <w:tcW w:w="6804" w:type="dxa"/>
            <w:gridSpan w:val="2"/>
            <w:tcBorders>
              <w:left w:val="nil"/>
              <w:right w:val="nil"/>
            </w:tcBorders>
            <w:noWrap/>
            <w:hideMark/>
          </w:tcPr>
          <w:p w:rsidRPr="005C5C74" w:rsidR="005C5C74" w:rsidP="005C5C74" w:rsidRDefault="005C5C74" w14:paraId="1DFC0D08" w14:textId="77777777">
            <w:pPr>
              <w:ind w:left="171" w:firstLine="48" w:firstLineChars="22"/>
            </w:pPr>
            <w:r w:rsidRPr="005C5C74">
              <w:t xml:space="preserve">h. Kvartalsvis gennemsnitlig værdi af udstedte værdipapirer </w:t>
            </w:r>
          </w:p>
        </w:tc>
        <w:tc>
          <w:tcPr>
            <w:tcW w:w="2745" w:type="dxa"/>
            <w:tcBorders>
              <w:left w:val="nil"/>
              <w:right w:val="nil"/>
            </w:tcBorders>
            <w:noWrap/>
            <w:hideMark/>
          </w:tcPr>
          <w:p w:rsidRPr="00674EC6" w:rsidR="005C5C74" w:rsidP="007B3F1A" w:rsidRDefault="005C5C74" w14:paraId="698CBE2D"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51BCA05D" w14:textId="77777777">
        <w:trPr>
          <w:trHeight w:val="300"/>
        </w:trPr>
        <w:tc>
          <w:tcPr>
            <w:tcW w:w="6804" w:type="dxa"/>
            <w:gridSpan w:val="2"/>
            <w:tcBorders>
              <w:left w:val="nil"/>
              <w:bottom w:val="single" w:color="auto" w:sz="4" w:space="0"/>
              <w:right w:val="nil"/>
            </w:tcBorders>
            <w:noWrap/>
            <w:hideMark/>
          </w:tcPr>
          <w:p w:rsidRPr="005C5C74" w:rsidR="005C5C74" w:rsidP="005C5C74" w:rsidRDefault="005C5C74" w14:paraId="66130BE1" w14:textId="77777777">
            <w:pPr>
              <w:ind w:left="171" w:firstLine="48" w:firstLineChars="22"/>
            </w:pPr>
            <w:r w:rsidRPr="005C5C74">
              <w:t xml:space="preserve">i. Månedlig gennemsnitlig værdi af udstedte værdipapirer </w:t>
            </w:r>
          </w:p>
        </w:tc>
        <w:tc>
          <w:tcPr>
            <w:tcW w:w="2745" w:type="dxa"/>
            <w:tcBorders>
              <w:left w:val="nil"/>
              <w:bottom w:val="single" w:color="auto" w:sz="4" w:space="0"/>
              <w:right w:val="nil"/>
            </w:tcBorders>
            <w:noWrap/>
            <w:hideMark/>
          </w:tcPr>
          <w:p w:rsidRPr="00674EC6" w:rsidR="005C5C74" w:rsidP="007B3F1A" w:rsidRDefault="005C5C74" w14:paraId="03BBABDB"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4CD31DD7" w14:textId="77777777">
        <w:trPr>
          <w:trHeight w:val="300"/>
        </w:trPr>
        <w:tc>
          <w:tcPr>
            <w:tcW w:w="6804" w:type="dxa"/>
            <w:gridSpan w:val="2"/>
            <w:tcBorders>
              <w:left w:val="nil"/>
              <w:bottom w:val="nil"/>
              <w:right w:val="nil"/>
            </w:tcBorders>
            <w:noWrap/>
          </w:tcPr>
          <w:p w:rsidRPr="00674EC6" w:rsidR="005C5C74" w:rsidP="007B3F1A" w:rsidRDefault="005C5C74" w14:paraId="4C60E547"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674EC6" w:rsidR="005C5C74" w:rsidP="007B3F1A" w:rsidRDefault="005C5C74" w14:paraId="3C48B84C" w14:textId="77777777">
            <w:pPr>
              <w:jc w:val="center"/>
              <w:rPr>
                <w:rFonts w:ascii="Arial" w:hAnsi="Arial" w:eastAsia="Times New Roman" w:cs="Arial"/>
                <w:b/>
                <w:bCs/>
                <w:sz w:val="20"/>
                <w:szCs w:val="20"/>
                <w:lang w:eastAsia="en-GB"/>
              </w:rPr>
            </w:pPr>
          </w:p>
        </w:tc>
      </w:tr>
      <w:tr w:rsidRPr="00674EC6" w:rsidR="005C5C74" w:rsidTr="007B3F1A" w14:paraId="423A958E" w14:textId="77777777">
        <w:trPr>
          <w:trHeight w:val="300"/>
        </w:trPr>
        <w:tc>
          <w:tcPr>
            <w:tcW w:w="6804" w:type="dxa"/>
            <w:gridSpan w:val="2"/>
            <w:tcBorders>
              <w:top w:val="nil"/>
              <w:left w:val="nil"/>
              <w:bottom w:val="single" w:color="auto" w:sz="4" w:space="0"/>
              <w:right w:val="nil"/>
            </w:tcBorders>
            <w:noWrap/>
            <w:hideMark/>
          </w:tcPr>
          <w:p w:rsidRPr="00674EC6" w:rsidR="005C5C74" w:rsidP="007B3F1A" w:rsidRDefault="005C5C74" w14:paraId="5A2C9FF7" w14:textId="77777777">
            <w:pPr>
              <w:rPr>
                <w:rFonts w:ascii="Arial" w:hAnsi="Arial" w:eastAsia="Times New Roman" w:cs="Arial"/>
                <w:b/>
                <w:bCs/>
                <w:sz w:val="20"/>
                <w:szCs w:val="20"/>
              </w:rPr>
            </w:pPr>
            <w:r w:rsidRPr="00674EC6">
              <w:rPr>
                <w:rFonts w:ascii="Arial" w:hAnsi="Arial"/>
                <w:b/>
                <w:sz w:val="20"/>
              </w:rPr>
              <w:t>Afdeling 19 – Poster vedrørende substituerbarhed/finansiel infrastruktur</w:t>
            </w:r>
          </w:p>
        </w:tc>
        <w:tc>
          <w:tcPr>
            <w:tcW w:w="2745" w:type="dxa"/>
            <w:tcBorders>
              <w:top w:val="nil"/>
              <w:left w:val="nil"/>
              <w:right w:val="nil"/>
            </w:tcBorders>
            <w:hideMark/>
          </w:tcPr>
          <w:p w:rsidRPr="00674EC6" w:rsidR="005C5C74" w:rsidP="007B3F1A" w:rsidRDefault="005C5C74" w14:paraId="7D019EEB"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4FB0A1C6" w14:textId="77777777">
        <w:trPr>
          <w:trHeight w:val="300"/>
        </w:trPr>
        <w:tc>
          <w:tcPr>
            <w:tcW w:w="6804" w:type="dxa"/>
            <w:gridSpan w:val="2"/>
            <w:tcBorders>
              <w:left w:val="nil"/>
              <w:right w:val="nil"/>
            </w:tcBorders>
            <w:noWrap/>
          </w:tcPr>
          <w:p w:rsidRPr="005C5C74" w:rsidR="005C5C74" w:rsidP="005C5C74" w:rsidRDefault="005C5C74" w14:paraId="5C884FE9" w14:textId="77777777">
            <w:pPr>
              <w:ind w:left="171" w:firstLine="48" w:firstLineChars="22"/>
            </w:pPr>
            <w:r w:rsidRPr="005C5C74">
              <w:t>a. Handel med statsligt udstedte værdipapirer, eksklusive koncerninterne transaktioner</w:t>
            </w:r>
          </w:p>
        </w:tc>
        <w:tc>
          <w:tcPr>
            <w:tcW w:w="2745" w:type="dxa"/>
            <w:tcBorders>
              <w:left w:val="nil"/>
              <w:right w:val="nil"/>
            </w:tcBorders>
            <w:noWrap/>
          </w:tcPr>
          <w:p w:rsidRPr="00674EC6" w:rsidR="005C5C74" w:rsidP="007B3F1A" w:rsidRDefault="005C5C74" w14:paraId="746E89FD" w14:textId="77777777">
            <w:pPr>
              <w:jc w:val="right"/>
              <w:rPr>
                <w:rFonts w:ascii="Arial" w:hAnsi="Arial" w:eastAsia="Times New Roman" w:cs="Arial"/>
                <w:sz w:val="20"/>
                <w:szCs w:val="20"/>
                <w:lang w:eastAsia="en-GB"/>
              </w:rPr>
            </w:pPr>
          </w:p>
        </w:tc>
      </w:tr>
      <w:tr w:rsidRPr="00674EC6" w:rsidR="005C5C74" w:rsidTr="007B3F1A" w14:paraId="418CF4F7" w14:textId="77777777">
        <w:trPr>
          <w:trHeight w:val="300"/>
        </w:trPr>
        <w:tc>
          <w:tcPr>
            <w:tcW w:w="6804" w:type="dxa"/>
            <w:gridSpan w:val="2"/>
            <w:tcBorders>
              <w:left w:val="nil"/>
              <w:right w:val="nil"/>
            </w:tcBorders>
            <w:noWrap/>
          </w:tcPr>
          <w:p w:rsidRPr="005C5C74" w:rsidR="005C5C74" w:rsidP="005C5C74" w:rsidRDefault="005C5C74" w14:paraId="463B144D" w14:textId="77777777">
            <w:pPr>
              <w:ind w:left="171" w:firstLine="48" w:firstLineChars="22"/>
            </w:pPr>
            <w:r w:rsidRPr="005C5C74">
              <w:t>b. Startmargin for centrale modparter (CCP'er) på vegne af kunder</w:t>
            </w:r>
          </w:p>
        </w:tc>
        <w:tc>
          <w:tcPr>
            <w:tcW w:w="2745" w:type="dxa"/>
            <w:tcBorders>
              <w:left w:val="nil"/>
              <w:right w:val="nil"/>
            </w:tcBorders>
            <w:noWrap/>
          </w:tcPr>
          <w:p w:rsidRPr="00674EC6" w:rsidR="005C5C74" w:rsidP="007B3F1A" w:rsidRDefault="005C5C74" w14:paraId="6386B2F9" w14:textId="77777777">
            <w:pPr>
              <w:jc w:val="right"/>
              <w:rPr>
                <w:rFonts w:ascii="Arial" w:hAnsi="Arial" w:eastAsia="Times New Roman" w:cs="Arial"/>
                <w:sz w:val="20"/>
                <w:szCs w:val="20"/>
                <w:lang w:eastAsia="en-GB"/>
              </w:rPr>
            </w:pPr>
          </w:p>
        </w:tc>
      </w:tr>
      <w:tr w:rsidRPr="00674EC6" w:rsidR="005C5C74" w:rsidTr="007B3F1A" w14:paraId="4C65597E" w14:textId="77777777">
        <w:trPr>
          <w:trHeight w:val="300"/>
        </w:trPr>
        <w:tc>
          <w:tcPr>
            <w:tcW w:w="6804" w:type="dxa"/>
            <w:gridSpan w:val="2"/>
            <w:tcBorders>
              <w:left w:val="nil"/>
              <w:right w:val="nil"/>
            </w:tcBorders>
            <w:noWrap/>
          </w:tcPr>
          <w:p w:rsidRPr="005C5C74" w:rsidR="005C5C74" w:rsidP="005C5C74" w:rsidRDefault="005C5C74" w14:paraId="579E80E5" w14:textId="77777777">
            <w:pPr>
              <w:ind w:left="171" w:firstLine="48" w:firstLineChars="22"/>
            </w:pPr>
            <w:r w:rsidRPr="005C5C74">
              <w:t>c. Startmargin for CCP'er for den indberettende koncerns egen regning</w:t>
            </w:r>
          </w:p>
        </w:tc>
        <w:tc>
          <w:tcPr>
            <w:tcW w:w="2745" w:type="dxa"/>
            <w:tcBorders>
              <w:left w:val="nil"/>
              <w:right w:val="nil"/>
            </w:tcBorders>
            <w:noWrap/>
          </w:tcPr>
          <w:p w:rsidRPr="00674EC6" w:rsidR="005C5C74" w:rsidP="007B3F1A" w:rsidRDefault="005C5C74" w14:paraId="76C3B0DF" w14:textId="77777777">
            <w:pPr>
              <w:jc w:val="right"/>
              <w:rPr>
                <w:rFonts w:ascii="Arial" w:hAnsi="Arial" w:eastAsia="Times New Roman" w:cs="Arial"/>
                <w:sz w:val="20"/>
                <w:szCs w:val="20"/>
                <w:lang w:eastAsia="en-GB"/>
              </w:rPr>
            </w:pPr>
          </w:p>
        </w:tc>
      </w:tr>
      <w:tr w:rsidRPr="00674EC6" w:rsidR="005C5C74" w:rsidTr="007B3F1A" w14:paraId="79E4C702" w14:textId="77777777">
        <w:trPr>
          <w:trHeight w:val="300"/>
        </w:trPr>
        <w:tc>
          <w:tcPr>
            <w:tcW w:w="6804" w:type="dxa"/>
            <w:gridSpan w:val="2"/>
            <w:tcBorders>
              <w:left w:val="nil"/>
              <w:right w:val="nil"/>
            </w:tcBorders>
            <w:noWrap/>
            <w:hideMark/>
          </w:tcPr>
          <w:p w:rsidRPr="005C5C74" w:rsidR="005C5C74" w:rsidP="005C5C74" w:rsidRDefault="005C5C74" w14:paraId="672701A0" w14:textId="77777777">
            <w:pPr>
              <w:ind w:left="171" w:firstLine="48" w:firstLineChars="22"/>
            </w:pPr>
            <w:r w:rsidRPr="005C5C74">
              <w:t>d. Bidrag til misligholdelsesfonde til CCP'er</w:t>
            </w:r>
          </w:p>
        </w:tc>
        <w:tc>
          <w:tcPr>
            <w:tcW w:w="2745" w:type="dxa"/>
            <w:tcBorders>
              <w:left w:val="nil"/>
              <w:right w:val="nil"/>
            </w:tcBorders>
            <w:noWrap/>
            <w:hideMark/>
          </w:tcPr>
          <w:p w:rsidRPr="00674EC6" w:rsidR="005C5C74" w:rsidP="007B3F1A" w:rsidRDefault="005C5C74" w14:paraId="5E764292"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248B5D11" w14:textId="77777777">
        <w:trPr>
          <w:trHeight w:val="300"/>
        </w:trPr>
        <w:tc>
          <w:tcPr>
            <w:tcW w:w="6804" w:type="dxa"/>
            <w:gridSpan w:val="2"/>
            <w:tcBorders>
              <w:left w:val="nil"/>
              <w:right w:val="nil"/>
            </w:tcBorders>
            <w:noWrap/>
            <w:hideMark/>
          </w:tcPr>
          <w:p w:rsidRPr="005C5C74" w:rsidR="005C5C74" w:rsidP="005C5C74" w:rsidRDefault="005C5C74" w14:paraId="58B38E1D" w14:textId="77777777">
            <w:pPr>
              <w:ind w:left="171" w:firstLine="48" w:firstLineChars="22"/>
            </w:pPr>
            <w:r w:rsidRPr="005C5C74">
              <w:t>e. Andre faciliteter til CCP'er</w:t>
            </w:r>
          </w:p>
        </w:tc>
        <w:tc>
          <w:tcPr>
            <w:tcW w:w="2745" w:type="dxa"/>
            <w:tcBorders>
              <w:left w:val="nil"/>
              <w:right w:val="nil"/>
            </w:tcBorders>
            <w:noWrap/>
            <w:hideMark/>
          </w:tcPr>
          <w:p w:rsidRPr="00674EC6" w:rsidR="005C5C74" w:rsidP="007B3F1A" w:rsidRDefault="005C5C74" w14:paraId="7B5FC812"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2D8BA468" w14:textId="77777777">
        <w:trPr>
          <w:gridAfter w:val="1"/>
          <w:wAfter w:w="2745" w:type="dxa"/>
          <w:trHeight w:val="300"/>
        </w:trPr>
        <w:tc>
          <w:tcPr>
            <w:tcW w:w="6804" w:type="dxa"/>
            <w:gridSpan w:val="2"/>
            <w:tcBorders>
              <w:left w:val="nil"/>
              <w:right w:val="nil"/>
            </w:tcBorders>
            <w:noWrap/>
            <w:hideMark/>
          </w:tcPr>
          <w:p w:rsidRPr="005C5C74" w:rsidR="005C5C74" w:rsidP="005C5C74" w:rsidRDefault="005C5C74" w14:paraId="117E18D7" w14:textId="77777777">
            <w:pPr>
              <w:ind w:left="171" w:firstLine="48" w:firstLineChars="22"/>
            </w:pPr>
            <w:r w:rsidRPr="005C5C74">
              <w:t>f. Afviklingstjenester i forbindelse med centralt clearede transaktioner</w:t>
            </w:r>
          </w:p>
        </w:tc>
      </w:tr>
      <w:tr w:rsidRPr="00674EC6" w:rsidR="005C5C74" w:rsidTr="007B3F1A" w14:paraId="45CA47BE" w14:textId="77777777">
        <w:trPr>
          <w:trHeight w:val="300"/>
        </w:trPr>
        <w:tc>
          <w:tcPr>
            <w:tcW w:w="6804" w:type="dxa"/>
            <w:gridSpan w:val="2"/>
            <w:tcBorders>
              <w:left w:val="nil"/>
              <w:right w:val="nil"/>
            </w:tcBorders>
            <w:noWrap/>
            <w:hideMark/>
          </w:tcPr>
          <w:p w:rsidRPr="005C5C74" w:rsidR="005C5C74" w:rsidP="005C5C74" w:rsidRDefault="005C5C74" w14:paraId="612EFB60" w14:textId="77777777">
            <w:pPr>
              <w:ind w:left="171" w:firstLine="48" w:firstLineChars="22"/>
            </w:pPr>
            <w:r w:rsidRPr="005C5C74">
              <w:t xml:space="preserve">g. Kvartalsvis gennemsnitlig værdi af aktiver i depot </w:t>
            </w:r>
          </w:p>
        </w:tc>
        <w:tc>
          <w:tcPr>
            <w:tcW w:w="2745" w:type="dxa"/>
            <w:tcBorders>
              <w:left w:val="nil"/>
              <w:right w:val="nil"/>
            </w:tcBorders>
            <w:noWrap/>
            <w:hideMark/>
          </w:tcPr>
          <w:p w:rsidRPr="00674EC6" w:rsidR="005C5C74" w:rsidP="007B3F1A" w:rsidRDefault="005C5C74" w14:paraId="626E8AA8"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15AC5393" w14:textId="77777777">
        <w:trPr>
          <w:trHeight w:val="300"/>
        </w:trPr>
        <w:tc>
          <w:tcPr>
            <w:tcW w:w="6804" w:type="dxa"/>
            <w:gridSpan w:val="2"/>
            <w:tcBorders>
              <w:left w:val="nil"/>
              <w:bottom w:val="single" w:color="auto" w:sz="4" w:space="0"/>
              <w:right w:val="nil"/>
            </w:tcBorders>
            <w:noWrap/>
            <w:hideMark/>
          </w:tcPr>
          <w:p w:rsidRPr="005C5C74" w:rsidR="005C5C74" w:rsidP="005C5C74" w:rsidRDefault="005C5C74" w14:paraId="7C2F0F66" w14:textId="77777777">
            <w:pPr>
              <w:ind w:left="171" w:firstLine="48" w:firstLineChars="22"/>
            </w:pPr>
            <w:r w:rsidRPr="005C5C74">
              <w:t xml:space="preserve">h. Månedlig gennemsnitlig værdi af aktiver i depot </w:t>
            </w:r>
          </w:p>
        </w:tc>
        <w:tc>
          <w:tcPr>
            <w:tcW w:w="2745" w:type="dxa"/>
            <w:tcBorders>
              <w:left w:val="nil"/>
              <w:bottom w:val="single" w:color="auto" w:sz="4" w:space="0"/>
              <w:right w:val="nil"/>
            </w:tcBorders>
            <w:noWrap/>
            <w:hideMark/>
          </w:tcPr>
          <w:p w:rsidRPr="00674EC6" w:rsidR="005C5C74" w:rsidP="007B3F1A" w:rsidRDefault="005C5C74" w14:paraId="346EB1EB"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4652C5DD" w14:textId="77777777">
        <w:trPr>
          <w:trHeight w:val="300"/>
        </w:trPr>
        <w:tc>
          <w:tcPr>
            <w:tcW w:w="6804" w:type="dxa"/>
            <w:gridSpan w:val="2"/>
            <w:tcBorders>
              <w:left w:val="nil"/>
              <w:bottom w:val="nil"/>
              <w:right w:val="nil"/>
            </w:tcBorders>
            <w:noWrap/>
          </w:tcPr>
          <w:p w:rsidRPr="00674EC6" w:rsidR="005C5C74" w:rsidP="007B3F1A" w:rsidRDefault="005C5C74" w14:paraId="0F0EE1A8"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674EC6" w:rsidR="005C5C74" w:rsidP="007B3F1A" w:rsidRDefault="005C5C74" w14:paraId="48F3A6CC" w14:textId="77777777">
            <w:pPr>
              <w:jc w:val="center"/>
              <w:rPr>
                <w:rFonts w:ascii="Arial" w:hAnsi="Arial" w:eastAsia="Times New Roman" w:cs="Arial"/>
                <w:b/>
                <w:bCs/>
                <w:sz w:val="20"/>
                <w:szCs w:val="20"/>
                <w:lang w:eastAsia="en-GB"/>
              </w:rPr>
            </w:pPr>
          </w:p>
        </w:tc>
      </w:tr>
      <w:tr w:rsidRPr="00674EC6" w:rsidR="005C5C74" w:rsidTr="007B3F1A" w14:paraId="0ABF8597" w14:textId="77777777">
        <w:trPr>
          <w:trHeight w:val="300"/>
        </w:trPr>
        <w:tc>
          <w:tcPr>
            <w:tcW w:w="6804" w:type="dxa"/>
            <w:gridSpan w:val="2"/>
            <w:tcBorders>
              <w:top w:val="nil"/>
              <w:left w:val="nil"/>
              <w:right w:val="nil"/>
            </w:tcBorders>
            <w:noWrap/>
            <w:hideMark/>
          </w:tcPr>
          <w:p w:rsidRPr="00674EC6" w:rsidR="005C5C74" w:rsidP="007B3F1A" w:rsidRDefault="005C5C74" w14:paraId="707D7C62" w14:textId="77777777">
            <w:pPr>
              <w:rPr>
                <w:rFonts w:ascii="Arial" w:hAnsi="Arial" w:eastAsia="Times New Roman" w:cs="Arial"/>
                <w:b/>
                <w:bCs/>
                <w:sz w:val="20"/>
                <w:szCs w:val="20"/>
              </w:rPr>
            </w:pPr>
            <w:r w:rsidRPr="00674EC6">
              <w:rPr>
                <w:rFonts w:ascii="Arial" w:hAnsi="Arial"/>
                <w:b/>
                <w:sz w:val="20"/>
              </w:rPr>
              <w:t>Afdeling 20 – Poster vedrørende kompleksitet</w:t>
            </w:r>
          </w:p>
        </w:tc>
        <w:tc>
          <w:tcPr>
            <w:tcW w:w="2745" w:type="dxa"/>
            <w:tcBorders>
              <w:top w:val="nil"/>
              <w:left w:val="nil"/>
              <w:right w:val="nil"/>
            </w:tcBorders>
            <w:hideMark/>
          </w:tcPr>
          <w:p w:rsidRPr="00674EC6" w:rsidR="005C5C74" w:rsidP="007B3F1A" w:rsidRDefault="005C5C74" w14:paraId="1919B849"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721EF99B" w14:textId="77777777">
        <w:trPr>
          <w:trHeight w:val="300"/>
        </w:trPr>
        <w:tc>
          <w:tcPr>
            <w:tcW w:w="6804" w:type="dxa"/>
            <w:gridSpan w:val="2"/>
            <w:tcBorders>
              <w:left w:val="nil"/>
              <w:right w:val="nil"/>
            </w:tcBorders>
            <w:noWrap/>
            <w:hideMark/>
          </w:tcPr>
          <w:p w:rsidRPr="005C5C74" w:rsidR="005C5C74" w:rsidP="005C5C74" w:rsidRDefault="005C5C74" w14:paraId="7074A6C1" w14:textId="77777777">
            <w:pPr>
              <w:ind w:left="171" w:firstLine="48" w:firstLineChars="22"/>
            </w:pPr>
            <w:r w:rsidRPr="005C5C74">
              <w:t>a. Indikator for OTC-derivater (gammel indikator)</w:t>
            </w:r>
          </w:p>
        </w:tc>
        <w:tc>
          <w:tcPr>
            <w:tcW w:w="2745" w:type="dxa"/>
            <w:tcBorders>
              <w:left w:val="nil"/>
              <w:right w:val="nil"/>
            </w:tcBorders>
            <w:noWrap/>
            <w:hideMark/>
          </w:tcPr>
          <w:p w:rsidRPr="00674EC6" w:rsidR="005C5C74" w:rsidP="007B3F1A" w:rsidRDefault="005C5C74" w14:paraId="462E1D18" w14:textId="77777777">
            <w:pPr>
              <w:jc w:val="right"/>
              <w:rPr>
                <w:rFonts w:ascii="Arial" w:hAnsi="Arial" w:eastAsia="Times New Roman" w:cs="Arial"/>
                <w:sz w:val="20"/>
                <w:szCs w:val="20"/>
              </w:rPr>
            </w:pPr>
            <w:r w:rsidRPr="00674EC6">
              <w:rPr>
                <w:rFonts w:ascii="Arial" w:hAnsi="Arial"/>
                <w:sz w:val="20"/>
              </w:rPr>
              <w:t> </w:t>
            </w:r>
          </w:p>
        </w:tc>
      </w:tr>
      <w:tr w:rsidRPr="00674EC6" w:rsidR="005C5C74" w:rsidTr="007B3F1A" w14:paraId="7A6CB81E" w14:textId="77777777">
        <w:trPr>
          <w:trHeight w:val="300"/>
        </w:trPr>
        <w:tc>
          <w:tcPr>
            <w:tcW w:w="6804" w:type="dxa"/>
            <w:gridSpan w:val="2"/>
            <w:tcBorders>
              <w:left w:val="nil"/>
              <w:right w:val="nil"/>
            </w:tcBorders>
            <w:noWrap/>
          </w:tcPr>
          <w:p w:rsidRPr="005C5C74" w:rsidR="005C5C74" w:rsidP="005C5C74" w:rsidRDefault="005C5C74" w14:paraId="295AB1FC" w14:textId="77777777">
            <w:pPr>
              <w:ind w:left="171" w:firstLine="48" w:firstLineChars="22"/>
            </w:pPr>
            <w:r w:rsidRPr="005C5C74">
              <w:t>b. Nominel værdi af OTC-derivater, inklusive forsikringsdatterselskaber:</w:t>
            </w:r>
          </w:p>
        </w:tc>
        <w:tc>
          <w:tcPr>
            <w:tcW w:w="2745" w:type="dxa"/>
            <w:tcBorders>
              <w:left w:val="nil"/>
              <w:right w:val="nil"/>
            </w:tcBorders>
            <w:noWrap/>
          </w:tcPr>
          <w:p w:rsidRPr="00674EC6" w:rsidR="005C5C74" w:rsidP="007B3F1A" w:rsidRDefault="005C5C74" w14:paraId="176AE1FF" w14:textId="77777777">
            <w:pPr>
              <w:jc w:val="right"/>
              <w:rPr>
                <w:rFonts w:ascii="Arial" w:hAnsi="Arial" w:eastAsia="Times New Roman" w:cs="Arial"/>
                <w:sz w:val="20"/>
                <w:szCs w:val="20"/>
                <w:lang w:eastAsia="en-GB"/>
              </w:rPr>
            </w:pPr>
          </w:p>
        </w:tc>
      </w:tr>
      <w:tr w:rsidRPr="00674EC6" w:rsidR="005C5C74" w:rsidTr="007B3F1A" w14:paraId="22702511" w14:textId="77777777">
        <w:trPr>
          <w:trHeight w:val="300"/>
        </w:trPr>
        <w:tc>
          <w:tcPr>
            <w:tcW w:w="6804" w:type="dxa"/>
            <w:gridSpan w:val="2"/>
            <w:tcBorders>
              <w:left w:val="nil"/>
              <w:right w:val="nil"/>
            </w:tcBorders>
            <w:noWrap/>
          </w:tcPr>
          <w:p w:rsidRPr="005C5C74" w:rsidR="005C5C74" w:rsidP="005C5C74" w:rsidRDefault="005C5C74" w14:paraId="37E057DA" w14:textId="77777777">
            <w:pPr>
              <w:ind w:left="171" w:firstLine="48" w:firstLineChars="22"/>
            </w:pPr>
            <w:r w:rsidRPr="005C5C74">
              <w:t>(1) Clearet gennem en CCP, hvor koncernen (inklusive forsikringsdatterselskaber) fungerer som finansiel formidler (CCP-ben)</w:t>
            </w:r>
          </w:p>
        </w:tc>
        <w:tc>
          <w:tcPr>
            <w:tcW w:w="2745" w:type="dxa"/>
            <w:tcBorders>
              <w:left w:val="nil"/>
              <w:right w:val="nil"/>
            </w:tcBorders>
            <w:noWrap/>
          </w:tcPr>
          <w:p w:rsidRPr="00674EC6" w:rsidR="005C5C74" w:rsidP="007B3F1A" w:rsidRDefault="005C5C74" w14:paraId="349710E6" w14:textId="77777777">
            <w:pPr>
              <w:jc w:val="right"/>
              <w:rPr>
                <w:rFonts w:ascii="Arial" w:hAnsi="Arial" w:eastAsia="Times New Roman" w:cs="Arial"/>
                <w:sz w:val="20"/>
                <w:szCs w:val="20"/>
                <w:lang w:eastAsia="en-GB"/>
              </w:rPr>
            </w:pPr>
          </w:p>
        </w:tc>
      </w:tr>
      <w:tr w:rsidRPr="00674EC6" w:rsidR="005C5C74" w:rsidTr="007B3F1A" w14:paraId="004F2483" w14:textId="77777777">
        <w:trPr>
          <w:trHeight w:val="300"/>
        </w:trPr>
        <w:tc>
          <w:tcPr>
            <w:tcW w:w="6804" w:type="dxa"/>
            <w:gridSpan w:val="2"/>
            <w:tcBorders>
              <w:left w:val="nil"/>
              <w:right w:val="nil"/>
            </w:tcBorders>
            <w:noWrap/>
          </w:tcPr>
          <w:p w:rsidRPr="005C5C74" w:rsidR="005C5C74" w:rsidP="005C5C74" w:rsidRDefault="005C5C74" w14:paraId="434ACB07" w14:textId="77777777">
            <w:pPr>
              <w:ind w:left="171" w:firstLine="48" w:firstLineChars="22"/>
            </w:pPr>
            <w:r w:rsidRPr="005C5C74">
              <w:t xml:space="preserve">(2) Clearet gennem en CCP, hvor koncernen (inklusive forsikringsdatterselskaber) fungerer som finansiel formidler (kunde-ben) </w:t>
            </w:r>
          </w:p>
        </w:tc>
        <w:tc>
          <w:tcPr>
            <w:tcW w:w="2745" w:type="dxa"/>
            <w:tcBorders>
              <w:left w:val="nil"/>
              <w:right w:val="nil"/>
            </w:tcBorders>
            <w:noWrap/>
          </w:tcPr>
          <w:p w:rsidRPr="00674EC6" w:rsidR="005C5C74" w:rsidP="007B3F1A" w:rsidRDefault="005C5C74" w14:paraId="275B9AD2" w14:textId="77777777">
            <w:pPr>
              <w:jc w:val="right"/>
              <w:rPr>
                <w:rFonts w:ascii="Arial" w:hAnsi="Arial" w:eastAsia="Times New Roman" w:cs="Arial"/>
                <w:sz w:val="20"/>
                <w:szCs w:val="20"/>
                <w:lang w:eastAsia="en-GB"/>
              </w:rPr>
            </w:pPr>
          </w:p>
        </w:tc>
      </w:tr>
      <w:tr w:rsidRPr="00674EC6" w:rsidR="005C5C74" w:rsidTr="007B3F1A" w14:paraId="085A3124" w14:textId="77777777">
        <w:trPr>
          <w:trHeight w:val="300"/>
        </w:trPr>
        <w:tc>
          <w:tcPr>
            <w:tcW w:w="6804" w:type="dxa"/>
            <w:gridSpan w:val="2"/>
            <w:tcBorders>
              <w:left w:val="nil"/>
              <w:right w:val="nil"/>
            </w:tcBorders>
            <w:noWrap/>
          </w:tcPr>
          <w:p w:rsidRPr="005C5C74" w:rsidR="005C5C74" w:rsidP="005C5C74" w:rsidRDefault="005C5C74" w14:paraId="77386E3C" w14:textId="77777777">
            <w:pPr>
              <w:ind w:left="171" w:firstLine="48" w:firstLineChars="22"/>
            </w:pPr>
            <w:r w:rsidRPr="005C5C74">
              <w:t xml:space="preserve">(3) Clearet gennem en CCP, hvor koncernen, inklusive forsikringsdatterselskaber, fungerer som agent </w:t>
            </w:r>
          </w:p>
        </w:tc>
        <w:tc>
          <w:tcPr>
            <w:tcW w:w="2745" w:type="dxa"/>
            <w:tcBorders>
              <w:left w:val="nil"/>
              <w:right w:val="nil"/>
            </w:tcBorders>
            <w:noWrap/>
          </w:tcPr>
          <w:p w:rsidRPr="00674EC6" w:rsidR="005C5C74" w:rsidP="007B3F1A" w:rsidRDefault="005C5C74" w14:paraId="4AE9D9ED" w14:textId="77777777">
            <w:pPr>
              <w:jc w:val="right"/>
              <w:rPr>
                <w:rFonts w:ascii="Arial" w:hAnsi="Arial" w:eastAsia="Times New Roman" w:cs="Arial"/>
                <w:sz w:val="20"/>
                <w:szCs w:val="20"/>
                <w:lang w:eastAsia="en-GB"/>
              </w:rPr>
            </w:pPr>
          </w:p>
        </w:tc>
      </w:tr>
      <w:tr w:rsidRPr="00674EC6" w:rsidR="005C5C74" w:rsidTr="007B3F1A" w14:paraId="6464356B" w14:textId="77777777">
        <w:trPr>
          <w:trHeight w:val="300"/>
        </w:trPr>
        <w:tc>
          <w:tcPr>
            <w:tcW w:w="6804" w:type="dxa"/>
            <w:gridSpan w:val="2"/>
            <w:tcBorders>
              <w:left w:val="nil"/>
              <w:right w:val="nil"/>
            </w:tcBorders>
            <w:noWrap/>
          </w:tcPr>
          <w:p w:rsidRPr="005C5C74" w:rsidR="005C5C74" w:rsidP="005C5C74" w:rsidRDefault="005C5C74" w14:paraId="071BF5F8" w14:textId="77777777">
            <w:pPr>
              <w:ind w:left="171" w:firstLine="48" w:firstLineChars="22"/>
            </w:pPr>
            <w:r w:rsidRPr="005C5C74">
              <w:t>(4) Clearet gennem en CCP, hvor koncernen, inklusive forsikringsdatterselskaber, handler for egen regning</w:t>
            </w:r>
          </w:p>
        </w:tc>
        <w:tc>
          <w:tcPr>
            <w:tcW w:w="2745" w:type="dxa"/>
            <w:tcBorders>
              <w:left w:val="nil"/>
              <w:right w:val="nil"/>
            </w:tcBorders>
            <w:noWrap/>
          </w:tcPr>
          <w:p w:rsidRPr="00674EC6" w:rsidR="005C5C74" w:rsidP="007B3F1A" w:rsidRDefault="005C5C74" w14:paraId="56B7CDEF" w14:textId="77777777">
            <w:pPr>
              <w:jc w:val="right"/>
              <w:rPr>
                <w:rFonts w:ascii="Arial" w:hAnsi="Arial" w:eastAsia="Times New Roman" w:cs="Arial"/>
                <w:sz w:val="20"/>
                <w:szCs w:val="20"/>
                <w:lang w:eastAsia="en-GB"/>
              </w:rPr>
            </w:pPr>
          </w:p>
        </w:tc>
      </w:tr>
      <w:tr w:rsidRPr="00674EC6" w:rsidR="005C5C74" w:rsidTr="007B3F1A" w14:paraId="72C2FE20" w14:textId="77777777">
        <w:trPr>
          <w:trHeight w:val="300"/>
        </w:trPr>
        <w:tc>
          <w:tcPr>
            <w:tcW w:w="6804" w:type="dxa"/>
            <w:gridSpan w:val="2"/>
            <w:tcBorders>
              <w:left w:val="nil"/>
              <w:right w:val="nil"/>
            </w:tcBorders>
            <w:noWrap/>
          </w:tcPr>
          <w:p w:rsidRPr="005C5C74" w:rsidR="005C5C74" w:rsidP="005C5C74" w:rsidRDefault="005C5C74" w14:paraId="736243C7" w14:textId="77777777">
            <w:pPr>
              <w:ind w:left="171" w:firstLine="48" w:firstLineChars="22"/>
            </w:pPr>
            <w:r w:rsidRPr="005C5C74">
              <w:t>c. OTC-derivater clearet gennem en CCP (undtagelse fra LIBOR-overgang)</w:t>
            </w:r>
          </w:p>
        </w:tc>
        <w:tc>
          <w:tcPr>
            <w:tcW w:w="2745" w:type="dxa"/>
            <w:tcBorders>
              <w:left w:val="nil"/>
              <w:right w:val="nil"/>
            </w:tcBorders>
            <w:noWrap/>
          </w:tcPr>
          <w:p w:rsidRPr="00674EC6" w:rsidR="005C5C74" w:rsidP="007B3F1A" w:rsidRDefault="005C5C74" w14:paraId="1BCF1771" w14:textId="77777777">
            <w:pPr>
              <w:jc w:val="right"/>
              <w:rPr>
                <w:rFonts w:ascii="Arial" w:hAnsi="Arial" w:eastAsia="Times New Roman" w:cs="Arial"/>
                <w:sz w:val="20"/>
                <w:szCs w:val="20"/>
                <w:lang w:eastAsia="en-GB"/>
              </w:rPr>
            </w:pPr>
          </w:p>
        </w:tc>
      </w:tr>
      <w:tr w:rsidRPr="00674EC6" w:rsidR="005C5C74" w:rsidTr="007B3F1A" w14:paraId="4EBAE89A" w14:textId="77777777">
        <w:trPr>
          <w:trHeight w:val="300"/>
        </w:trPr>
        <w:tc>
          <w:tcPr>
            <w:tcW w:w="6804" w:type="dxa"/>
            <w:gridSpan w:val="2"/>
            <w:tcBorders>
              <w:left w:val="nil"/>
              <w:right w:val="nil"/>
            </w:tcBorders>
            <w:noWrap/>
          </w:tcPr>
          <w:p w:rsidRPr="005C5C74" w:rsidR="005C5C74" w:rsidP="005C5C74" w:rsidRDefault="005C5C74" w14:paraId="3D9BF4AE" w14:textId="77777777">
            <w:pPr>
              <w:ind w:left="171" w:firstLine="48" w:firstLineChars="22"/>
            </w:pPr>
            <w:r w:rsidRPr="005C5C74">
              <w:lastRenderedPageBreak/>
              <w:t xml:space="preserve">d. Kvartalsvis gennemsnitlig værdi af den nominelle værdi af OTC-derivater </w:t>
            </w:r>
          </w:p>
        </w:tc>
        <w:tc>
          <w:tcPr>
            <w:tcW w:w="2745" w:type="dxa"/>
            <w:tcBorders>
              <w:left w:val="nil"/>
              <w:right w:val="nil"/>
            </w:tcBorders>
            <w:noWrap/>
          </w:tcPr>
          <w:p w:rsidRPr="00674EC6" w:rsidR="005C5C74" w:rsidP="007B3F1A" w:rsidRDefault="005C5C74" w14:paraId="23069626" w14:textId="77777777">
            <w:pPr>
              <w:jc w:val="right"/>
              <w:rPr>
                <w:rFonts w:ascii="Arial" w:hAnsi="Arial" w:eastAsia="Times New Roman" w:cs="Arial"/>
                <w:sz w:val="20"/>
                <w:szCs w:val="20"/>
                <w:lang w:eastAsia="en-GB"/>
              </w:rPr>
            </w:pPr>
          </w:p>
        </w:tc>
      </w:tr>
      <w:tr w:rsidRPr="00674EC6" w:rsidR="005C5C74" w:rsidTr="007B3F1A" w14:paraId="7FE62A66" w14:textId="77777777">
        <w:trPr>
          <w:trHeight w:val="300"/>
        </w:trPr>
        <w:tc>
          <w:tcPr>
            <w:tcW w:w="6804" w:type="dxa"/>
            <w:gridSpan w:val="2"/>
            <w:tcBorders>
              <w:left w:val="nil"/>
              <w:right w:val="nil"/>
            </w:tcBorders>
            <w:noWrap/>
          </w:tcPr>
          <w:p w:rsidRPr="005C5C74" w:rsidR="005C5C74" w:rsidP="005C5C74" w:rsidRDefault="005C5C74" w14:paraId="737A29A5" w14:textId="77777777">
            <w:pPr>
              <w:ind w:left="171" w:firstLine="48" w:firstLineChars="22"/>
            </w:pPr>
            <w:r w:rsidRPr="005C5C74">
              <w:t xml:space="preserve">e. Månedlig gennemsnitlig værdi af den nominelle værdi af OTC-derivater </w:t>
            </w:r>
          </w:p>
        </w:tc>
        <w:tc>
          <w:tcPr>
            <w:tcW w:w="2745" w:type="dxa"/>
            <w:tcBorders>
              <w:left w:val="nil"/>
              <w:right w:val="nil"/>
            </w:tcBorders>
            <w:noWrap/>
          </w:tcPr>
          <w:p w:rsidRPr="00674EC6" w:rsidR="005C5C74" w:rsidP="007B3F1A" w:rsidRDefault="005C5C74" w14:paraId="309C86A5" w14:textId="77777777">
            <w:pPr>
              <w:jc w:val="right"/>
              <w:rPr>
                <w:rFonts w:ascii="Arial" w:hAnsi="Arial" w:eastAsia="Times New Roman" w:cs="Arial"/>
                <w:sz w:val="20"/>
                <w:szCs w:val="20"/>
                <w:lang w:eastAsia="en-GB"/>
              </w:rPr>
            </w:pPr>
          </w:p>
        </w:tc>
      </w:tr>
      <w:tr w:rsidRPr="00674EC6" w:rsidR="005C5C74" w:rsidTr="007B3F1A" w14:paraId="4BECC4FC" w14:textId="77777777">
        <w:trPr>
          <w:trHeight w:val="300"/>
        </w:trPr>
        <w:tc>
          <w:tcPr>
            <w:tcW w:w="6804" w:type="dxa"/>
            <w:gridSpan w:val="2"/>
            <w:tcBorders>
              <w:left w:val="nil"/>
              <w:right w:val="nil"/>
            </w:tcBorders>
            <w:noWrap/>
          </w:tcPr>
          <w:p w:rsidRPr="005C5C74" w:rsidR="005C5C74" w:rsidP="005C5C74" w:rsidRDefault="005C5C74" w14:paraId="3BF58FAE" w14:textId="77777777">
            <w:pPr>
              <w:ind w:left="171" w:firstLine="48" w:firstLineChars="22"/>
            </w:pPr>
            <w:r w:rsidRPr="005C5C74">
              <w:t xml:space="preserve">f. Kvartalsvis gennemsnitlig værdi af værdipapirer, der besiddes med handel for øje, og værdipapirer, der er disponible for salg </w:t>
            </w:r>
          </w:p>
        </w:tc>
        <w:tc>
          <w:tcPr>
            <w:tcW w:w="2745" w:type="dxa"/>
            <w:tcBorders>
              <w:left w:val="nil"/>
              <w:right w:val="nil"/>
            </w:tcBorders>
            <w:noWrap/>
          </w:tcPr>
          <w:p w:rsidRPr="00674EC6" w:rsidR="005C5C74" w:rsidP="007B3F1A" w:rsidRDefault="005C5C74" w14:paraId="5695CD2B" w14:textId="77777777">
            <w:pPr>
              <w:jc w:val="right"/>
              <w:rPr>
                <w:rFonts w:ascii="Arial" w:hAnsi="Arial" w:eastAsia="Times New Roman" w:cs="Arial"/>
                <w:sz w:val="20"/>
                <w:szCs w:val="20"/>
                <w:lang w:eastAsia="en-GB"/>
              </w:rPr>
            </w:pPr>
          </w:p>
        </w:tc>
      </w:tr>
      <w:tr w:rsidRPr="00674EC6" w:rsidR="005C5C74" w:rsidTr="007B3F1A" w14:paraId="57A17353" w14:textId="77777777">
        <w:trPr>
          <w:trHeight w:val="300"/>
        </w:trPr>
        <w:tc>
          <w:tcPr>
            <w:tcW w:w="6804" w:type="dxa"/>
            <w:gridSpan w:val="2"/>
            <w:tcBorders>
              <w:left w:val="nil"/>
              <w:right w:val="nil"/>
            </w:tcBorders>
            <w:noWrap/>
          </w:tcPr>
          <w:p w:rsidRPr="005C5C74" w:rsidR="005C5C74" w:rsidP="005C5C74" w:rsidRDefault="005C5C74" w14:paraId="554DD3A2" w14:textId="77777777">
            <w:pPr>
              <w:ind w:left="171" w:firstLine="48" w:firstLineChars="22"/>
            </w:pPr>
            <w:r w:rsidRPr="005C5C74">
              <w:t xml:space="preserve">g. Månedlig gennemsnitlig værdi af værdipapirer, der besiddes med handel for øje, og værdipapirer, der er disponible for salg </w:t>
            </w:r>
          </w:p>
        </w:tc>
        <w:tc>
          <w:tcPr>
            <w:tcW w:w="2745" w:type="dxa"/>
            <w:tcBorders>
              <w:left w:val="nil"/>
              <w:right w:val="nil"/>
            </w:tcBorders>
            <w:noWrap/>
          </w:tcPr>
          <w:p w:rsidRPr="00674EC6" w:rsidR="005C5C74" w:rsidP="007B3F1A" w:rsidRDefault="005C5C74" w14:paraId="25BCD0C2" w14:textId="77777777">
            <w:pPr>
              <w:jc w:val="right"/>
              <w:rPr>
                <w:rFonts w:ascii="Arial" w:hAnsi="Arial" w:eastAsia="Times New Roman" w:cs="Arial"/>
                <w:sz w:val="20"/>
                <w:szCs w:val="20"/>
                <w:lang w:eastAsia="en-GB"/>
              </w:rPr>
            </w:pPr>
          </w:p>
        </w:tc>
      </w:tr>
      <w:tr w:rsidRPr="00674EC6" w:rsidR="005C5C74" w:rsidTr="007B3F1A" w14:paraId="6C7158D9" w14:textId="77777777">
        <w:trPr>
          <w:trHeight w:val="300"/>
        </w:trPr>
        <w:tc>
          <w:tcPr>
            <w:tcW w:w="6804" w:type="dxa"/>
            <w:gridSpan w:val="2"/>
            <w:tcBorders>
              <w:left w:val="nil"/>
              <w:right w:val="nil"/>
            </w:tcBorders>
            <w:noWrap/>
          </w:tcPr>
          <w:p w:rsidRPr="005C5C74" w:rsidR="005C5C74" w:rsidP="005C5C74" w:rsidRDefault="005C5C74" w14:paraId="67D2109D" w14:textId="77777777">
            <w:pPr>
              <w:ind w:left="171" w:firstLine="48" w:firstLineChars="22"/>
            </w:pPr>
            <w:r w:rsidRPr="005C5C74">
              <w:t>h. Indikator for aktiver på niveau 3 (gamle indikator)</w:t>
            </w:r>
          </w:p>
        </w:tc>
        <w:tc>
          <w:tcPr>
            <w:tcW w:w="2745" w:type="dxa"/>
            <w:tcBorders>
              <w:left w:val="nil"/>
              <w:right w:val="nil"/>
            </w:tcBorders>
            <w:noWrap/>
          </w:tcPr>
          <w:p w:rsidRPr="00674EC6" w:rsidR="005C5C74" w:rsidP="007B3F1A" w:rsidRDefault="005C5C74" w14:paraId="00D45299" w14:textId="77777777">
            <w:pPr>
              <w:jc w:val="right"/>
              <w:rPr>
                <w:rFonts w:ascii="Arial" w:hAnsi="Arial" w:eastAsia="Times New Roman" w:cs="Arial"/>
                <w:sz w:val="20"/>
                <w:szCs w:val="20"/>
                <w:lang w:eastAsia="en-GB"/>
              </w:rPr>
            </w:pPr>
          </w:p>
        </w:tc>
      </w:tr>
      <w:tr w:rsidRPr="00674EC6" w:rsidR="005C5C74" w:rsidTr="007B3F1A" w14:paraId="61B27593" w14:textId="77777777">
        <w:trPr>
          <w:trHeight w:val="300"/>
        </w:trPr>
        <w:tc>
          <w:tcPr>
            <w:tcW w:w="6804" w:type="dxa"/>
            <w:gridSpan w:val="2"/>
            <w:tcBorders>
              <w:left w:val="nil"/>
              <w:right w:val="nil"/>
            </w:tcBorders>
            <w:noWrap/>
          </w:tcPr>
          <w:p w:rsidRPr="005C5C74" w:rsidR="005C5C74" w:rsidP="005C5C74" w:rsidRDefault="005C5C74" w14:paraId="536A6F8C" w14:textId="77777777">
            <w:pPr>
              <w:ind w:left="171" w:firstLine="48" w:firstLineChars="22"/>
            </w:pPr>
            <w:r w:rsidRPr="005C5C74">
              <w:t xml:space="preserve">i. Kvartalsvis gennemsnitlig værdi af aktiver på niveau 3 </w:t>
            </w:r>
          </w:p>
        </w:tc>
        <w:tc>
          <w:tcPr>
            <w:tcW w:w="2745" w:type="dxa"/>
            <w:tcBorders>
              <w:left w:val="nil"/>
              <w:right w:val="nil"/>
            </w:tcBorders>
            <w:noWrap/>
          </w:tcPr>
          <w:p w:rsidRPr="00674EC6" w:rsidR="005C5C74" w:rsidP="007B3F1A" w:rsidRDefault="005C5C74" w14:paraId="354636D6" w14:textId="77777777">
            <w:pPr>
              <w:jc w:val="right"/>
              <w:rPr>
                <w:rFonts w:ascii="Arial" w:hAnsi="Arial" w:eastAsia="Times New Roman" w:cs="Arial"/>
                <w:sz w:val="20"/>
                <w:szCs w:val="20"/>
                <w:lang w:eastAsia="en-GB"/>
              </w:rPr>
            </w:pPr>
          </w:p>
        </w:tc>
      </w:tr>
      <w:tr w:rsidRPr="00674EC6" w:rsidR="005C5C74" w:rsidTr="007B3F1A" w14:paraId="2B5DAD60" w14:textId="77777777">
        <w:trPr>
          <w:trHeight w:val="300"/>
        </w:trPr>
        <w:tc>
          <w:tcPr>
            <w:tcW w:w="6804" w:type="dxa"/>
            <w:gridSpan w:val="2"/>
            <w:tcBorders>
              <w:left w:val="nil"/>
              <w:right w:val="nil"/>
            </w:tcBorders>
            <w:noWrap/>
          </w:tcPr>
          <w:p w:rsidRPr="005C5C74" w:rsidR="005C5C74" w:rsidP="005C5C74" w:rsidRDefault="005C5C74" w14:paraId="16556D55" w14:textId="77777777">
            <w:pPr>
              <w:ind w:left="171" w:firstLine="48" w:firstLineChars="22"/>
            </w:pPr>
            <w:r w:rsidRPr="005C5C74">
              <w:t xml:space="preserve">j. Månedlig gennemsnitlig værdi af aktiver på niveau 3  </w:t>
            </w:r>
          </w:p>
        </w:tc>
        <w:tc>
          <w:tcPr>
            <w:tcW w:w="2745" w:type="dxa"/>
            <w:tcBorders>
              <w:left w:val="nil"/>
              <w:right w:val="nil"/>
            </w:tcBorders>
            <w:noWrap/>
          </w:tcPr>
          <w:p w:rsidRPr="00674EC6" w:rsidR="005C5C74" w:rsidP="007B3F1A" w:rsidRDefault="005C5C74" w14:paraId="6650230E" w14:textId="77777777">
            <w:pPr>
              <w:jc w:val="right"/>
              <w:rPr>
                <w:rFonts w:ascii="Arial" w:hAnsi="Arial" w:eastAsia="Times New Roman" w:cs="Arial"/>
                <w:sz w:val="20"/>
                <w:szCs w:val="20"/>
                <w:lang w:eastAsia="en-GB"/>
              </w:rPr>
            </w:pPr>
          </w:p>
        </w:tc>
      </w:tr>
      <w:tr w:rsidRPr="00674EC6" w:rsidR="005C5C74" w:rsidTr="007B3F1A" w14:paraId="1DD01E8F" w14:textId="77777777">
        <w:trPr>
          <w:trHeight w:val="300"/>
        </w:trPr>
        <w:tc>
          <w:tcPr>
            <w:tcW w:w="6804" w:type="dxa"/>
            <w:gridSpan w:val="2"/>
            <w:tcBorders>
              <w:left w:val="nil"/>
              <w:right w:val="nil"/>
            </w:tcBorders>
            <w:noWrap/>
          </w:tcPr>
          <w:p w:rsidRPr="005C5C74" w:rsidR="005C5C74" w:rsidP="005C5C74" w:rsidRDefault="005C5C74" w14:paraId="43D0F4D2" w14:textId="77777777">
            <w:pPr>
              <w:ind w:left="171" w:firstLine="48" w:firstLineChars="22"/>
            </w:pPr>
            <w:r w:rsidRPr="005C5C74">
              <w:t>k. Aktiver på niveau 2, inklusive forsikringsdatterselskaber</w:t>
            </w:r>
          </w:p>
        </w:tc>
        <w:tc>
          <w:tcPr>
            <w:tcW w:w="2745" w:type="dxa"/>
            <w:tcBorders>
              <w:left w:val="nil"/>
              <w:right w:val="nil"/>
            </w:tcBorders>
            <w:noWrap/>
          </w:tcPr>
          <w:p w:rsidRPr="00674EC6" w:rsidR="005C5C74" w:rsidP="007B3F1A" w:rsidRDefault="005C5C74" w14:paraId="424CF7ED" w14:textId="77777777">
            <w:pPr>
              <w:jc w:val="right"/>
              <w:rPr>
                <w:rFonts w:ascii="Arial" w:hAnsi="Arial" w:eastAsia="Times New Roman" w:cs="Arial"/>
                <w:sz w:val="20"/>
                <w:szCs w:val="20"/>
                <w:lang w:eastAsia="en-GB"/>
              </w:rPr>
            </w:pPr>
          </w:p>
        </w:tc>
      </w:tr>
      <w:tr w:rsidRPr="00674EC6" w:rsidR="005C5C74" w:rsidTr="007B3F1A" w14:paraId="43E4B77F" w14:textId="77777777">
        <w:trPr>
          <w:trHeight w:val="300"/>
        </w:trPr>
        <w:tc>
          <w:tcPr>
            <w:tcW w:w="6804" w:type="dxa"/>
            <w:gridSpan w:val="2"/>
            <w:tcBorders>
              <w:left w:val="nil"/>
              <w:right w:val="nil"/>
            </w:tcBorders>
            <w:noWrap/>
          </w:tcPr>
          <w:p w:rsidRPr="005C5C74" w:rsidR="005C5C74" w:rsidP="005C5C74" w:rsidRDefault="005C5C74" w14:paraId="54311729" w14:textId="77777777">
            <w:pPr>
              <w:ind w:left="171" w:firstLine="48" w:firstLineChars="22"/>
            </w:pPr>
            <w:r w:rsidRPr="005C5C74">
              <w:t>(1) Aktiver på niveau 2, inklusive forsikringsdatterselskaber, clearet gennem en CCP</w:t>
            </w:r>
          </w:p>
        </w:tc>
        <w:tc>
          <w:tcPr>
            <w:tcW w:w="2745" w:type="dxa"/>
            <w:tcBorders>
              <w:left w:val="nil"/>
              <w:right w:val="nil"/>
            </w:tcBorders>
            <w:noWrap/>
          </w:tcPr>
          <w:p w:rsidRPr="00674EC6" w:rsidR="005C5C74" w:rsidP="007B3F1A" w:rsidRDefault="005C5C74" w14:paraId="7A52571C" w14:textId="77777777">
            <w:pPr>
              <w:jc w:val="right"/>
              <w:rPr>
                <w:rFonts w:ascii="Arial" w:hAnsi="Arial" w:eastAsia="Times New Roman" w:cs="Arial"/>
                <w:sz w:val="20"/>
                <w:szCs w:val="20"/>
                <w:lang w:eastAsia="en-GB"/>
              </w:rPr>
            </w:pPr>
          </w:p>
        </w:tc>
      </w:tr>
      <w:tr w:rsidRPr="00674EC6" w:rsidR="005C5C74" w:rsidTr="007B3F1A" w14:paraId="5B732D28" w14:textId="77777777">
        <w:trPr>
          <w:trHeight w:val="300"/>
        </w:trPr>
        <w:tc>
          <w:tcPr>
            <w:tcW w:w="6804" w:type="dxa"/>
            <w:gridSpan w:val="2"/>
            <w:tcBorders>
              <w:left w:val="nil"/>
              <w:right w:val="nil"/>
            </w:tcBorders>
            <w:noWrap/>
          </w:tcPr>
          <w:p w:rsidRPr="00674EC6" w:rsidR="005C5C74" w:rsidP="007B3F1A" w:rsidRDefault="005C5C74" w14:paraId="38605363" w14:textId="77777777">
            <w:pPr>
              <w:ind w:left="454" w:hanging="141"/>
              <w:rPr>
                <w:rFonts w:ascii="Arial" w:hAnsi="Arial" w:eastAsia="Times New Roman" w:cs="Arial"/>
                <w:sz w:val="20"/>
                <w:szCs w:val="20"/>
              </w:rPr>
            </w:pPr>
            <w:r w:rsidRPr="00674EC6">
              <w:rPr>
                <w:rFonts w:ascii="Arial" w:hAnsi="Arial"/>
                <w:sz w:val="20"/>
                <w:lang w:eastAsia="en-GB"/>
              </w:rPr>
              <w:t xml:space="preserve">(2) </w:t>
            </w:r>
            <w:r w:rsidRPr="00674EC6">
              <w:rPr>
                <w:rFonts w:ascii="Arial" w:hAnsi="Arial"/>
                <w:sz w:val="20"/>
              </w:rPr>
              <w:t>Aktiver på niveau 2, inklusive forsikringsdatterselskaber, afregnet bilateralt</w:t>
            </w:r>
          </w:p>
        </w:tc>
        <w:tc>
          <w:tcPr>
            <w:tcW w:w="2745" w:type="dxa"/>
            <w:tcBorders>
              <w:left w:val="nil"/>
              <w:right w:val="nil"/>
            </w:tcBorders>
            <w:noWrap/>
          </w:tcPr>
          <w:p w:rsidRPr="00674EC6" w:rsidR="005C5C74" w:rsidP="007B3F1A" w:rsidRDefault="005C5C74" w14:paraId="626BC50B" w14:textId="77777777">
            <w:pPr>
              <w:jc w:val="right"/>
              <w:rPr>
                <w:rFonts w:ascii="Arial" w:hAnsi="Arial" w:eastAsia="Times New Roman" w:cs="Arial"/>
                <w:sz w:val="20"/>
                <w:szCs w:val="20"/>
                <w:lang w:eastAsia="en-GB"/>
              </w:rPr>
            </w:pPr>
          </w:p>
        </w:tc>
      </w:tr>
      <w:tr w:rsidRPr="00674EC6" w:rsidR="005C5C74" w:rsidTr="007B3F1A" w14:paraId="4BA42C80" w14:textId="77777777">
        <w:trPr>
          <w:trHeight w:val="300"/>
        </w:trPr>
        <w:tc>
          <w:tcPr>
            <w:tcW w:w="6804" w:type="dxa"/>
            <w:gridSpan w:val="2"/>
            <w:tcBorders>
              <w:left w:val="nil"/>
              <w:right w:val="nil"/>
            </w:tcBorders>
            <w:noWrap/>
          </w:tcPr>
          <w:p w:rsidRPr="00674EC6" w:rsidR="005C5C74" w:rsidP="007B3F1A" w:rsidRDefault="005C5C74" w14:paraId="6C984287" w14:textId="77777777">
            <w:pPr>
              <w:ind w:firstLine="313"/>
              <w:rPr>
                <w:rFonts w:ascii="Arial" w:hAnsi="Arial" w:eastAsia="Times New Roman" w:cs="Arial"/>
                <w:sz w:val="20"/>
                <w:szCs w:val="20"/>
              </w:rPr>
            </w:pPr>
            <w:r w:rsidRPr="00674EC6">
              <w:rPr>
                <w:rFonts w:ascii="Arial" w:hAnsi="Arial"/>
                <w:sz w:val="20"/>
                <w:lang w:eastAsia="en-GB"/>
              </w:rPr>
              <w:t xml:space="preserve">(3) </w:t>
            </w:r>
            <w:r w:rsidRPr="00674EC6">
              <w:rPr>
                <w:rFonts w:ascii="Arial" w:hAnsi="Arial"/>
                <w:sz w:val="20"/>
              </w:rPr>
              <w:t>Andre aktiver på niveau 2, inklusive forsikringsdatterselskaber</w:t>
            </w:r>
          </w:p>
        </w:tc>
        <w:tc>
          <w:tcPr>
            <w:tcW w:w="2745" w:type="dxa"/>
            <w:tcBorders>
              <w:left w:val="nil"/>
              <w:right w:val="nil"/>
            </w:tcBorders>
            <w:noWrap/>
          </w:tcPr>
          <w:p w:rsidRPr="00674EC6" w:rsidR="005C5C74" w:rsidP="007B3F1A" w:rsidRDefault="005C5C74" w14:paraId="283D1D92" w14:textId="77777777">
            <w:pPr>
              <w:jc w:val="right"/>
              <w:rPr>
                <w:rFonts w:ascii="Arial" w:hAnsi="Arial" w:eastAsia="Times New Roman" w:cs="Arial"/>
                <w:sz w:val="20"/>
                <w:szCs w:val="20"/>
                <w:lang w:eastAsia="en-GB"/>
              </w:rPr>
            </w:pPr>
          </w:p>
        </w:tc>
      </w:tr>
      <w:tr w:rsidRPr="00674EC6" w:rsidR="005C5C74" w:rsidTr="007B3F1A" w14:paraId="1EDB97CF"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744C08C2" w14:textId="77777777">
            <w:pPr>
              <w:ind w:firstLine="200" w:firstLineChars="100"/>
              <w:rPr>
                <w:rFonts w:ascii="Arial" w:hAnsi="Arial" w:eastAsia="Times New Roman" w:cs="Arial"/>
                <w:sz w:val="20"/>
                <w:szCs w:val="20"/>
              </w:rPr>
            </w:pPr>
            <w:r w:rsidRPr="00674EC6">
              <w:rPr>
                <w:rFonts w:ascii="Arial" w:hAnsi="Arial"/>
                <w:sz w:val="20"/>
              </w:rPr>
              <w:t>l. Gennemsnitlig værdi af aktiver på niveau 2, inklusive forsikringsdatterselskaber</w:t>
            </w:r>
          </w:p>
        </w:tc>
        <w:tc>
          <w:tcPr>
            <w:tcW w:w="2745" w:type="dxa"/>
            <w:tcBorders>
              <w:left w:val="nil"/>
              <w:bottom w:val="single" w:color="auto" w:sz="4" w:space="0"/>
              <w:right w:val="nil"/>
            </w:tcBorders>
            <w:noWrap/>
          </w:tcPr>
          <w:p w:rsidRPr="00674EC6" w:rsidR="005C5C74" w:rsidP="007B3F1A" w:rsidRDefault="005C5C74" w14:paraId="23F8E7A6" w14:textId="77777777">
            <w:pPr>
              <w:jc w:val="right"/>
              <w:rPr>
                <w:rFonts w:ascii="Arial" w:hAnsi="Arial" w:eastAsia="Times New Roman" w:cs="Arial"/>
                <w:sz w:val="20"/>
                <w:szCs w:val="20"/>
                <w:lang w:eastAsia="en-GB"/>
              </w:rPr>
            </w:pPr>
          </w:p>
        </w:tc>
      </w:tr>
      <w:tr w:rsidRPr="00674EC6" w:rsidR="005C5C74" w:rsidTr="007B3F1A" w14:paraId="17EB993C" w14:textId="77777777">
        <w:trPr>
          <w:trHeight w:val="300"/>
        </w:trPr>
        <w:tc>
          <w:tcPr>
            <w:tcW w:w="6804" w:type="dxa"/>
            <w:gridSpan w:val="2"/>
            <w:tcBorders>
              <w:left w:val="nil"/>
              <w:bottom w:val="nil"/>
              <w:right w:val="nil"/>
            </w:tcBorders>
            <w:noWrap/>
          </w:tcPr>
          <w:p w:rsidRPr="00674EC6" w:rsidR="005C5C74" w:rsidP="007B3F1A" w:rsidRDefault="005C5C74" w14:paraId="695BA522"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674EC6" w:rsidR="005C5C74" w:rsidP="007B3F1A" w:rsidRDefault="005C5C74" w14:paraId="7BDAE762" w14:textId="77777777">
            <w:pPr>
              <w:jc w:val="center"/>
              <w:rPr>
                <w:rFonts w:ascii="Arial" w:hAnsi="Arial" w:eastAsia="Times New Roman" w:cs="Arial"/>
                <w:b/>
                <w:bCs/>
                <w:sz w:val="20"/>
                <w:szCs w:val="20"/>
                <w:lang w:eastAsia="en-GB"/>
              </w:rPr>
            </w:pPr>
          </w:p>
        </w:tc>
      </w:tr>
      <w:tr w:rsidRPr="00674EC6" w:rsidR="005C5C74" w:rsidTr="007B3F1A" w14:paraId="35CC7126" w14:textId="77777777">
        <w:trPr>
          <w:trHeight w:val="300"/>
        </w:trPr>
        <w:tc>
          <w:tcPr>
            <w:tcW w:w="6804" w:type="dxa"/>
            <w:gridSpan w:val="2"/>
            <w:tcBorders>
              <w:top w:val="nil"/>
              <w:left w:val="nil"/>
              <w:right w:val="nil"/>
            </w:tcBorders>
            <w:noWrap/>
          </w:tcPr>
          <w:p w:rsidRPr="00674EC6" w:rsidR="005C5C74" w:rsidP="007B3F1A" w:rsidRDefault="005C5C74" w14:paraId="44624560" w14:textId="77777777">
            <w:pPr>
              <w:rPr>
                <w:rFonts w:ascii="Arial" w:hAnsi="Arial" w:eastAsia="Times New Roman" w:cs="Arial"/>
                <w:sz w:val="20"/>
                <w:szCs w:val="20"/>
              </w:rPr>
            </w:pPr>
            <w:r w:rsidRPr="00674EC6">
              <w:rPr>
                <w:rFonts w:ascii="Arial" w:hAnsi="Arial"/>
                <w:b/>
                <w:sz w:val="20"/>
              </w:rPr>
              <w:t>Afdeling 21 – Poster vedrørende aktiviteter på tværs af jurisdiktioner</w:t>
            </w:r>
          </w:p>
        </w:tc>
        <w:tc>
          <w:tcPr>
            <w:tcW w:w="2745" w:type="dxa"/>
            <w:tcBorders>
              <w:top w:val="nil"/>
              <w:left w:val="nil"/>
              <w:right w:val="nil"/>
            </w:tcBorders>
            <w:noWrap/>
          </w:tcPr>
          <w:p w:rsidRPr="00674EC6" w:rsidR="005C5C74" w:rsidP="007B3F1A" w:rsidRDefault="005C5C74" w14:paraId="090C3EA8" w14:textId="77777777">
            <w:pPr>
              <w:jc w:val="center"/>
              <w:rPr>
                <w:rFonts w:ascii="Arial" w:hAnsi="Arial" w:eastAsia="Times New Roman" w:cs="Arial"/>
                <w:b/>
                <w:bCs/>
                <w:sz w:val="20"/>
                <w:szCs w:val="20"/>
              </w:rPr>
            </w:pPr>
            <w:r w:rsidRPr="00674EC6">
              <w:rPr>
                <w:rFonts w:ascii="Arial" w:hAnsi="Arial"/>
                <w:b/>
                <w:sz w:val="20"/>
              </w:rPr>
              <w:t>Beløb</w:t>
            </w:r>
          </w:p>
        </w:tc>
      </w:tr>
      <w:tr w:rsidRPr="00674EC6" w:rsidR="005C5C74" w:rsidTr="007B3F1A" w14:paraId="7CBB4901" w14:textId="77777777">
        <w:trPr>
          <w:trHeight w:val="300"/>
        </w:trPr>
        <w:tc>
          <w:tcPr>
            <w:tcW w:w="6804" w:type="dxa"/>
            <w:gridSpan w:val="2"/>
            <w:tcBorders>
              <w:left w:val="nil"/>
              <w:right w:val="nil"/>
            </w:tcBorders>
            <w:noWrap/>
          </w:tcPr>
          <w:p w:rsidRPr="005C5C74" w:rsidR="005C5C74" w:rsidP="005C5C74" w:rsidRDefault="005C5C74" w14:paraId="7F1D8888" w14:textId="77777777">
            <w:pPr>
              <w:ind w:left="171" w:firstLine="48" w:firstLineChars="22"/>
            </w:pPr>
            <w:r w:rsidRPr="005C5C74">
              <w:t>a. Indikator for passiver på tværs af jurisdiktioner (gammel indikator)</w:t>
            </w:r>
          </w:p>
        </w:tc>
        <w:tc>
          <w:tcPr>
            <w:tcW w:w="2745" w:type="dxa"/>
            <w:tcBorders>
              <w:left w:val="nil"/>
              <w:right w:val="nil"/>
            </w:tcBorders>
            <w:noWrap/>
          </w:tcPr>
          <w:p w:rsidRPr="00674EC6" w:rsidR="005C5C74" w:rsidP="007B3F1A" w:rsidRDefault="005C5C74" w14:paraId="2B0BBF6B" w14:textId="77777777">
            <w:pPr>
              <w:jc w:val="right"/>
              <w:rPr>
                <w:rFonts w:ascii="Arial" w:hAnsi="Arial" w:eastAsia="Times New Roman" w:cs="Arial"/>
                <w:sz w:val="20"/>
                <w:szCs w:val="20"/>
                <w:lang w:eastAsia="en-GB"/>
              </w:rPr>
            </w:pPr>
          </w:p>
        </w:tc>
      </w:tr>
      <w:tr w:rsidRPr="00674EC6" w:rsidR="005C5C74" w:rsidTr="007B3F1A" w14:paraId="227150D2" w14:textId="77777777">
        <w:trPr>
          <w:trHeight w:val="300"/>
        </w:trPr>
        <w:tc>
          <w:tcPr>
            <w:tcW w:w="6804" w:type="dxa"/>
            <w:gridSpan w:val="2"/>
            <w:tcBorders>
              <w:left w:val="nil"/>
              <w:right w:val="nil"/>
            </w:tcBorders>
            <w:noWrap/>
          </w:tcPr>
          <w:p w:rsidRPr="005C5C74" w:rsidR="005C5C74" w:rsidP="005C5C74" w:rsidRDefault="005C5C74" w14:paraId="37ECA319" w14:textId="77777777">
            <w:pPr>
              <w:ind w:left="171" w:firstLine="48" w:firstLineChars="22"/>
            </w:pPr>
            <w:r w:rsidRPr="005C5C74">
              <w:t>(1) Udenlandske passiver (eksklusive derivater og lokale passiver i lokal valuta)</w:t>
            </w:r>
          </w:p>
        </w:tc>
        <w:tc>
          <w:tcPr>
            <w:tcW w:w="2745" w:type="dxa"/>
            <w:tcBorders>
              <w:left w:val="nil"/>
              <w:right w:val="nil"/>
            </w:tcBorders>
            <w:noWrap/>
          </w:tcPr>
          <w:p w:rsidRPr="00674EC6" w:rsidR="005C5C74" w:rsidP="007B3F1A" w:rsidRDefault="005C5C74" w14:paraId="0C39DA1D" w14:textId="77777777">
            <w:pPr>
              <w:jc w:val="right"/>
              <w:rPr>
                <w:rFonts w:ascii="Arial" w:hAnsi="Arial" w:eastAsia="Times New Roman" w:cs="Arial"/>
                <w:sz w:val="20"/>
                <w:szCs w:val="20"/>
                <w:lang w:eastAsia="en-GB"/>
              </w:rPr>
            </w:pPr>
          </w:p>
        </w:tc>
      </w:tr>
      <w:tr w:rsidRPr="00674EC6" w:rsidR="005C5C74" w:rsidTr="007B3F1A" w14:paraId="77216C8D" w14:textId="77777777">
        <w:trPr>
          <w:trHeight w:val="300"/>
        </w:trPr>
        <w:tc>
          <w:tcPr>
            <w:tcW w:w="6804" w:type="dxa"/>
            <w:gridSpan w:val="2"/>
            <w:tcBorders>
              <w:left w:val="nil"/>
              <w:right w:val="nil"/>
            </w:tcBorders>
            <w:noWrap/>
          </w:tcPr>
          <w:p w:rsidRPr="005C5C74" w:rsidR="005C5C74" w:rsidP="005C5C74" w:rsidRDefault="005C5C74" w14:paraId="70364A4C" w14:textId="77777777">
            <w:pPr>
              <w:ind w:left="171" w:firstLine="48" w:firstLineChars="22"/>
            </w:pPr>
            <w:r w:rsidRPr="005C5C74">
              <w:t>(2) Eventuelle udenlandske passiver over for tilknyttede kontorer medregnet under post 21.a.(1)</w:t>
            </w:r>
          </w:p>
        </w:tc>
        <w:tc>
          <w:tcPr>
            <w:tcW w:w="2745" w:type="dxa"/>
            <w:tcBorders>
              <w:left w:val="nil"/>
              <w:right w:val="nil"/>
            </w:tcBorders>
            <w:noWrap/>
          </w:tcPr>
          <w:p w:rsidRPr="00674EC6" w:rsidR="005C5C74" w:rsidP="007B3F1A" w:rsidRDefault="005C5C74" w14:paraId="6DCD46C9" w14:textId="77777777">
            <w:pPr>
              <w:jc w:val="right"/>
              <w:rPr>
                <w:rFonts w:ascii="Arial" w:hAnsi="Arial" w:eastAsia="Times New Roman" w:cs="Arial"/>
                <w:sz w:val="20"/>
                <w:szCs w:val="20"/>
                <w:lang w:eastAsia="en-GB"/>
              </w:rPr>
            </w:pPr>
          </w:p>
        </w:tc>
      </w:tr>
      <w:tr w:rsidRPr="00674EC6" w:rsidR="005C5C74" w:rsidTr="007B3F1A" w14:paraId="42753712" w14:textId="77777777">
        <w:trPr>
          <w:trHeight w:val="300"/>
        </w:trPr>
        <w:tc>
          <w:tcPr>
            <w:tcW w:w="6804" w:type="dxa"/>
            <w:gridSpan w:val="2"/>
            <w:tcBorders>
              <w:left w:val="nil"/>
              <w:right w:val="nil"/>
            </w:tcBorders>
            <w:noWrap/>
          </w:tcPr>
          <w:p w:rsidRPr="005C5C74" w:rsidR="005C5C74" w:rsidP="005C5C74" w:rsidRDefault="005C5C74" w14:paraId="584E4DD7" w14:textId="77777777">
            <w:pPr>
              <w:ind w:left="171" w:firstLine="48" w:firstLineChars="22"/>
            </w:pPr>
            <w:r w:rsidRPr="005C5C74">
              <w:t>(3) Lokale passiver i lokal valuta (eksklusive derivataktiviteter)</w:t>
            </w:r>
          </w:p>
        </w:tc>
        <w:tc>
          <w:tcPr>
            <w:tcW w:w="2745" w:type="dxa"/>
            <w:tcBorders>
              <w:left w:val="nil"/>
              <w:right w:val="nil"/>
            </w:tcBorders>
            <w:noWrap/>
          </w:tcPr>
          <w:p w:rsidRPr="00674EC6" w:rsidR="005C5C74" w:rsidP="007B3F1A" w:rsidRDefault="005C5C74" w14:paraId="4F0D0B3E" w14:textId="77777777">
            <w:pPr>
              <w:jc w:val="right"/>
              <w:rPr>
                <w:rFonts w:ascii="Arial" w:hAnsi="Arial" w:eastAsia="Times New Roman" w:cs="Arial"/>
                <w:sz w:val="20"/>
                <w:szCs w:val="20"/>
                <w:lang w:eastAsia="en-GB"/>
              </w:rPr>
            </w:pPr>
          </w:p>
        </w:tc>
      </w:tr>
      <w:tr w:rsidRPr="00674EC6" w:rsidR="005C5C74" w:rsidTr="007B3F1A" w14:paraId="0B24F9BF" w14:textId="77777777">
        <w:trPr>
          <w:trHeight w:val="300"/>
        </w:trPr>
        <w:tc>
          <w:tcPr>
            <w:tcW w:w="6804" w:type="dxa"/>
            <w:gridSpan w:val="2"/>
            <w:tcBorders>
              <w:left w:val="nil"/>
              <w:right w:val="nil"/>
            </w:tcBorders>
            <w:noWrap/>
          </w:tcPr>
          <w:p w:rsidRPr="005C5C74" w:rsidR="005C5C74" w:rsidP="005C5C74" w:rsidRDefault="005C5C74" w14:paraId="25CE7672" w14:textId="77777777">
            <w:pPr>
              <w:ind w:left="171" w:firstLine="48" w:firstLineChars="22"/>
            </w:pPr>
            <w:r w:rsidRPr="005C5C74">
              <w:t>b. Lokale passiver i lokal valuta (inklusive derivataktiviteter)</w:t>
            </w:r>
          </w:p>
        </w:tc>
        <w:tc>
          <w:tcPr>
            <w:tcW w:w="2745" w:type="dxa"/>
            <w:tcBorders>
              <w:left w:val="nil"/>
              <w:right w:val="nil"/>
            </w:tcBorders>
            <w:noWrap/>
          </w:tcPr>
          <w:p w:rsidRPr="00674EC6" w:rsidR="005C5C74" w:rsidP="007B3F1A" w:rsidRDefault="005C5C74" w14:paraId="7CA2C322" w14:textId="77777777">
            <w:pPr>
              <w:jc w:val="right"/>
              <w:rPr>
                <w:rFonts w:ascii="Arial" w:hAnsi="Arial" w:eastAsia="Times New Roman" w:cs="Arial"/>
                <w:sz w:val="20"/>
                <w:szCs w:val="20"/>
                <w:lang w:eastAsia="en-GB"/>
              </w:rPr>
            </w:pPr>
          </w:p>
        </w:tc>
      </w:tr>
      <w:tr w:rsidRPr="00674EC6" w:rsidR="005C5C74" w:rsidTr="007B3F1A" w14:paraId="31E7DED7" w14:textId="77777777">
        <w:trPr>
          <w:trHeight w:val="300"/>
        </w:trPr>
        <w:tc>
          <w:tcPr>
            <w:tcW w:w="6804" w:type="dxa"/>
            <w:gridSpan w:val="2"/>
            <w:tcBorders>
              <w:left w:val="nil"/>
              <w:right w:val="nil"/>
            </w:tcBorders>
            <w:noWrap/>
          </w:tcPr>
          <w:p w:rsidRPr="005C5C74" w:rsidR="005C5C74" w:rsidP="005C5C74" w:rsidRDefault="005C5C74" w14:paraId="248DDABF" w14:textId="77777777">
            <w:pPr>
              <w:ind w:left="171" w:firstLine="48" w:firstLineChars="22"/>
            </w:pPr>
            <w:r w:rsidRPr="005C5C74">
              <w:t>c. Lokale fordringer på tværs af jurisdiktioner i lokal valuta (eksklusive derivataktiviteter)</w:t>
            </w:r>
          </w:p>
        </w:tc>
        <w:tc>
          <w:tcPr>
            <w:tcW w:w="2745" w:type="dxa"/>
            <w:tcBorders>
              <w:left w:val="nil"/>
              <w:right w:val="nil"/>
            </w:tcBorders>
            <w:noWrap/>
          </w:tcPr>
          <w:p w:rsidRPr="00674EC6" w:rsidR="005C5C74" w:rsidP="007B3F1A" w:rsidRDefault="005C5C74" w14:paraId="710D9A5D" w14:textId="77777777">
            <w:pPr>
              <w:jc w:val="right"/>
              <w:rPr>
                <w:rFonts w:ascii="Arial" w:hAnsi="Arial" w:eastAsia="Times New Roman" w:cs="Arial"/>
                <w:sz w:val="20"/>
                <w:szCs w:val="20"/>
                <w:lang w:eastAsia="en-GB"/>
              </w:rPr>
            </w:pPr>
          </w:p>
        </w:tc>
      </w:tr>
      <w:tr w:rsidRPr="00674EC6" w:rsidR="005C5C74" w:rsidTr="007B3F1A" w14:paraId="7B8A8EEA" w14:textId="77777777">
        <w:trPr>
          <w:trHeight w:val="300"/>
        </w:trPr>
        <w:tc>
          <w:tcPr>
            <w:tcW w:w="6804" w:type="dxa"/>
            <w:gridSpan w:val="2"/>
            <w:tcBorders>
              <w:left w:val="nil"/>
              <w:right w:val="nil"/>
            </w:tcBorders>
            <w:noWrap/>
          </w:tcPr>
          <w:p w:rsidRPr="005C5C74" w:rsidR="005C5C74" w:rsidP="005C5C74" w:rsidRDefault="005C5C74" w14:paraId="275CBE17" w14:textId="77777777">
            <w:pPr>
              <w:ind w:left="171" w:firstLine="48" w:firstLineChars="22"/>
            </w:pPr>
            <w:r w:rsidRPr="005C5C74">
              <w:t>d. Lokale fordringer på tværs af jurisdiktioner i lokal valuta (inklusive derivataktiviteter)</w:t>
            </w:r>
          </w:p>
        </w:tc>
        <w:tc>
          <w:tcPr>
            <w:tcW w:w="2745" w:type="dxa"/>
            <w:tcBorders>
              <w:left w:val="nil"/>
              <w:right w:val="nil"/>
            </w:tcBorders>
            <w:noWrap/>
          </w:tcPr>
          <w:p w:rsidRPr="00674EC6" w:rsidR="005C5C74" w:rsidP="007B3F1A" w:rsidRDefault="005C5C74" w14:paraId="2BF545FC" w14:textId="77777777">
            <w:pPr>
              <w:jc w:val="right"/>
              <w:rPr>
                <w:rFonts w:ascii="Arial" w:hAnsi="Arial" w:eastAsia="Times New Roman" w:cs="Arial"/>
                <w:sz w:val="20"/>
                <w:szCs w:val="20"/>
                <w:lang w:eastAsia="en-GB"/>
              </w:rPr>
            </w:pPr>
          </w:p>
        </w:tc>
      </w:tr>
      <w:tr w:rsidRPr="00674EC6" w:rsidR="005C5C74" w:rsidTr="007B3F1A" w14:paraId="0E8B261E" w14:textId="77777777">
        <w:trPr>
          <w:trHeight w:val="300"/>
        </w:trPr>
        <w:tc>
          <w:tcPr>
            <w:tcW w:w="6804" w:type="dxa"/>
            <w:gridSpan w:val="2"/>
            <w:tcBorders>
              <w:left w:val="nil"/>
              <w:right w:val="nil"/>
            </w:tcBorders>
            <w:noWrap/>
          </w:tcPr>
          <w:p w:rsidRPr="005C5C74" w:rsidR="005C5C74" w:rsidP="005C5C74" w:rsidRDefault="005C5C74" w14:paraId="0D9993F5" w14:textId="77777777">
            <w:pPr>
              <w:ind w:left="171" w:firstLine="48" w:firstLineChars="22"/>
            </w:pPr>
            <w:r w:rsidRPr="005C5C74">
              <w:t>e. Udenlandske fordringer på ultimativ risikobasis i alt (hvor SRM betragtes som en enkelt jurisdiktion)</w:t>
            </w:r>
          </w:p>
        </w:tc>
        <w:tc>
          <w:tcPr>
            <w:tcW w:w="2745" w:type="dxa"/>
            <w:tcBorders>
              <w:left w:val="nil"/>
              <w:right w:val="nil"/>
            </w:tcBorders>
            <w:noWrap/>
          </w:tcPr>
          <w:p w:rsidRPr="00674EC6" w:rsidR="005C5C74" w:rsidP="007B3F1A" w:rsidRDefault="005C5C74" w14:paraId="57CDD5AD" w14:textId="77777777">
            <w:pPr>
              <w:jc w:val="right"/>
              <w:rPr>
                <w:rFonts w:ascii="Arial" w:hAnsi="Arial" w:eastAsia="Times New Roman" w:cs="Arial"/>
                <w:sz w:val="20"/>
                <w:szCs w:val="20"/>
                <w:lang w:eastAsia="en-GB"/>
              </w:rPr>
            </w:pPr>
          </w:p>
        </w:tc>
      </w:tr>
      <w:tr w:rsidRPr="00674EC6" w:rsidR="005C5C74" w:rsidTr="007B3F1A" w14:paraId="06B3EDC9" w14:textId="77777777">
        <w:trPr>
          <w:trHeight w:val="300"/>
        </w:trPr>
        <w:tc>
          <w:tcPr>
            <w:tcW w:w="6804" w:type="dxa"/>
            <w:gridSpan w:val="2"/>
            <w:tcBorders>
              <w:left w:val="nil"/>
              <w:right w:val="nil"/>
            </w:tcBorders>
            <w:noWrap/>
          </w:tcPr>
          <w:p w:rsidRPr="005C5C74" w:rsidR="005C5C74" w:rsidP="005C5C74" w:rsidRDefault="005C5C74" w14:paraId="0B41FF54" w14:textId="77777777">
            <w:pPr>
              <w:ind w:left="171" w:firstLine="48" w:firstLineChars="22"/>
            </w:pPr>
            <w:r w:rsidRPr="005C5C74">
              <w:t>f. Udenlandske derivatfordringer på ultimativ risikobasis (hvor SRM betragtes som en enkelt jurisdiktion)</w:t>
            </w:r>
          </w:p>
        </w:tc>
        <w:tc>
          <w:tcPr>
            <w:tcW w:w="2745" w:type="dxa"/>
            <w:tcBorders>
              <w:left w:val="nil"/>
              <w:right w:val="nil"/>
            </w:tcBorders>
            <w:noWrap/>
          </w:tcPr>
          <w:p w:rsidRPr="00674EC6" w:rsidR="005C5C74" w:rsidP="007B3F1A" w:rsidRDefault="005C5C74" w14:paraId="7DECF65B" w14:textId="77777777">
            <w:pPr>
              <w:jc w:val="right"/>
              <w:rPr>
                <w:rFonts w:ascii="Arial" w:hAnsi="Arial" w:eastAsia="Times New Roman" w:cs="Arial"/>
                <w:sz w:val="20"/>
                <w:szCs w:val="20"/>
                <w:lang w:eastAsia="en-GB"/>
              </w:rPr>
            </w:pPr>
          </w:p>
        </w:tc>
      </w:tr>
      <w:tr w:rsidRPr="00674EC6" w:rsidR="005C5C74" w:rsidTr="007B3F1A" w14:paraId="5BAB8F14" w14:textId="77777777">
        <w:trPr>
          <w:trHeight w:val="300"/>
        </w:trPr>
        <w:tc>
          <w:tcPr>
            <w:tcW w:w="6804" w:type="dxa"/>
            <w:gridSpan w:val="2"/>
            <w:tcBorders>
              <w:left w:val="nil"/>
              <w:right w:val="nil"/>
            </w:tcBorders>
            <w:noWrap/>
          </w:tcPr>
          <w:p w:rsidRPr="005C5C74" w:rsidR="005C5C74" w:rsidP="005C5C74" w:rsidRDefault="005C5C74" w14:paraId="3FB5DAB6" w14:textId="77777777">
            <w:pPr>
              <w:ind w:left="171" w:firstLine="48" w:firstLineChars="22"/>
            </w:pPr>
            <w:r w:rsidRPr="005C5C74">
              <w:t>g. Udenlandske passiver på umiddelbar risikobasis, inklusive derivater (hvor SRM betragtes som en enkelt jurisdiktion)</w:t>
            </w:r>
          </w:p>
        </w:tc>
        <w:tc>
          <w:tcPr>
            <w:tcW w:w="2745" w:type="dxa"/>
            <w:tcBorders>
              <w:left w:val="nil"/>
              <w:right w:val="nil"/>
            </w:tcBorders>
            <w:noWrap/>
          </w:tcPr>
          <w:p w:rsidRPr="00674EC6" w:rsidR="005C5C74" w:rsidP="007B3F1A" w:rsidRDefault="005C5C74" w14:paraId="3E9455C7" w14:textId="77777777">
            <w:pPr>
              <w:jc w:val="right"/>
              <w:rPr>
                <w:rFonts w:ascii="Arial" w:hAnsi="Arial" w:eastAsia="Times New Roman" w:cs="Arial"/>
                <w:sz w:val="20"/>
                <w:szCs w:val="20"/>
                <w:lang w:eastAsia="en-GB"/>
              </w:rPr>
            </w:pPr>
          </w:p>
        </w:tc>
      </w:tr>
      <w:tr w:rsidRPr="00674EC6" w:rsidR="005C5C74" w:rsidTr="007B3F1A" w14:paraId="678FB289" w14:textId="77777777">
        <w:trPr>
          <w:trHeight w:val="300"/>
        </w:trPr>
        <w:tc>
          <w:tcPr>
            <w:tcW w:w="6804" w:type="dxa"/>
            <w:gridSpan w:val="2"/>
            <w:tcBorders>
              <w:left w:val="nil"/>
              <w:right w:val="nil"/>
            </w:tcBorders>
            <w:noWrap/>
          </w:tcPr>
          <w:p w:rsidRPr="005C5C74" w:rsidR="005C5C74" w:rsidP="005C5C74" w:rsidRDefault="005C5C74" w14:paraId="5F9CDFA9" w14:textId="77777777">
            <w:pPr>
              <w:ind w:left="171" w:firstLine="48" w:firstLineChars="22"/>
            </w:pPr>
            <w:r w:rsidRPr="005C5C74">
              <w:t>(1) Udenlandske derivatpassiver på umiddelbar risikobasis (hvor SRM betragtes som en enkelt jurisdiktion)</w:t>
            </w:r>
          </w:p>
        </w:tc>
        <w:tc>
          <w:tcPr>
            <w:tcW w:w="2745" w:type="dxa"/>
            <w:tcBorders>
              <w:left w:val="nil"/>
              <w:right w:val="nil"/>
            </w:tcBorders>
            <w:noWrap/>
          </w:tcPr>
          <w:p w:rsidRPr="00674EC6" w:rsidR="005C5C74" w:rsidP="007B3F1A" w:rsidRDefault="005C5C74" w14:paraId="203D37BB" w14:textId="77777777">
            <w:pPr>
              <w:jc w:val="right"/>
              <w:rPr>
                <w:rFonts w:ascii="Arial" w:hAnsi="Arial" w:eastAsia="Times New Roman" w:cs="Arial"/>
                <w:sz w:val="20"/>
                <w:szCs w:val="20"/>
                <w:lang w:eastAsia="en-GB"/>
              </w:rPr>
            </w:pPr>
          </w:p>
        </w:tc>
      </w:tr>
      <w:tr w:rsidRPr="00674EC6" w:rsidR="005C5C74" w:rsidTr="007B3F1A" w14:paraId="6D04F494" w14:textId="77777777">
        <w:trPr>
          <w:trHeight w:val="300"/>
        </w:trPr>
        <w:tc>
          <w:tcPr>
            <w:tcW w:w="6804" w:type="dxa"/>
            <w:gridSpan w:val="2"/>
            <w:tcBorders>
              <w:left w:val="nil"/>
              <w:right w:val="nil"/>
            </w:tcBorders>
            <w:noWrap/>
          </w:tcPr>
          <w:p w:rsidRPr="005C5C74" w:rsidR="005C5C74" w:rsidP="005C5C74" w:rsidRDefault="005C5C74" w14:paraId="0EC1150E" w14:textId="77777777">
            <w:pPr>
              <w:ind w:left="171" w:firstLine="48" w:firstLineChars="22"/>
            </w:pPr>
            <w:r w:rsidRPr="005C5C74">
              <w:t>h. Lokale fordringer på tværs af jurisdiktioner i lokal valuta, eksklusive derivataktiviteter (hvor SRM betragtes som en enkelt jurisdiktion)</w:t>
            </w:r>
          </w:p>
        </w:tc>
        <w:tc>
          <w:tcPr>
            <w:tcW w:w="2745" w:type="dxa"/>
            <w:tcBorders>
              <w:left w:val="nil"/>
              <w:right w:val="nil"/>
            </w:tcBorders>
            <w:noWrap/>
          </w:tcPr>
          <w:p w:rsidRPr="00674EC6" w:rsidR="005C5C74" w:rsidP="007B3F1A" w:rsidRDefault="005C5C74" w14:paraId="2051610D" w14:textId="77777777">
            <w:pPr>
              <w:jc w:val="right"/>
              <w:rPr>
                <w:rFonts w:ascii="Arial" w:hAnsi="Arial" w:eastAsia="Times New Roman" w:cs="Arial"/>
                <w:sz w:val="20"/>
                <w:szCs w:val="20"/>
                <w:lang w:eastAsia="en-GB"/>
              </w:rPr>
            </w:pPr>
          </w:p>
        </w:tc>
      </w:tr>
      <w:tr w:rsidRPr="00674EC6" w:rsidR="005C5C74" w:rsidTr="007B3F1A" w14:paraId="6CFCF274" w14:textId="77777777">
        <w:trPr>
          <w:trHeight w:val="300"/>
        </w:trPr>
        <w:tc>
          <w:tcPr>
            <w:tcW w:w="6804" w:type="dxa"/>
            <w:gridSpan w:val="2"/>
            <w:tcBorders>
              <w:left w:val="nil"/>
              <w:right w:val="nil"/>
            </w:tcBorders>
            <w:noWrap/>
          </w:tcPr>
          <w:p w:rsidRPr="005C5C74" w:rsidR="005C5C74" w:rsidP="005C5C74" w:rsidRDefault="005C5C74" w14:paraId="7227CF31" w14:textId="77777777">
            <w:pPr>
              <w:ind w:left="171" w:firstLine="48" w:firstLineChars="22"/>
            </w:pPr>
            <w:r w:rsidRPr="005C5C74">
              <w:t>i. Lokale fordringer på tværs af jurisdiktioner i lokal valuta, inklusive derivataktiviteter (hvor SRM betragtes som en enkelt jurisdiktion)</w:t>
            </w:r>
          </w:p>
        </w:tc>
        <w:tc>
          <w:tcPr>
            <w:tcW w:w="2745" w:type="dxa"/>
            <w:tcBorders>
              <w:left w:val="nil"/>
              <w:right w:val="nil"/>
            </w:tcBorders>
            <w:noWrap/>
          </w:tcPr>
          <w:p w:rsidRPr="00674EC6" w:rsidR="005C5C74" w:rsidP="007B3F1A" w:rsidRDefault="005C5C74" w14:paraId="7C448DB2" w14:textId="77777777">
            <w:pPr>
              <w:jc w:val="right"/>
              <w:rPr>
                <w:rFonts w:ascii="Arial" w:hAnsi="Arial" w:eastAsia="Times New Roman" w:cs="Arial"/>
                <w:sz w:val="20"/>
                <w:szCs w:val="20"/>
                <w:lang w:eastAsia="en-GB"/>
              </w:rPr>
            </w:pPr>
          </w:p>
        </w:tc>
      </w:tr>
      <w:tr w:rsidRPr="00674EC6" w:rsidR="005C5C74" w:rsidTr="007B3F1A" w14:paraId="010B14C4" w14:textId="77777777">
        <w:trPr>
          <w:trHeight w:val="300"/>
        </w:trPr>
        <w:tc>
          <w:tcPr>
            <w:tcW w:w="6804" w:type="dxa"/>
            <w:gridSpan w:val="2"/>
            <w:tcBorders>
              <w:left w:val="nil"/>
              <w:right w:val="nil"/>
            </w:tcBorders>
            <w:noWrap/>
          </w:tcPr>
          <w:p w:rsidRPr="005C5C74" w:rsidR="005C5C74" w:rsidP="005C5C74" w:rsidRDefault="005C5C74" w14:paraId="3EEE31AB" w14:textId="77777777">
            <w:pPr>
              <w:ind w:left="171" w:firstLine="48" w:firstLineChars="22"/>
            </w:pPr>
            <w:r w:rsidRPr="005C5C74">
              <w:t>j. Udenlandske passiver, eksklusive derivater og lokale passiver i lokal valuta (hvor SRM betragtes som en enkelt jurisdiktion)</w:t>
            </w:r>
          </w:p>
        </w:tc>
        <w:tc>
          <w:tcPr>
            <w:tcW w:w="2745" w:type="dxa"/>
            <w:tcBorders>
              <w:left w:val="nil"/>
              <w:right w:val="nil"/>
            </w:tcBorders>
            <w:noWrap/>
          </w:tcPr>
          <w:p w:rsidRPr="00674EC6" w:rsidR="005C5C74" w:rsidP="007B3F1A" w:rsidRDefault="005C5C74" w14:paraId="52F44BC1" w14:textId="77777777">
            <w:pPr>
              <w:jc w:val="right"/>
              <w:rPr>
                <w:rFonts w:ascii="Arial" w:hAnsi="Arial" w:eastAsia="Times New Roman" w:cs="Arial"/>
                <w:sz w:val="20"/>
                <w:szCs w:val="20"/>
                <w:lang w:eastAsia="en-GB"/>
              </w:rPr>
            </w:pPr>
          </w:p>
        </w:tc>
      </w:tr>
      <w:tr w:rsidRPr="00674EC6" w:rsidR="005C5C74" w:rsidTr="007B3F1A" w14:paraId="34451AA7" w14:textId="77777777">
        <w:trPr>
          <w:trHeight w:val="300"/>
        </w:trPr>
        <w:tc>
          <w:tcPr>
            <w:tcW w:w="6804" w:type="dxa"/>
            <w:gridSpan w:val="2"/>
            <w:tcBorders>
              <w:left w:val="nil"/>
              <w:right w:val="nil"/>
            </w:tcBorders>
            <w:noWrap/>
          </w:tcPr>
          <w:p w:rsidRPr="005C5C74" w:rsidR="005C5C74" w:rsidP="005C5C74" w:rsidRDefault="005C5C74" w14:paraId="21285B07" w14:textId="77777777">
            <w:pPr>
              <w:ind w:left="171" w:firstLine="48" w:firstLineChars="22"/>
            </w:pPr>
            <w:r w:rsidRPr="005C5C74">
              <w:lastRenderedPageBreak/>
              <w:t>(1) Eventuelle udenlandske passiver over for tilknyttede kontorer medregnet under post 20.j. (hvor SRM betragtes som en enkelt jurisdiktion)</w:t>
            </w:r>
          </w:p>
        </w:tc>
        <w:tc>
          <w:tcPr>
            <w:tcW w:w="2745" w:type="dxa"/>
            <w:tcBorders>
              <w:left w:val="nil"/>
              <w:right w:val="nil"/>
            </w:tcBorders>
            <w:noWrap/>
          </w:tcPr>
          <w:p w:rsidRPr="00674EC6" w:rsidR="005C5C74" w:rsidP="007B3F1A" w:rsidRDefault="005C5C74" w14:paraId="2438DB63" w14:textId="77777777">
            <w:pPr>
              <w:jc w:val="right"/>
              <w:rPr>
                <w:rFonts w:ascii="Arial" w:hAnsi="Arial" w:eastAsia="Times New Roman" w:cs="Arial"/>
                <w:sz w:val="20"/>
                <w:szCs w:val="20"/>
                <w:lang w:eastAsia="en-GB"/>
              </w:rPr>
            </w:pPr>
          </w:p>
        </w:tc>
      </w:tr>
      <w:tr w:rsidRPr="00674EC6" w:rsidR="005C5C74" w:rsidTr="007B3F1A" w14:paraId="690D3BD3" w14:textId="77777777">
        <w:trPr>
          <w:trHeight w:val="300"/>
        </w:trPr>
        <w:tc>
          <w:tcPr>
            <w:tcW w:w="6804" w:type="dxa"/>
            <w:gridSpan w:val="2"/>
            <w:tcBorders>
              <w:left w:val="nil"/>
              <w:right w:val="nil"/>
            </w:tcBorders>
            <w:noWrap/>
          </w:tcPr>
          <w:p w:rsidRPr="005C5C74" w:rsidR="005C5C74" w:rsidP="005C5C74" w:rsidRDefault="005C5C74" w14:paraId="5A1C44E8" w14:textId="77777777">
            <w:pPr>
              <w:ind w:left="171" w:firstLine="48" w:firstLineChars="22"/>
            </w:pPr>
            <w:r w:rsidRPr="005C5C74">
              <w:t>k. Lokale passiver i lokal valuta, eksklusive derivater (hvor SRM betragtes som en enkelt jurisdiktion)</w:t>
            </w:r>
          </w:p>
        </w:tc>
        <w:tc>
          <w:tcPr>
            <w:tcW w:w="2745" w:type="dxa"/>
            <w:tcBorders>
              <w:left w:val="nil"/>
              <w:right w:val="nil"/>
            </w:tcBorders>
            <w:noWrap/>
          </w:tcPr>
          <w:p w:rsidRPr="00674EC6" w:rsidR="005C5C74" w:rsidP="007B3F1A" w:rsidRDefault="005C5C74" w14:paraId="098C5E60" w14:textId="77777777">
            <w:pPr>
              <w:jc w:val="right"/>
              <w:rPr>
                <w:rFonts w:ascii="Arial" w:hAnsi="Arial" w:eastAsia="Times New Roman" w:cs="Arial"/>
                <w:sz w:val="20"/>
                <w:szCs w:val="20"/>
                <w:lang w:eastAsia="en-GB"/>
              </w:rPr>
            </w:pPr>
          </w:p>
        </w:tc>
      </w:tr>
      <w:tr w:rsidRPr="00674EC6" w:rsidR="005C5C74" w:rsidTr="007B3F1A" w14:paraId="19AD87F1" w14:textId="77777777">
        <w:trPr>
          <w:trHeight w:val="300"/>
        </w:trPr>
        <w:tc>
          <w:tcPr>
            <w:tcW w:w="6804" w:type="dxa"/>
            <w:gridSpan w:val="2"/>
            <w:tcBorders>
              <w:left w:val="nil"/>
              <w:right w:val="nil"/>
            </w:tcBorders>
            <w:noWrap/>
          </w:tcPr>
          <w:p w:rsidRPr="005C5C74" w:rsidR="005C5C74" w:rsidP="005C5C74" w:rsidRDefault="005C5C74" w14:paraId="3BBCFB46" w14:textId="77777777">
            <w:pPr>
              <w:ind w:left="171" w:firstLine="48" w:firstLineChars="22"/>
            </w:pPr>
            <w:r w:rsidRPr="005C5C74">
              <w:t>l. Lokale passiver i lokal valuta, inklusive derivater (hvor SRM betragtes som en enkelt jurisdiktion)</w:t>
            </w:r>
          </w:p>
        </w:tc>
        <w:tc>
          <w:tcPr>
            <w:tcW w:w="2745" w:type="dxa"/>
            <w:tcBorders>
              <w:left w:val="nil"/>
              <w:right w:val="nil"/>
            </w:tcBorders>
            <w:noWrap/>
          </w:tcPr>
          <w:p w:rsidRPr="00674EC6" w:rsidR="005C5C74" w:rsidP="007B3F1A" w:rsidRDefault="005C5C74" w14:paraId="5C007C4D" w14:textId="77777777">
            <w:pPr>
              <w:jc w:val="right"/>
              <w:rPr>
                <w:rFonts w:ascii="Arial" w:hAnsi="Arial" w:eastAsia="Times New Roman" w:cs="Arial"/>
                <w:sz w:val="20"/>
                <w:szCs w:val="20"/>
                <w:lang w:eastAsia="en-GB"/>
              </w:rPr>
            </w:pPr>
          </w:p>
        </w:tc>
      </w:tr>
      <w:tr w:rsidRPr="00674EC6" w:rsidR="005C5C74" w:rsidTr="007B3F1A" w14:paraId="6457CBF4" w14:textId="77777777">
        <w:trPr>
          <w:trHeight w:val="300"/>
        </w:trPr>
        <w:tc>
          <w:tcPr>
            <w:tcW w:w="6804" w:type="dxa"/>
            <w:gridSpan w:val="2"/>
            <w:tcBorders>
              <w:left w:val="nil"/>
              <w:right w:val="nil"/>
            </w:tcBorders>
            <w:noWrap/>
          </w:tcPr>
          <w:p w:rsidRPr="005C5C74" w:rsidR="005C5C74" w:rsidP="005C5C74" w:rsidRDefault="005C5C74" w14:paraId="3144E698" w14:textId="77777777">
            <w:pPr>
              <w:ind w:left="171" w:firstLine="48" w:firstLineChars="22"/>
            </w:pPr>
            <w:r w:rsidRPr="005C5C74">
              <w:t>m. Lokale nettopositioner i lokal valuta i alt, inklusive derivater, hvis positiv nettoværdi</w:t>
            </w:r>
          </w:p>
        </w:tc>
        <w:tc>
          <w:tcPr>
            <w:tcW w:w="2745" w:type="dxa"/>
            <w:tcBorders>
              <w:left w:val="nil"/>
              <w:right w:val="nil"/>
            </w:tcBorders>
            <w:noWrap/>
          </w:tcPr>
          <w:p w:rsidRPr="00674EC6" w:rsidR="005C5C74" w:rsidP="007B3F1A" w:rsidRDefault="005C5C74" w14:paraId="3B4F17FB" w14:textId="77777777">
            <w:pPr>
              <w:jc w:val="right"/>
              <w:rPr>
                <w:rFonts w:ascii="Arial" w:hAnsi="Arial" w:eastAsia="Times New Roman" w:cs="Arial"/>
                <w:sz w:val="20"/>
                <w:szCs w:val="20"/>
                <w:lang w:eastAsia="en-GB"/>
              </w:rPr>
            </w:pPr>
          </w:p>
        </w:tc>
      </w:tr>
      <w:tr w:rsidRPr="00674EC6" w:rsidR="005C5C74" w:rsidTr="007B3F1A" w14:paraId="3FC5A54B" w14:textId="77777777">
        <w:trPr>
          <w:trHeight w:val="300"/>
        </w:trPr>
        <w:tc>
          <w:tcPr>
            <w:tcW w:w="6804" w:type="dxa"/>
            <w:gridSpan w:val="2"/>
            <w:tcBorders>
              <w:left w:val="nil"/>
              <w:right w:val="nil"/>
            </w:tcBorders>
            <w:noWrap/>
          </w:tcPr>
          <w:p w:rsidRPr="005C5C74" w:rsidR="005C5C74" w:rsidP="005C5C74" w:rsidRDefault="005C5C74" w14:paraId="17382C54" w14:textId="77777777">
            <w:pPr>
              <w:ind w:left="171" w:firstLine="48" w:firstLineChars="22"/>
            </w:pPr>
            <w:r w:rsidRPr="005C5C74">
              <w:t>n. Lokale nettopositioner i lokal valuta i alt, inklusive derivater, hvis negativ nettoværdi</w:t>
            </w:r>
          </w:p>
        </w:tc>
        <w:tc>
          <w:tcPr>
            <w:tcW w:w="2745" w:type="dxa"/>
            <w:tcBorders>
              <w:left w:val="nil"/>
              <w:right w:val="nil"/>
            </w:tcBorders>
            <w:noWrap/>
          </w:tcPr>
          <w:p w:rsidRPr="00674EC6" w:rsidR="005C5C74" w:rsidP="007B3F1A" w:rsidRDefault="005C5C74" w14:paraId="61096070" w14:textId="77777777">
            <w:pPr>
              <w:jc w:val="right"/>
              <w:rPr>
                <w:rFonts w:ascii="Arial" w:hAnsi="Arial" w:eastAsia="Times New Roman" w:cs="Arial"/>
                <w:sz w:val="20"/>
                <w:szCs w:val="20"/>
                <w:lang w:eastAsia="en-GB"/>
              </w:rPr>
            </w:pPr>
          </w:p>
        </w:tc>
      </w:tr>
      <w:tr w:rsidRPr="00674EC6" w:rsidR="005C5C74" w:rsidTr="007B3F1A" w14:paraId="46989E52" w14:textId="77777777">
        <w:trPr>
          <w:trHeight w:val="300"/>
        </w:trPr>
        <w:tc>
          <w:tcPr>
            <w:tcW w:w="6804" w:type="dxa"/>
            <w:gridSpan w:val="2"/>
            <w:tcBorders>
              <w:left w:val="nil"/>
              <w:right w:val="nil"/>
            </w:tcBorders>
            <w:noWrap/>
          </w:tcPr>
          <w:p w:rsidRPr="005C5C74" w:rsidR="005C5C74" w:rsidP="005C5C74" w:rsidRDefault="005C5C74" w14:paraId="1C630AB6" w14:textId="77777777">
            <w:pPr>
              <w:ind w:left="171" w:firstLine="48" w:firstLineChars="22"/>
            </w:pPr>
            <w:r w:rsidRPr="005C5C74">
              <w:t>o. Lokale nettopositioner i lokal valuta i ikke-SRM-lande i alt, inklusive derivater, hvis positiv nettoværdi (hvor SRM betragtes som en enkelt jurisdiktion)</w:t>
            </w:r>
          </w:p>
        </w:tc>
        <w:tc>
          <w:tcPr>
            <w:tcW w:w="2745" w:type="dxa"/>
            <w:tcBorders>
              <w:left w:val="nil"/>
              <w:right w:val="nil"/>
            </w:tcBorders>
            <w:noWrap/>
          </w:tcPr>
          <w:p w:rsidRPr="00674EC6" w:rsidR="005C5C74" w:rsidP="007B3F1A" w:rsidRDefault="005C5C74" w14:paraId="1E9EA124" w14:textId="77777777">
            <w:pPr>
              <w:jc w:val="right"/>
              <w:rPr>
                <w:rFonts w:ascii="Arial" w:hAnsi="Arial" w:eastAsia="Times New Roman" w:cs="Arial"/>
                <w:sz w:val="20"/>
                <w:szCs w:val="20"/>
                <w:lang w:eastAsia="en-GB"/>
              </w:rPr>
            </w:pPr>
          </w:p>
        </w:tc>
      </w:tr>
      <w:tr w:rsidRPr="00674EC6" w:rsidR="005C5C74" w:rsidTr="007B3F1A" w14:paraId="59E9BF19" w14:textId="77777777">
        <w:trPr>
          <w:trHeight w:val="300"/>
        </w:trPr>
        <w:tc>
          <w:tcPr>
            <w:tcW w:w="6804" w:type="dxa"/>
            <w:gridSpan w:val="2"/>
            <w:tcBorders>
              <w:left w:val="nil"/>
              <w:right w:val="nil"/>
            </w:tcBorders>
            <w:noWrap/>
          </w:tcPr>
          <w:p w:rsidRPr="005C5C74" w:rsidR="005C5C74" w:rsidP="005C5C74" w:rsidRDefault="005C5C74" w14:paraId="67FE8B20" w14:textId="77777777">
            <w:pPr>
              <w:ind w:left="171" w:firstLine="48" w:firstLineChars="22"/>
            </w:pPr>
            <w:r w:rsidRPr="005C5C74">
              <w:t>p. Lokale nettopositioner i lokal valuta i ikke-SRM-lande i alt, inklusive derivater, hvis negativ nettoværdi (hvor SRM betragtes som en enkelt jurisdiktion)</w:t>
            </w:r>
          </w:p>
        </w:tc>
        <w:tc>
          <w:tcPr>
            <w:tcW w:w="2745" w:type="dxa"/>
            <w:tcBorders>
              <w:left w:val="nil"/>
              <w:right w:val="nil"/>
            </w:tcBorders>
            <w:noWrap/>
          </w:tcPr>
          <w:p w:rsidRPr="00674EC6" w:rsidR="005C5C74" w:rsidP="007B3F1A" w:rsidRDefault="005C5C74" w14:paraId="2B2C3493" w14:textId="77777777">
            <w:pPr>
              <w:jc w:val="right"/>
              <w:rPr>
                <w:rFonts w:ascii="Arial" w:hAnsi="Arial" w:eastAsia="Times New Roman" w:cs="Arial"/>
                <w:sz w:val="20"/>
                <w:szCs w:val="20"/>
                <w:lang w:eastAsia="en-GB"/>
              </w:rPr>
            </w:pPr>
          </w:p>
        </w:tc>
      </w:tr>
      <w:tr w:rsidRPr="00674EC6" w:rsidR="005C5C74" w:rsidTr="007B3F1A" w14:paraId="257ED543" w14:textId="77777777">
        <w:trPr>
          <w:trHeight w:val="300"/>
        </w:trPr>
        <w:tc>
          <w:tcPr>
            <w:tcW w:w="6804" w:type="dxa"/>
            <w:gridSpan w:val="2"/>
            <w:tcBorders>
              <w:left w:val="nil"/>
              <w:right w:val="nil"/>
            </w:tcBorders>
            <w:noWrap/>
          </w:tcPr>
          <w:p w:rsidRPr="005C5C74" w:rsidR="005C5C74" w:rsidP="005C5C74" w:rsidRDefault="005C5C74" w14:paraId="7754F7CC" w14:textId="77777777">
            <w:pPr>
              <w:ind w:left="171" w:firstLine="48" w:firstLineChars="22"/>
            </w:pPr>
            <w:r w:rsidRPr="005C5C74">
              <w:t>q. Lokale nettopositioner i lokal valuta i SRM-lande i alt, inklusive derivater (hvor SRM betragtes som en enkelt jurisdiktion)</w:t>
            </w:r>
          </w:p>
        </w:tc>
        <w:tc>
          <w:tcPr>
            <w:tcW w:w="2745" w:type="dxa"/>
            <w:tcBorders>
              <w:left w:val="nil"/>
              <w:right w:val="nil"/>
            </w:tcBorders>
            <w:noWrap/>
          </w:tcPr>
          <w:p w:rsidRPr="00674EC6" w:rsidR="005C5C74" w:rsidP="007B3F1A" w:rsidRDefault="005C5C74" w14:paraId="11B34586" w14:textId="77777777">
            <w:pPr>
              <w:jc w:val="right"/>
              <w:rPr>
                <w:rFonts w:ascii="Arial" w:hAnsi="Arial" w:eastAsia="Times New Roman" w:cs="Arial"/>
                <w:sz w:val="20"/>
                <w:szCs w:val="20"/>
                <w:lang w:eastAsia="en-GB"/>
              </w:rPr>
            </w:pPr>
          </w:p>
        </w:tc>
      </w:tr>
      <w:tr w:rsidRPr="00674EC6" w:rsidR="005C5C74" w:rsidTr="007B3F1A" w14:paraId="5BC66ED6" w14:textId="77777777">
        <w:trPr>
          <w:trHeight w:val="300"/>
        </w:trPr>
        <w:tc>
          <w:tcPr>
            <w:tcW w:w="6804" w:type="dxa"/>
            <w:gridSpan w:val="2"/>
            <w:tcBorders>
              <w:left w:val="nil"/>
              <w:right w:val="nil"/>
            </w:tcBorders>
            <w:noWrap/>
          </w:tcPr>
          <w:p w:rsidRPr="005C5C74" w:rsidR="005C5C74" w:rsidP="005C5C74" w:rsidRDefault="005C5C74" w14:paraId="0DC82BEE" w14:textId="77777777">
            <w:pPr>
              <w:ind w:left="171" w:firstLine="48" w:firstLineChars="22"/>
            </w:pPr>
            <w:r w:rsidRPr="005C5C74">
              <w:t xml:space="preserve">r. Intra-office fordringer bogført af udenlandske datterselskaber </w:t>
            </w:r>
          </w:p>
        </w:tc>
        <w:tc>
          <w:tcPr>
            <w:tcW w:w="2745" w:type="dxa"/>
            <w:tcBorders>
              <w:left w:val="nil"/>
              <w:right w:val="nil"/>
            </w:tcBorders>
            <w:noWrap/>
          </w:tcPr>
          <w:p w:rsidRPr="00674EC6" w:rsidR="005C5C74" w:rsidP="007B3F1A" w:rsidRDefault="005C5C74" w14:paraId="534A12F7" w14:textId="77777777">
            <w:pPr>
              <w:jc w:val="right"/>
              <w:rPr>
                <w:rFonts w:ascii="Arial" w:hAnsi="Arial" w:eastAsia="Times New Roman" w:cs="Arial"/>
                <w:sz w:val="20"/>
                <w:szCs w:val="20"/>
                <w:lang w:eastAsia="en-GB"/>
              </w:rPr>
            </w:pPr>
          </w:p>
        </w:tc>
      </w:tr>
      <w:tr w:rsidRPr="00674EC6" w:rsidR="005C5C74" w:rsidTr="007B3F1A" w14:paraId="1737B51F" w14:textId="77777777">
        <w:trPr>
          <w:trHeight w:val="300"/>
        </w:trPr>
        <w:tc>
          <w:tcPr>
            <w:tcW w:w="6804" w:type="dxa"/>
            <w:gridSpan w:val="2"/>
            <w:tcBorders>
              <w:left w:val="nil"/>
              <w:right w:val="nil"/>
            </w:tcBorders>
            <w:noWrap/>
          </w:tcPr>
          <w:p w:rsidRPr="005C5C74" w:rsidR="005C5C74" w:rsidP="005C5C74" w:rsidRDefault="005C5C74" w14:paraId="6696F12A" w14:textId="77777777">
            <w:pPr>
              <w:ind w:left="171" w:firstLine="48" w:firstLineChars="22"/>
            </w:pPr>
            <w:r w:rsidRPr="005C5C74">
              <w:t xml:space="preserve">s. Intra-office fordringer bogført af udenlandske filialer </w:t>
            </w:r>
          </w:p>
        </w:tc>
        <w:tc>
          <w:tcPr>
            <w:tcW w:w="2745" w:type="dxa"/>
            <w:tcBorders>
              <w:left w:val="nil"/>
              <w:right w:val="nil"/>
            </w:tcBorders>
            <w:noWrap/>
          </w:tcPr>
          <w:p w:rsidRPr="00674EC6" w:rsidR="005C5C74" w:rsidP="007B3F1A" w:rsidRDefault="005C5C74" w14:paraId="47AEC7E7" w14:textId="77777777">
            <w:pPr>
              <w:jc w:val="right"/>
              <w:rPr>
                <w:rFonts w:ascii="Arial" w:hAnsi="Arial" w:eastAsia="Times New Roman" w:cs="Arial"/>
                <w:sz w:val="20"/>
                <w:szCs w:val="20"/>
                <w:lang w:eastAsia="en-GB"/>
              </w:rPr>
            </w:pPr>
          </w:p>
        </w:tc>
      </w:tr>
      <w:tr w:rsidRPr="00674EC6" w:rsidR="005C5C74" w:rsidTr="007B3F1A" w14:paraId="2010947D" w14:textId="77777777">
        <w:trPr>
          <w:trHeight w:val="300"/>
        </w:trPr>
        <w:tc>
          <w:tcPr>
            <w:tcW w:w="6804" w:type="dxa"/>
            <w:gridSpan w:val="2"/>
            <w:tcBorders>
              <w:left w:val="nil"/>
              <w:right w:val="nil"/>
            </w:tcBorders>
            <w:noWrap/>
          </w:tcPr>
          <w:p w:rsidRPr="005C5C74" w:rsidR="005C5C74" w:rsidP="005C5C74" w:rsidRDefault="005C5C74" w14:paraId="4F2C35AF" w14:textId="77777777">
            <w:pPr>
              <w:ind w:left="171" w:firstLine="48" w:firstLineChars="22"/>
            </w:pPr>
            <w:r w:rsidRPr="005C5C74">
              <w:t>t. Intra-office passiver bogført af udenlandske datterselskaber</w:t>
            </w:r>
          </w:p>
        </w:tc>
        <w:tc>
          <w:tcPr>
            <w:tcW w:w="2745" w:type="dxa"/>
            <w:tcBorders>
              <w:left w:val="nil"/>
              <w:right w:val="nil"/>
            </w:tcBorders>
            <w:noWrap/>
          </w:tcPr>
          <w:p w:rsidRPr="00674EC6" w:rsidR="005C5C74" w:rsidP="007B3F1A" w:rsidRDefault="005C5C74" w14:paraId="6E146917" w14:textId="77777777">
            <w:pPr>
              <w:jc w:val="right"/>
              <w:rPr>
                <w:rFonts w:ascii="Arial" w:hAnsi="Arial" w:eastAsia="Times New Roman" w:cs="Arial"/>
                <w:sz w:val="20"/>
                <w:szCs w:val="20"/>
                <w:lang w:eastAsia="en-GB"/>
              </w:rPr>
            </w:pPr>
          </w:p>
        </w:tc>
      </w:tr>
      <w:tr w:rsidRPr="00674EC6" w:rsidR="005C5C74" w:rsidTr="007B3F1A" w14:paraId="6118E4DC" w14:textId="77777777">
        <w:trPr>
          <w:trHeight w:val="300"/>
        </w:trPr>
        <w:tc>
          <w:tcPr>
            <w:tcW w:w="6804" w:type="dxa"/>
            <w:gridSpan w:val="2"/>
            <w:tcBorders>
              <w:left w:val="nil"/>
              <w:right w:val="nil"/>
            </w:tcBorders>
            <w:noWrap/>
          </w:tcPr>
          <w:p w:rsidRPr="005C5C74" w:rsidR="005C5C74" w:rsidP="005C5C74" w:rsidRDefault="005C5C74" w14:paraId="371D4013" w14:textId="77777777">
            <w:pPr>
              <w:ind w:left="171" w:firstLine="48" w:firstLineChars="22"/>
            </w:pPr>
            <w:r w:rsidRPr="005C5C74">
              <w:t xml:space="preserve">u. Intra-office passiver bogført af udenlandske filialer </w:t>
            </w:r>
          </w:p>
        </w:tc>
        <w:tc>
          <w:tcPr>
            <w:tcW w:w="2745" w:type="dxa"/>
            <w:tcBorders>
              <w:left w:val="nil"/>
              <w:right w:val="nil"/>
            </w:tcBorders>
            <w:noWrap/>
          </w:tcPr>
          <w:p w:rsidRPr="00674EC6" w:rsidR="005C5C74" w:rsidP="007B3F1A" w:rsidRDefault="005C5C74" w14:paraId="782FE95F" w14:textId="77777777">
            <w:pPr>
              <w:jc w:val="right"/>
              <w:rPr>
                <w:rFonts w:ascii="Arial" w:hAnsi="Arial" w:eastAsia="Times New Roman" w:cs="Arial"/>
                <w:sz w:val="20"/>
                <w:szCs w:val="20"/>
                <w:lang w:eastAsia="en-GB"/>
              </w:rPr>
            </w:pPr>
          </w:p>
        </w:tc>
      </w:tr>
      <w:tr w:rsidRPr="00674EC6" w:rsidR="005C5C74" w:rsidTr="007B3F1A" w14:paraId="42A12E95" w14:textId="77777777">
        <w:trPr>
          <w:trHeight w:val="300"/>
        </w:trPr>
        <w:tc>
          <w:tcPr>
            <w:tcW w:w="6804" w:type="dxa"/>
            <w:gridSpan w:val="2"/>
            <w:tcBorders>
              <w:left w:val="nil"/>
              <w:right w:val="nil"/>
            </w:tcBorders>
            <w:noWrap/>
          </w:tcPr>
          <w:p w:rsidRPr="005C5C74" w:rsidR="005C5C74" w:rsidP="005C5C74" w:rsidRDefault="005C5C74" w14:paraId="1310B5CC" w14:textId="77777777">
            <w:pPr>
              <w:ind w:left="171" w:firstLine="48" w:firstLineChars="22"/>
            </w:pPr>
            <w:r w:rsidRPr="005C5C74">
              <w:t xml:space="preserve">v. Kvartalsmæssig gennemsnitlig værdi af fordringer på tværs af jurisdiktioner </w:t>
            </w:r>
          </w:p>
        </w:tc>
        <w:tc>
          <w:tcPr>
            <w:tcW w:w="2745" w:type="dxa"/>
            <w:tcBorders>
              <w:left w:val="nil"/>
              <w:right w:val="nil"/>
            </w:tcBorders>
            <w:noWrap/>
          </w:tcPr>
          <w:p w:rsidRPr="00674EC6" w:rsidR="005C5C74" w:rsidP="007B3F1A" w:rsidRDefault="005C5C74" w14:paraId="031B1FD7" w14:textId="77777777">
            <w:pPr>
              <w:jc w:val="right"/>
              <w:rPr>
                <w:rFonts w:ascii="Arial" w:hAnsi="Arial" w:eastAsia="Times New Roman" w:cs="Arial"/>
                <w:sz w:val="20"/>
                <w:szCs w:val="20"/>
                <w:lang w:eastAsia="en-GB"/>
              </w:rPr>
            </w:pPr>
          </w:p>
        </w:tc>
      </w:tr>
      <w:tr w:rsidRPr="00674EC6" w:rsidR="005C5C74" w:rsidTr="007B3F1A" w14:paraId="73F904CE" w14:textId="77777777">
        <w:trPr>
          <w:trHeight w:val="300"/>
        </w:trPr>
        <w:tc>
          <w:tcPr>
            <w:tcW w:w="6804" w:type="dxa"/>
            <w:gridSpan w:val="2"/>
            <w:tcBorders>
              <w:left w:val="nil"/>
              <w:right w:val="nil"/>
            </w:tcBorders>
            <w:noWrap/>
          </w:tcPr>
          <w:p w:rsidRPr="005C5C74" w:rsidR="005C5C74" w:rsidP="005C5C74" w:rsidRDefault="005C5C74" w14:paraId="3C84DBCE" w14:textId="77777777">
            <w:pPr>
              <w:ind w:left="171" w:firstLine="48" w:firstLineChars="22"/>
            </w:pPr>
            <w:r w:rsidRPr="005C5C74">
              <w:t xml:space="preserve">w. Månedlig gennemsnitlig værdi af fordringer på tværs af jurisdiktioner </w:t>
            </w:r>
          </w:p>
        </w:tc>
        <w:tc>
          <w:tcPr>
            <w:tcW w:w="2745" w:type="dxa"/>
            <w:tcBorders>
              <w:left w:val="nil"/>
              <w:right w:val="nil"/>
            </w:tcBorders>
            <w:noWrap/>
          </w:tcPr>
          <w:p w:rsidRPr="00674EC6" w:rsidR="005C5C74" w:rsidP="007B3F1A" w:rsidRDefault="005C5C74" w14:paraId="4FF137DD" w14:textId="77777777">
            <w:pPr>
              <w:jc w:val="right"/>
              <w:rPr>
                <w:rFonts w:ascii="Arial" w:hAnsi="Arial" w:eastAsia="Times New Roman" w:cs="Arial"/>
                <w:sz w:val="20"/>
                <w:szCs w:val="20"/>
                <w:lang w:eastAsia="en-GB"/>
              </w:rPr>
            </w:pPr>
          </w:p>
        </w:tc>
      </w:tr>
      <w:tr w:rsidRPr="00674EC6" w:rsidR="005C5C74" w:rsidTr="007B3F1A" w14:paraId="05BAAAD3" w14:textId="77777777">
        <w:trPr>
          <w:trHeight w:val="300"/>
        </w:trPr>
        <w:tc>
          <w:tcPr>
            <w:tcW w:w="6804" w:type="dxa"/>
            <w:gridSpan w:val="2"/>
            <w:tcBorders>
              <w:left w:val="nil"/>
              <w:right w:val="nil"/>
            </w:tcBorders>
            <w:noWrap/>
          </w:tcPr>
          <w:p w:rsidRPr="005C5C74" w:rsidR="005C5C74" w:rsidP="005C5C74" w:rsidRDefault="005C5C74" w14:paraId="333A45C7" w14:textId="77777777">
            <w:pPr>
              <w:ind w:left="171" w:firstLine="48" w:firstLineChars="22"/>
            </w:pPr>
            <w:r w:rsidRPr="005C5C74">
              <w:t xml:space="preserve">x. Kvartalsvis gennemsnitlig værdi af passiver på tværs af jurisdiktioner </w:t>
            </w:r>
          </w:p>
        </w:tc>
        <w:tc>
          <w:tcPr>
            <w:tcW w:w="2745" w:type="dxa"/>
            <w:tcBorders>
              <w:left w:val="nil"/>
              <w:right w:val="nil"/>
            </w:tcBorders>
            <w:noWrap/>
          </w:tcPr>
          <w:p w:rsidRPr="00674EC6" w:rsidR="005C5C74" w:rsidP="007B3F1A" w:rsidRDefault="005C5C74" w14:paraId="5D93AF58" w14:textId="77777777">
            <w:pPr>
              <w:jc w:val="right"/>
              <w:rPr>
                <w:rFonts w:ascii="Arial" w:hAnsi="Arial" w:eastAsia="Times New Roman" w:cs="Arial"/>
                <w:sz w:val="20"/>
                <w:szCs w:val="20"/>
                <w:lang w:eastAsia="en-GB"/>
              </w:rPr>
            </w:pPr>
          </w:p>
        </w:tc>
      </w:tr>
      <w:tr w:rsidRPr="00674EC6" w:rsidR="005C5C74" w:rsidTr="007B3F1A" w14:paraId="18AF9990" w14:textId="77777777">
        <w:trPr>
          <w:trHeight w:val="300"/>
        </w:trPr>
        <w:tc>
          <w:tcPr>
            <w:tcW w:w="6804" w:type="dxa"/>
            <w:gridSpan w:val="2"/>
            <w:tcBorders>
              <w:left w:val="nil"/>
              <w:bottom w:val="single" w:color="auto" w:sz="4" w:space="0"/>
              <w:right w:val="nil"/>
            </w:tcBorders>
            <w:noWrap/>
          </w:tcPr>
          <w:p w:rsidRPr="005C5C74" w:rsidR="005C5C74" w:rsidP="005C5C74" w:rsidRDefault="005C5C74" w14:paraId="65380AAF" w14:textId="77777777">
            <w:pPr>
              <w:ind w:left="171" w:firstLine="48" w:firstLineChars="22"/>
            </w:pPr>
            <w:r w:rsidRPr="005C5C74">
              <w:t xml:space="preserve">y. Månedlig gennemsnitlig værdi af passiver på tværs af jurisdiktioner </w:t>
            </w:r>
          </w:p>
        </w:tc>
        <w:tc>
          <w:tcPr>
            <w:tcW w:w="2745" w:type="dxa"/>
            <w:tcBorders>
              <w:left w:val="nil"/>
              <w:bottom w:val="single" w:color="auto" w:sz="4" w:space="0"/>
              <w:right w:val="nil"/>
            </w:tcBorders>
            <w:noWrap/>
          </w:tcPr>
          <w:p w:rsidRPr="00674EC6" w:rsidR="005C5C74" w:rsidP="007B3F1A" w:rsidRDefault="005C5C74" w14:paraId="31FED7F5" w14:textId="77777777">
            <w:pPr>
              <w:jc w:val="right"/>
              <w:rPr>
                <w:rFonts w:ascii="Arial" w:hAnsi="Arial" w:eastAsia="Times New Roman" w:cs="Arial"/>
                <w:sz w:val="20"/>
                <w:szCs w:val="20"/>
                <w:lang w:eastAsia="en-GB"/>
              </w:rPr>
            </w:pPr>
          </w:p>
        </w:tc>
      </w:tr>
      <w:tr w:rsidRPr="00674EC6" w:rsidR="005C5C74" w:rsidTr="007B3F1A" w14:paraId="2E27E558" w14:textId="77777777">
        <w:trPr>
          <w:trHeight w:val="300"/>
        </w:trPr>
        <w:tc>
          <w:tcPr>
            <w:tcW w:w="6804" w:type="dxa"/>
            <w:gridSpan w:val="2"/>
            <w:tcBorders>
              <w:left w:val="nil"/>
              <w:bottom w:val="nil"/>
              <w:right w:val="nil"/>
            </w:tcBorders>
            <w:noWrap/>
          </w:tcPr>
          <w:p w:rsidRPr="00674EC6" w:rsidR="005C5C74" w:rsidP="007B3F1A" w:rsidRDefault="005C5C74" w14:paraId="23A2EEB3"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674EC6" w:rsidR="005C5C74" w:rsidP="007B3F1A" w:rsidRDefault="005C5C74" w14:paraId="3CAC0425" w14:textId="77777777">
            <w:pPr>
              <w:jc w:val="right"/>
              <w:rPr>
                <w:rFonts w:ascii="Arial" w:hAnsi="Arial" w:eastAsia="Times New Roman" w:cs="Arial"/>
                <w:sz w:val="20"/>
                <w:szCs w:val="20"/>
                <w:lang w:eastAsia="en-GB"/>
              </w:rPr>
            </w:pPr>
          </w:p>
        </w:tc>
      </w:tr>
      <w:tr w:rsidRPr="00674EC6" w:rsidR="005C5C74" w:rsidTr="007B3F1A" w14:paraId="680B2AA6" w14:textId="77777777">
        <w:trPr>
          <w:trHeight w:val="300"/>
        </w:trPr>
        <w:tc>
          <w:tcPr>
            <w:tcW w:w="6804" w:type="dxa"/>
            <w:gridSpan w:val="2"/>
            <w:tcBorders>
              <w:top w:val="nil"/>
              <w:left w:val="nil"/>
              <w:right w:val="nil"/>
            </w:tcBorders>
            <w:noWrap/>
          </w:tcPr>
          <w:p w:rsidRPr="00674EC6" w:rsidR="005C5C74" w:rsidP="007B3F1A" w:rsidRDefault="005C5C74" w14:paraId="4B963C02" w14:textId="77777777">
            <w:pPr>
              <w:rPr>
                <w:rFonts w:ascii="Arial" w:hAnsi="Arial" w:eastAsia="Times New Roman" w:cs="Arial"/>
                <w:sz w:val="20"/>
                <w:szCs w:val="20"/>
              </w:rPr>
            </w:pPr>
            <w:r w:rsidRPr="00674EC6">
              <w:rPr>
                <w:rFonts w:ascii="Arial" w:hAnsi="Arial"/>
                <w:b/>
                <w:sz w:val="20"/>
              </w:rPr>
              <w:t>Afdeling 22 – Supplerende indikatorer</w:t>
            </w:r>
          </w:p>
        </w:tc>
        <w:tc>
          <w:tcPr>
            <w:tcW w:w="2745" w:type="dxa"/>
            <w:tcBorders>
              <w:top w:val="nil"/>
              <w:left w:val="nil"/>
              <w:right w:val="nil"/>
            </w:tcBorders>
            <w:noWrap/>
          </w:tcPr>
          <w:p w:rsidRPr="00674EC6" w:rsidR="005C5C74" w:rsidP="007B3F1A" w:rsidRDefault="005C5C74" w14:paraId="5D88E6CD" w14:textId="77777777">
            <w:pPr>
              <w:jc w:val="right"/>
              <w:rPr>
                <w:rFonts w:ascii="Arial" w:hAnsi="Arial" w:eastAsia="Times New Roman" w:cs="Arial"/>
                <w:sz w:val="20"/>
                <w:szCs w:val="20"/>
                <w:lang w:eastAsia="en-GB"/>
              </w:rPr>
            </w:pPr>
          </w:p>
        </w:tc>
      </w:tr>
      <w:tr w:rsidRPr="00674EC6" w:rsidR="005C5C74" w:rsidTr="007B3F1A" w14:paraId="38B69925" w14:textId="77777777">
        <w:trPr>
          <w:trHeight w:val="300"/>
        </w:trPr>
        <w:tc>
          <w:tcPr>
            <w:tcW w:w="6804" w:type="dxa"/>
            <w:gridSpan w:val="2"/>
            <w:tcBorders>
              <w:left w:val="nil"/>
              <w:right w:val="nil"/>
            </w:tcBorders>
            <w:noWrap/>
          </w:tcPr>
          <w:p w:rsidRPr="005C5C74" w:rsidR="005C5C74" w:rsidP="005C5C74" w:rsidRDefault="005C5C74" w14:paraId="0F701CE4" w14:textId="77777777">
            <w:pPr>
              <w:ind w:left="171" w:firstLine="48" w:firstLineChars="22"/>
            </w:pPr>
            <w:r w:rsidRPr="005C5C74">
              <w:t>a. Udenlandsk nettoindtægt (hvor SRM betragtes som en enkelt jurisdiktion)</w:t>
            </w:r>
          </w:p>
        </w:tc>
        <w:tc>
          <w:tcPr>
            <w:tcW w:w="2745" w:type="dxa"/>
            <w:tcBorders>
              <w:left w:val="nil"/>
              <w:right w:val="nil"/>
            </w:tcBorders>
            <w:noWrap/>
          </w:tcPr>
          <w:p w:rsidRPr="00674EC6" w:rsidR="005C5C74" w:rsidP="007B3F1A" w:rsidRDefault="005C5C74" w14:paraId="5B111099" w14:textId="77777777">
            <w:pPr>
              <w:jc w:val="right"/>
              <w:rPr>
                <w:rFonts w:ascii="Arial" w:hAnsi="Arial" w:eastAsia="Times New Roman" w:cs="Arial"/>
                <w:sz w:val="20"/>
                <w:szCs w:val="20"/>
                <w:lang w:eastAsia="en-GB"/>
              </w:rPr>
            </w:pPr>
          </w:p>
        </w:tc>
      </w:tr>
      <w:tr w:rsidRPr="00674EC6" w:rsidR="005C5C74" w:rsidTr="007B3F1A" w14:paraId="41E9C560" w14:textId="77777777">
        <w:trPr>
          <w:trHeight w:val="300"/>
        </w:trPr>
        <w:tc>
          <w:tcPr>
            <w:tcW w:w="6804" w:type="dxa"/>
            <w:gridSpan w:val="2"/>
            <w:tcBorders>
              <w:left w:val="nil"/>
              <w:bottom w:val="single" w:color="auto" w:sz="4" w:space="0"/>
              <w:right w:val="nil"/>
            </w:tcBorders>
            <w:noWrap/>
          </w:tcPr>
          <w:p w:rsidRPr="005C5C74" w:rsidR="005C5C74" w:rsidP="005C5C74" w:rsidRDefault="005C5C74" w14:paraId="501DF8EE" w14:textId="77777777">
            <w:pPr>
              <w:ind w:left="171" w:firstLine="48" w:firstLineChars="22"/>
            </w:pPr>
            <w:r w:rsidRPr="005C5C74">
              <w:t>b. Antal jurisdiktioner (hvor SRM betragtes som en enkelt jurisdiktion)</w:t>
            </w:r>
          </w:p>
        </w:tc>
        <w:tc>
          <w:tcPr>
            <w:tcW w:w="2745" w:type="dxa"/>
            <w:tcBorders>
              <w:left w:val="nil"/>
              <w:right w:val="nil"/>
            </w:tcBorders>
            <w:noWrap/>
          </w:tcPr>
          <w:p w:rsidRPr="00674EC6" w:rsidR="005C5C74" w:rsidP="007B3F1A" w:rsidRDefault="005C5C74" w14:paraId="28E3B028" w14:textId="77777777">
            <w:pPr>
              <w:jc w:val="right"/>
              <w:rPr>
                <w:rFonts w:ascii="Arial" w:hAnsi="Arial" w:eastAsia="Times New Roman" w:cs="Arial"/>
                <w:sz w:val="20"/>
                <w:szCs w:val="20"/>
                <w:lang w:eastAsia="en-GB"/>
              </w:rPr>
            </w:pPr>
          </w:p>
        </w:tc>
      </w:tr>
      <w:tr w:rsidRPr="00674EC6" w:rsidR="005C5C74" w:rsidTr="007B3F1A" w14:paraId="5AA8D558" w14:textId="77777777">
        <w:trPr>
          <w:trHeight w:val="300"/>
        </w:trPr>
        <w:tc>
          <w:tcPr>
            <w:tcW w:w="6804" w:type="dxa"/>
            <w:gridSpan w:val="2"/>
            <w:tcBorders>
              <w:left w:val="nil"/>
              <w:bottom w:val="nil"/>
              <w:right w:val="nil"/>
            </w:tcBorders>
            <w:noWrap/>
          </w:tcPr>
          <w:p w:rsidRPr="00674EC6" w:rsidR="005C5C74" w:rsidP="007B3F1A" w:rsidRDefault="005C5C74" w14:paraId="4045BB5B"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674EC6" w:rsidR="005C5C74" w:rsidP="007B3F1A" w:rsidRDefault="005C5C74" w14:paraId="4E3176D6" w14:textId="77777777">
            <w:pPr>
              <w:jc w:val="right"/>
              <w:rPr>
                <w:rFonts w:ascii="Arial" w:hAnsi="Arial" w:eastAsia="Times New Roman" w:cs="Arial"/>
                <w:sz w:val="20"/>
                <w:szCs w:val="20"/>
                <w:lang w:eastAsia="en-GB"/>
              </w:rPr>
            </w:pPr>
          </w:p>
        </w:tc>
      </w:tr>
      <w:tr w:rsidRPr="00674EC6" w:rsidR="005C5C74" w:rsidTr="007B3F1A" w14:paraId="2091C359" w14:textId="77777777">
        <w:trPr>
          <w:trHeight w:val="300"/>
        </w:trPr>
        <w:tc>
          <w:tcPr>
            <w:tcW w:w="6804" w:type="dxa"/>
            <w:gridSpan w:val="2"/>
            <w:tcBorders>
              <w:top w:val="nil"/>
              <w:left w:val="nil"/>
              <w:bottom w:val="nil"/>
              <w:right w:val="nil"/>
            </w:tcBorders>
            <w:noWrap/>
          </w:tcPr>
          <w:p w:rsidRPr="00674EC6" w:rsidR="005C5C74" w:rsidP="007B3F1A" w:rsidRDefault="005C5C74" w14:paraId="1A0D7680" w14:textId="77777777">
            <w:pPr>
              <w:ind w:firstLine="221" w:firstLineChars="100"/>
              <w:rPr>
                <w:rFonts w:ascii="Arial" w:hAnsi="Arial" w:eastAsia="Times New Roman" w:cs="Arial"/>
                <w:sz w:val="20"/>
                <w:szCs w:val="20"/>
              </w:rPr>
            </w:pPr>
            <w:r w:rsidRPr="00674EC6">
              <w:rPr>
                <w:rFonts w:asciiTheme="majorHAnsi" w:hAnsiTheme="majorHAnsi"/>
                <w:b/>
                <w:i/>
                <w:caps/>
              </w:rPr>
              <w:t>Kontrolresumé</w:t>
            </w:r>
          </w:p>
        </w:tc>
        <w:tc>
          <w:tcPr>
            <w:tcW w:w="2745" w:type="dxa"/>
            <w:tcBorders>
              <w:top w:val="nil"/>
              <w:left w:val="nil"/>
              <w:bottom w:val="nil"/>
              <w:right w:val="nil"/>
            </w:tcBorders>
            <w:noWrap/>
          </w:tcPr>
          <w:p w:rsidRPr="00674EC6" w:rsidR="005C5C74" w:rsidP="007B3F1A" w:rsidRDefault="005C5C74" w14:paraId="1187C4B3" w14:textId="77777777">
            <w:pPr>
              <w:jc w:val="right"/>
              <w:rPr>
                <w:rFonts w:ascii="Arial" w:hAnsi="Arial" w:eastAsia="Times New Roman" w:cs="Arial"/>
                <w:sz w:val="20"/>
                <w:szCs w:val="20"/>
                <w:lang w:eastAsia="en-GB"/>
              </w:rPr>
            </w:pPr>
          </w:p>
        </w:tc>
      </w:tr>
      <w:tr w:rsidRPr="00674EC6" w:rsidR="005C5C74" w:rsidTr="007B3F1A" w14:paraId="1C3AA00C" w14:textId="77777777">
        <w:trPr>
          <w:trHeight w:val="300"/>
        </w:trPr>
        <w:tc>
          <w:tcPr>
            <w:tcW w:w="6804" w:type="dxa"/>
            <w:gridSpan w:val="2"/>
            <w:tcBorders>
              <w:top w:val="nil"/>
              <w:left w:val="nil"/>
              <w:bottom w:val="single" w:color="auto" w:sz="4" w:space="0"/>
              <w:right w:val="nil"/>
            </w:tcBorders>
            <w:noWrap/>
          </w:tcPr>
          <w:p w:rsidRPr="00674EC6" w:rsidR="005C5C74" w:rsidP="007B3F1A" w:rsidRDefault="005C5C74" w14:paraId="12FFE947" w14:textId="77777777">
            <w:pPr>
              <w:ind w:firstLine="200" w:firstLineChars="100"/>
              <w:rPr>
                <w:rFonts w:ascii="Arial" w:hAnsi="Arial" w:eastAsia="Times New Roman" w:cs="Arial"/>
                <w:sz w:val="20"/>
                <w:szCs w:val="20"/>
                <w:lang w:eastAsia="en-GB"/>
              </w:rPr>
            </w:pPr>
          </w:p>
        </w:tc>
        <w:tc>
          <w:tcPr>
            <w:tcW w:w="2745" w:type="dxa"/>
            <w:tcBorders>
              <w:top w:val="nil"/>
              <w:left w:val="nil"/>
              <w:right w:val="nil"/>
            </w:tcBorders>
            <w:noWrap/>
          </w:tcPr>
          <w:p w:rsidRPr="00674EC6" w:rsidR="005C5C74" w:rsidP="007B3F1A" w:rsidRDefault="005C5C74" w14:paraId="7EA50841" w14:textId="77777777">
            <w:pPr>
              <w:jc w:val="right"/>
              <w:rPr>
                <w:rFonts w:ascii="Arial" w:hAnsi="Arial" w:eastAsia="Times New Roman" w:cs="Arial"/>
                <w:sz w:val="20"/>
                <w:szCs w:val="20"/>
                <w:lang w:eastAsia="en-GB"/>
              </w:rPr>
            </w:pPr>
          </w:p>
        </w:tc>
      </w:tr>
      <w:tr w:rsidRPr="00674EC6" w:rsidR="005C5C74" w:rsidTr="007B3F1A" w14:paraId="0AB974DB"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101ABEB5" w14:textId="77777777">
            <w:pPr>
              <w:rPr>
                <w:rFonts w:ascii="Arial" w:hAnsi="Arial" w:eastAsia="Times New Roman" w:cs="Arial"/>
                <w:sz w:val="20"/>
                <w:szCs w:val="20"/>
              </w:rPr>
            </w:pPr>
            <w:r w:rsidRPr="00674EC6">
              <w:rPr>
                <w:b/>
              </w:rPr>
              <w:t>Afdeling 23 – Indikatorværdier (revideret metode)</w:t>
            </w:r>
          </w:p>
        </w:tc>
        <w:tc>
          <w:tcPr>
            <w:tcW w:w="2745" w:type="dxa"/>
            <w:tcBorders>
              <w:left w:val="nil"/>
              <w:right w:val="nil"/>
            </w:tcBorders>
            <w:noWrap/>
          </w:tcPr>
          <w:p w:rsidRPr="00674EC6" w:rsidR="005C5C74" w:rsidP="007B3F1A" w:rsidRDefault="005C5C74" w14:paraId="6D12F121" w14:textId="77777777">
            <w:pPr>
              <w:jc w:val="center"/>
              <w:rPr>
                <w:rFonts w:ascii="Arial" w:hAnsi="Arial" w:eastAsia="Times New Roman" w:cs="Arial"/>
                <w:sz w:val="20"/>
                <w:szCs w:val="20"/>
              </w:rPr>
            </w:pPr>
            <w:r w:rsidRPr="00674EC6">
              <w:rPr>
                <w:b/>
              </w:rPr>
              <w:t>Indikatorværdi i indberetningsvaluta</w:t>
            </w:r>
          </w:p>
        </w:tc>
      </w:tr>
      <w:tr w:rsidRPr="00674EC6" w:rsidR="005C5C74" w:rsidTr="007B3F1A" w14:paraId="3FB12D77"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07C49E66" w14:textId="77777777">
            <w:pPr>
              <w:ind w:left="171" w:firstLine="48" w:firstLineChars="22"/>
              <w:rPr>
                <w:rFonts w:ascii="Arial" w:hAnsi="Arial" w:eastAsia="Times New Roman" w:cs="Arial"/>
                <w:sz w:val="20"/>
                <w:szCs w:val="20"/>
              </w:rPr>
            </w:pPr>
            <w:r w:rsidRPr="00674EC6">
              <w:t>a. Afdeling 2 – Indikator for eksponeringer i alt, inklusive forsikringsdatterselskaber</w:t>
            </w:r>
          </w:p>
        </w:tc>
        <w:tc>
          <w:tcPr>
            <w:tcW w:w="2745" w:type="dxa"/>
            <w:tcBorders>
              <w:left w:val="nil"/>
              <w:right w:val="nil"/>
            </w:tcBorders>
            <w:noWrap/>
          </w:tcPr>
          <w:p w:rsidRPr="00674EC6" w:rsidR="005C5C74" w:rsidP="007B3F1A" w:rsidRDefault="005C5C74" w14:paraId="1CFD624F" w14:textId="77777777">
            <w:pPr>
              <w:jc w:val="right"/>
              <w:rPr>
                <w:rFonts w:ascii="Arial" w:hAnsi="Arial" w:eastAsia="Times New Roman" w:cs="Arial"/>
                <w:sz w:val="20"/>
                <w:szCs w:val="20"/>
                <w:lang w:eastAsia="en-GB"/>
              </w:rPr>
            </w:pPr>
          </w:p>
        </w:tc>
      </w:tr>
      <w:tr w:rsidRPr="00674EC6" w:rsidR="005C5C74" w:rsidTr="007B3F1A" w14:paraId="7EF3F19E"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0B2A13FD" w14:textId="77777777">
            <w:pPr>
              <w:ind w:left="171" w:firstLine="48" w:firstLineChars="22"/>
              <w:rPr>
                <w:rFonts w:ascii="Arial" w:hAnsi="Arial" w:eastAsia="Times New Roman" w:cs="Arial"/>
                <w:sz w:val="20"/>
                <w:szCs w:val="20"/>
              </w:rPr>
            </w:pPr>
            <w:r w:rsidRPr="00674EC6">
              <w:t>b. Afdeling 3 – Indikator for aktiver inden for det finansielle system, inklusive forsikringsdatterselskaber</w:t>
            </w:r>
          </w:p>
        </w:tc>
        <w:tc>
          <w:tcPr>
            <w:tcW w:w="2745" w:type="dxa"/>
            <w:tcBorders>
              <w:left w:val="nil"/>
              <w:right w:val="nil"/>
            </w:tcBorders>
            <w:noWrap/>
          </w:tcPr>
          <w:p w:rsidRPr="00674EC6" w:rsidR="005C5C74" w:rsidP="007B3F1A" w:rsidRDefault="005C5C74" w14:paraId="684D77A5" w14:textId="77777777">
            <w:pPr>
              <w:jc w:val="right"/>
              <w:rPr>
                <w:rFonts w:ascii="Arial" w:hAnsi="Arial" w:eastAsia="Times New Roman" w:cs="Arial"/>
                <w:sz w:val="20"/>
                <w:szCs w:val="20"/>
                <w:lang w:eastAsia="en-GB"/>
              </w:rPr>
            </w:pPr>
          </w:p>
        </w:tc>
      </w:tr>
      <w:tr w:rsidRPr="00674EC6" w:rsidR="005C5C74" w:rsidTr="007B3F1A" w14:paraId="16F513BE"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6F894430" w14:textId="77777777">
            <w:pPr>
              <w:ind w:left="171" w:firstLine="48" w:firstLineChars="22"/>
              <w:rPr>
                <w:rFonts w:ascii="Arial" w:hAnsi="Arial" w:eastAsia="Times New Roman" w:cs="Arial"/>
                <w:sz w:val="20"/>
                <w:szCs w:val="20"/>
              </w:rPr>
            </w:pPr>
            <w:r w:rsidRPr="00674EC6">
              <w:t>c. Afdeling 4 – Indikator for passiver inden for det finansielle system, inklusive forsikringsdatterselskaber</w:t>
            </w:r>
          </w:p>
        </w:tc>
        <w:tc>
          <w:tcPr>
            <w:tcW w:w="2745" w:type="dxa"/>
            <w:tcBorders>
              <w:left w:val="nil"/>
              <w:right w:val="nil"/>
            </w:tcBorders>
            <w:noWrap/>
          </w:tcPr>
          <w:p w:rsidRPr="00674EC6" w:rsidR="005C5C74" w:rsidP="007B3F1A" w:rsidRDefault="005C5C74" w14:paraId="0009E725" w14:textId="77777777">
            <w:pPr>
              <w:jc w:val="right"/>
              <w:rPr>
                <w:rFonts w:ascii="Arial" w:hAnsi="Arial" w:eastAsia="Times New Roman" w:cs="Arial"/>
                <w:sz w:val="20"/>
                <w:szCs w:val="20"/>
                <w:lang w:eastAsia="en-GB"/>
              </w:rPr>
            </w:pPr>
          </w:p>
        </w:tc>
      </w:tr>
      <w:tr w:rsidRPr="00674EC6" w:rsidR="005C5C74" w:rsidTr="007B3F1A" w14:paraId="1436C996"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53031453" w14:textId="77777777">
            <w:pPr>
              <w:ind w:left="171" w:firstLine="48" w:firstLineChars="22"/>
              <w:rPr>
                <w:rFonts w:ascii="Arial" w:hAnsi="Arial" w:eastAsia="Times New Roman" w:cs="Arial"/>
                <w:sz w:val="20"/>
                <w:szCs w:val="20"/>
              </w:rPr>
            </w:pPr>
            <w:r w:rsidRPr="00674EC6">
              <w:t>d. Afdeling 5 – Indikator for udstedte værdipapirer, inklusive forsikringsdatterselskaber</w:t>
            </w:r>
          </w:p>
        </w:tc>
        <w:tc>
          <w:tcPr>
            <w:tcW w:w="2745" w:type="dxa"/>
            <w:tcBorders>
              <w:left w:val="nil"/>
              <w:right w:val="nil"/>
            </w:tcBorders>
            <w:noWrap/>
          </w:tcPr>
          <w:p w:rsidRPr="00674EC6" w:rsidR="005C5C74" w:rsidP="007B3F1A" w:rsidRDefault="005C5C74" w14:paraId="382F9368" w14:textId="77777777">
            <w:pPr>
              <w:jc w:val="right"/>
              <w:rPr>
                <w:rFonts w:ascii="Arial" w:hAnsi="Arial" w:eastAsia="Times New Roman" w:cs="Arial"/>
                <w:sz w:val="20"/>
                <w:szCs w:val="20"/>
                <w:lang w:eastAsia="en-GB"/>
              </w:rPr>
            </w:pPr>
          </w:p>
        </w:tc>
      </w:tr>
      <w:tr w:rsidRPr="00674EC6" w:rsidR="005C5C74" w:rsidTr="007B3F1A" w14:paraId="2E1A216D"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14E039F0" w14:textId="77777777">
            <w:pPr>
              <w:ind w:firstLine="220" w:firstLineChars="100"/>
              <w:rPr>
                <w:rFonts w:ascii="Arial" w:hAnsi="Arial" w:eastAsia="Times New Roman" w:cs="Arial"/>
                <w:sz w:val="20"/>
                <w:szCs w:val="20"/>
              </w:rPr>
            </w:pPr>
            <w:r w:rsidRPr="00674EC6">
              <w:lastRenderedPageBreak/>
              <w:t>e. Afdeling 6 – Indikator for betalingsaktivitet</w:t>
            </w:r>
          </w:p>
        </w:tc>
        <w:tc>
          <w:tcPr>
            <w:tcW w:w="2745" w:type="dxa"/>
            <w:tcBorders>
              <w:left w:val="nil"/>
              <w:right w:val="nil"/>
            </w:tcBorders>
            <w:noWrap/>
          </w:tcPr>
          <w:p w:rsidRPr="00674EC6" w:rsidR="005C5C74" w:rsidP="007B3F1A" w:rsidRDefault="005C5C74" w14:paraId="791B79BC" w14:textId="77777777">
            <w:pPr>
              <w:jc w:val="right"/>
              <w:rPr>
                <w:rFonts w:ascii="Arial" w:hAnsi="Arial" w:eastAsia="Times New Roman" w:cs="Arial"/>
                <w:sz w:val="20"/>
                <w:szCs w:val="20"/>
                <w:lang w:eastAsia="en-GB"/>
              </w:rPr>
            </w:pPr>
          </w:p>
        </w:tc>
      </w:tr>
      <w:tr w:rsidRPr="00674EC6" w:rsidR="005C5C74" w:rsidTr="007B3F1A" w14:paraId="1C9C66AE"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3B811D74" w14:textId="77777777">
            <w:pPr>
              <w:ind w:firstLine="220" w:firstLineChars="100"/>
              <w:rPr>
                <w:rFonts w:ascii="Arial" w:hAnsi="Arial" w:eastAsia="Times New Roman" w:cs="Arial"/>
                <w:sz w:val="20"/>
                <w:szCs w:val="20"/>
              </w:rPr>
            </w:pPr>
            <w:r w:rsidRPr="00674EC6">
              <w:t>f. Afdeling 7 – Indikator for aktiver i depot</w:t>
            </w:r>
          </w:p>
        </w:tc>
        <w:tc>
          <w:tcPr>
            <w:tcW w:w="2745" w:type="dxa"/>
            <w:tcBorders>
              <w:left w:val="nil"/>
              <w:right w:val="nil"/>
            </w:tcBorders>
            <w:noWrap/>
          </w:tcPr>
          <w:p w:rsidRPr="00674EC6" w:rsidR="005C5C74" w:rsidP="007B3F1A" w:rsidRDefault="005C5C74" w14:paraId="6353B039" w14:textId="77777777">
            <w:pPr>
              <w:jc w:val="right"/>
              <w:rPr>
                <w:rFonts w:ascii="Arial" w:hAnsi="Arial" w:eastAsia="Times New Roman" w:cs="Arial"/>
                <w:sz w:val="20"/>
                <w:szCs w:val="20"/>
                <w:lang w:eastAsia="en-GB"/>
              </w:rPr>
            </w:pPr>
          </w:p>
        </w:tc>
      </w:tr>
      <w:tr w:rsidRPr="00674EC6" w:rsidR="005C5C74" w:rsidTr="007B3F1A" w14:paraId="64D01367"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371BF13C" w14:textId="77777777">
            <w:pPr>
              <w:ind w:firstLine="220" w:firstLineChars="100"/>
              <w:rPr>
                <w:rFonts w:ascii="Arial" w:hAnsi="Arial" w:eastAsia="Times New Roman" w:cs="Arial"/>
                <w:sz w:val="20"/>
                <w:szCs w:val="20"/>
              </w:rPr>
            </w:pPr>
            <w:r w:rsidRPr="00674EC6">
              <w:t>g. Afdeling 8 – Indikator for underwritingaktivitet</w:t>
            </w:r>
          </w:p>
        </w:tc>
        <w:tc>
          <w:tcPr>
            <w:tcW w:w="2745" w:type="dxa"/>
            <w:tcBorders>
              <w:left w:val="nil"/>
              <w:right w:val="nil"/>
            </w:tcBorders>
            <w:noWrap/>
          </w:tcPr>
          <w:p w:rsidRPr="00674EC6" w:rsidR="005C5C74" w:rsidP="007B3F1A" w:rsidRDefault="005C5C74" w14:paraId="46026456" w14:textId="77777777">
            <w:pPr>
              <w:jc w:val="right"/>
              <w:rPr>
                <w:rFonts w:ascii="Arial" w:hAnsi="Arial" w:eastAsia="Times New Roman" w:cs="Arial"/>
                <w:sz w:val="20"/>
                <w:szCs w:val="20"/>
                <w:lang w:eastAsia="en-GB"/>
              </w:rPr>
            </w:pPr>
          </w:p>
        </w:tc>
      </w:tr>
      <w:tr w:rsidRPr="00674EC6" w:rsidR="005C5C74" w:rsidTr="007B3F1A" w14:paraId="5222AF4C"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1D85404B" w14:textId="77777777">
            <w:pPr>
              <w:ind w:firstLine="220" w:firstLineChars="100"/>
              <w:rPr>
                <w:rFonts w:ascii="Arial" w:hAnsi="Arial" w:eastAsia="Times New Roman" w:cs="Arial"/>
                <w:sz w:val="20"/>
                <w:szCs w:val="20"/>
              </w:rPr>
            </w:pPr>
            <w:r w:rsidRPr="00674EC6">
              <w:t>h. Afdeling 9.c – Delindikator for handelsvolumen – fastforrentet</w:t>
            </w:r>
          </w:p>
        </w:tc>
        <w:tc>
          <w:tcPr>
            <w:tcW w:w="2745" w:type="dxa"/>
            <w:tcBorders>
              <w:left w:val="nil"/>
              <w:right w:val="nil"/>
            </w:tcBorders>
            <w:noWrap/>
          </w:tcPr>
          <w:p w:rsidRPr="00674EC6" w:rsidR="005C5C74" w:rsidP="007B3F1A" w:rsidRDefault="005C5C74" w14:paraId="1C0049FA" w14:textId="77777777">
            <w:pPr>
              <w:jc w:val="right"/>
              <w:rPr>
                <w:rFonts w:ascii="Arial" w:hAnsi="Arial" w:eastAsia="Times New Roman" w:cs="Arial"/>
                <w:sz w:val="20"/>
                <w:szCs w:val="20"/>
                <w:lang w:eastAsia="en-GB"/>
              </w:rPr>
            </w:pPr>
          </w:p>
        </w:tc>
      </w:tr>
      <w:tr w:rsidRPr="00674EC6" w:rsidR="005C5C74" w:rsidTr="007B3F1A" w14:paraId="15720816"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17ABC849" w14:textId="77777777">
            <w:pPr>
              <w:ind w:left="171" w:firstLine="77" w:firstLineChars="35"/>
              <w:rPr>
                <w:rFonts w:ascii="Arial" w:hAnsi="Arial" w:eastAsia="Times New Roman" w:cs="Arial"/>
                <w:sz w:val="20"/>
                <w:szCs w:val="20"/>
              </w:rPr>
            </w:pPr>
            <w:r w:rsidRPr="00674EC6">
              <w:t>i. Afdeling 9.f – Delindikator for handelsvolumen – aktier og andre værdipapirer</w:t>
            </w:r>
          </w:p>
        </w:tc>
        <w:tc>
          <w:tcPr>
            <w:tcW w:w="2745" w:type="dxa"/>
            <w:tcBorders>
              <w:left w:val="nil"/>
              <w:right w:val="nil"/>
            </w:tcBorders>
            <w:noWrap/>
          </w:tcPr>
          <w:p w:rsidRPr="00674EC6" w:rsidR="005C5C74" w:rsidP="007B3F1A" w:rsidRDefault="005C5C74" w14:paraId="342F4B8C" w14:textId="77777777">
            <w:pPr>
              <w:jc w:val="right"/>
              <w:rPr>
                <w:rFonts w:ascii="Arial" w:hAnsi="Arial" w:eastAsia="Times New Roman" w:cs="Arial"/>
                <w:sz w:val="20"/>
                <w:szCs w:val="20"/>
                <w:lang w:eastAsia="en-GB"/>
              </w:rPr>
            </w:pPr>
          </w:p>
        </w:tc>
      </w:tr>
      <w:tr w:rsidRPr="00674EC6" w:rsidR="005C5C74" w:rsidTr="007B3F1A" w14:paraId="021FE6AC"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52ACFFBE" w14:textId="77777777">
            <w:pPr>
              <w:ind w:left="171" w:firstLine="77" w:firstLineChars="35"/>
              <w:rPr>
                <w:rFonts w:ascii="Arial" w:hAnsi="Arial" w:eastAsia="Times New Roman" w:cs="Arial"/>
                <w:sz w:val="20"/>
                <w:szCs w:val="20"/>
              </w:rPr>
            </w:pPr>
            <w:r w:rsidRPr="00674EC6">
              <w:t>j. Afdeling 10 – Indikator for OTC-derivater, inklusive forsikringsdatterselskaber</w:t>
            </w:r>
          </w:p>
        </w:tc>
        <w:tc>
          <w:tcPr>
            <w:tcW w:w="2745" w:type="dxa"/>
            <w:tcBorders>
              <w:left w:val="nil"/>
              <w:right w:val="nil"/>
            </w:tcBorders>
            <w:noWrap/>
          </w:tcPr>
          <w:p w:rsidRPr="00674EC6" w:rsidR="005C5C74" w:rsidP="007B3F1A" w:rsidRDefault="005C5C74" w14:paraId="51DC0E5D" w14:textId="77777777">
            <w:pPr>
              <w:jc w:val="right"/>
              <w:rPr>
                <w:rFonts w:ascii="Arial" w:hAnsi="Arial" w:eastAsia="Times New Roman" w:cs="Arial"/>
                <w:sz w:val="20"/>
                <w:szCs w:val="20"/>
                <w:lang w:eastAsia="en-GB"/>
              </w:rPr>
            </w:pPr>
          </w:p>
        </w:tc>
      </w:tr>
      <w:tr w:rsidRPr="00674EC6" w:rsidR="005C5C74" w:rsidTr="007B3F1A" w14:paraId="4E6723CA"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1CE102A5" w14:textId="77777777">
            <w:pPr>
              <w:ind w:firstLine="220" w:firstLineChars="100"/>
              <w:rPr>
                <w:rFonts w:ascii="Arial" w:hAnsi="Arial" w:eastAsia="Times New Roman" w:cs="Arial"/>
                <w:sz w:val="20"/>
                <w:szCs w:val="20"/>
              </w:rPr>
            </w:pPr>
            <w:r w:rsidRPr="00674EC6">
              <w:t>k. Afdeling 11 – Indikator for HFT- og AFS-værdipapirer</w:t>
            </w:r>
          </w:p>
        </w:tc>
        <w:tc>
          <w:tcPr>
            <w:tcW w:w="2745" w:type="dxa"/>
            <w:tcBorders>
              <w:left w:val="nil"/>
              <w:right w:val="nil"/>
            </w:tcBorders>
            <w:noWrap/>
          </w:tcPr>
          <w:p w:rsidRPr="00674EC6" w:rsidR="005C5C74" w:rsidP="007B3F1A" w:rsidRDefault="005C5C74" w14:paraId="7F2F2338" w14:textId="77777777">
            <w:pPr>
              <w:jc w:val="right"/>
              <w:rPr>
                <w:rFonts w:ascii="Arial" w:hAnsi="Arial" w:eastAsia="Times New Roman" w:cs="Arial"/>
                <w:sz w:val="20"/>
                <w:szCs w:val="20"/>
                <w:lang w:eastAsia="en-GB"/>
              </w:rPr>
            </w:pPr>
          </w:p>
        </w:tc>
      </w:tr>
      <w:tr w:rsidRPr="00674EC6" w:rsidR="005C5C74" w:rsidTr="007B3F1A" w14:paraId="092B0588"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65D4CD61" w14:textId="77777777">
            <w:pPr>
              <w:ind w:firstLine="220" w:firstLineChars="100"/>
              <w:rPr>
                <w:rFonts w:ascii="Arial" w:hAnsi="Arial" w:eastAsia="Times New Roman" w:cs="Arial"/>
                <w:sz w:val="20"/>
                <w:szCs w:val="20"/>
              </w:rPr>
            </w:pPr>
            <w:r w:rsidRPr="00674EC6">
              <w:t>l. Afdeling 12 – Indikator for aktiver på niveau 3, inklusive forsikringsdatterselskaber</w:t>
            </w:r>
          </w:p>
        </w:tc>
        <w:tc>
          <w:tcPr>
            <w:tcW w:w="2745" w:type="dxa"/>
            <w:tcBorders>
              <w:left w:val="nil"/>
              <w:right w:val="nil"/>
            </w:tcBorders>
            <w:noWrap/>
          </w:tcPr>
          <w:p w:rsidRPr="00674EC6" w:rsidR="005C5C74" w:rsidP="007B3F1A" w:rsidRDefault="005C5C74" w14:paraId="2FD7E9A4" w14:textId="77777777">
            <w:pPr>
              <w:jc w:val="right"/>
              <w:rPr>
                <w:rFonts w:ascii="Arial" w:hAnsi="Arial" w:eastAsia="Times New Roman" w:cs="Arial"/>
                <w:sz w:val="20"/>
                <w:szCs w:val="20"/>
                <w:lang w:eastAsia="en-GB"/>
              </w:rPr>
            </w:pPr>
          </w:p>
        </w:tc>
      </w:tr>
      <w:tr w:rsidRPr="00674EC6" w:rsidR="005C5C74" w:rsidTr="007B3F1A" w14:paraId="25534CD1"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527FFAC9" w14:textId="77777777">
            <w:pPr>
              <w:ind w:firstLine="220" w:firstLineChars="100"/>
              <w:rPr>
                <w:rFonts w:ascii="Arial" w:hAnsi="Arial" w:eastAsia="Times New Roman" w:cs="Arial"/>
                <w:sz w:val="20"/>
                <w:szCs w:val="20"/>
              </w:rPr>
            </w:pPr>
            <w:r w:rsidRPr="00674EC6">
              <w:t>m. Afdeling 13 – Indikator for fordringer på tværs af jurisdiktioner</w:t>
            </w:r>
          </w:p>
        </w:tc>
        <w:tc>
          <w:tcPr>
            <w:tcW w:w="2745" w:type="dxa"/>
            <w:tcBorders>
              <w:left w:val="nil"/>
              <w:right w:val="nil"/>
            </w:tcBorders>
            <w:noWrap/>
          </w:tcPr>
          <w:p w:rsidRPr="00674EC6" w:rsidR="005C5C74" w:rsidP="007B3F1A" w:rsidRDefault="005C5C74" w14:paraId="12C4DCB2" w14:textId="77777777">
            <w:pPr>
              <w:jc w:val="right"/>
              <w:rPr>
                <w:rFonts w:ascii="Arial" w:hAnsi="Arial" w:eastAsia="Times New Roman" w:cs="Arial"/>
                <w:sz w:val="20"/>
                <w:szCs w:val="20"/>
                <w:lang w:eastAsia="en-GB"/>
              </w:rPr>
            </w:pPr>
          </w:p>
        </w:tc>
      </w:tr>
      <w:tr w:rsidRPr="00674EC6" w:rsidR="005C5C74" w:rsidTr="007B3F1A" w14:paraId="33A4AA21"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07B6B197" w14:textId="77777777">
            <w:pPr>
              <w:ind w:firstLine="220" w:firstLineChars="100"/>
              <w:rPr>
                <w:rFonts w:ascii="Arial" w:hAnsi="Arial" w:eastAsia="Times New Roman" w:cs="Arial"/>
                <w:sz w:val="20"/>
                <w:szCs w:val="20"/>
              </w:rPr>
            </w:pPr>
            <w:r w:rsidRPr="00674EC6">
              <w:t>n. Afdeling 14 – Indikator for passiver på tværs af jurisdiktioner</w:t>
            </w:r>
          </w:p>
        </w:tc>
        <w:tc>
          <w:tcPr>
            <w:tcW w:w="2745" w:type="dxa"/>
            <w:tcBorders>
              <w:left w:val="nil"/>
              <w:right w:val="nil"/>
            </w:tcBorders>
            <w:noWrap/>
          </w:tcPr>
          <w:p w:rsidRPr="00674EC6" w:rsidR="005C5C74" w:rsidP="007B3F1A" w:rsidRDefault="005C5C74" w14:paraId="06C7A229" w14:textId="77777777">
            <w:pPr>
              <w:jc w:val="right"/>
              <w:rPr>
                <w:rFonts w:ascii="Arial" w:hAnsi="Arial" w:eastAsia="Times New Roman" w:cs="Arial"/>
                <w:sz w:val="20"/>
                <w:szCs w:val="20"/>
                <w:lang w:eastAsia="en-GB"/>
              </w:rPr>
            </w:pPr>
          </w:p>
        </w:tc>
      </w:tr>
      <w:tr w:rsidRPr="00674EC6" w:rsidR="005C5C74" w:rsidTr="007B3F1A" w14:paraId="11417928"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4F1F8669" w14:textId="77777777">
            <w:pPr>
              <w:ind w:firstLine="220" w:firstLineChars="100"/>
              <w:rPr>
                <w:rFonts w:ascii="Arial" w:hAnsi="Arial" w:eastAsia="Times New Roman" w:cs="Arial"/>
                <w:sz w:val="20"/>
                <w:szCs w:val="20"/>
              </w:rPr>
            </w:pPr>
            <w:r w:rsidRPr="00674EC6">
              <w:t>o. Andre afdelinger</w:t>
            </w:r>
          </w:p>
        </w:tc>
        <w:tc>
          <w:tcPr>
            <w:tcW w:w="2745" w:type="dxa"/>
            <w:tcBorders>
              <w:left w:val="nil"/>
              <w:right w:val="nil"/>
            </w:tcBorders>
            <w:noWrap/>
          </w:tcPr>
          <w:p w:rsidRPr="00674EC6" w:rsidR="005C5C74" w:rsidP="007B3F1A" w:rsidRDefault="005C5C74" w14:paraId="07743C7F" w14:textId="77777777">
            <w:pPr>
              <w:jc w:val="right"/>
              <w:rPr>
                <w:rFonts w:ascii="Arial" w:hAnsi="Arial" w:eastAsia="Times New Roman" w:cs="Arial"/>
                <w:sz w:val="20"/>
                <w:szCs w:val="20"/>
                <w:lang w:eastAsia="en-GB"/>
              </w:rPr>
            </w:pPr>
          </w:p>
        </w:tc>
      </w:tr>
      <w:tr w:rsidRPr="00674EC6" w:rsidR="005C5C74" w:rsidTr="007B3F1A" w14:paraId="04461289"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17D19CAB" w14:textId="77777777">
            <w:pPr>
              <w:ind w:firstLine="220" w:firstLineChars="100"/>
              <w:rPr>
                <w:rFonts w:ascii="Arial" w:hAnsi="Arial" w:eastAsia="Times New Roman" w:cs="Arial"/>
                <w:sz w:val="20"/>
                <w:szCs w:val="20"/>
              </w:rPr>
            </w:pPr>
            <w:r w:rsidRPr="00674EC6">
              <w:t>(1) Post 1.a – Generelle oplysninger fra tilsynsmyndigheden</w:t>
            </w:r>
          </w:p>
        </w:tc>
        <w:tc>
          <w:tcPr>
            <w:tcW w:w="2745" w:type="dxa"/>
            <w:tcBorders>
              <w:left w:val="nil"/>
              <w:right w:val="nil"/>
            </w:tcBorders>
            <w:noWrap/>
          </w:tcPr>
          <w:p w:rsidRPr="00674EC6" w:rsidR="005C5C74" w:rsidP="007B3F1A" w:rsidRDefault="005C5C74" w14:paraId="5F741B3E" w14:textId="77777777">
            <w:pPr>
              <w:jc w:val="right"/>
              <w:rPr>
                <w:rFonts w:ascii="Arial" w:hAnsi="Arial" w:eastAsia="Times New Roman" w:cs="Arial"/>
                <w:sz w:val="20"/>
                <w:szCs w:val="20"/>
                <w:lang w:eastAsia="en-GB"/>
              </w:rPr>
            </w:pPr>
          </w:p>
        </w:tc>
      </w:tr>
      <w:tr w:rsidRPr="00674EC6" w:rsidR="005C5C74" w:rsidTr="007B3F1A" w14:paraId="5F54F8C4"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0F41D2A9" w14:textId="77777777">
            <w:pPr>
              <w:ind w:firstLine="220" w:firstLineChars="100"/>
              <w:rPr>
                <w:rFonts w:ascii="Arial" w:hAnsi="Arial" w:eastAsia="Times New Roman" w:cs="Arial"/>
                <w:sz w:val="20"/>
                <w:szCs w:val="20"/>
              </w:rPr>
            </w:pPr>
            <w:r w:rsidRPr="00674EC6">
              <w:t>(2) Post 1.b – Generelle oplysninger fra det indberettende institut</w:t>
            </w:r>
          </w:p>
        </w:tc>
        <w:tc>
          <w:tcPr>
            <w:tcW w:w="2745" w:type="dxa"/>
            <w:tcBorders>
              <w:left w:val="nil"/>
              <w:right w:val="nil"/>
            </w:tcBorders>
            <w:noWrap/>
          </w:tcPr>
          <w:p w:rsidRPr="00674EC6" w:rsidR="005C5C74" w:rsidP="007B3F1A" w:rsidRDefault="005C5C74" w14:paraId="6B3B5C68" w14:textId="77777777">
            <w:pPr>
              <w:jc w:val="right"/>
              <w:rPr>
                <w:rFonts w:ascii="Arial" w:hAnsi="Arial" w:eastAsia="Times New Roman" w:cs="Arial"/>
                <w:sz w:val="20"/>
                <w:szCs w:val="20"/>
                <w:lang w:eastAsia="en-GB"/>
              </w:rPr>
            </w:pPr>
          </w:p>
        </w:tc>
      </w:tr>
      <w:tr w:rsidRPr="00674EC6" w:rsidR="005C5C74" w:rsidTr="007B3F1A" w14:paraId="796C9C94"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59D86220" w14:textId="77777777">
            <w:pPr>
              <w:ind w:firstLine="220" w:firstLineChars="100"/>
              <w:rPr>
                <w:rFonts w:ascii="Arial" w:hAnsi="Arial" w:eastAsia="Times New Roman" w:cs="Arial"/>
                <w:sz w:val="20"/>
                <w:szCs w:val="20"/>
              </w:rPr>
            </w:pPr>
            <w:r w:rsidRPr="00674EC6">
              <w:t>(3) Afdeling 15 – Supplerende indikatorer</w:t>
            </w:r>
          </w:p>
        </w:tc>
        <w:tc>
          <w:tcPr>
            <w:tcW w:w="2745" w:type="dxa"/>
            <w:tcBorders>
              <w:left w:val="nil"/>
              <w:right w:val="nil"/>
            </w:tcBorders>
            <w:noWrap/>
          </w:tcPr>
          <w:p w:rsidRPr="00674EC6" w:rsidR="005C5C74" w:rsidP="007B3F1A" w:rsidRDefault="005C5C74" w14:paraId="5D39472E" w14:textId="77777777">
            <w:pPr>
              <w:jc w:val="right"/>
              <w:rPr>
                <w:rFonts w:ascii="Arial" w:hAnsi="Arial" w:eastAsia="Times New Roman" w:cs="Arial"/>
                <w:sz w:val="20"/>
                <w:szCs w:val="20"/>
                <w:lang w:eastAsia="en-GB"/>
              </w:rPr>
            </w:pPr>
          </w:p>
        </w:tc>
      </w:tr>
      <w:tr w:rsidRPr="00674EC6" w:rsidR="005C5C74" w:rsidTr="007B3F1A" w14:paraId="41B0A6DB"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56BFD70B" w14:textId="77777777">
            <w:pPr>
              <w:ind w:firstLine="220" w:firstLineChars="100"/>
              <w:rPr>
                <w:rFonts w:ascii="Arial" w:hAnsi="Arial" w:eastAsia="Times New Roman" w:cs="Arial"/>
                <w:sz w:val="20"/>
                <w:szCs w:val="20"/>
              </w:rPr>
            </w:pPr>
            <w:r w:rsidRPr="00674EC6">
              <w:t>(4) Afdeling 16 – Supplerende poster</w:t>
            </w:r>
          </w:p>
        </w:tc>
        <w:tc>
          <w:tcPr>
            <w:tcW w:w="2745" w:type="dxa"/>
            <w:tcBorders>
              <w:left w:val="nil"/>
              <w:right w:val="nil"/>
            </w:tcBorders>
            <w:noWrap/>
          </w:tcPr>
          <w:p w:rsidRPr="00674EC6" w:rsidR="005C5C74" w:rsidP="007B3F1A" w:rsidRDefault="005C5C74" w14:paraId="18A9B5D0" w14:textId="77777777">
            <w:pPr>
              <w:jc w:val="right"/>
              <w:rPr>
                <w:rFonts w:ascii="Arial" w:hAnsi="Arial" w:eastAsia="Times New Roman" w:cs="Arial"/>
                <w:sz w:val="20"/>
                <w:szCs w:val="20"/>
                <w:lang w:eastAsia="en-GB"/>
              </w:rPr>
            </w:pPr>
          </w:p>
        </w:tc>
      </w:tr>
      <w:tr w:rsidRPr="00674EC6" w:rsidR="005C5C74" w:rsidTr="007B3F1A" w14:paraId="2806AE40"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30FE058A" w14:textId="77777777">
            <w:pPr>
              <w:ind w:firstLine="220" w:firstLineChars="100"/>
              <w:rPr>
                <w:rFonts w:ascii="Arial" w:hAnsi="Arial" w:eastAsia="Times New Roman" w:cs="Arial"/>
                <w:sz w:val="20"/>
                <w:szCs w:val="20"/>
              </w:rPr>
            </w:pPr>
            <w:r w:rsidRPr="00674EC6">
              <w:t>(5) Afdeling 17 – Poster vedrørende størrelse</w:t>
            </w:r>
          </w:p>
        </w:tc>
        <w:tc>
          <w:tcPr>
            <w:tcW w:w="2745" w:type="dxa"/>
            <w:tcBorders>
              <w:left w:val="nil"/>
              <w:right w:val="nil"/>
            </w:tcBorders>
            <w:noWrap/>
          </w:tcPr>
          <w:p w:rsidRPr="00674EC6" w:rsidR="005C5C74" w:rsidP="007B3F1A" w:rsidRDefault="005C5C74" w14:paraId="1C273AC7" w14:textId="77777777">
            <w:pPr>
              <w:jc w:val="right"/>
              <w:rPr>
                <w:rFonts w:ascii="Arial" w:hAnsi="Arial" w:eastAsia="Times New Roman" w:cs="Arial"/>
                <w:sz w:val="20"/>
                <w:szCs w:val="20"/>
                <w:lang w:eastAsia="en-GB"/>
              </w:rPr>
            </w:pPr>
          </w:p>
        </w:tc>
      </w:tr>
      <w:tr w:rsidRPr="00674EC6" w:rsidR="005C5C74" w:rsidTr="007B3F1A" w14:paraId="75AD1746"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23578B71" w14:textId="77777777">
            <w:pPr>
              <w:ind w:firstLine="220" w:firstLineChars="100"/>
              <w:rPr>
                <w:rFonts w:ascii="Arial" w:hAnsi="Arial" w:eastAsia="Times New Roman" w:cs="Arial"/>
                <w:sz w:val="20"/>
                <w:szCs w:val="20"/>
              </w:rPr>
            </w:pPr>
            <w:r w:rsidRPr="00674EC6">
              <w:t>(6) Afdeling 18 – Poster vedrørende forbundethed</w:t>
            </w:r>
          </w:p>
        </w:tc>
        <w:tc>
          <w:tcPr>
            <w:tcW w:w="2745" w:type="dxa"/>
            <w:tcBorders>
              <w:left w:val="nil"/>
              <w:right w:val="nil"/>
            </w:tcBorders>
            <w:noWrap/>
          </w:tcPr>
          <w:p w:rsidRPr="00674EC6" w:rsidR="005C5C74" w:rsidP="007B3F1A" w:rsidRDefault="005C5C74" w14:paraId="708D3EBF" w14:textId="77777777">
            <w:pPr>
              <w:jc w:val="right"/>
              <w:rPr>
                <w:rFonts w:ascii="Arial" w:hAnsi="Arial" w:eastAsia="Times New Roman" w:cs="Arial"/>
                <w:sz w:val="20"/>
                <w:szCs w:val="20"/>
                <w:lang w:eastAsia="en-GB"/>
              </w:rPr>
            </w:pPr>
          </w:p>
        </w:tc>
      </w:tr>
      <w:tr w:rsidRPr="00674EC6" w:rsidR="005C5C74" w:rsidTr="007B3F1A" w14:paraId="0174F8B2"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0C62DC3B" w14:textId="77777777">
            <w:pPr>
              <w:ind w:firstLine="220" w:firstLineChars="100"/>
              <w:rPr>
                <w:rFonts w:ascii="Arial" w:hAnsi="Arial" w:eastAsia="Times New Roman" w:cs="Arial"/>
                <w:sz w:val="20"/>
                <w:szCs w:val="20"/>
              </w:rPr>
            </w:pPr>
            <w:r w:rsidRPr="00674EC6">
              <w:t>(7) Afdeling 19 – Poster vedrørende substituerbarhed/finansiel infrastruktur</w:t>
            </w:r>
          </w:p>
        </w:tc>
        <w:tc>
          <w:tcPr>
            <w:tcW w:w="2745" w:type="dxa"/>
            <w:tcBorders>
              <w:left w:val="nil"/>
              <w:right w:val="nil"/>
            </w:tcBorders>
            <w:noWrap/>
          </w:tcPr>
          <w:p w:rsidRPr="00674EC6" w:rsidR="005C5C74" w:rsidP="007B3F1A" w:rsidRDefault="005C5C74" w14:paraId="47A78A64" w14:textId="77777777">
            <w:pPr>
              <w:jc w:val="right"/>
              <w:rPr>
                <w:rFonts w:ascii="Arial" w:hAnsi="Arial" w:eastAsia="Times New Roman" w:cs="Arial"/>
                <w:sz w:val="20"/>
                <w:szCs w:val="20"/>
                <w:lang w:eastAsia="en-GB"/>
              </w:rPr>
            </w:pPr>
          </w:p>
        </w:tc>
      </w:tr>
      <w:tr w:rsidRPr="00674EC6" w:rsidR="005C5C74" w:rsidTr="007B3F1A" w14:paraId="65DEE965"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7F757A62" w14:textId="77777777">
            <w:pPr>
              <w:ind w:firstLine="220" w:firstLineChars="100"/>
              <w:rPr>
                <w:rFonts w:ascii="Arial" w:hAnsi="Arial" w:eastAsia="Times New Roman" w:cs="Arial"/>
                <w:sz w:val="20"/>
                <w:szCs w:val="20"/>
              </w:rPr>
            </w:pPr>
            <w:r w:rsidRPr="00674EC6">
              <w:t>(8) Afdeling 20 – Poster vedrørende kompleksitet</w:t>
            </w:r>
          </w:p>
        </w:tc>
        <w:tc>
          <w:tcPr>
            <w:tcW w:w="2745" w:type="dxa"/>
            <w:tcBorders>
              <w:left w:val="nil"/>
              <w:right w:val="nil"/>
            </w:tcBorders>
            <w:noWrap/>
          </w:tcPr>
          <w:p w:rsidRPr="00674EC6" w:rsidR="005C5C74" w:rsidP="007B3F1A" w:rsidRDefault="005C5C74" w14:paraId="58E50ADF" w14:textId="77777777">
            <w:pPr>
              <w:jc w:val="right"/>
              <w:rPr>
                <w:rFonts w:ascii="Arial" w:hAnsi="Arial" w:eastAsia="Times New Roman" w:cs="Arial"/>
                <w:sz w:val="20"/>
                <w:szCs w:val="20"/>
                <w:lang w:eastAsia="en-GB"/>
              </w:rPr>
            </w:pPr>
          </w:p>
        </w:tc>
      </w:tr>
      <w:tr w:rsidRPr="00674EC6" w:rsidR="005C5C74" w:rsidTr="007B3F1A" w14:paraId="65B2B4C0"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33ACC679" w14:textId="77777777">
            <w:pPr>
              <w:ind w:firstLine="220" w:firstLineChars="100"/>
              <w:rPr>
                <w:rFonts w:ascii="Arial" w:hAnsi="Arial" w:eastAsia="Times New Roman" w:cs="Arial"/>
                <w:sz w:val="20"/>
                <w:szCs w:val="20"/>
              </w:rPr>
            </w:pPr>
            <w:r w:rsidRPr="00674EC6">
              <w:t>(9) Afdeling 21 – Poster vedrørende aktiviteter på tværs af jurisdiktioner</w:t>
            </w:r>
          </w:p>
        </w:tc>
        <w:tc>
          <w:tcPr>
            <w:tcW w:w="2745" w:type="dxa"/>
            <w:tcBorders>
              <w:left w:val="nil"/>
              <w:right w:val="nil"/>
            </w:tcBorders>
            <w:noWrap/>
          </w:tcPr>
          <w:p w:rsidRPr="00674EC6" w:rsidR="005C5C74" w:rsidP="007B3F1A" w:rsidRDefault="005C5C74" w14:paraId="0646D053" w14:textId="77777777">
            <w:pPr>
              <w:jc w:val="right"/>
              <w:rPr>
                <w:rFonts w:ascii="Arial" w:hAnsi="Arial" w:eastAsia="Times New Roman" w:cs="Arial"/>
                <w:sz w:val="20"/>
                <w:szCs w:val="20"/>
                <w:lang w:eastAsia="en-GB"/>
              </w:rPr>
            </w:pPr>
          </w:p>
        </w:tc>
      </w:tr>
      <w:tr w:rsidRPr="00674EC6" w:rsidR="005C5C74" w:rsidTr="007B3F1A" w14:paraId="3A2C38C9"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13CD1739" w14:textId="77777777">
            <w:pPr>
              <w:ind w:firstLine="220" w:firstLineChars="100"/>
              <w:rPr>
                <w:rFonts w:ascii="Arial" w:hAnsi="Arial" w:eastAsia="Times New Roman" w:cs="Arial"/>
                <w:sz w:val="20"/>
                <w:szCs w:val="20"/>
              </w:rPr>
            </w:pPr>
            <w:r w:rsidRPr="00674EC6">
              <w:t>(10) Afdeling 22 – Supplerende indikatorer</w:t>
            </w:r>
          </w:p>
        </w:tc>
        <w:tc>
          <w:tcPr>
            <w:tcW w:w="2745" w:type="dxa"/>
            <w:tcBorders>
              <w:left w:val="nil"/>
              <w:right w:val="nil"/>
            </w:tcBorders>
            <w:noWrap/>
          </w:tcPr>
          <w:p w:rsidRPr="00674EC6" w:rsidR="005C5C74" w:rsidP="007B3F1A" w:rsidRDefault="005C5C74" w14:paraId="3E00A7A5" w14:textId="77777777">
            <w:pPr>
              <w:jc w:val="right"/>
              <w:rPr>
                <w:rFonts w:ascii="Arial" w:hAnsi="Arial" w:eastAsia="Times New Roman" w:cs="Arial"/>
                <w:sz w:val="20"/>
                <w:szCs w:val="20"/>
                <w:lang w:eastAsia="en-GB"/>
              </w:rPr>
            </w:pPr>
          </w:p>
        </w:tc>
      </w:tr>
      <w:tr w:rsidRPr="00674EC6" w:rsidR="005C5C74" w:rsidTr="007B3F1A" w14:paraId="2115A54A"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4D8B5AAC" w14:textId="77777777">
            <w:pPr>
              <w:rPr>
                <w:b/>
                <w:bCs/>
              </w:rPr>
            </w:pPr>
          </w:p>
        </w:tc>
        <w:tc>
          <w:tcPr>
            <w:tcW w:w="2745" w:type="dxa"/>
            <w:tcBorders>
              <w:left w:val="nil"/>
              <w:right w:val="nil"/>
            </w:tcBorders>
            <w:noWrap/>
          </w:tcPr>
          <w:p w:rsidRPr="00674EC6" w:rsidR="005C5C74" w:rsidP="007B3F1A" w:rsidRDefault="005C5C74" w14:paraId="762268A6" w14:textId="77777777">
            <w:pPr>
              <w:jc w:val="center"/>
              <w:rPr>
                <w:b/>
                <w:bCs/>
              </w:rPr>
            </w:pPr>
          </w:p>
        </w:tc>
      </w:tr>
      <w:tr w:rsidRPr="00674EC6" w:rsidR="005C5C74" w:rsidTr="007B3F1A" w14:paraId="54939D6B"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5672BA75" w14:textId="77777777">
            <w:pPr>
              <w:rPr>
                <w:rFonts w:ascii="Arial" w:hAnsi="Arial" w:eastAsia="Times New Roman" w:cs="Arial"/>
                <w:sz w:val="20"/>
                <w:szCs w:val="20"/>
              </w:rPr>
            </w:pPr>
            <w:r w:rsidRPr="00674EC6">
              <w:rPr>
                <w:b/>
              </w:rPr>
              <w:t>Afdeling 24 – Indikatorværdier (gammel metode)</w:t>
            </w:r>
          </w:p>
        </w:tc>
        <w:tc>
          <w:tcPr>
            <w:tcW w:w="2745" w:type="dxa"/>
            <w:tcBorders>
              <w:left w:val="nil"/>
              <w:right w:val="nil"/>
            </w:tcBorders>
            <w:noWrap/>
          </w:tcPr>
          <w:p w:rsidRPr="00674EC6" w:rsidR="005C5C74" w:rsidP="007B3F1A" w:rsidRDefault="005C5C74" w14:paraId="0A680BA6" w14:textId="77777777">
            <w:pPr>
              <w:jc w:val="center"/>
              <w:rPr>
                <w:rFonts w:ascii="Arial" w:hAnsi="Arial" w:eastAsia="Times New Roman" w:cs="Arial"/>
                <w:sz w:val="20"/>
                <w:szCs w:val="20"/>
              </w:rPr>
            </w:pPr>
            <w:r w:rsidRPr="00674EC6">
              <w:rPr>
                <w:b/>
              </w:rPr>
              <w:t>Indikatorværdi i indberetningsvaluta</w:t>
            </w:r>
          </w:p>
        </w:tc>
      </w:tr>
      <w:tr w:rsidRPr="00674EC6" w:rsidR="005C5C74" w:rsidTr="007B3F1A" w14:paraId="76E7D64C"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3E0B01F7" w14:textId="77777777">
            <w:pPr>
              <w:ind w:firstLine="220" w:firstLineChars="100"/>
              <w:rPr>
                <w:rFonts w:ascii="Arial" w:hAnsi="Arial" w:eastAsia="Times New Roman" w:cs="Arial"/>
                <w:sz w:val="20"/>
                <w:szCs w:val="20"/>
              </w:rPr>
            </w:pPr>
            <w:r w:rsidRPr="00674EC6">
              <w:t>a. Afdeling 2 – Indikator for eksponeringer i alt</w:t>
            </w:r>
          </w:p>
        </w:tc>
        <w:tc>
          <w:tcPr>
            <w:tcW w:w="2745" w:type="dxa"/>
            <w:tcBorders>
              <w:left w:val="nil"/>
              <w:right w:val="nil"/>
            </w:tcBorders>
            <w:noWrap/>
          </w:tcPr>
          <w:p w:rsidRPr="00674EC6" w:rsidR="005C5C74" w:rsidP="007B3F1A" w:rsidRDefault="005C5C74" w14:paraId="47573061" w14:textId="77777777">
            <w:pPr>
              <w:jc w:val="right"/>
              <w:rPr>
                <w:rFonts w:ascii="Arial" w:hAnsi="Arial" w:eastAsia="Times New Roman" w:cs="Arial"/>
                <w:sz w:val="20"/>
                <w:szCs w:val="20"/>
                <w:lang w:eastAsia="en-GB"/>
              </w:rPr>
            </w:pPr>
          </w:p>
        </w:tc>
      </w:tr>
      <w:tr w:rsidRPr="00674EC6" w:rsidR="005C5C74" w:rsidTr="007B3F1A" w14:paraId="3CEC5395"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37151261" w14:textId="77777777">
            <w:pPr>
              <w:ind w:firstLine="220" w:firstLineChars="100"/>
              <w:rPr>
                <w:rFonts w:ascii="Arial" w:hAnsi="Arial" w:eastAsia="Times New Roman" w:cs="Arial"/>
                <w:sz w:val="20"/>
                <w:szCs w:val="20"/>
              </w:rPr>
            </w:pPr>
            <w:r w:rsidRPr="00674EC6">
              <w:t>b. Afdeling 18 – Indikator for aktiver inden for det finansielle system</w:t>
            </w:r>
          </w:p>
        </w:tc>
        <w:tc>
          <w:tcPr>
            <w:tcW w:w="2745" w:type="dxa"/>
            <w:tcBorders>
              <w:left w:val="nil"/>
              <w:right w:val="nil"/>
            </w:tcBorders>
            <w:noWrap/>
          </w:tcPr>
          <w:p w:rsidRPr="00674EC6" w:rsidR="005C5C74" w:rsidP="007B3F1A" w:rsidRDefault="005C5C74" w14:paraId="3E6ED4F3" w14:textId="77777777">
            <w:pPr>
              <w:jc w:val="right"/>
              <w:rPr>
                <w:rFonts w:ascii="Arial" w:hAnsi="Arial" w:eastAsia="Times New Roman" w:cs="Arial"/>
                <w:sz w:val="20"/>
                <w:szCs w:val="20"/>
                <w:lang w:eastAsia="en-GB"/>
              </w:rPr>
            </w:pPr>
          </w:p>
        </w:tc>
      </w:tr>
      <w:tr w:rsidRPr="00674EC6" w:rsidR="005C5C74" w:rsidTr="007B3F1A" w14:paraId="70780335"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514F44C8" w14:textId="77777777">
            <w:pPr>
              <w:ind w:firstLine="220" w:firstLineChars="100"/>
              <w:rPr>
                <w:rFonts w:ascii="Arial" w:hAnsi="Arial" w:eastAsia="Times New Roman" w:cs="Arial"/>
                <w:sz w:val="20"/>
                <w:szCs w:val="20"/>
              </w:rPr>
            </w:pPr>
            <w:r w:rsidRPr="00674EC6">
              <w:t>c. Afdeling 18 – Indikator for passiver inden for det finansielle system</w:t>
            </w:r>
          </w:p>
        </w:tc>
        <w:tc>
          <w:tcPr>
            <w:tcW w:w="2745" w:type="dxa"/>
            <w:tcBorders>
              <w:left w:val="nil"/>
              <w:right w:val="nil"/>
            </w:tcBorders>
            <w:noWrap/>
          </w:tcPr>
          <w:p w:rsidRPr="00674EC6" w:rsidR="005C5C74" w:rsidP="007B3F1A" w:rsidRDefault="005C5C74" w14:paraId="690E9BB3" w14:textId="77777777">
            <w:pPr>
              <w:jc w:val="right"/>
              <w:rPr>
                <w:rFonts w:ascii="Arial" w:hAnsi="Arial" w:eastAsia="Times New Roman" w:cs="Arial"/>
                <w:sz w:val="20"/>
                <w:szCs w:val="20"/>
                <w:lang w:eastAsia="en-GB"/>
              </w:rPr>
            </w:pPr>
          </w:p>
        </w:tc>
      </w:tr>
      <w:tr w:rsidRPr="00674EC6" w:rsidR="005C5C74" w:rsidTr="007B3F1A" w14:paraId="087B4AD0"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471FF8A5" w14:textId="77777777">
            <w:pPr>
              <w:ind w:firstLine="220" w:firstLineChars="100"/>
              <w:rPr>
                <w:rFonts w:ascii="Arial" w:hAnsi="Arial" w:eastAsia="Times New Roman" w:cs="Arial"/>
                <w:sz w:val="20"/>
                <w:szCs w:val="20"/>
              </w:rPr>
            </w:pPr>
            <w:r w:rsidRPr="00674EC6">
              <w:t>d. Afdeling 18 – Indikator for udstedte værdipapirer</w:t>
            </w:r>
          </w:p>
        </w:tc>
        <w:tc>
          <w:tcPr>
            <w:tcW w:w="2745" w:type="dxa"/>
            <w:tcBorders>
              <w:left w:val="nil"/>
              <w:right w:val="nil"/>
            </w:tcBorders>
            <w:noWrap/>
          </w:tcPr>
          <w:p w:rsidRPr="00674EC6" w:rsidR="005C5C74" w:rsidP="007B3F1A" w:rsidRDefault="005C5C74" w14:paraId="3092BD77" w14:textId="77777777">
            <w:pPr>
              <w:jc w:val="right"/>
              <w:rPr>
                <w:rFonts w:ascii="Arial" w:hAnsi="Arial" w:eastAsia="Times New Roman" w:cs="Arial"/>
                <w:sz w:val="20"/>
                <w:szCs w:val="20"/>
                <w:lang w:eastAsia="en-GB"/>
              </w:rPr>
            </w:pPr>
          </w:p>
        </w:tc>
      </w:tr>
      <w:tr w:rsidRPr="00674EC6" w:rsidR="005C5C74" w:rsidTr="007B3F1A" w14:paraId="04769011"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7CF1B319" w14:textId="77777777">
            <w:pPr>
              <w:ind w:firstLine="220" w:firstLineChars="100"/>
              <w:rPr>
                <w:rFonts w:ascii="Arial" w:hAnsi="Arial" w:eastAsia="Times New Roman" w:cs="Arial"/>
                <w:sz w:val="20"/>
                <w:szCs w:val="20"/>
              </w:rPr>
            </w:pPr>
            <w:r w:rsidRPr="00674EC6">
              <w:t>e. Afdeling 6 – Indikator for betalingsaktivitet</w:t>
            </w:r>
          </w:p>
        </w:tc>
        <w:tc>
          <w:tcPr>
            <w:tcW w:w="2745" w:type="dxa"/>
            <w:tcBorders>
              <w:left w:val="nil"/>
              <w:right w:val="nil"/>
            </w:tcBorders>
            <w:noWrap/>
          </w:tcPr>
          <w:p w:rsidRPr="00674EC6" w:rsidR="005C5C74" w:rsidP="007B3F1A" w:rsidRDefault="005C5C74" w14:paraId="5F70C65C" w14:textId="77777777">
            <w:pPr>
              <w:jc w:val="right"/>
              <w:rPr>
                <w:rFonts w:ascii="Arial" w:hAnsi="Arial" w:eastAsia="Times New Roman" w:cs="Arial"/>
                <w:sz w:val="20"/>
                <w:szCs w:val="20"/>
                <w:lang w:eastAsia="en-GB"/>
              </w:rPr>
            </w:pPr>
          </w:p>
        </w:tc>
      </w:tr>
      <w:tr w:rsidRPr="00674EC6" w:rsidR="005C5C74" w:rsidTr="007B3F1A" w14:paraId="376E66AA"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53818B14" w14:textId="77777777">
            <w:pPr>
              <w:ind w:firstLine="220" w:firstLineChars="100"/>
              <w:rPr>
                <w:rFonts w:ascii="Arial" w:hAnsi="Arial" w:eastAsia="Times New Roman" w:cs="Arial"/>
                <w:sz w:val="20"/>
                <w:szCs w:val="20"/>
              </w:rPr>
            </w:pPr>
            <w:r w:rsidRPr="00674EC6">
              <w:t>f. Afdeling 7 – Indikator for aktiver i depot</w:t>
            </w:r>
          </w:p>
        </w:tc>
        <w:tc>
          <w:tcPr>
            <w:tcW w:w="2745" w:type="dxa"/>
            <w:tcBorders>
              <w:left w:val="nil"/>
              <w:right w:val="nil"/>
            </w:tcBorders>
            <w:noWrap/>
          </w:tcPr>
          <w:p w:rsidRPr="00674EC6" w:rsidR="005C5C74" w:rsidP="007B3F1A" w:rsidRDefault="005C5C74" w14:paraId="2BC1733B" w14:textId="77777777">
            <w:pPr>
              <w:jc w:val="right"/>
              <w:rPr>
                <w:rFonts w:ascii="Arial" w:hAnsi="Arial" w:eastAsia="Times New Roman" w:cs="Arial"/>
                <w:sz w:val="20"/>
                <w:szCs w:val="20"/>
                <w:lang w:eastAsia="en-GB"/>
              </w:rPr>
            </w:pPr>
          </w:p>
        </w:tc>
      </w:tr>
      <w:tr w:rsidRPr="00674EC6" w:rsidR="005C5C74" w:rsidTr="007B3F1A" w14:paraId="1BF0A552"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2165657F" w14:textId="77777777">
            <w:pPr>
              <w:ind w:firstLine="220" w:firstLineChars="100"/>
              <w:rPr>
                <w:rFonts w:ascii="Arial" w:hAnsi="Arial" w:eastAsia="Times New Roman" w:cs="Arial"/>
                <w:sz w:val="20"/>
                <w:szCs w:val="20"/>
              </w:rPr>
            </w:pPr>
            <w:r w:rsidRPr="00674EC6">
              <w:t>g. Afdeling 8 – Indikator for underwritingaktivitet</w:t>
            </w:r>
          </w:p>
        </w:tc>
        <w:tc>
          <w:tcPr>
            <w:tcW w:w="2745" w:type="dxa"/>
            <w:tcBorders>
              <w:left w:val="nil"/>
              <w:right w:val="nil"/>
            </w:tcBorders>
            <w:noWrap/>
          </w:tcPr>
          <w:p w:rsidRPr="00674EC6" w:rsidR="005C5C74" w:rsidP="007B3F1A" w:rsidRDefault="005C5C74" w14:paraId="49F37587" w14:textId="77777777">
            <w:pPr>
              <w:jc w:val="right"/>
              <w:rPr>
                <w:rFonts w:ascii="Arial" w:hAnsi="Arial" w:eastAsia="Times New Roman" w:cs="Arial"/>
                <w:sz w:val="20"/>
                <w:szCs w:val="20"/>
                <w:lang w:eastAsia="en-GB"/>
              </w:rPr>
            </w:pPr>
          </w:p>
        </w:tc>
      </w:tr>
      <w:tr w:rsidRPr="00674EC6" w:rsidR="005C5C74" w:rsidTr="007B3F1A" w14:paraId="1FA742DC"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7A02F621" w14:textId="77777777">
            <w:pPr>
              <w:ind w:firstLine="220" w:firstLineChars="100"/>
              <w:rPr>
                <w:rFonts w:ascii="Arial" w:hAnsi="Arial" w:eastAsia="Times New Roman" w:cs="Arial"/>
                <w:sz w:val="20"/>
                <w:szCs w:val="20"/>
              </w:rPr>
            </w:pPr>
            <w:r w:rsidRPr="00674EC6">
              <w:t>h. Afdeling 20 – Indikator for OTC-derivater</w:t>
            </w:r>
          </w:p>
        </w:tc>
        <w:tc>
          <w:tcPr>
            <w:tcW w:w="2745" w:type="dxa"/>
            <w:tcBorders>
              <w:left w:val="nil"/>
              <w:right w:val="nil"/>
            </w:tcBorders>
            <w:noWrap/>
          </w:tcPr>
          <w:p w:rsidRPr="00674EC6" w:rsidR="005C5C74" w:rsidP="007B3F1A" w:rsidRDefault="005C5C74" w14:paraId="5EA94ACB" w14:textId="77777777">
            <w:pPr>
              <w:jc w:val="right"/>
              <w:rPr>
                <w:rFonts w:ascii="Arial" w:hAnsi="Arial" w:eastAsia="Times New Roman" w:cs="Arial"/>
                <w:sz w:val="20"/>
                <w:szCs w:val="20"/>
                <w:lang w:eastAsia="en-GB"/>
              </w:rPr>
            </w:pPr>
          </w:p>
        </w:tc>
      </w:tr>
      <w:tr w:rsidRPr="00674EC6" w:rsidR="005C5C74" w:rsidTr="007B3F1A" w14:paraId="64823B69"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6EBCC816" w14:textId="77777777">
            <w:pPr>
              <w:ind w:firstLine="220" w:firstLineChars="100"/>
              <w:rPr>
                <w:rFonts w:ascii="Arial" w:hAnsi="Arial" w:eastAsia="Times New Roman" w:cs="Arial"/>
                <w:sz w:val="20"/>
                <w:szCs w:val="20"/>
              </w:rPr>
            </w:pPr>
            <w:r w:rsidRPr="00674EC6">
              <w:t>i. Afdeling 11 – Indikator for HFT- og AFS-værdipapirer</w:t>
            </w:r>
          </w:p>
        </w:tc>
        <w:tc>
          <w:tcPr>
            <w:tcW w:w="2745" w:type="dxa"/>
            <w:tcBorders>
              <w:left w:val="nil"/>
              <w:right w:val="nil"/>
            </w:tcBorders>
            <w:noWrap/>
          </w:tcPr>
          <w:p w:rsidRPr="00674EC6" w:rsidR="005C5C74" w:rsidP="007B3F1A" w:rsidRDefault="005C5C74" w14:paraId="5B54EFD9" w14:textId="77777777">
            <w:pPr>
              <w:jc w:val="right"/>
              <w:rPr>
                <w:rFonts w:ascii="Arial" w:hAnsi="Arial" w:eastAsia="Times New Roman" w:cs="Arial"/>
                <w:sz w:val="20"/>
                <w:szCs w:val="20"/>
                <w:lang w:eastAsia="en-GB"/>
              </w:rPr>
            </w:pPr>
          </w:p>
        </w:tc>
      </w:tr>
      <w:tr w:rsidRPr="00674EC6" w:rsidR="005C5C74" w:rsidTr="007B3F1A" w14:paraId="310B4E65"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732E1457" w14:textId="77777777">
            <w:pPr>
              <w:ind w:firstLine="220" w:firstLineChars="100"/>
              <w:rPr>
                <w:rFonts w:ascii="Arial" w:hAnsi="Arial" w:eastAsia="Times New Roman" w:cs="Arial"/>
                <w:sz w:val="20"/>
                <w:szCs w:val="20"/>
              </w:rPr>
            </w:pPr>
            <w:r w:rsidRPr="00674EC6">
              <w:t>j. Afdeling 20 – Indikator for aktiver på niveau 3</w:t>
            </w:r>
          </w:p>
        </w:tc>
        <w:tc>
          <w:tcPr>
            <w:tcW w:w="2745" w:type="dxa"/>
            <w:tcBorders>
              <w:left w:val="nil"/>
              <w:right w:val="nil"/>
            </w:tcBorders>
            <w:noWrap/>
          </w:tcPr>
          <w:p w:rsidRPr="00674EC6" w:rsidR="005C5C74" w:rsidP="007B3F1A" w:rsidRDefault="005C5C74" w14:paraId="49CF4EB5" w14:textId="77777777">
            <w:pPr>
              <w:jc w:val="right"/>
              <w:rPr>
                <w:rFonts w:ascii="Arial" w:hAnsi="Arial" w:eastAsia="Times New Roman" w:cs="Arial"/>
                <w:sz w:val="20"/>
                <w:szCs w:val="20"/>
                <w:lang w:eastAsia="en-GB"/>
              </w:rPr>
            </w:pPr>
          </w:p>
        </w:tc>
      </w:tr>
      <w:tr w:rsidRPr="00674EC6" w:rsidR="005C5C74" w:rsidTr="007B3F1A" w14:paraId="27178654"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19CB4DF6" w14:textId="77777777">
            <w:pPr>
              <w:ind w:firstLine="220" w:firstLineChars="100"/>
              <w:rPr>
                <w:rFonts w:ascii="Arial" w:hAnsi="Arial" w:eastAsia="Times New Roman" w:cs="Arial"/>
                <w:sz w:val="20"/>
                <w:szCs w:val="20"/>
              </w:rPr>
            </w:pPr>
            <w:r w:rsidRPr="00674EC6">
              <w:t>k. Afdeling 13 – Indikator for fordringer på tværs af jurisdiktioner</w:t>
            </w:r>
          </w:p>
        </w:tc>
        <w:tc>
          <w:tcPr>
            <w:tcW w:w="2745" w:type="dxa"/>
            <w:tcBorders>
              <w:left w:val="nil"/>
              <w:right w:val="nil"/>
            </w:tcBorders>
            <w:noWrap/>
          </w:tcPr>
          <w:p w:rsidRPr="00674EC6" w:rsidR="005C5C74" w:rsidP="007B3F1A" w:rsidRDefault="005C5C74" w14:paraId="277AA4F8" w14:textId="77777777">
            <w:pPr>
              <w:jc w:val="right"/>
              <w:rPr>
                <w:rFonts w:ascii="Arial" w:hAnsi="Arial" w:eastAsia="Times New Roman" w:cs="Arial"/>
                <w:sz w:val="20"/>
                <w:szCs w:val="20"/>
                <w:lang w:eastAsia="en-GB"/>
              </w:rPr>
            </w:pPr>
          </w:p>
        </w:tc>
      </w:tr>
      <w:tr w:rsidRPr="00674EC6" w:rsidR="005C5C74" w:rsidTr="007B3F1A" w14:paraId="6F454B9E" w14:textId="77777777">
        <w:trPr>
          <w:trHeight w:val="300"/>
        </w:trPr>
        <w:tc>
          <w:tcPr>
            <w:tcW w:w="6804" w:type="dxa"/>
            <w:gridSpan w:val="2"/>
            <w:tcBorders>
              <w:left w:val="nil"/>
              <w:bottom w:val="single" w:color="auto" w:sz="4" w:space="0"/>
              <w:right w:val="nil"/>
            </w:tcBorders>
            <w:noWrap/>
          </w:tcPr>
          <w:p w:rsidRPr="00674EC6" w:rsidR="005C5C74" w:rsidP="007B3F1A" w:rsidRDefault="005C5C74" w14:paraId="4C88FBE3" w14:textId="77777777">
            <w:pPr>
              <w:ind w:firstLine="220" w:firstLineChars="100"/>
              <w:rPr>
                <w:rFonts w:ascii="Arial" w:hAnsi="Arial" w:eastAsia="Times New Roman" w:cs="Arial"/>
                <w:sz w:val="20"/>
                <w:szCs w:val="20"/>
              </w:rPr>
            </w:pPr>
            <w:r w:rsidRPr="00674EC6">
              <w:t>l. Afdeling 21 – Indikator for passiver på tværs af jurisdiktioner</w:t>
            </w:r>
          </w:p>
        </w:tc>
        <w:tc>
          <w:tcPr>
            <w:tcW w:w="2745" w:type="dxa"/>
            <w:tcBorders>
              <w:left w:val="nil"/>
              <w:right w:val="nil"/>
            </w:tcBorders>
            <w:noWrap/>
          </w:tcPr>
          <w:p w:rsidRPr="00674EC6" w:rsidR="005C5C74" w:rsidP="007B3F1A" w:rsidRDefault="005C5C74" w14:paraId="3E341639" w14:textId="77777777">
            <w:pPr>
              <w:jc w:val="right"/>
              <w:rPr>
                <w:rFonts w:ascii="Arial" w:hAnsi="Arial" w:eastAsia="Times New Roman" w:cs="Arial"/>
                <w:sz w:val="20"/>
                <w:szCs w:val="20"/>
                <w:lang w:eastAsia="en-GB"/>
              </w:rPr>
            </w:pPr>
          </w:p>
        </w:tc>
      </w:tr>
    </w:tbl>
    <w:p w:rsidRPr="00AF69F4" w:rsidR="00B43E07" w:rsidP="00AF2BCB" w:rsidRDefault="00B43E07" w14:paraId="2BAE8127" w14:textId="5FE21A2A">
      <w:pPr>
        <w:pStyle w:val="TableParagraph"/>
        <w:spacing w:before="11"/>
        <w:ind w:left="381"/>
      </w:pPr>
    </w:p>
    <w:bookmarkEnd w:id="9"/>
    <w:bookmarkEnd w:id="8"/>
    <w:bookmarkEnd w:id="7"/>
    <w:bookmarkEnd w:id="6"/>
    <w:bookmarkEnd w:id="5"/>
    <w:bookmarkEnd w:id="4"/>
    <w:bookmarkEnd w:id="3"/>
    <w:bookmarkEnd w:id="2"/>
    <w:bookmarkEnd w:id="1"/>
    <w:bookmarkEnd w:id="0"/>
    <w:p w:rsidRPr="00AF69F4" w:rsidR="00B43E07" w:rsidP="00F9329F" w:rsidRDefault="00B43E07" w14:paraId="609D9107" w14:textId="34CF2015">
      <w:pPr>
        <w:pStyle w:val="TableParagraph"/>
        <w:spacing w:before="11"/>
      </w:pPr>
    </w:p>
    <w:sectPr w:rsidRPr="00AF69F4" w:rsidR="00B43E07" w:rsidSect="00837B41">
      <w:pgSz w:w="11900" w:h="16840"/>
      <w:pgMar w:top="2268" w:right="1418" w:bottom="1134" w:left="1701" w:header="709"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EE89" w14:textId="77777777" w:rsidR="00F6299A" w:rsidRDefault="00F6299A" w:rsidP="00A00E34">
      <w:r>
        <w:separator/>
      </w:r>
    </w:p>
    <w:p w14:paraId="2708F7D4" w14:textId="77777777" w:rsidR="00F6299A" w:rsidRDefault="00F6299A"/>
  </w:endnote>
  <w:endnote w:type="continuationSeparator" w:id="0">
    <w:p w14:paraId="26A0BF37" w14:textId="77777777" w:rsidR="00F6299A" w:rsidRDefault="00F6299A" w:rsidP="00A00E34">
      <w:r>
        <w:continuationSeparator/>
      </w:r>
    </w:p>
    <w:p w14:paraId="7FD472B9" w14:textId="77777777" w:rsidR="00F6299A" w:rsidRDefault="00F62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36C" w:rsidP="0017667F" w:rsidRDefault="0002236C" w14:paraId="142C28E2" w14:textId="77777777">
    <w:pPr>
      <w:pStyle w:val="Footer"/>
      <w:rPr>
        <w:rStyle w:val="PageNumber"/>
        <w:noProof/>
      </w:rPr>
    </w:pPr>
    <w:r>
      <w:rPr>
        <w:rStyle w:val="PageNumber"/>
      </w:rPr>
      <w:fldChar w:fldCharType="begin"/>
    </w:r>
    <w:r>
      <w:rPr>
        <w:rStyle w:val="PageNumber"/>
      </w:rPr>
      <w:instrText xml:space="preserve">PAGE  </w:instrText>
    </w:r>
    <w:r>
      <w:rPr>
        <w:rStyle w:val="PageNumber"/>
      </w:rPr>
      <w:fldChar w:fldCharType="end"/>
    </w:r>
  </w:p>
  <w:p w:rsidR="0002236C" w:rsidP="00610305" w:rsidRDefault="0002236C" w14:paraId="7D2916CD" w14:textId="77777777">
    <w:pPr>
      <w:pStyle w:val="Footer"/>
      <w:ind w:right="360"/>
      <w:rPr>
        <w:noProof/>
      </w:rPr>
    </w:pPr>
  </w:p>
</w:ftr>
</file>

<file path=word/footer2.xml><?xml version="1.0" encoding="utf-8"?>
<w:ftr xmlns:a="http://schemas.openxmlformats.org/drawingml/2006/main"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F69F4" w:rsidR="0002236C" w:rsidP="00837B41" w:rsidRDefault="0002236C" w14:paraId="7C3A9832" w14:textId="16C15C9B">
    <w:pPr>
      <w:pStyle w:val="Footer"/>
      <w:jc w:val="right"/>
      <w:rPr>
        <w:rStyle w:val="PageNumber"/>
        <w:noProof/>
      </w:rPr>
    </w:pPr>
    <w:r w:rsidRPr="00AF69F4">
      <w:rPr>
        <w:rStyle w:val="PageNumber"/>
      </w:rPr>
      <w:fldChar w:fldCharType="begin"/>
    </w:r>
    <w:r w:rsidRPr="00AF69F4">
      <w:rPr>
        <w:rStyle w:val="PageNumber"/>
      </w:rPr>
      <w:instrText xml:space="preserve">PAGE  </w:instrText>
    </w:r>
    <w:r w:rsidRPr="00AF69F4">
      <w:rPr>
        <w:rStyle w:val="PageNumber"/>
      </w:rPr>
      <w:fldChar w:fldCharType="separate"/>
    </w:r>
    <w:r w:rsidR="00C16B4D">
      <w:rPr>
        <w:rStyle w:val="PageNumber"/>
        <w:noProof/>
      </w:rPr>
      <w:t>16</w:t>
    </w:r>
    <w:r w:rsidRPr="00AF69F4">
      <w:rPr>
        <w:rStyle w:val="PageNumber"/>
      </w:rPr>
      <w:fldChar w:fldCharType="end"/>
    </w:r>
  </w:p>
  <w:p w:rsidRPr="00AF69F4" w:rsidR="0002236C" w:rsidP="00610305" w:rsidRDefault="0002236C" w14:paraId="6EEDA3DB" w14:textId="77777777">
    <w:pPr>
      <w:pStyle w:val="Footer"/>
      <w:ind w:right="360"/>
      <w:rPr>
        <w:noProof/>
      </w:rPr>
    </w:pPr>
    <w:r w:rsidRPr="00AF69F4">
      <w:rPr>
        <w:noProof/>
        <w:lang w:val="en-GB" w:eastAsia="en-GB"/>
      </w:rPr>
      <mc:AlternateContent>
        <mc:Choice Requires="wps">
          <w:drawing>
            <wp:anchor distT="4294967295" distB="4294967295" distL="114300" distR="114300" simplePos="0" relativeHeight="251657728" behindDoc="1" locked="1" layoutInCell="1" allowOverlap="1" wp14:editId="03F879D1" wp14:anchorId="127A96D1">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line id="Straight Connector 10"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o:spid="_x0000_s1026" strokecolor="#2f5773 [32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from="-5.6pt,785.3pt" to="445.1pt,785.3pt" w14:anchorId="18EAF944">
              <o:lock v:ext="edit" shapetype="f"/>
              <w10:wrap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36C" w:rsidRDefault="0002236C" w14:paraId="539E2E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B42F" w14:textId="77777777" w:rsidR="00F6299A" w:rsidRPr="00DB5E8F" w:rsidRDefault="00F6299A">
      <w:pPr>
        <w:rPr>
          <w:sz w:val="12"/>
          <w:szCs w:val="12"/>
        </w:rPr>
      </w:pPr>
      <w:r w:rsidRPr="00DB5E8F">
        <w:rPr>
          <w:sz w:val="12"/>
          <w:szCs w:val="12"/>
        </w:rPr>
        <w:separator/>
      </w:r>
    </w:p>
  </w:footnote>
  <w:footnote w:type="continuationSeparator" w:id="0">
    <w:p w14:paraId="3AD7FF3E" w14:textId="77777777" w:rsidR="00F6299A" w:rsidRDefault="00F6299A" w:rsidP="00A00E34">
      <w:r>
        <w:continuationSeparator/>
      </w:r>
    </w:p>
    <w:p w14:paraId="0B67C9FD" w14:textId="77777777" w:rsidR="00F6299A" w:rsidRDefault="00F6299A"/>
  </w:footnote>
  <w:footnote w:type="continuationNotice" w:id="1">
    <w:p w14:paraId="0B833812" w14:textId="77777777" w:rsidR="00F6299A" w:rsidRDefault="00F6299A"/>
  </w:footnote>
  <w:footnote w:id="2">
    <w:p w14:paraId="2B9C6101" w14:textId="2B4968B2" w:rsidR="0002236C" w:rsidRPr="00AF69F4" w:rsidRDefault="0002236C" w:rsidP="00C92B4B">
      <w:pPr>
        <w:pStyle w:val="FootnoteText"/>
        <w:rPr>
          <w:rFonts w:ascii="Calibri" w:hAnsi="Calibri" w:cs="Calibri"/>
        </w:rPr>
      </w:pPr>
      <w:r w:rsidRPr="00AF69F4">
        <w:rPr>
          <w:rStyle w:val="FootnoteReference"/>
          <w:rFonts w:ascii="Calibri" w:hAnsi="Calibri" w:cs="Calibri"/>
          <w:sz w:val="18"/>
        </w:rPr>
        <w:footnoteRef/>
      </w:r>
      <w:r w:rsidRPr="00AF69F4">
        <w:rPr>
          <w:rFonts w:ascii="Calibri" w:hAnsi="Calibri"/>
        </w:rPr>
        <w:t xml:space="preserve"> Europa-Parlamentets og Rådets forordning (EU) nr. 1093/2010 af 24. november 2010 om oprettelse af en europæisk tilsynsmyndighed (Den Europæiske Banktilsynsmyndighed), om ændring af afgørelse nr. 716/2009/EF og om ophævelse af Kommissionens afgørelse 2009/78/EF (EUT L 331 af 15.12.2010, s. 12).</w:t>
      </w:r>
    </w:p>
  </w:footnote>
  <w:footnote w:id="3">
    <w:p w14:paraId="4106CA50" w14:textId="77777777" w:rsidR="005C5C74" w:rsidRPr="00674EC6" w:rsidRDefault="005C5C74" w:rsidP="005C5C74">
      <w:pPr>
        <w:pStyle w:val="FootnoteText"/>
      </w:pPr>
      <w:r w:rsidRPr="00674EC6">
        <w:rPr>
          <w:rStyle w:val="FootnoteReference"/>
          <w:lang w:val="en-GB"/>
        </w:rPr>
        <w:footnoteRef/>
      </w:r>
      <w:r w:rsidRPr="00674EC6">
        <w:t xml:space="preserve"> https://www.eba.europa.eu/risk-analysis-and-data/global-systemically-important-institutions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36C" w:rsidRDefault="0002236C" w14:paraId="41B1516F" w14:textId="12C57839">
    <w:pPr>
      <w:rPr>
        <w:noProof/>
      </w:rPr>
    </w:pPr>
    <w:r>
      <w:ptab w:alignment="center" w:relativeTo="margin" w:leader="none"/>
    </w:r>
    <w:r>
      <w:ptab w:alignment="right" w:relativeTo="margin" w:leader="none"/>
    </w:r>
  </w:p>
  <w:p w:rsidR="0002236C" w:rsidRDefault="0002236C" w14:paraId="4A8DE438" w14:textId="77777777">
    <w:pPr>
      <w:rPr>
        <w:noProof/>
      </w:rPr>
    </w:pPr>
  </w:p>
</w:hdr>
</file>

<file path=word/header2.xml><?xml version="1.0" encoding="utf-8"?>
<w:hdr xmlns:a="http://schemas.openxmlformats.org/drawingml/2006/main" xmlns:pic="http://schemas.openxmlformats.org/drawingml/2006/picture" xmlns:a14="http://schemas.microsoft.com/office/drawing/2010/main" xmlns:arto="http://schemas.microsoft.com/office/word/2006/arto" xmlns:mo="http://schemas.microsoft.com/office/mac/office/2008/main" xmlns:mv="urn:schemas-microsoft-com:mac:vml"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F69F4" w:rsidR="0002236C" w:rsidP="002215B5" w:rsidRDefault="0002236C" w14:paraId="233A6472" w14:textId="42F4713B">
    <w:pPr>
      <w:pStyle w:val="Runningtitle"/>
      <w:rPr>
        <w:noProof/>
      </w:rPr>
    </w:pPr>
    <w:r w:rsidRPr="00AF69F4">
      <w:rPr>
        <w:noProof/>
        <w:lang w:val="en-GB" w:eastAsia="en-GB"/>
      </w:rPr>
      <w:drawing>
        <wp:anchor distT="0" distB="0" distL="114300" distR="114300" simplePos="0" relativeHeight="251671040" behindDoc="0" locked="0" layoutInCell="1" allowOverlap="1" wp14:editId="234C082C" wp14:anchorId="427C9B91">
          <wp:simplePos x="0" y="0"/>
          <wp:positionH relativeFrom="column">
            <wp:posOffset>4739392</wp:posOffset>
          </wp:positionH>
          <wp:positionV relativeFrom="page">
            <wp:posOffset>450215</wp:posOffset>
          </wp:positionV>
          <wp:extent cx="1207770" cy="447675"/>
          <wp:effectExtent l="0" t="0" r="0" b="952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r w:rsidRPr="00AF69F4">
      <w:t>ENDELIG rapport om EBA's retningslinjer for specifikation og offentliggørelse</w:t>
    </w:r>
  </w:p>
  <w:p w:rsidRPr="00AF69F4" w:rsidR="0002236C" w:rsidP="002215B5" w:rsidRDefault="0002236C" w14:paraId="122C2463" w14:textId="77777777">
    <w:pPr>
      <w:pStyle w:val="Runningtitle"/>
      <w:rPr>
        <w:noProof/>
      </w:rPr>
    </w:pPr>
    <w:r w:rsidRPr="00AF69F4">
      <w:t>af indikatorer af systemisk betydning</w:t>
    </w:r>
  </w:p>
  <w:p w:rsidRPr="00AF69F4" w:rsidR="0002236C" w:rsidP="002215B5" w:rsidRDefault="0002236C" w14:paraId="750CEC09" w14:textId="5D2D20C5">
    <w:pPr>
      <w:pStyle w:val="Header"/>
      <w:rPr>
        <w:noProof/>
      </w:rPr>
    </w:pPr>
  </w:p>
</w:hdr>
</file>

<file path=word/header3.xml><?xml version="1.0" encoding="utf-8"?>
<w:hdr xmlns:a="http://schemas.openxmlformats.org/drawingml/2006/main" xmlns:pic="http://schemas.openxmlformats.org/drawingml/2006/picture" xmlns:a14="http://schemas.microsoft.com/office/drawing/2010/main" xmlns:ma14="http://schemas.microsoft.com/office/mac/drawingml/2011/main" xmlns:mv="urn:schemas-microsoft-com:mac:vml" xmlns:mo="http://schemas.microsoft.com/office/mac/office/2008/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36C" w:rsidP="00E677EF" w:rsidRDefault="0002236C" w14:paraId="6E4DF7C2" w14:textId="77777777">
    <w:pPr>
      <w:pStyle w:val="Runningtitle"/>
      <w:rPr>
        <w:noProof/>
      </w:rPr>
    </w:pPr>
    <w:r>
      <w:t>løbende titel indsættes her som løbende titel</w:t>
    </w:r>
    <w:r>
      <w:rPr>
        <w:noProof/>
        <w:lang w:val="en-GB" w:eastAsia="en-GB"/>
      </w:rPr>
      <w:drawing>
        <wp:anchor distT="0" distB="0" distL="114300" distR="114300" simplePos="0" relativeHeight="251653632" behindDoc="1" locked="1" layoutInCell="1" allowOverlap="0" wp14:editId="569AD1BD" wp14:anchorId="6E65E8A4">
          <wp:simplePos x="0" y="0"/>
          <wp:positionH relativeFrom="page">
            <wp:posOffset>4702175</wp:posOffset>
          </wp:positionH>
          <wp:positionV relativeFrom="page">
            <wp:posOffset>450215</wp:posOffset>
          </wp:positionV>
          <wp:extent cx="1941830" cy="719455"/>
          <wp:effectExtent l="0" t="0" r="0" b="0"/>
          <wp:wrapNone/>
          <wp:docPr id="124"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14="http://schemas.microsoft.com/office/drawing/2010/main"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F5599"/>
    <w:multiLevelType w:val="multilevel"/>
    <w:tmpl w:val="203AA090"/>
    <w:styleLink w:val="WWOutlineListStyle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lowerRoman"/>
      <w:lvlText w:val="(%4)"/>
      <w:lvlJc w:val="right"/>
      <w:pPr>
        <w:ind w:left="864" w:hanging="144"/>
      </w:pPr>
    </w:lvl>
    <w:lvl w:ilvl="4">
      <w:start w:val="1"/>
      <w:numFmt w:val="none"/>
      <w:lvlText w:val="%5"/>
      <w:lvlJc w:val="left"/>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2431C"/>
    <w:multiLevelType w:val="hybridMultilevel"/>
    <w:tmpl w:val="A364DCE4"/>
    <w:lvl w:ilvl="0" w:tplc="FF0ACC7C">
      <w:start w:val="10"/>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228F008E"/>
    <w:multiLevelType w:val="hybridMultilevel"/>
    <w:tmpl w:val="0CEAE5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7"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8"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35DEC"/>
    <w:multiLevelType w:val="hybridMultilevel"/>
    <w:tmpl w:val="BC245978"/>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E684A36"/>
    <w:multiLevelType w:val="hybridMultilevel"/>
    <w:tmpl w:val="95C2B722"/>
    <w:lvl w:ilvl="0" w:tplc="770A29DE">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D57BB"/>
    <w:multiLevelType w:val="multilevel"/>
    <w:tmpl w:val="201419E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3"/>
  </w:num>
  <w:num w:numId="3">
    <w:abstractNumId w:val="7"/>
  </w:num>
  <w:num w:numId="4">
    <w:abstractNumId w:val="8"/>
  </w:num>
  <w:num w:numId="5">
    <w:abstractNumId w:val="14"/>
  </w:num>
  <w:num w:numId="6">
    <w:abstractNumId w:val="1"/>
  </w:num>
  <w:num w:numId="7">
    <w:abstractNumId w:val="13"/>
  </w:num>
  <w:num w:numId="8">
    <w:abstractNumId w:val="12"/>
  </w:num>
  <w:num w:numId="9">
    <w:abstractNumId w:val="0"/>
  </w:num>
  <w:num w:numId="10">
    <w:abstractNumId w:val="15"/>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10"/>
  </w:num>
  <w:num w:numId="16">
    <w:abstractNumId w:val="4"/>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873"/>
    <w:rsid w:val="00002BCF"/>
    <w:rsid w:val="00003F50"/>
    <w:rsid w:val="0001213D"/>
    <w:rsid w:val="00013281"/>
    <w:rsid w:val="00021E10"/>
    <w:rsid w:val="0002236C"/>
    <w:rsid w:val="000231B7"/>
    <w:rsid w:val="00027CA0"/>
    <w:rsid w:val="00030D65"/>
    <w:rsid w:val="000330DC"/>
    <w:rsid w:val="00040129"/>
    <w:rsid w:val="00051823"/>
    <w:rsid w:val="00060F40"/>
    <w:rsid w:val="00062830"/>
    <w:rsid w:val="0007574B"/>
    <w:rsid w:val="000774B3"/>
    <w:rsid w:val="000843CD"/>
    <w:rsid w:val="00087EEC"/>
    <w:rsid w:val="00092F1D"/>
    <w:rsid w:val="000A1C81"/>
    <w:rsid w:val="000A3851"/>
    <w:rsid w:val="000A5345"/>
    <w:rsid w:val="000B1645"/>
    <w:rsid w:val="000B2614"/>
    <w:rsid w:val="000C2B79"/>
    <w:rsid w:val="000C5A8A"/>
    <w:rsid w:val="000C7FD8"/>
    <w:rsid w:val="000D7A44"/>
    <w:rsid w:val="000E0C27"/>
    <w:rsid w:val="000E6D15"/>
    <w:rsid w:val="000F33D3"/>
    <w:rsid w:val="000F3C24"/>
    <w:rsid w:val="000F607B"/>
    <w:rsid w:val="000F6495"/>
    <w:rsid w:val="000F6FD8"/>
    <w:rsid w:val="001061FA"/>
    <w:rsid w:val="00112BF2"/>
    <w:rsid w:val="00114266"/>
    <w:rsid w:val="0011517F"/>
    <w:rsid w:val="00117062"/>
    <w:rsid w:val="0012173D"/>
    <w:rsid w:val="00121BB0"/>
    <w:rsid w:val="0012686C"/>
    <w:rsid w:val="0013090C"/>
    <w:rsid w:val="00131C5D"/>
    <w:rsid w:val="00132059"/>
    <w:rsid w:val="00132F74"/>
    <w:rsid w:val="001405D4"/>
    <w:rsid w:val="0014310A"/>
    <w:rsid w:val="00143427"/>
    <w:rsid w:val="00145D24"/>
    <w:rsid w:val="00145E0A"/>
    <w:rsid w:val="00152832"/>
    <w:rsid w:val="001600FC"/>
    <w:rsid w:val="0016015C"/>
    <w:rsid w:val="00160815"/>
    <w:rsid w:val="00172007"/>
    <w:rsid w:val="0017446F"/>
    <w:rsid w:val="0017667F"/>
    <w:rsid w:val="00177CB9"/>
    <w:rsid w:val="001834D4"/>
    <w:rsid w:val="00192287"/>
    <w:rsid w:val="00197E14"/>
    <w:rsid w:val="001A016C"/>
    <w:rsid w:val="001A2A81"/>
    <w:rsid w:val="001A32D5"/>
    <w:rsid w:val="001A47D0"/>
    <w:rsid w:val="001A5BD4"/>
    <w:rsid w:val="001A70A8"/>
    <w:rsid w:val="001B2C0D"/>
    <w:rsid w:val="001B3341"/>
    <w:rsid w:val="001B6017"/>
    <w:rsid w:val="001B7A0B"/>
    <w:rsid w:val="001B7EB3"/>
    <w:rsid w:val="001C1FD9"/>
    <w:rsid w:val="001C5BC2"/>
    <w:rsid w:val="001D0179"/>
    <w:rsid w:val="001E0B2E"/>
    <w:rsid w:val="001E1188"/>
    <w:rsid w:val="001E3599"/>
    <w:rsid w:val="001F1CB9"/>
    <w:rsid w:val="001F7501"/>
    <w:rsid w:val="00205878"/>
    <w:rsid w:val="00213D7B"/>
    <w:rsid w:val="00214DEC"/>
    <w:rsid w:val="00215B80"/>
    <w:rsid w:val="002215B5"/>
    <w:rsid w:val="00224761"/>
    <w:rsid w:val="00224A3F"/>
    <w:rsid w:val="00224D96"/>
    <w:rsid w:val="002306C7"/>
    <w:rsid w:val="00231819"/>
    <w:rsid w:val="002351E9"/>
    <w:rsid w:val="00236329"/>
    <w:rsid w:val="00241BD8"/>
    <w:rsid w:val="002422FB"/>
    <w:rsid w:val="002434B0"/>
    <w:rsid w:val="00254CA9"/>
    <w:rsid w:val="0026681D"/>
    <w:rsid w:val="00267452"/>
    <w:rsid w:val="00273421"/>
    <w:rsid w:val="0027418E"/>
    <w:rsid w:val="002907F9"/>
    <w:rsid w:val="00290DA3"/>
    <w:rsid w:val="002A3A19"/>
    <w:rsid w:val="002A6F7C"/>
    <w:rsid w:val="002B19D7"/>
    <w:rsid w:val="002C06C1"/>
    <w:rsid w:val="002C0DCF"/>
    <w:rsid w:val="002C1673"/>
    <w:rsid w:val="002C2703"/>
    <w:rsid w:val="002C294F"/>
    <w:rsid w:val="002D1867"/>
    <w:rsid w:val="002E3B5A"/>
    <w:rsid w:val="002F2009"/>
    <w:rsid w:val="002F2269"/>
    <w:rsid w:val="00300924"/>
    <w:rsid w:val="003025A8"/>
    <w:rsid w:val="003129B6"/>
    <w:rsid w:val="00314D6E"/>
    <w:rsid w:val="00315AB3"/>
    <w:rsid w:val="00320E57"/>
    <w:rsid w:val="003221EF"/>
    <w:rsid w:val="00322C23"/>
    <w:rsid w:val="003248A2"/>
    <w:rsid w:val="00352A51"/>
    <w:rsid w:val="0035477B"/>
    <w:rsid w:val="00355E53"/>
    <w:rsid w:val="003604AA"/>
    <w:rsid w:val="003610D8"/>
    <w:rsid w:val="00362309"/>
    <w:rsid w:val="00363390"/>
    <w:rsid w:val="0036783B"/>
    <w:rsid w:val="00370D44"/>
    <w:rsid w:val="00372BEC"/>
    <w:rsid w:val="00392385"/>
    <w:rsid w:val="003953B5"/>
    <w:rsid w:val="003A2221"/>
    <w:rsid w:val="003C34A3"/>
    <w:rsid w:val="003C3DE8"/>
    <w:rsid w:val="003D11C8"/>
    <w:rsid w:val="003D7A72"/>
    <w:rsid w:val="003E318D"/>
    <w:rsid w:val="003F3AA3"/>
    <w:rsid w:val="004046E2"/>
    <w:rsid w:val="00412567"/>
    <w:rsid w:val="004172D1"/>
    <w:rsid w:val="00424530"/>
    <w:rsid w:val="0043577F"/>
    <w:rsid w:val="0043675A"/>
    <w:rsid w:val="00441F85"/>
    <w:rsid w:val="00446D76"/>
    <w:rsid w:val="00452CF3"/>
    <w:rsid w:val="0045301B"/>
    <w:rsid w:val="00454B24"/>
    <w:rsid w:val="00455E0E"/>
    <w:rsid w:val="004637D3"/>
    <w:rsid w:val="004719B4"/>
    <w:rsid w:val="00471CA1"/>
    <w:rsid w:val="00471CCE"/>
    <w:rsid w:val="00481AC4"/>
    <w:rsid w:val="00482FB6"/>
    <w:rsid w:val="00490251"/>
    <w:rsid w:val="004955E7"/>
    <w:rsid w:val="004A5D8B"/>
    <w:rsid w:val="004A76C6"/>
    <w:rsid w:val="004B2FC0"/>
    <w:rsid w:val="004B7784"/>
    <w:rsid w:val="004C1B19"/>
    <w:rsid w:val="004C6392"/>
    <w:rsid w:val="004D3523"/>
    <w:rsid w:val="004D7668"/>
    <w:rsid w:val="004E405B"/>
    <w:rsid w:val="004F0AB6"/>
    <w:rsid w:val="004F63DB"/>
    <w:rsid w:val="0050148B"/>
    <w:rsid w:val="005037F2"/>
    <w:rsid w:val="00505C64"/>
    <w:rsid w:val="005105EF"/>
    <w:rsid w:val="0051571A"/>
    <w:rsid w:val="00522627"/>
    <w:rsid w:val="00523895"/>
    <w:rsid w:val="00526B39"/>
    <w:rsid w:val="00532EBE"/>
    <w:rsid w:val="005410AB"/>
    <w:rsid w:val="00541B50"/>
    <w:rsid w:val="00543A44"/>
    <w:rsid w:val="005574DA"/>
    <w:rsid w:val="00565691"/>
    <w:rsid w:val="005706A6"/>
    <w:rsid w:val="00571BB6"/>
    <w:rsid w:val="00574B26"/>
    <w:rsid w:val="00575B39"/>
    <w:rsid w:val="00575BA7"/>
    <w:rsid w:val="00582AA7"/>
    <w:rsid w:val="0058477C"/>
    <w:rsid w:val="0058568F"/>
    <w:rsid w:val="005A11A7"/>
    <w:rsid w:val="005A6911"/>
    <w:rsid w:val="005B3658"/>
    <w:rsid w:val="005B5C09"/>
    <w:rsid w:val="005C3DFF"/>
    <w:rsid w:val="005C498B"/>
    <w:rsid w:val="005C5C74"/>
    <w:rsid w:val="005D033E"/>
    <w:rsid w:val="005D4005"/>
    <w:rsid w:val="005D40D1"/>
    <w:rsid w:val="005D6612"/>
    <w:rsid w:val="005E167D"/>
    <w:rsid w:val="00600024"/>
    <w:rsid w:val="00600065"/>
    <w:rsid w:val="006017FA"/>
    <w:rsid w:val="006059B2"/>
    <w:rsid w:val="00610305"/>
    <w:rsid w:val="00610419"/>
    <w:rsid w:val="00611DDB"/>
    <w:rsid w:val="00612C7B"/>
    <w:rsid w:val="006209BD"/>
    <w:rsid w:val="006224C1"/>
    <w:rsid w:val="006241B4"/>
    <w:rsid w:val="006269B7"/>
    <w:rsid w:val="006307A5"/>
    <w:rsid w:val="006336C8"/>
    <w:rsid w:val="00633DC7"/>
    <w:rsid w:val="00636E1D"/>
    <w:rsid w:val="00641A7A"/>
    <w:rsid w:val="00645495"/>
    <w:rsid w:val="00655112"/>
    <w:rsid w:val="00663B0A"/>
    <w:rsid w:val="006641F8"/>
    <w:rsid w:val="0066422C"/>
    <w:rsid w:val="00670254"/>
    <w:rsid w:val="00675E42"/>
    <w:rsid w:val="00683BFB"/>
    <w:rsid w:val="006915A4"/>
    <w:rsid w:val="00692AB7"/>
    <w:rsid w:val="00692AD8"/>
    <w:rsid w:val="006973AC"/>
    <w:rsid w:val="006C186D"/>
    <w:rsid w:val="006C6D8E"/>
    <w:rsid w:val="006D4C7C"/>
    <w:rsid w:val="006D7393"/>
    <w:rsid w:val="006E0D7A"/>
    <w:rsid w:val="006E3CE5"/>
    <w:rsid w:val="006E548C"/>
    <w:rsid w:val="006E55E1"/>
    <w:rsid w:val="006F2E13"/>
    <w:rsid w:val="006F445D"/>
    <w:rsid w:val="006F72C6"/>
    <w:rsid w:val="006F7529"/>
    <w:rsid w:val="00703E4E"/>
    <w:rsid w:val="007071C6"/>
    <w:rsid w:val="00711E1C"/>
    <w:rsid w:val="00721D07"/>
    <w:rsid w:val="00721FBA"/>
    <w:rsid w:val="00723921"/>
    <w:rsid w:val="00730352"/>
    <w:rsid w:val="00731463"/>
    <w:rsid w:val="0073336B"/>
    <w:rsid w:val="00734CF5"/>
    <w:rsid w:val="007373D2"/>
    <w:rsid w:val="00740F65"/>
    <w:rsid w:val="00742839"/>
    <w:rsid w:val="00755505"/>
    <w:rsid w:val="0076316D"/>
    <w:rsid w:val="00771BCE"/>
    <w:rsid w:val="00772993"/>
    <w:rsid w:val="007815FB"/>
    <w:rsid w:val="00781A37"/>
    <w:rsid w:val="00781D80"/>
    <w:rsid w:val="007850AB"/>
    <w:rsid w:val="00791EAE"/>
    <w:rsid w:val="007A0054"/>
    <w:rsid w:val="007A44A6"/>
    <w:rsid w:val="007A5353"/>
    <w:rsid w:val="007B3D63"/>
    <w:rsid w:val="007B6077"/>
    <w:rsid w:val="007B69D6"/>
    <w:rsid w:val="007B793D"/>
    <w:rsid w:val="007C08B0"/>
    <w:rsid w:val="007C3A00"/>
    <w:rsid w:val="007C55D0"/>
    <w:rsid w:val="007D2626"/>
    <w:rsid w:val="007F5092"/>
    <w:rsid w:val="007F6B00"/>
    <w:rsid w:val="007F7895"/>
    <w:rsid w:val="00804A88"/>
    <w:rsid w:val="0080534E"/>
    <w:rsid w:val="00813BAC"/>
    <w:rsid w:val="00813CD4"/>
    <w:rsid w:val="00817C42"/>
    <w:rsid w:val="00821B9D"/>
    <w:rsid w:val="00837B41"/>
    <w:rsid w:val="0084468C"/>
    <w:rsid w:val="008455A6"/>
    <w:rsid w:val="008552A0"/>
    <w:rsid w:val="008552E3"/>
    <w:rsid w:val="008651AA"/>
    <w:rsid w:val="00865492"/>
    <w:rsid w:val="00865A3C"/>
    <w:rsid w:val="00867CB4"/>
    <w:rsid w:val="008708AB"/>
    <w:rsid w:val="00870A33"/>
    <w:rsid w:val="00871962"/>
    <w:rsid w:val="008725EC"/>
    <w:rsid w:val="00874ED5"/>
    <w:rsid w:val="008A4100"/>
    <w:rsid w:val="008A7288"/>
    <w:rsid w:val="008B6155"/>
    <w:rsid w:val="008C1A94"/>
    <w:rsid w:val="008C567C"/>
    <w:rsid w:val="008C5B82"/>
    <w:rsid w:val="008E297F"/>
    <w:rsid w:val="008F3908"/>
    <w:rsid w:val="009014B6"/>
    <w:rsid w:val="009041D9"/>
    <w:rsid w:val="00907439"/>
    <w:rsid w:val="00907D57"/>
    <w:rsid w:val="00911860"/>
    <w:rsid w:val="0091231C"/>
    <w:rsid w:val="00912882"/>
    <w:rsid w:val="00912895"/>
    <w:rsid w:val="00913422"/>
    <w:rsid w:val="009210DE"/>
    <w:rsid w:val="009222DC"/>
    <w:rsid w:val="009257BE"/>
    <w:rsid w:val="00943B87"/>
    <w:rsid w:val="00944AD8"/>
    <w:rsid w:val="009549FF"/>
    <w:rsid w:val="00954FC6"/>
    <w:rsid w:val="0096160F"/>
    <w:rsid w:val="009642A9"/>
    <w:rsid w:val="00965B80"/>
    <w:rsid w:val="009730FB"/>
    <w:rsid w:val="00976630"/>
    <w:rsid w:val="00976A15"/>
    <w:rsid w:val="00980519"/>
    <w:rsid w:val="009846C5"/>
    <w:rsid w:val="0099008B"/>
    <w:rsid w:val="00993B1E"/>
    <w:rsid w:val="00993BAA"/>
    <w:rsid w:val="00994F87"/>
    <w:rsid w:val="009A1966"/>
    <w:rsid w:val="009A294D"/>
    <w:rsid w:val="009A5AF6"/>
    <w:rsid w:val="009B7C11"/>
    <w:rsid w:val="009C12C9"/>
    <w:rsid w:val="009C1CE7"/>
    <w:rsid w:val="009D55F7"/>
    <w:rsid w:val="009E300F"/>
    <w:rsid w:val="009E38A2"/>
    <w:rsid w:val="009E697F"/>
    <w:rsid w:val="009E76BE"/>
    <w:rsid w:val="009E79BF"/>
    <w:rsid w:val="009F12DA"/>
    <w:rsid w:val="009F3FE6"/>
    <w:rsid w:val="009F53AF"/>
    <w:rsid w:val="00A00E34"/>
    <w:rsid w:val="00A02BBA"/>
    <w:rsid w:val="00A062C7"/>
    <w:rsid w:val="00A10257"/>
    <w:rsid w:val="00A13558"/>
    <w:rsid w:val="00A14332"/>
    <w:rsid w:val="00A2290D"/>
    <w:rsid w:val="00A23608"/>
    <w:rsid w:val="00A23D22"/>
    <w:rsid w:val="00A25403"/>
    <w:rsid w:val="00A27B9D"/>
    <w:rsid w:val="00A27D88"/>
    <w:rsid w:val="00A304D0"/>
    <w:rsid w:val="00A41338"/>
    <w:rsid w:val="00A4361D"/>
    <w:rsid w:val="00A44695"/>
    <w:rsid w:val="00A4607D"/>
    <w:rsid w:val="00A53EC9"/>
    <w:rsid w:val="00A725D6"/>
    <w:rsid w:val="00A72C7D"/>
    <w:rsid w:val="00A81586"/>
    <w:rsid w:val="00A92440"/>
    <w:rsid w:val="00AA435E"/>
    <w:rsid w:val="00AA796D"/>
    <w:rsid w:val="00AB104D"/>
    <w:rsid w:val="00AB21B0"/>
    <w:rsid w:val="00AB2476"/>
    <w:rsid w:val="00AB4B80"/>
    <w:rsid w:val="00AC2312"/>
    <w:rsid w:val="00AD0C73"/>
    <w:rsid w:val="00AD3179"/>
    <w:rsid w:val="00AD5F66"/>
    <w:rsid w:val="00AE1A2D"/>
    <w:rsid w:val="00AE5347"/>
    <w:rsid w:val="00AE55F6"/>
    <w:rsid w:val="00AE56DB"/>
    <w:rsid w:val="00AF0781"/>
    <w:rsid w:val="00AF21F6"/>
    <w:rsid w:val="00AF2BCB"/>
    <w:rsid w:val="00AF4C86"/>
    <w:rsid w:val="00AF69F4"/>
    <w:rsid w:val="00B025DB"/>
    <w:rsid w:val="00B13C87"/>
    <w:rsid w:val="00B1710D"/>
    <w:rsid w:val="00B2771A"/>
    <w:rsid w:val="00B32510"/>
    <w:rsid w:val="00B33222"/>
    <w:rsid w:val="00B3595C"/>
    <w:rsid w:val="00B36D5E"/>
    <w:rsid w:val="00B43E07"/>
    <w:rsid w:val="00B51926"/>
    <w:rsid w:val="00B51BB3"/>
    <w:rsid w:val="00B526A8"/>
    <w:rsid w:val="00B55FAB"/>
    <w:rsid w:val="00B56F17"/>
    <w:rsid w:val="00B6734E"/>
    <w:rsid w:val="00B76198"/>
    <w:rsid w:val="00B77DC8"/>
    <w:rsid w:val="00B77F65"/>
    <w:rsid w:val="00B82515"/>
    <w:rsid w:val="00B83D9D"/>
    <w:rsid w:val="00B84529"/>
    <w:rsid w:val="00B954E5"/>
    <w:rsid w:val="00B96F7F"/>
    <w:rsid w:val="00BB2111"/>
    <w:rsid w:val="00BC1D4B"/>
    <w:rsid w:val="00BC3450"/>
    <w:rsid w:val="00BC7FD2"/>
    <w:rsid w:val="00BD1538"/>
    <w:rsid w:val="00BD1DD9"/>
    <w:rsid w:val="00BE2989"/>
    <w:rsid w:val="00BF4906"/>
    <w:rsid w:val="00BF4EC0"/>
    <w:rsid w:val="00BF78EE"/>
    <w:rsid w:val="00C03AE7"/>
    <w:rsid w:val="00C05D9D"/>
    <w:rsid w:val="00C12FA8"/>
    <w:rsid w:val="00C16B4D"/>
    <w:rsid w:val="00C35592"/>
    <w:rsid w:val="00C356AF"/>
    <w:rsid w:val="00C41927"/>
    <w:rsid w:val="00C439D6"/>
    <w:rsid w:val="00C43FD9"/>
    <w:rsid w:val="00C44EB2"/>
    <w:rsid w:val="00C47E8F"/>
    <w:rsid w:val="00C57BC4"/>
    <w:rsid w:val="00C60915"/>
    <w:rsid w:val="00C60EEB"/>
    <w:rsid w:val="00C64E27"/>
    <w:rsid w:val="00C84497"/>
    <w:rsid w:val="00C91A9F"/>
    <w:rsid w:val="00C92B4B"/>
    <w:rsid w:val="00C95F54"/>
    <w:rsid w:val="00C964B8"/>
    <w:rsid w:val="00CA1DF9"/>
    <w:rsid w:val="00CB6121"/>
    <w:rsid w:val="00CB6EBB"/>
    <w:rsid w:val="00CD4AF7"/>
    <w:rsid w:val="00CE3517"/>
    <w:rsid w:val="00CE3F04"/>
    <w:rsid w:val="00CF15C6"/>
    <w:rsid w:val="00D01670"/>
    <w:rsid w:val="00D0474C"/>
    <w:rsid w:val="00D05C26"/>
    <w:rsid w:val="00D062AC"/>
    <w:rsid w:val="00D152E7"/>
    <w:rsid w:val="00D21F91"/>
    <w:rsid w:val="00D251D0"/>
    <w:rsid w:val="00D3796C"/>
    <w:rsid w:val="00D43C43"/>
    <w:rsid w:val="00D44360"/>
    <w:rsid w:val="00D53948"/>
    <w:rsid w:val="00D549B9"/>
    <w:rsid w:val="00D557EE"/>
    <w:rsid w:val="00D56058"/>
    <w:rsid w:val="00D57F4B"/>
    <w:rsid w:val="00D656AD"/>
    <w:rsid w:val="00D6692C"/>
    <w:rsid w:val="00D76E91"/>
    <w:rsid w:val="00D823B5"/>
    <w:rsid w:val="00D849AA"/>
    <w:rsid w:val="00D872D1"/>
    <w:rsid w:val="00D873F3"/>
    <w:rsid w:val="00D90F63"/>
    <w:rsid w:val="00D9584C"/>
    <w:rsid w:val="00DA6122"/>
    <w:rsid w:val="00DB4809"/>
    <w:rsid w:val="00DB5E8F"/>
    <w:rsid w:val="00DC3E99"/>
    <w:rsid w:val="00DC5214"/>
    <w:rsid w:val="00DC7C3E"/>
    <w:rsid w:val="00DD247B"/>
    <w:rsid w:val="00DE0FE1"/>
    <w:rsid w:val="00DE30E0"/>
    <w:rsid w:val="00DE46D0"/>
    <w:rsid w:val="00E21FC7"/>
    <w:rsid w:val="00E22BCE"/>
    <w:rsid w:val="00E255BF"/>
    <w:rsid w:val="00E2590B"/>
    <w:rsid w:val="00E26355"/>
    <w:rsid w:val="00E326FF"/>
    <w:rsid w:val="00E337DC"/>
    <w:rsid w:val="00E35F55"/>
    <w:rsid w:val="00E361B0"/>
    <w:rsid w:val="00E410F0"/>
    <w:rsid w:val="00E5738D"/>
    <w:rsid w:val="00E5771C"/>
    <w:rsid w:val="00E62DB8"/>
    <w:rsid w:val="00E677EF"/>
    <w:rsid w:val="00E859DF"/>
    <w:rsid w:val="00E87041"/>
    <w:rsid w:val="00E90EDD"/>
    <w:rsid w:val="00E94506"/>
    <w:rsid w:val="00E95201"/>
    <w:rsid w:val="00EA13B4"/>
    <w:rsid w:val="00EA16F3"/>
    <w:rsid w:val="00EA1807"/>
    <w:rsid w:val="00EA4947"/>
    <w:rsid w:val="00EC0C41"/>
    <w:rsid w:val="00EC11F0"/>
    <w:rsid w:val="00EC1594"/>
    <w:rsid w:val="00ED2521"/>
    <w:rsid w:val="00ED2FB9"/>
    <w:rsid w:val="00ED41FD"/>
    <w:rsid w:val="00ED4A40"/>
    <w:rsid w:val="00ED675F"/>
    <w:rsid w:val="00EE456B"/>
    <w:rsid w:val="00EF35BF"/>
    <w:rsid w:val="00EF7118"/>
    <w:rsid w:val="00F00C37"/>
    <w:rsid w:val="00F00C8E"/>
    <w:rsid w:val="00F01EA6"/>
    <w:rsid w:val="00F02D51"/>
    <w:rsid w:val="00F033B6"/>
    <w:rsid w:val="00F034AC"/>
    <w:rsid w:val="00F160D2"/>
    <w:rsid w:val="00F221AB"/>
    <w:rsid w:val="00F23DC0"/>
    <w:rsid w:val="00F311CD"/>
    <w:rsid w:val="00F3669D"/>
    <w:rsid w:val="00F42F3F"/>
    <w:rsid w:val="00F4748D"/>
    <w:rsid w:val="00F56DC4"/>
    <w:rsid w:val="00F612B3"/>
    <w:rsid w:val="00F6299A"/>
    <w:rsid w:val="00F647A3"/>
    <w:rsid w:val="00F653FF"/>
    <w:rsid w:val="00F7064A"/>
    <w:rsid w:val="00F720FF"/>
    <w:rsid w:val="00F747AD"/>
    <w:rsid w:val="00F764A1"/>
    <w:rsid w:val="00F86AD4"/>
    <w:rsid w:val="00F87FF5"/>
    <w:rsid w:val="00F9329F"/>
    <w:rsid w:val="00F942CA"/>
    <w:rsid w:val="00F9452C"/>
    <w:rsid w:val="00FA459D"/>
    <w:rsid w:val="00FB28E1"/>
    <w:rsid w:val="00FB43F9"/>
    <w:rsid w:val="00FB7206"/>
    <w:rsid w:val="00FC1255"/>
    <w:rsid w:val="00FC1D72"/>
    <w:rsid w:val="00FE0C92"/>
    <w:rsid w:val="00FE0E60"/>
    <w:rsid w:val="00FE438F"/>
    <w:rsid w:val="00FE5577"/>
    <w:rsid w:val="00FF0C19"/>
    <w:rsid w:val="00FF34C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6184604"/>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US"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215B80"/>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qFormat/>
    <w:rsid w:val="00C92B4B"/>
    <w:pPr>
      <w:spacing w:before="80" w:after="0" w:line="200" w:lineRule="exact"/>
    </w:pPr>
    <w:rPr>
      <w:rFonts w:ascii="Times New Roman" w:hAnsi="Times New Roman" w:cs="Times New Roman"/>
      <w:sz w:val="18"/>
      <w:szCs w:val="18"/>
    </w:rPr>
  </w:style>
  <w:style w:type="character" w:customStyle="1" w:styleId="FootnoteTextChar">
    <w:name w:val="Footnote Text Char"/>
    <w:basedOn w:val="DefaultParagraphFont"/>
    <w:link w:val="FootnoteText"/>
    <w:rsid w:val="00C92B4B"/>
    <w:rPr>
      <w:rFonts w:ascii="Times New Roman" w:hAnsi="Times New Roman" w:cs="Times New Roman"/>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da-DK"/>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basedOn w:val="Normal"/>
    <w:uiPriority w:val="1"/>
    <w:qFormat/>
    <w:rsid w:val="009F12DA"/>
    <w:pPr>
      <w:ind w:left="720"/>
    </w:pPr>
    <w:rPr>
      <w:rFonts w:ascii="Calibri" w:eastAsia="Calibri" w:hAnsi="Calibri" w:cs="Times New Roman"/>
      <w:szCs w:val="22"/>
    </w:rPr>
  </w:style>
  <w:style w:type="character" w:styleId="CommentReference">
    <w:name w:val="annotation reference"/>
    <w:basedOn w:val="DefaultParagraphFont"/>
    <w:uiPriority w:val="99"/>
    <w:semiHidden/>
    <w:unhideWhenUsed/>
    <w:rsid w:val="006336C8"/>
    <w:rPr>
      <w:sz w:val="16"/>
      <w:szCs w:val="16"/>
    </w:rPr>
  </w:style>
  <w:style w:type="paragraph" w:styleId="CommentText">
    <w:name w:val="annotation text"/>
    <w:basedOn w:val="Normal"/>
    <w:link w:val="CommentTextChar"/>
    <w:uiPriority w:val="99"/>
    <w:unhideWhenUsed/>
    <w:rsid w:val="006336C8"/>
    <w:rPr>
      <w:sz w:val="20"/>
      <w:szCs w:val="20"/>
    </w:rPr>
  </w:style>
  <w:style w:type="character" w:customStyle="1" w:styleId="CommentTextChar">
    <w:name w:val="Comment Text Char"/>
    <w:basedOn w:val="DefaultParagraphFont"/>
    <w:link w:val="CommentText"/>
    <w:uiPriority w:val="99"/>
    <w:rsid w:val="006336C8"/>
    <w:rPr>
      <w:sz w:val="20"/>
      <w:szCs w:val="20"/>
      <w:lang w:val="da-DK"/>
    </w:rPr>
  </w:style>
  <w:style w:type="paragraph" w:styleId="CommentSubject">
    <w:name w:val="annotation subject"/>
    <w:basedOn w:val="CommentText"/>
    <w:next w:val="CommentText"/>
    <w:link w:val="CommentSubjectChar"/>
    <w:uiPriority w:val="99"/>
    <w:semiHidden/>
    <w:unhideWhenUsed/>
    <w:rsid w:val="00944AD8"/>
    <w:rPr>
      <w:b/>
      <w:bCs/>
    </w:rPr>
  </w:style>
  <w:style w:type="character" w:customStyle="1" w:styleId="CommentSubjectChar">
    <w:name w:val="Comment Subject Char"/>
    <w:basedOn w:val="CommentTextChar"/>
    <w:link w:val="CommentSubject"/>
    <w:uiPriority w:val="99"/>
    <w:semiHidden/>
    <w:rsid w:val="00944AD8"/>
    <w:rPr>
      <w:b/>
      <w:bCs/>
      <w:sz w:val="20"/>
      <w:szCs w:val="20"/>
      <w:lang w:val="da-DK"/>
    </w:rPr>
  </w:style>
  <w:style w:type="paragraph" w:styleId="Revision">
    <w:name w:val="Revision"/>
    <w:hidden/>
    <w:uiPriority w:val="99"/>
    <w:semiHidden/>
    <w:rsid w:val="00944AD8"/>
    <w:rPr>
      <w:sz w:val="22"/>
    </w:rPr>
  </w:style>
  <w:style w:type="paragraph" w:customStyle="1" w:styleId="Text1">
    <w:name w:val="Text 1"/>
    <w:basedOn w:val="Normal"/>
    <w:rsid w:val="00454B24"/>
    <w:pPr>
      <w:spacing w:before="120" w:after="120"/>
      <w:ind w:left="850"/>
      <w:jc w:val="both"/>
    </w:pPr>
    <w:rPr>
      <w:rFonts w:ascii="Times New Roman" w:eastAsia="Calibri" w:hAnsi="Times New Roman" w:cs="Times New Roman"/>
      <w:sz w:val="24"/>
      <w:szCs w:val="20"/>
      <w:lang w:eastAsia="en-GB"/>
    </w:rPr>
  </w:style>
  <w:style w:type="paragraph" w:customStyle="1" w:styleId="TableParagraph">
    <w:name w:val="Table Paragraph"/>
    <w:basedOn w:val="Normal"/>
    <w:uiPriority w:val="1"/>
    <w:qFormat/>
    <w:rsid w:val="00723921"/>
    <w:pPr>
      <w:widowControl w:val="0"/>
      <w:autoSpaceDE w:val="0"/>
      <w:autoSpaceDN w:val="0"/>
    </w:pPr>
    <w:rPr>
      <w:rFonts w:ascii="Calibri" w:eastAsia="Calibri" w:hAnsi="Calibri" w:cs="Calibri"/>
      <w:szCs w:val="22"/>
      <w:lang w:eastAsia="en-GB" w:bidi="en-GB"/>
    </w:rPr>
  </w:style>
  <w:style w:type="numbering" w:customStyle="1" w:styleId="WWOutlineListStyle4">
    <w:name w:val="WW_OutlineListStyle_4"/>
    <w:basedOn w:val="NoList"/>
    <w:rsid w:val="005C5C74"/>
    <w:pPr>
      <w:numPr>
        <w:numId w:val="17"/>
      </w:numPr>
    </w:pPr>
  </w:style>
  <w:style w:type="table" w:customStyle="1" w:styleId="TableGrid1">
    <w:name w:val="Table Grid1"/>
    <w:basedOn w:val="TableNormal"/>
    <w:next w:val="TableGrid"/>
    <w:uiPriority w:val="39"/>
    <w:rsid w:val="005C5C74"/>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55A6"/>
    <w:pPr>
      <w:widowControl w:val="0"/>
      <w:autoSpaceDE w:val="0"/>
      <w:autoSpaceDN w:val="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8455A6"/>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49382086">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757289108">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2018773254">
      <w:bodyDiv w:val="1"/>
      <w:marLeft w:val="0"/>
      <w:marRight w:val="0"/>
      <w:marTop w:val="0"/>
      <w:marBottom w:val="0"/>
      <w:divBdr>
        <w:top w:val="none" w:sz="0" w:space="0" w:color="auto"/>
        <w:left w:val="none" w:sz="0" w:space="0" w:color="auto"/>
        <w:bottom w:val="none" w:sz="0" w:space="0" w:color="auto"/>
        <w:right w:val="none" w:sz="0" w:space="0" w:color="auto"/>
      </w:divBdr>
    </w:div>
    <w:div w:id="2037929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F582C-27C4-456C-AA6F-A25B66C6B8C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19</ap:TotalTime>
  <ap:Pages>16</ap:Pages>
  <ap:Words>3345</ap:Words>
  <ap:Characters>22443</ap:Characters>
  <ap:Application>Microsoft Office Word</ap:Application>
  <ap:DocSecurity>0</ap:DocSecurity>
  <ap:Lines>187</ap:Lines>
  <ap:Paragraphs>51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Company>CDT</ap:Company>
  <ap:LinksUpToDate>false</ap:LinksUpToDate>
  <ap:CharactersWithSpaces>25737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CDT</dc:creator>
  <lastModifiedBy>CDT</lastModifiedBy>
  <revision>9</revision>
  <lastPrinted>2020-11-04T10:23:00.0000000Z</lastPrinted>
  <dcterms:created xsi:type="dcterms:W3CDTF">2020-12-08T14:16:00.0000000Z</dcterms:created>
  <dcterms:modified xsi:type="dcterms:W3CDTF">2024-04-22T07:44:00.0000000Z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18800373-da6b-47a4-a8c2-ac6900effe05</vt:lpwstr>
  </property>
</Properties>
</file>