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98787969" w:displacedByCustomXml="next" w:id="0"/>
    <w:bookmarkStart w:name="_Toc298788158" w:displacedByCustomXml="next" w:id="1"/>
    <w:bookmarkStart w:name="_Toc298788641" w:displacedByCustomXml="next" w:id="2"/>
    <w:bookmarkStart w:name="_Toc305686691" w:displacedByCustomXml="next" w:id="3"/>
    <w:bookmarkStart w:name="_Toc306350093" w:displacedByCustomXml="next" w:id="4"/>
    <w:bookmarkStart w:name="_Toc306350113" w:displacedByCustomXml="next" w:id="5"/>
    <w:bookmarkStart w:name="_Toc331517265" w:displacedByCustomXml="next" w:id="6"/>
    <w:bookmarkStart w:name="_Toc245891774" w:displacedByCustomXml="next" w:id="7"/>
    <w:bookmarkStart w:name="_Toc238803087" w:displacedByCustomXml="next" w:id="8"/>
    <w:bookmarkStart w:name="_Toc238803888" w:displacedByCustomXml="next" w:id="9"/>
    <w:sdt>
      <w:sdtPr>
        <w:id w:val="1024973533"/>
        <w:docPartObj>
          <w:docPartGallery w:val="Cover Pages"/>
          <w:docPartUnique/>
        </w:docPartObj>
      </w:sdtPr>
      <w:sdtEndPr/>
      <w:sdtContent>
        <w:p w:rsidRPr="00DB2E78" w:rsidR="00B43E07" w:rsidP="00B43E07" w:rsidRDefault="00B43E07" w14:paraId="05640F5D" w14:textId="77777777">
          <w:pPr>
            <w:rPr>
              <w:lang w:val="en-GB"/>
            </w:rPr>
          </w:pPr>
        </w:p>
        <w:tbl>
          <w:tblPr>
            <w:tblW w:w="0" w:type="auto"/>
            <w:tblCellMar>
              <w:top w:w="85" w:type="dxa"/>
              <w:bottom w:w="85" w:type="dxa"/>
            </w:tblCellMar>
            <w:tblLook w:val="04A0" w:firstRow="1" w:lastRow="0" w:firstColumn="1" w:lastColumn="0" w:noHBand="0" w:noVBand="1"/>
          </w:tblPr>
          <w:tblGrid>
            <w:gridCol w:w="3828"/>
          </w:tblGrid>
          <w:tr w:rsidRPr="00DB2E78" w:rsidR="005B3658" w:rsidTr="006C7018" w14:paraId="3170F2D8" w14:textId="77777777">
            <w:tc>
              <w:tcPr>
                <w:tcW w:w="3828" w:type="dxa"/>
                <w:tcBorders>
                  <w:bottom w:val="single" w:color="A6A6A6" w:themeColor="background1" w:themeShade="A6" w:sz="4" w:space="0"/>
                </w:tcBorders>
                <w:shd w:val="clear" w:color="auto" w:fill="auto"/>
              </w:tcPr>
              <w:p w:rsidRPr="00DB2E78" w:rsidR="005B3658" w:rsidP="005B3658" w:rsidRDefault="005B3658" w14:paraId="6AAE07DF" w14:textId="32F2E95F">
                <w:r w:rsidRPr="00DB2E78">
                  <w:t>EBA/GL/2020/14</w:t>
                </w:r>
                <w:r w:rsidR="006C7018">
                  <w:t xml:space="preserve"> </w:t>
                </w:r>
                <w:r w:rsidRPr="006C7018" w:rsidR="006C7018">
                  <w:t>(konsolidované znění</w:t>
                </w:r>
                <w:r w:rsidR="006C7018">
                  <w:t>)</w:t>
                </w:r>
              </w:p>
            </w:tc>
          </w:tr>
          <w:tr w:rsidRPr="00DB2E78" w:rsidR="005B3658" w:rsidTr="006C7018" w14:paraId="70F4DBFA" w14:textId="77777777">
            <w:tc>
              <w:tcPr>
                <w:tcW w:w="3828" w:type="dxa"/>
                <w:tcBorders>
                  <w:top w:val="single" w:color="A6A6A6" w:themeColor="background1" w:themeShade="A6" w:sz="4" w:space="0"/>
                  <w:bottom w:val="single" w:color="A6A6A6" w:themeColor="background1" w:themeShade="A6" w:sz="4" w:space="0"/>
                </w:tcBorders>
                <w:shd w:val="clear" w:color="auto" w:fill="auto"/>
              </w:tcPr>
              <w:p w:rsidRPr="00DB2E78" w:rsidR="005B3658" w:rsidP="005B3658" w:rsidRDefault="005B3658" w14:paraId="55211379" w14:textId="60764B4A">
                <w:r w:rsidRPr="00DB2E78">
                  <w:rPr>
                    <w:color w:val="000000"/>
                  </w:rPr>
                  <w:t>4. listopad</w:t>
                </w:r>
                <w:r w:rsidR="00782422">
                  <w:rPr>
                    <w:color w:val="000000"/>
                  </w:rPr>
                  <w:t>u</w:t>
                </w:r>
                <w:r w:rsidRPr="00DB2E78">
                  <w:rPr>
                    <w:color w:val="000000"/>
                  </w:rPr>
                  <w:t xml:space="preserve"> 2020</w:t>
                </w:r>
              </w:p>
            </w:tc>
          </w:tr>
        </w:tbl>
        <w:p w:rsidRPr="00DB2E78" w:rsidR="00B43E07" w:rsidP="00B43E07" w:rsidRDefault="00B43E07" w14:paraId="2E2B6714" w14:textId="77777777">
          <w:pPr>
            <w:rPr>
              <w:lang w:val="en-GB"/>
            </w:rPr>
          </w:pPr>
        </w:p>
        <w:tbl>
          <w:tblPr>
            <w:tblStyle w:val="TableGrid"/>
            <w:tblW w:w="0" w:type="auto"/>
            <w:tblBorders>
              <w:bottom w:val="none" w:color="auto" w:sz="0" w:space="0"/>
              <w:insideH w:val="none" w:color="auto" w:sz="0" w:space="0"/>
            </w:tblBorders>
            <w:tblLook w:val="04A0" w:firstRow="1" w:lastRow="0" w:firstColumn="1" w:lastColumn="0" w:noHBand="0" w:noVBand="1"/>
          </w:tblPr>
          <w:tblGrid>
            <w:gridCol w:w="8781"/>
          </w:tblGrid>
          <w:tr w:rsidRPr="00DB2E78" w:rsidR="00B43E07" w:rsidTr="00993B1E" w14:paraId="598BC7AF" w14:textId="77777777">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bottom"/>
              </w:tcPr>
              <w:p w:rsidRPr="00DC3BF4" w:rsidR="00825614" w:rsidP="00825614" w:rsidRDefault="00825614" w14:paraId="3D4FB514" w14:textId="77777777">
                <w:pPr>
                  <w:pStyle w:val="BodyText"/>
                  <w:tabs>
                    <w:tab w:val="left" w:pos="1802"/>
                  </w:tabs>
                  <w:spacing w:before="100" w:after="60" w:line="276" w:lineRule="auto"/>
                  <w:ind w:left="425" w:right="232"/>
                  <w:jc w:val="both"/>
                  <w:rPr>
                    <w:color w:val="E98E31" w:themeColor="background2"/>
                    <w:spacing w:val="-1"/>
                  </w:rPr>
                </w:pPr>
                <w:r w:rsidRPr="007B541C">
                  <w:rPr>
                    <w:rFonts w:ascii="Wingdings" w:hAnsi="Wingdings" w:eastAsia="Wingdings" w:cs="Wingdings"/>
                    <w:color w:val="E98E31"/>
                    <w:highlight w:val="yellow"/>
                    <w:lang w:val="en-GB"/>
                  </w:rPr>
                  <w:t>Ø</w:t>
                </w:r>
                <w:r w:rsidRPr="007B541C">
                  <w:rPr>
                    <w:rFonts w:eastAsia="MS PGothic" w:cs="Times New Roman"/>
                    <w:color w:val="E98E31"/>
                    <w:highlight w:val="yellow"/>
                    <w:lang w:val="en-GB"/>
                  </w:rPr>
                  <w:t>O</w:t>
                </w:r>
                <w:r w:rsidRPr="00DC3BF4">
                  <w:rPr>
                    <w:color w:val="E98E31" w:themeColor="background2"/>
                    <w:spacing w:val="-1"/>
                  </w:rPr>
                  <w:t xml:space="preserve"> </w:t>
                </w:r>
              </w:p>
              <w:p w:rsidRPr="00DB2E78" w:rsidR="00B43E07" w:rsidP="00721D07" w:rsidRDefault="00A81586" w14:paraId="6E80AD78" w14:textId="12AA2587">
                <w:pPr>
                  <w:pStyle w:val="Contenttitle"/>
                </w:pPr>
                <w:r w:rsidRPr="00DB2E78">
                  <w:t xml:space="preserve">Obecné pokyny </w:t>
                </w:r>
              </w:p>
            </w:tc>
          </w:tr>
          <w:tr w:rsidRPr="00DB2E78" w:rsidR="00B43E07" w:rsidTr="00993B1E" w14:paraId="15A7E3AC" w14:textId="77777777">
            <w:tc>
              <w:tcPr>
                <w:tcW w:w="8781" w:type="dxa"/>
                <w:tcMar>
                  <w:left w:w="0" w:type="dxa"/>
                  <w:right w:w="0" w:type="dxa"/>
                </w:tcMar>
                <w:vAlign w:val="top"/>
              </w:tcPr>
              <w:p w:rsidRPr="00962DC4" w:rsidR="00B43E07" w:rsidP="00E410F0" w:rsidRDefault="00B43E07" w14:paraId="0720F01B" w14:textId="502EF582">
                <w:pPr>
                  <w:pStyle w:val="Titlelevel4"/>
                  <w:rPr>
                    <w:lang w:val="cs-CZ"/>
                  </w:rPr>
                </w:pPr>
                <w:r w:rsidRPr="00962DC4">
                  <w:rPr>
                    <w:rFonts w:asciiTheme="majorHAnsi" w:hAnsiTheme="majorHAnsi"/>
                    <w:bCs/>
                    <w:color w:val="2F5773" w:themeColor="text2"/>
                    <w:sz w:val="52"/>
                    <w:szCs w:val="52"/>
                    <w:lang w:val="cs-CZ"/>
                  </w:rPr>
                  <w:t>k upřesnění a zveřejňování ukazatelů systémového významu</w:t>
                </w:r>
              </w:p>
            </w:tc>
          </w:tr>
        </w:tbl>
        <w:p w:rsidRPr="006C7018" w:rsidR="00B43E07" w:rsidP="00B43E07" w:rsidRDefault="00B43E07" w14:paraId="41F2A21B" w14:textId="77777777">
          <w:pPr>
            <w:rPr>
              <w:sz w:val="52"/>
              <w:szCs w:val="52"/>
            </w:rPr>
          </w:pPr>
        </w:p>
        <w:p w:rsidRPr="006C7018" w:rsidR="00B43E07" w:rsidP="00B43E07" w:rsidRDefault="00B43E07" w14:paraId="1441AC18" w14:textId="5341DE6E">
          <w:pPr>
            <w:rPr>
              <w:sz w:val="52"/>
              <w:szCs w:val="52"/>
            </w:rPr>
          </w:pPr>
        </w:p>
        <w:p w:rsidRPr="006C7018" w:rsidR="006C7018" w:rsidP="00B43E07" w:rsidRDefault="006C7018" w14:paraId="20FF1581" w14:textId="74E8ACC8">
          <w:pPr>
            <w:rPr>
              <w:sz w:val="52"/>
              <w:szCs w:val="52"/>
            </w:rPr>
          </w:pPr>
        </w:p>
        <w:p w:rsidRPr="006C7018" w:rsidR="006C7018" w:rsidP="00B43E07" w:rsidRDefault="006C7018" w14:paraId="1D397A55" w14:textId="4116C427">
          <w:pPr>
            <w:rPr>
              <w:sz w:val="52"/>
              <w:szCs w:val="52"/>
            </w:rPr>
          </w:pPr>
        </w:p>
        <w:p w:rsidR="006C7018" w:rsidP="00B43E07" w:rsidRDefault="006C7018" w14:paraId="216FEBA1" w14:textId="5DAF42B3"/>
        <w:tbl>
          <w:tblPr>
            <w:tblStyle w:val="EBAtable"/>
            <w:tblW w:w="9125" w:type="dxa"/>
            <w:tblLook w:val="04A0" w:firstRow="1" w:lastRow="0" w:firstColumn="1" w:lastColumn="0" w:noHBand="0" w:noVBand="1"/>
          </w:tblPr>
          <w:tblGrid>
            <w:gridCol w:w="824"/>
            <w:gridCol w:w="2190"/>
            <w:gridCol w:w="6111"/>
          </w:tblGrid>
          <w:tr w:rsidRPr="00D13DB3" w:rsidR="006C7018" w:rsidTr="005D18C0" w14:paraId="1903666B" w14:textId="77777777">
            <w:trPr>
              <w:cnfStyle w:val="100000000000" w:firstRow="1" w:lastRow="0" w:firstColumn="0" w:lastColumn="0" w:oddVBand="0" w:evenVBand="0" w:oddHBand="0" w:evenHBand="0" w:firstRowFirstColumn="0" w:firstRowLastColumn="0" w:lastRowFirstColumn="0" w:lastRowLastColumn="0"/>
              <w:trHeight w:val="300"/>
            </w:trPr>
            <w:tc>
              <w:tcPr>
                <w:tcW w:w="3014" w:type="dxa"/>
                <w:gridSpan w:val="2"/>
                <w:tcBorders>
                  <w:top w:val="single" w:color="auto" w:sz="12" w:space="0"/>
                  <w:left w:val="single" w:color="auto" w:sz="12" w:space="0"/>
                </w:tcBorders>
              </w:tcPr>
              <w:p w:rsidRPr="00D13DB3" w:rsidR="006C7018" w:rsidP="005D18C0" w:rsidRDefault="006C7018" w14:paraId="76F9451B" w14:textId="77777777">
                <w:pPr>
                  <w:spacing w:before="240" w:after="120" w:line="276" w:lineRule="auto"/>
                  <w:jc w:val="both"/>
                  <w:rPr>
                    <w:rFonts w:eastAsia="MS PGothic" w:cs="Times New Roman"/>
                    <w:lang w:eastAsia="en-GB"/>
                  </w:rPr>
                </w:pPr>
              </w:p>
              <w:p w:rsidRPr="00D13DB3" w:rsidR="006C7018" w:rsidP="005D18C0" w:rsidRDefault="006C7018" w14:paraId="53DD25B4" w14:textId="77777777">
                <w:pPr>
                  <w:rPr>
                    <w:rFonts w:eastAsia="MS PGothic" w:cs="Times New Roman"/>
                    <w:lang w:val="en-GB" w:eastAsia="en-GB"/>
                  </w:rPr>
                </w:pPr>
              </w:p>
            </w:tc>
            <w:tc>
              <w:tcPr>
                <w:tcW w:w="6111" w:type="dxa"/>
                <w:tcBorders>
                  <w:top w:val="single" w:color="auto" w:sz="12" w:space="0"/>
                  <w:right w:val="single" w:color="auto" w:sz="12" w:space="0"/>
                </w:tcBorders>
              </w:tcPr>
              <w:p w:rsidRPr="006C7018" w:rsidR="006C7018" w:rsidP="006C7018" w:rsidRDefault="006C7018" w14:paraId="65FC3ED5" w14:textId="6448A7BF">
                <w:pPr>
                  <w:rPr>
                    <w:rFonts w:ascii="Calibri" w:hAnsi="Calibri" w:cs="Calibri"/>
                    <w:color w:val="000000"/>
                    <w:szCs w:val="22"/>
                  </w:rPr>
                </w:pPr>
                <w:r>
                  <w:rPr>
                    <w:rFonts w:ascii="Calibri" w:hAnsi="Calibri" w:cs="Calibri"/>
                    <w:color w:val="000000"/>
                    <w:szCs w:val="22"/>
                  </w:rPr>
                  <w:t>Datum použitelnosti</w:t>
                </w:r>
              </w:p>
            </w:tc>
          </w:tr>
          <w:tr w:rsidRPr="00D13DB3" w:rsidR="006C7018" w:rsidTr="005D18C0" w14:paraId="325F2D4D" w14:textId="77777777">
            <w:trPr>
              <w:trHeight w:val="300"/>
            </w:trPr>
            <w:tc>
              <w:tcPr>
                <w:tcW w:w="3014" w:type="dxa"/>
                <w:gridSpan w:val="2"/>
                <w:tcBorders>
                  <w:left w:val="single" w:color="auto" w:sz="12" w:space="0"/>
                </w:tcBorders>
              </w:tcPr>
              <w:p w:rsidRPr="00D13DB3" w:rsidR="006C7018" w:rsidP="005D18C0" w:rsidRDefault="006C7018" w14:paraId="327CE612" w14:textId="77777777">
                <w:pPr>
                  <w:rPr>
                    <w:rFonts w:eastAsia="MS PGothic" w:cs="Times New Roman"/>
                    <w:lang w:val="en-GB" w:eastAsia="en-GB"/>
                  </w:rPr>
                </w:pPr>
                <w:r w:rsidRPr="007B541C">
                  <w:rPr>
                    <w:rFonts w:ascii="Wingdings" w:hAnsi="Wingdings" w:eastAsia="Wingdings" w:cs="Wingdings"/>
                    <w:color w:val="E98E31"/>
                    <w:highlight w:val="yellow"/>
                    <w:lang w:val="en-GB" w:eastAsia="en-GB"/>
                  </w:rPr>
                  <w:t>Ø</w:t>
                </w:r>
                <w:r w:rsidRPr="007B541C">
                  <w:rPr>
                    <w:rFonts w:eastAsia="MS PGothic" w:cs="Times New Roman"/>
                    <w:color w:val="E98E31"/>
                    <w:highlight w:val="yellow"/>
                    <w:lang w:val="en-GB" w:eastAsia="en-GB"/>
                  </w:rPr>
                  <w:t>O</w:t>
                </w:r>
              </w:p>
            </w:tc>
            <w:tc>
              <w:tcPr>
                <w:tcW w:w="6111" w:type="dxa"/>
                <w:tcBorders>
                  <w:right w:val="single" w:color="auto" w:sz="12" w:space="0"/>
                </w:tcBorders>
              </w:tcPr>
              <w:p w:rsidRPr="00D13DB3" w:rsidR="006C7018" w:rsidP="005D18C0" w:rsidRDefault="006C7018" w14:paraId="7C931A26" w14:textId="77777777">
                <w:pPr>
                  <w:rPr>
                    <w:rFonts w:eastAsia="MS PGothic" w:cs="Times New Roman"/>
                    <w:lang w:val="en-GB" w:eastAsia="en-GB"/>
                  </w:rPr>
                </w:pPr>
                <w:r>
                  <w:rPr>
                    <w:rFonts w:eastAsia="MS PGothic" w:cs="Times New Roman"/>
                    <w:lang w:val="en-GB" w:eastAsia="en-GB"/>
                  </w:rPr>
                  <w:t>04</w:t>
                </w:r>
                <w:r w:rsidRPr="00D13DB3">
                  <w:rPr>
                    <w:rFonts w:eastAsia="MS PGothic" w:cs="Times New Roman"/>
                    <w:lang w:val="en-GB" w:eastAsia="en-GB"/>
                  </w:rPr>
                  <w:t>.</w:t>
                </w:r>
                <w:r>
                  <w:rPr>
                    <w:rFonts w:eastAsia="MS PGothic" w:cs="Times New Roman"/>
                    <w:lang w:val="en-GB" w:eastAsia="en-GB"/>
                  </w:rPr>
                  <w:t>11</w:t>
                </w:r>
                <w:r w:rsidRPr="00D13DB3">
                  <w:rPr>
                    <w:rFonts w:eastAsia="MS PGothic" w:cs="Times New Roman"/>
                    <w:lang w:val="en-GB" w:eastAsia="en-GB"/>
                  </w:rPr>
                  <w:t>.</w:t>
                </w:r>
                <w:r>
                  <w:rPr>
                    <w:rFonts w:eastAsia="MS PGothic" w:cs="Times New Roman"/>
                    <w:lang w:val="en-GB" w:eastAsia="en-GB"/>
                  </w:rPr>
                  <w:t>2020</w:t>
                </w:r>
              </w:p>
            </w:tc>
          </w:tr>
          <w:tr w:rsidRPr="00D13DB3" w:rsidR="006C7018" w:rsidTr="005D18C0" w14:paraId="730DC2AC" w14:textId="77777777">
            <w:trPr>
              <w:trHeight w:val="300"/>
            </w:trPr>
            <w:tc>
              <w:tcPr>
                <w:tcW w:w="3014" w:type="dxa"/>
                <w:gridSpan w:val="2"/>
                <w:tcBorders>
                  <w:left w:val="single" w:color="auto" w:sz="12" w:space="0"/>
                </w:tcBorders>
              </w:tcPr>
              <w:p w:rsidRPr="006C7018" w:rsidR="006C7018" w:rsidP="006C7018" w:rsidRDefault="006C7018" w14:paraId="0859A271" w14:textId="117DC467">
                <w:pPr>
                  <w:rPr>
                    <w:rFonts w:ascii="Calibri" w:hAnsi="Calibri" w:cs="Calibri"/>
                    <w:color w:val="000000"/>
                    <w:szCs w:val="22"/>
                  </w:rPr>
                </w:pPr>
                <w:r>
                  <w:rPr>
                    <w:rFonts w:ascii="Calibri" w:hAnsi="Calibri" w:cs="Calibri"/>
                    <w:color w:val="000000"/>
                    <w:szCs w:val="22"/>
                  </w:rPr>
                  <w:t>ve znění:</w:t>
                </w:r>
              </w:p>
            </w:tc>
            <w:tc>
              <w:tcPr>
                <w:tcW w:w="6111" w:type="dxa"/>
                <w:tcBorders>
                  <w:right w:val="single" w:color="auto" w:sz="12" w:space="0"/>
                </w:tcBorders>
              </w:tcPr>
              <w:p w:rsidRPr="00D13DB3" w:rsidR="006C7018" w:rsidP="005D18C0" w:rsidRDefault="006C7018" w14:paraId="71B976C1" w14:textId="77777777">
                <w:pPr>
                  <w:rPr>
                    <w:rFonts w:eastAsia="MS PGothic" w:cs="Times New Roman"/>
                    <w:lang w:val="en-GB" w:eastAsia="en-GB"/>
                  </w:rPr>
                </w:pPr>
              </w:p>
            </w:tc>
          </w:tr>
          <w:tr w:rsidRPr="00D13DB3" w:rsidR="006C7018" w:rsidTr="005D18C0" w14:paraId="731CDC3A" w14:textId="77777777">
            <w:trPr>
              <w:trHeight w:val="58"/>
            </w:trPr>
            <w:tc>
              <w:tcPr>
                <w:tcW w:w="824" w:type="dxa"/>
                <w:tcBorders>
                  <w:left w:val="single" w:color="auto" w:sz="12" w:space="0"/>
                  <w:bottom w:val="single" w:color="auto" w:sz="12" w:space="0"/>
                </w:tcBorders>
              </w:tcPr>
              <w:p w:rsidRPr="00D13DB3" w:rsidR="006C7018" w:rsidP="005D18C0" w:rsidRDefault="006C7018" w14:paraId="71F2245C" w14:textId="77777777">
                <w:pPr>
                  <w:rPr>
                    <w:rFonts w:eastAsia="MS PGothic" w:cs="Times New Roman"/>
                    <w:color w:val="E98E31"/>
                    <w:lang w:val="en-GB" w:eastAsia="en-GB"/>
                  </w:rPr>
                </w:pPr>
                <w:r w:rsidRPr="007B541C">
                  <w:rPr>
                    <w:rFonts w:ascii="Wingdings" w:hAnsi="Wingdings" w:eastAsia="Wingdings" w:cs="Wingdings"/>
                    <w:color w:val="E98E31"/>
                    <w:highlight w:val="green"/>
                    <w:lang w:val="en-GB" w:eastAsia="en-GB"/>
                  </w:rPr>
                  <w:t>Ø</w:t>
                </w:r>
                <w:r w:rsidRPr="007B541C">
                  <w:rPr>
                    <w:rFonts w:eastAsia="Wingdings" w:cs="Wingdings"/>
                    <w:color w:val="E98E31"/>
                    <w:highlight w:val="green"/>
                    <w:lang w:val="en-GB" w:eastAsia="en-GB"/>
                  </w:rPr>
                  <w:t>A1</w:t>
                </w:r>
              </w:p>
            </w:tc>
            <w:tc>
              <w:tcPr>
                <w:tcW w:w="2190" w:type="dxa"/>
                <w:tcBorders>
                  <w:bottom w:val="single" w:color="auto" w:sz="12" w:space="0"/>
                </w:tcBorders>
              </w:tcPr>
              <w:p w:rsidRPr="00D13DB3" w:rsidR="006C7018" w:rsidP="005D18C0" w:rsidRDefault="006C7018" w14:paraId="7169E291" w14:textId="77777777">
                <w:pPr>
                  <w:rPr>
                    <w:rFonts w:eastAsia="MS PGothic" w:cs="Times New Roman"/>
                  </w:rPr>
                </w:pPr>
                <w:r w:rsidRPr="00D13DB3">
                  <w:rPr>
                    <w:rFonts w:eastAsia="MS PGothic" w:cs="Times New Roman"/>
                  </w:rPr>
                  <w:t>EBA/GL</w:t>
                </w:r>
                <w:r w:rsidRPr="005261FC">
                  <w:t>/2023/10</w:t>
                </w:r>
              </w:p>
            </w:tc>
            <w:tc>
              <w:tcPr>
                <w:tcW w:w="6111" w:type="dxa"/>
                <w:tcBorders>
                  <w:bottom w:val="single" w:color="auto" w:sz="12" w:space="0"/>
                  <w:right w:val="single" w:color="auto" w:sz="12" w:space="0"/>
                </w:tcBorders>
              </w:tcPr>
              <w:p w:rsidRPr="00D13DB3" w:rsidR="006C7018" w:rsidP="005D18C0" w:rsidRDefault="006C7018" w14:paraId="0625CC57" w14:textId="77777777">
                <w:pPr>
                  <w:rPr>
                    <w:rFonts w:eastAsia="MS PGothic" w:cs="Times New Roman"/>
                    <w:lang w:val="en-GB" w:eastAsia="en-GB"/>
                  </w:rPr>
                </w:pPr>
              </w:p>
            </w:tc>
          </w:tr>
        </w:tbl>
        <w:p w:rsidRPr="00DB2E78" w:rsidR="006C7018" w:rsidP="00B43E07" w:rsidRDefault="006C7018" w14:paraId="279EA43F" w14:textId="77777777"/>
        <w:p w:rsidRPr="00DB2E78" w:rsidR="00B43E07" w:rsidP="00B43E07" w:rsidRDefault="00B43E07" w14:paraId="3673D6BB" w14:textId="77777777">
          <w:r w:rsidRPr="00DB2E78">
            <w:br w:type="page"/>
          </w:r>
        </w:p>
      </w:sdtContent>
    </w:sdt>
    <w:p w:rsidRPr="00DB2E78" w:rsidR="00B43E07" w:rsidP="00CE3517" w:rsidRDefault="00B43E07" w14:paraId="72D6F5BF" w14:textId="77777777">
      <w:pPr>
        <w:pStyle w:val="Numberedtilelevel1"/>
        <w:numPr>
          <w:ilvl w:val="0"/>
          <w:numId w:val="34"/>
        </w:numPr>
      </w:pPr>
      <w:r w:rsidRPr="00DB2E78">
        <w:lastRenderedPageBreak/>
        <w:t>Povinnost dodržování pokynů a oznamovací povinnost</w:t>
      </w:r>
    </w:p>
    <w:p w:rsidRPr="00DB2E78" w:rsidR="00B43E07" w:rsidP="00B43E07" w:rsidRDefault="00B43E07" w14:paraId="3B9E826E" w14:textId="5EE3EC56">
      <w:pPr>
        <w:pStyle w:val="Titlelevel2"/>
      </w:pPr>
      <w:r w:rsidRPr="00DB2E78">
        <w:t>Status těchto obecných pokynů</w:t>
      </w:r>
    </w:p>
    <w:p w:rsidRPr="00DB2E78" w:rsidR="00B43E07" w:rsidP="00B43E07" w:rsidRDefault="00B43E07" w14:paraId="4AFE96B1" w14:textId="13B187BE">
      <w:pPr>
        <w:pStyle w:val="body"/>
        <w:numPr>
          <w:ilvl w:val="0"/>
          <w:numId w:val="28"/>
        </w:numPr>
      </w:pPr>
      <w:r w:rsidRPr="00DB2E78">
        <w:t>Tento dokument obsahuje obecné pokyny vydané podle článku 16 nařízení Evropského parlamentu a Rady (EU) č. 1093/2010.</w:t>
      </w:r>
      <w:r w:rsidRPr="00DB2E78">
        <w:rPr>
          <w:rStyle w:val="FootnoteReference"/>
          <w:lang w:val="en-GB"/>
        </w:rPr>
        <w:footnoteReference w:id="2"/>
      </w:r>
      <w:r w:rsidRPr="00DB2E78">
        <w:t xml:space="preserve"> V souladu s čl. 16 odst. 3 nařízení Evropského parlamentu a Rady (EU) č. 1093/2010 příslušné orgány a finanční instituce vynaloží veškeré úsilí, aby se těmito obecnými pokyny řídily.</w:t>
      </w:r>
    </w:p>
    <w:p w:rsidRPr="00DB2E78" w:rsidR="00B43E07" w:rsidP="00B43E07" w:rsidRDefault="00B43E07" w14:paraId="23E7F140" w14:textId="591D7378">
      <w:pPr>
        <w:pStyle w:val="body"/>
        <w:numPr>
          <w:ilvl w:val="0"/>
          <w:numId w:val="28"/>
        </w:numPr>
      </w:pPr>
      <w:r w:rsidRPr="00DB2E78">
        <w:t>Obecné pokyny formulují názor orgánu EBA na náležité postupy dohledu v rámci Evropského systému dohledu nad finančním trhem nebo na to, jak by unijní právní předpisy měly být uplatňovány v konkrétní oblasti. Příslušné orgány ve smyslu čl. 4 odst. 2 nařízení (EU) č. 1093/2010, na které se tyto obecné pokyny vztahují, by se jimi měly řídit a začlenit je do svých postupů (např. pozměněním svého právního rámce nebo dohledových postupů), včetně případů, kdy jsou obecné pokyny zaměřeny v prvé řadě na instituce.</w:t>
      </w:r>
    </w:p>
    <w:p w:rsidRPr="00DB2E78" w:rsidR="00B43E07" w:rsidP="00B43E07" w:rsidRDefault="00B43E07" w14:paraId="141EDBC6" w14:textId="77777777">
      <w:pPr>
        <w:pStyle w:val="Titlelevel2"/>
      </w:pPr>
      <w:r w:rsidRPr="00DB2E78">
        <w:t>Oznamovací povinnost</w:t>
      </w:r>
    </w:p>
    <w:p w:rsidRPr="00DB2E78" w:rsidR="00B43E07" w:rsidP="00B43E07" w:rsidRDefault="00236329" w14:paraId="7EE20541" w14:textId="38C91B88">
      <w:pPr>
        <w:pStyle w:val="body"/>
        <w:numPr>
          <w:ilvl w:val="0"/>
          <w:numId w:val="28"/>
        </w:numPr>
      </w:pPr>
      <w:r w:rsidRPr="00DB2E78">
        <w:t>V souladu s čl. 16 odst. 3 nařízení (EU) č. 1093/2010 musí příslušné orgány do (</w:t>
      </w:r>
      <w:r w:rsidR="007A748F">
        <w:t>16.02.2021</w:t>
      </w:r>
      <w:r w:rsidRPr="00DB2E78">
        <w:t>) orgánu EBA oznámit, zda se těmito obecnými pokyny řídí nebo hodlají řídit, a v opačném případě uvést do tohoto data důvody, proč se jimi neřídí či nehodlají řídit. Neposkytnou-li příslušné orgány oznámení v této lhůtě, bude mít orgán EBA za to, že se těmito obecnými pokyny neřídí nebo nehodlají řídit. Oznámení by měla být zaslána na formuláři, který je k dispozici na internetových stránkách orgánu EBA, s označením „EBA/GL/2020/14“. Oznámení by měly předkládat osoby řádně oprávněné jménem svého příslušného orgánu oznamovat, zda se těmito doporučeními řídí či nikoli. Jakoukoli změnu stavu dodržování pokynů je rovněž nutno oznámit orgánu EBA.</w:t>
      </w:r>
    </w:p>
    <w:p w:rsidRPr="00DB2E78" w:rsidR="00B43E07" w:rsidP="00B43E07" w:rsidRDefault="00B43E07" w14:paraId="3FF09602" w14:textId="563622BD">
      <w:pPr>
        <w:pStyle w:val="body"/>
        <w:numPr>
          <w:ilvl w:val="0"/>
          <w:numId w:val="28"/>
        </w:numPr>
      </w:pPr>
      <w:r w:rsidRPr="00DB2E78">
        <w:t>Oznámení budou zveřejněna na internetových stránkách orgánu EBA v souladu s čl. 16 odst. 3.</w:t>
      </w:r>
    </w:p>
    <w:p w:rsidRPr="00DB2E78" w:rsidR="00B43E07" w:rsidP="00B43E07" w:rsidRDefault="00B43E07" w14:paraId="0BB7AD43" w14:textId="77777777">
      <w:pPr>
        <w:pStyle w:val="Titlelevel2"/>
      </w:pPr>
      <w:r w:rsidRPr="00DB2E78">
        <w:br w:type="page"/>
      </w:r>
    </w:p>
    <w:p w:rsidRPr="00DB2E78" w:rsidR="00B43E07" w:rsidP="00CE3517" w:rsidRDefault="00B43E07" w14:paraId="207E9159" w14:textId="77777777">
      <w:pPr>
        <w:pStyle w:val="Numberedtilelevel1"/>
      </w:pPr>
      <w:r w:rsidRPr="00DB2E78">
        <w:lastRenderedPageBreak/>
        <w:t>Předmět, oblast působnosti a definice</w:t>
      </w:r>
    </w:p>
    <w:p w:rsidRPr="00DB2E78" w:rsidR="00B43E07" w:rsidP="00B43E07" w:rsidRDefault="00B43E07" w14:paraId="329ACB0A" w14:textId="77777777">
      <w:pPr>
        <w:pStyle w:val="Titlelevel2"/>
      </w:pPr>
      <w:r w:rsidRPr="00DB2E78">
        <w:t>Předmět</w:t>
      </w:r>
    </w:p>
    <w:p w:rsidRPr="00DB2E78" w:rsidR="00DE0FE1" w:rsidP="00DE0FE1" w:rsidRDefault="00DE0FE1" w14:paraId="667A5E79" w14:textId="75DF9FF9">
      <w:pPr>
        <w:pStyle w:val="body"/>
        <w:numPr>
          <w:ilvl w:val="0"/>
          <w:numId w:val="28"/>
        </w:numPr>
      </w:pPr>
      <w:r w:rsidRPr="00DB2E78">
        <w:t>Tyto obecné pokyny se týkají:</w:t>
      </w:r>
    </w:p>
    <w:p w:rsidRPr="00DB2E78" w:rsidR="00DE0FE1" w:rsidP="00DE0FE1" w:rsidRDefault="00DE0FE1" w14:paraId="7F872996" w14:textId="017F20C9">
      <w:pPr>
        <w:pStyle w:val="body"/>
        <w:numPr>
          <w:ilvl w:val="1"/>
          <w:numId w:val="35"/>
        </w:numPr>
      </w:pPr>
      <w:r w:rsidRPr="00DB2E78">
        <w:t>upřesnění ukazatelů používaných k určování globálních systémově významných institucí (G-SVI) v souladu s nařízením (EU) č. 1222/2014 (dále jen „ukazatele“); a</w:t>
      </w:r>
    </w:p>
    <w:p w:rsidRPr="00DB2E78" w:rsidR="00B43E07" w:rsidP="00DE0FE1" w:rsidRDefault="00DE0FE1" w14:paraId="776C11F3" w14:textId="58E74370">
      <w:pPr>
        <w:pStyle w:val="body"/>
        <w:numPr>
          <w:ilvl w:val="1"/>
          <w:numId w:val="35"/>
        </w:numPr>
      </w:pPr>
      <w:r w:rsidRPr="00DB2E78">
        <w:t>vykazování základních údajů (ukazatelů, přidružených údajů a doplňkových (memo) položek) a každoročního zveřejňování výsledných hodnot ukazatelů používaných k určování globálních systémově významných institucí.</w:t>
      </w:r>
    </w:p>
    <w:p w:rsidRPr="00DB2E78" w:rsidR="00B43E07" w:rsidP="00B43E07" w:rsidRDefault="00B43E07" w14:paraId="07F996E2" w14:textId="77777777">
      <w:pPr>
        <w:pStyle w:val="Titlelevel2"/>
      </w:pPr>
      <w:r w:rsidRPr="00DB2E78">
        <w:t>Oblast působnosti</w:t>
      </w:r>
    </w:p>
    <w:p w:rsidRPr="00DB2E78" w:rsidR="00DE0FE1" w:rsidP="00B43E07" w:rsidRDefault="00B43E07" w14:paraId="71B629CF" w14:textId="05197A71">
      <w:pPr>
        <w:pStyle w:val="body"/>
        <w:numPr>
          <w:ilvl w:val="0"/>
          <w:numId w:val="28"/>
        </w:numPr>
      </w:pPr>
      <w:r w:rsidRPr="00DB2E78">
        <w:t>Tyto obecné pokyny se vztahují na:</w:t>
      </w:r>
    </w:p>
    <w:p w:rsidRPr="00DB2E78" w:rsidR="00DE0FE1" w:rsidP="00DE0FE1" w:rsidRDefault="000F3C24" w14:paraId="73EAD676" w14:textId="3140197F">
      <w:pPr>
        <w:pStyle w:val="body"/>
        <w:numPr>
          <w:ilvl w:val="0"/>
          <w:numId w:val="36"/>
        </w:numPr>
      </w:pPr>
      <w:r w:rsidRPr="00DB2E78">
        <w:t>skupiny vedené mateřskou institucí v EU, mateřskou finanční holdingovou společností v EU nebo mateřskou smíšenou finanční holdingovou společností v EU a</w:t>
      </w:r>
    </w:p>
    <w:p w:rsidRPr="00DB2E78" w:rsidR="00B43E07" w:rsidP="00DE0FE1" w:rsidRDefault="00DE0FE1" w14:paraId="0D1E1C78" w14:textId="031EF3C2">
      <w:pPr>
        <w:pStyle w:val="body"/>
        <w:numPr>
          <w:ilvl w:val="0"/>
          <w:numId w:val="36"/>
        </w:numPr>
      </w:pPr>
      <w:r w:rsidRPr="00DB2E78">
        <w:t>instituce, které nejsou dceřinými podniky mateřské instituce v EU, mateřské finanční holdingové společnosti v EU nebo mateřské smíšené finanční holdingové společnosti v EU,</w:t>
      </w:r>
    </w:p>
    <w:p w:rsidRPr="00DB2E78" w:rsidR="00B43E07" w:rsidP="00DE0FE1" w:rsidRDefault="003A2221" w14:paraId="5736DC31" w14:textId="54A8D23B">
      <w:pPr>
        <w:pStyle w:val="body"/>
      </w:pPr>
      <w:r w:rsidRPr="00DB2E78">
        <w:t>které zjistí, že na konsolidovaném nebo individuálním základě (a po započtení pojišťovacích dceřiných společností) překračují ukazatel expozice pro účely pákového poměru ve výši 200 miliard EUR s použitím odpovídajícího měnového kurzu, jenž zohledňuje referenční měnový kurz zveřejněný Evropskou centrální bankou platný na konci účetního období a mezinárodní normy (dále jen „dotčené subjekty“).</w:t>
      </w:r>
    </w:p>
    <w:p w:rsidRPr="00DB2E78" w:rsidR="00B43E07" w:rsidP="00B43E07" w:rsidRDefault="00B43E07" w14:paraId="6EAA3145" w14:textId="77777777">
      <w:pPr>
        <w:pStyle w:val="Titlelevel2"/>
      </w:pPr>
      <w:r w:rsidRPr="00DB2E78">
        <w:t>Adresáti</w:t>
      </w:r>
    </w:p>
    <w:p w:rsidRPr="00DB2E78" w:rsidR="00B43E07" w:rsidP="00DE0FE1" w:rsidRDefault="00DE0FE1" w14:paraId="12310C5F" w14:textId="42F50B99">
      <w:pPr>
        <w:pStyle w:val="body"/>
        <w:numPr>
          <w:ilvl w:val="0"/>
          <w:numId w:val="28"/>
        </w:numPr>
      </w:pPr>
      <w:r w:rsidRPr="00DB2E78">
        <w:t>Tyto obecné pokyny jsou určeny příslušným orgánům podle čl. 4 odst. 2 bodu i) nařízení (EU) č. 1093/2010 a finančním institucím. na které se tyto obecné pokyny vztahují. Určeným orgánům uvedeným v čl. 131 odst. 1 směrnice 2013/36/EU, které nejsou příslušnými orgány, se používání těchto obecných pokynů doporučuje. Příslušné i určené orgány jsou v těchto obecných pokynech označovány jako „relevantní orgány“.</w:t>
      </w:r>
    </w:p>
    <w:p w:rsidRPr="00DB2E78" w:rsidR="00DE0FE1" w:rsidP="00DE0FE1" w:rsidRDefault="00DE0FE1" w14:paraId="52A8B3D5" w14:textId="77777777">
      <w:pPr>
        <w:pStyle w:val="ListParagraph"/>
        <w:numPr>
          <w:ilvl w:val="0"/>
          <w:numId w:val="28"/>
        </w:numPr>
      </w:pPr>
      <w:r w:rsidRPr="00DB2E78">
        <w:br w:type="page"/>
      </w:r>
    </w:p>
    <w:p w:rsidRPr="00DB2E78" w:rsidR="00B43E07" w:rsidP="00CE3517" w:rsidRDefault="00B43E07" w14:paraId="25D099DB" w14:textId="77777777">
      <w:pPr>
        <w:pStyle w:val="Numberedtilelevel1"/>
      </w:pPr>
      <w:r w:rsidRPr="00DB2E78">
        <w:lastRenderedPageBreak/>
        <w:t>Provádění</w:t>
      </w:r>
    </w:p>
    <w:p w:rsidRPr="00DB2E78" w:rsidR="00B43E07" w:rsidP="00B43E07" w:rsidRDefault="00B43E07" w14:paraId="4EAB2FB0" w14:textId="77777777">
      <w:pPr>
        <w:pStyle w:val="Titlelevel2"/>
      </w:pPr>
      <w:r w:rsidRPr="00DB2E78">
        <w:t>Datum použití</w:t>
      </w:r>
    </w:p>
    <w:p w:rsidRPr="00DB2E78" w:rsidR="00B43E07" w:rsidP="00DE0FE1" w:rsidRDefault="00DE0FE1" w14:paraId="18515792" w14:textId="17F135D7">
      <w:pPr>
        <w:pStyle w:val="body"/>
        <w:numPr>
          <w:ilvl w:val="0"/>
          <w:numId w:val="38"/>
        </w:numPr>
      </w:pPr>
      <w:r w:rsidRPr="00DB2E78">
        <w:t>Tyto obecné pokyny se použijí od</w:t>
      </w:r>
      <w:r w:rsidR="007A748F">
        <w:t xml:space="preserve"> 16.12.2020.</w:t>
      </w:r>
    </w:p>
    <w:p w:rsidRPr="00DB2E78" w:rsidR="00B43E07" w:rsidP="00B43E07" w:rsidRDefault="00B43E07" w14:paraId="4AB150AF" w14:textId="64BC8239">
      <w:pPr>
        <w:pStyle w:val="Titlelevel2"/>
      </w:pPr>
      <w:r w:rsidRPr="00DB2E78">
        <w:t>Zrušení</w:t>
      </w:r>
    </w:p>
    <w:p w:rsidRPr="00DB2E78" w:rsidR="00B43E07" w:rsidP="00A41338" w:rsidRDefault="00BD1538" w14:paraId="0F71334D" w14:textId="4DCAC658">
      <w:r w:rsidRPr="00DB2E78">
        <w:t>Tímto se ruší revidované obecné pokyny k dalšímu upřesnění ukazatelů globálního systémového významu a jejich zveřejňování ze dne 29. února 2016 (EBA/GL/2016/01).</w:t>
      </w:r>
    </w:p>
    <w:p w:rsidRPr="00DB2E78" w:rsidR="00BD1538" w:rsidP="00B43E07" w:rsidRDefault="00BD1538" w14:paraId="30F30A96" w14:textId="77777777">
      <w:pPr>
        <w:pStyle w:val="body"/>
        <w:sectPr w:rsidRPr="00DB2E78" w:rsidR="00BD1538" w:rsidSect="000F33D3">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134" w:left="1701" w:header="709" w:footer="709" w:gutter="0"/>
          <w:cols w:space="708"/>
          <w:docGrid w:linePitch="299"/>
        </w:sectPr>
      </w:pPr>
    </w:p>
    <w:p w:rsidRPr="00DB2E78" w:rsidR="00B43E07" w:rsidP="00BD1538" w:rsidRDefault="00BD1538" w14:paraId="4D344DEC" w14:textId="3CE1317D">
      <w:pPr>
        <w:pStyle w:val="Numberedtilelevel1"/>
        <w:jc w:val="both"/>
      </w:pPr>
      <w:r w:rsidRPr="00DB2E78">
        <w:lastRenderedPageBreak/>
        <w:t>Upřesnění základních údajů a ukazatelů používaných k určování globálních systémově významných institucí</w:t>
      </w:r>
    </w:p>
    <w:p w:rsidRPr="00825614" w:rsidR="00825614" w:rsidP="00825614" w:rsidRDefault="00825614" w14:paraId="5FDFA78C" w14:textId="222B919C">
      <w:pPr>
        <w:pStyle w:val="body"/>
      </w:pPr>
      <w:r w:rsidRPr="007B541C">
        <w:rPr>
          <w:spacing w:val="-1"/>
          <w:highlight w:val="green"/>
        </w:rPr>
        <w:sym w:font="Wingdings" w:char="F0DA"/>
      </w:r>
      <w:r w:rsidRPr="007B541C">
        <w:rPr>
          <w:spacing w:val="-1"/>
          <w:highlight w:val="green"/>
        </w:rPr>
        <w:t>A1</w:t>
      </w:r>
    </w:p>
    <w:p w:rsidRPr="00DB2E78" w:rsidR="00B43E07" w:rsidP="00F60C16" w:rsidRDefault="00962DC4" w14:paraId="50643877" w14:textId="216CA416">
      <w:pPr>
        <w:pStyle w:val="body"/>
        <w:numPr>
          <w:ilvl w:val="0"/>
          <w:numId w:val="38"/>
        </w:numPr>
      </w:pPr>
      <w:r w:rsidRPr="00BB6030">
        <w:rPr>
          <w:iCs/>
        </w:rPr>
        <w:t>Relevantní orgány a dotčené subjekty by se měly řídit pokyny a upřesněními pro datové položky uvedené v příloze, jak je uvedeno v odkazu nazvaném „Pokyny k podávání zpráv“ na internetových stránkách orgánu EBA v oddíle Globální systémově významné instituce</w:t>
      </w:r>
      <w:r w:rsidRPr="00700100">
        <w:rPr>
          <w:rStyle w:val="FootnoteReference"/>
          <w:i/>
          <w:iCs/>
        </w:rPr>
        <w:footnoteReference w:id="3"/>
      </w:r>
      <w:r w:rsidRPr="00700100">
        <w:rPr>
          <w:i/>
        </w:rPr>
        <w:t>.</w:t>
      </w:r>
    </w:p>
    <w:p w:rsidRPr="00DB2E78" w:rsidR="00B43E07" w:rsidP="00BD1538" w:rsidRDefault="00962DC4" w14:paraId="2FD6FE4E" w14:textId="61B01533">
      <w:pPr>
        <w:pStyle w:val="body"/>
        <w:numPr>
          <w:ilvl w:val="0"/>
          <w:numId w:val="38"/>
        </w:numPr>
      </w:pPr>
      <w:r w:rsidRPr="00BB6030">
        <w:rPr>
          <w:iCs/>
        </w:rPr>
        <w:t>Relevantní orgány by měly použít přidružené údaje (oddíly 15 a 16 v příloze těchto obecných pokynů) na podporu svého posouzení v rámci dohledu v souladu s čl. 131 odst. 10 směrnice č. 2013/36/EU a doplňkové (memo) položky (oddíly 16 až 21 v příloze) ke zlepšení kvality dat a na podporu dalšího zlepšování metodiky identifikace. Doplňkové (memo) položky by měly být v případě potřeby doplněny podrobnými komentáři dotčených subjektů o kvalitě dat a dostupnosti</w:t>
      </w:r>
      <w:r w:rsidRPr="00700100">
        <w:rPr>
          <w:i/>
        </w:rPr>
        <w:t>.</w:t>
      </w:r>
    </w:p>
    <w:p w:rsidR="006676B6" w:rsidP="00085F23" w:rsidRDefault="006676B6" w14:paraId="4AC8314B" w14:textId="50D40562">
      <w:pPr>
        <w:spacing w:line="276" w:lineRule="auto"/>
        <w:ind w:left="426" w:right="-18" w:hanging="425"/>
        <w:jc w:val="both"/>
        <w:sectPr w:rsidR="006676B6" w:rsidSect="00F60C16">
          <w:footnotePr>
            <w:numStart w:val="5"/>
          </w:footnotePr>
          <w:pgSz w:w="11910" w:h="16840"/>
          <w:pgMar w:top="1400" w:right="1278" w:bottom="1140" w:left="1300" w:header="709" w:footer="914" w:gutter="0"/>
          <w:cols w:space="720"/>
        </w:sectPr>
      </w:pPr>
      <w:r>
        <w:t xml:space="preserve">10a. </w:t>
      </w:r>
      <w:r w:rsidRPr="00085F23">
        <w:rPr>
          <w:iCs/>
        </w:rPr>
        <w:t>V souladu s čl. 131 odst. 2 a) směrnice 2013/36/EU, který vyžaduje dodatečnou určovací metodiku, jež vylučuje přeshraniční činnosti v rámci jednotného mechanismu pro řešení krizí (SRM), a v souladu s mezinárodní dohodou Basilejského výboru ze dne 31. května 2022 k zohlednění pokroku dosaženého při rozvoji Evropské bankovní unie by se datové položky relevantní pro výpočet upravených ukazatelů činností napříč jurisdikcemi v rámci SRM, pokud jde o instituce se sídlem v členských státech, které se účastní SRM, měly v rámci metodiky určování a přiřazování podkategorií G-SVI považovat za součást těchto ukazatelů činností napříč jurisdikcemi, a</w:t>
      </w:r>
      <w:r w:rsidR="00085F23">
        <w:rPr>
          <w:iCs/>
        </w:rPr>
        <w:t> </w:t>
      </w:r>
      <w:r w:rsidRPr="00085F23">
        <w:rPr>
          <w:iCs/>
        </w:rPr>
        <w:t>jako takové by měly být zveřejněny v souladu s odstavcem 12, a nikoli za přidružené nebo doplňkové (memo) položky</w:t>
      </w:r>
      <w:r w:rsidRPr="00700100">
        <w:rPr>
          <w:i/>
        </w:rPr>
        <w:t>.</w:t>
      </w:r>
    </w:p>
    <w:p w:rsidRPr="00DB2E78" w:rsidR="00B43E07" w:rsidP="00BD1538" w:rsidRDefault="00BD1538" w14:paraId="6CDBC73A" w14:textId="63126AA5">
      <w:pPr>
        <w:pStyle w:val="Numberedtilelevel1"/>
        <w:jc w:val="both"/>
      </w:pPr>
      <w:r w:rsidRPr="00DB2E78">
        <w:lastRenderedPageBreak/>
        <w:t>Požadavky týkající se vykazování a zveřejňování relevantními institucemi</w:t>
      </w:r>
    </w:p>
    <w:p w:rsidRPr="00DB2E78" w:rsidR="0007574B" w:rsidP="0007574B" w:rsidRDefault="006676B6" w14:paraId="107B3895" w14:textId="69D90A5D">
      <w:pPr>
        <w:pStyle w:val="body"/>
        <w:numPr>
          <w:ilvl w:val="0"/>
          <w:numId w:val="38"/>
        </w:numPr>
      </w:pPr>
      <w:r w:rsidRPr="00085F23">
        <w:rPr>
          <w:iCs/>
        </w:rPr>
        <w:t>Relevantní orgány by měly zajistit, že shromáždí veškeré údaje uvedené v příloze od dotčených subjektů, které splňují kritéria stanovená v odstavci 6 těchto obecných pokynů, k 31. prosinci každého roku</w:t>
      </w:r>
      <w:r w:rsidRPr="00DB2E78" w:rsidR="003A2221">
        <w:t>.</w:t>
      </w:r>
    </w:p>
    <w:p w:rsidR="0007574B" w:rsidP="0007574B" w:rsidRDefault="006676B6" w14:paraId="623657F6" w14:textId="478B23D3">
      <w:pPr>
        <w:pStyle w:val="body"/>
        <w:numPr>
          <w:ilvl w:val="0"/>
          <w:numId w:val="38"/>
        </w:numPr>
      </w:pPr>
      <w:r w:rsidRPr="00085F23">
        <w:rPr>
          <w:iCs/>
        </w:rPr>
        <w:t>Relevantní orgány by měly zajistit, že dotčené subjekty jednou ročně zveřejňují na svých internetových stránkách hodnoty ukazatelů stanovené v oddílech 1 až 14 přílohy těchto obecných pokynů, a pokud je zapotřebí dodatečná určovací metodika v rámci SRM, položky uvedené v písm. e), f) a g) oddílu 21, jakož i jakékoli další položky oddílu 21, které odkazují na přeshraniční činnosti v rámci SRM a které by mohly být považovány za relevantní pro výpočet této metodiky relevantním příslušným orgánem</w:t>
      </w:r>
      <w:r w:rsidRPr="00DB2E78" w:rsidR="003A2221">
        <w:t>.</w:t>
      </w:r>
    </w:p>
    <w:p w:rsidRPr="00DB2E78" w:rsidR="00825614" w:rsidP="00825614" w:rsidRDefault="00825614" w14:paraId="3FEA21DB" w14:textId="6BD5EC21">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0007574B" w:rsidP="0007574B" w:rsidRDefault="0007574B" w14:paraId="59D95C2C" w14:textId="1D3991F1">
      <w:pPr>
        <w:pStyle w:val="body"/>
        <w:numPr>
          <w:ilvl w:val="0"/>
          <w:numId w:val="38"/>
        </w:numPr>
      </w:pPr>
      <w:r w:rsidRPr="00DB2E78">
        <w:t>Při vykazování a zveřejňování informací uvedených v odstavcích 11 a 12 by dotčené subjekty měly používat elektronickou šablonu a dodržovat každoroční postupy zveřejněné pro tento účel na internetových stránkách Evropského orgánu pro bankovnictví.</w:t>
      </w:r>
    </w:p>
    <w:p w:rsidRPr="00DB2E78" w:rsidR="00825614" w:rsidP="00825614" w:rsidRDefault="00825614" w14:paraId="44A09AF3" w14:textId="6065324B">
      <w:pPr>
        <w:pStyle w:val="body"/>
      </w:pPr>
      <w:r w:rsidRPr="007B541C">
        <w:rPr>
          <w:spacing w:val="-1"/>
          <w:highlight w:val="green"/>
        </w:rPr>
        <w:sym w:font="Wingdings" w:char="F0DA"/>
      </w:r>
      <w:r w:rsidRPr="007B541C">
        <w:rPr>
          <w:spacing w:val="-1"/>
          <w:highlight w:val="green"/>
        </w:rPr>
        <w:t>A1</w:t>
      </w:r>
    </w:p>
    <w:p w:rsidRPr="00825614" w:rsidR="006C6D8E" w:rsidP="0007574B" w:rsidRDefault="00A527B0" w14:paraId="5F511C1E" w14:textId="5221694C">
      <w:pPr>
        <w:pStyle w:val="body"/>
        <w:numPr>
          <w:ilvl w:val="0"/>
          <w:numId w:val="38"/>
        </w:numPr>
      </w:pPr>
      <w:r w:rsidRPr="00085F23">
        <w:rPr>
          <w:iCs/>
        </w:rPr>
        <w:t>Dotčené subjekty by měly předkládat informace uvedené v odstavci 11 relevantním orgánům a</w:t>
      </w:r>
      <w:r w:rsidR="00F60C16">
        <w:rPr>
          <w:iCs/>
        </w:rPr>
        <w:t> </w:t>
      </w:r>
      <w:r w:rsidRPr="00085F23">
        <w:rPr>
          <w:iCs/>
        </w:rPr>
        <w:t>zveřejnit informace uvedené v odstavci 12 každoročně, nejpozději do čtyř měsíců od konce každého účetního období, a to počínaje druhým po sobě jdoucím koncem účetního období, kdy byla překročena prahová hodnota uvedená v odstavci 6 těchto obecných pokynů. Dotčené subjekty by přitom měly uvádět svoje identifikační kódy právnické osoby (LEI)</w:t>
      </w:r>
      <w:r w:rsidRPr="00700100">
        <w:rPr>
          <w:i/>
        </w:rPr>
        <w:t>.</w:t>
      </w:r>
    </w:p>
    <w:p w:rsidRPr="00DB2E78" w:rsidR="00825614" w:rsidP="00825614" w:rsidRDefault="00825614" w14:paraId="66D16CC9" w14:textId="1706A98A">
      <w:pPr>
        <w:pStyle w:val="BodyText"/>
        <w:tabs>
          <w:tab w:val="left" w:pos="1802"/>
        </w:tabs>
        <w:spacing w:before="100" w:after="60" w:line="276" w:lineRule="auto"/>
        <w:ind w:right="232"/>
        <w:jc w:val="both"/>
      </w:pPr>
      <w:r w:rsidRPr="007B541C">
        <w:rPr>
          <w:spacing w:val="-1"/>
          <w:highlight w:val="yellow"/>
        </w:rPr>
        <w:sym w:font="Wingdings" w:char="F0DA"/>
      </w:r>
      <w:r w:rsidRPr="007B541C">
        <w:rPr>
          <w:spacing w:val="-1"/>
          <w:highlight w:val="yellow"/>
        </w:rPr>
        <w:t>O</w:t>
      </w:r>
    </w:p>
    <w:p w:rsidRPr="00DB2E78" w:rsidR="0007574B" w:rsidP="0007574B" w:rsidRDefault="003A2221" w14:paraId="02B1DBBB" w14:textId="35B7F7D9">
      <w:pPr>
        <w:pStyle w:val="body"/>
        <w:numPr>
          <w:ilvl w:val="0"/>
          <w:numId w:val="38"/>
        </w:numPr>
      </w:pPr>
      <w:r w:rsidRPr="00DB2E78">
        <w:t>Relevantní orgány mohou umožnit příslušným subjektům, jejichž účetní období nekončí 31. prosincem, aby tyto informace vykázaly a zveřejnily na základě své pozice co nejblíže k 31. prosinci. V každém případě by ke zveřejnění informací mělo dojít nejpozději do 31. července.</w:t>
      </w:r>
    </w:p>
    <w:p w:rsidRPr="00DB2E78" w:rsidR="00B43E07" w:rsidP="00B43E07" w:rsidRDefault="003A2221" w14:paraId="0BE8B0EA" w14:textId="3AD888C3">
      <w:pPr>
        <w:pStyle w:val="body"/>
        <w:numPr>
          <w:ilvl w:val="0"/>
          <w:numId w:val="38"/>
        </w:numPr>
      </w:pPr>
      <w:r w:rsidRPr="00DB2E78">
        <w:t>Relevantní orgány by případně měly zajistit, aby vykázané a zveřejněné údaje byly shodné s údaji předloženými Basilejskému výboru pro bankovní dohled.</w:t>
      </w:r>
    </w:p>
    <w:p w:rsidRPr="00DB2E78" w:rsidR="006C6D8E" w:rsidP="006C6D8E" w:rsidRDefault="006C6D8E" w14:paraId="304AED26" w14:textId="0684F911">
      <w:pPr>
        <w:pStyle w:val="body"/>
      </w:pPr>
    </w:p>
    <w:p w:rsidRPr="00DB2E78" w:rsidR="006C6D8E" w:rsidP="006C6D8E" w:rsidRDefault="006C6D8E" w14:paraId="3653C3DD" w14:textId="77777777">
      <w:pPr>
        <w:pStyle w:val="body"/>
        <w:sectPr w:rsidRPr="00DB2E78" w:rsidR="006C6D8E" w:rsidSect="000F33D3">
          <w:pgSz w:w="11900" w:h="16840"/>
          <w:pgMar w:top="2268" w:right="1418" w:bottom="1134" w:left="1701" w:header="709" w:footer="709" w:gutter="0"/>
          <w:cols w:space="708"/>
          <w:docGrid w:linePitch="299"/>
        </w:sectPr>
      </w:pPr>
    </w:p>
    <w:p w:rsidRPr="00DB2E78" w:rsidR="00B43E07" w:rsidP="006C6D8E" w:rsidRDefault="006C6D8E" w14:paraId="78D7CAE2" w14:textId="0D9CA5B9">
      <w:pPr>
        <w:pStyle w:val="Numberedtilelevel1"/>
        <w:jc w:val="both"/>
      </w:pPr>
      <w:r w:rsidRPr="00DB2E78">
        <w:lastRenderedPageBreak/>
        <w:t>Informace pro orgán EBA</w:t>
      </w:r>
    </w:p>
    <w:p w:rsidRPr="00DB2E78" w:rsidR="006C6D8E" w:rsidP="006C6D8E" w:rsidRDefault="003A2221" w14:paraId="0966C959" w14:textId="52E7A3EF">
      <w:pPr>
        <w:pStyle w:val="body"/>
        <w:numPr>
          <w:ilvl w:val="0"/>
          <w:numId w:val="38"/>
        </w:numPr>
      </w:pPr>
      <w:r w:rsidRPr="00DB2E78">
        <w:t>Relevantní orgány by měly Evropskému orgánu pro bankovnictví poskytnout veškeré údaje, včetně přidružených údajů a doplňkových (memo) položek, shromážděné v souladu s těmito obecnými pokyny tak, aby tyto údaje mohly být uvedeny na internetových stránkách orgánu EBA. Dotčené subjekty by měly uvádět svoje identifikační kódy právnické osoby (LEI). Orgán EBA nebude přidružené údaje a doplňkové (memo) položky zveřejňovat.</w:t>
      </w:r>
    </w:p>
    <w:p w:rsidRPr="00DB2E78" w:rsidR="006C6D8E" w:rsidP="00B43E07" w:rsidRDefault="006C6D8E" w14:paraId="001293F4" w14:textId="77777777">
      <w:pPr>
        <w:pStyle w:val="body"/>
        <w:rPr>
          <w:lang w:eastAsia="en-GB"/>
        </w:rPr>
        <w:sectPr w:rsidRPr="00DB2E78" w:rsidR="006C6D8E" w:rsidSect="000F33D3">
          <w:pgSz w:w="11900" w:h="16840"/>
          <w:pgMar w:top="2268" w:right="1418" w:bottom="1134" w:left="1701" w:header="709" w:footer="709" w:gutter="0"/>
          <w:cols w:space="708"/>
          <w:docGrid w:linePitch="299"/>
        </w:sectPr>
      </w:pPr>
    </w:p>
    <w:p w:rsidRPr="00DB2E78" w:rsidR="006C6D8E" w:rsidP="006C6D8E" w:rsidRDefault="006C6D8E" w14:paraId="6FBD395E" w14:textId="77777777">
      <w:pPr>
        <w:pStyle w:val="Contenttitle"/>
      </w:pPr>
      <w:r w:rsidRPr="00DB2E78">
        <w:lastRenderedPageBreak/>
        <w:t>Příloha</w:t>
      </w:r>
    </w:p>
    <w:tbl>
      <w:tblPr>
        <w:tblStyle w:val="TableGrid1"/>
        <w:tblW w:w="9549" w:type="dxa"/>
        <w:tblLook w:val="04A0" w:firstRow="1" w:lastRow="0" w:firstColumn="1" w:lastColumn="0" w:noHBand="0" w:noVBand="1"/>
      </w:tblPr>
      <w:tblGrid>
        <w:gridCol w:w="6804"/>
        <w:gridCol w:w="2745"/>
      </w:tblGrid>
      <w:tr w:rsidRPr="00700100" w:rsidR="00D646FE" w:rsidTr="00AC739C" w14:paraId="34546961" w14:textId="77777777">
        <w:trPr>
          <w:trHeight w:val="420"/>
        </w:trPr>
        <w:tc>
          <w:tcPr>
            <w:tcW w:w="9549" w:type="dxa"/>
            <w:gridSpan w:val="2"/>
            <w:tcBorders>
              <w:top w:val="nil"/>
              <w:left w:val="nil"/>
              <w:bottom w:val="nil"/>
              <w:right w:val="nil"/>
            </w:tcBorders>
            <w:noWrap/>
            <w:hideMark/>
          </w:tcPr>
          <w:p w:rsidR="00825614" w:rsidP="00AC739C" w:rsidRDefault="00825614" w14:paraId="2B05EFA3" w14:textId="1DC71A5B">
            <w:pPr>
              <w:keepNext/>
              <w:keepLines/>
              <w:spacing w:before="47"/>
              <w:outlineLvl w:val="5"/>
              <w:rPr>
                <w:rFonts w:ascii="Arial" w:hAnsi="Arial"/>
                <w:b/>
                <w:i/>
                <w:caps/>
                <w:color w:val="172B39" w:themeColor="accent1" w:themeShade="80"/>
                <w:sz w:val="24"/>
              </w:rPr>
            </w:pPr>
            <w:r w:rsidRPr="007B541C">
              <w:rPr>
                <w:spacing w:val="-1"/>
                <w:highlight w:val="green"/>
              </w:rPr>
              <w:sym w:font="Wingdings" w:char="F0DA"/>
            </w:r>
            <w:r w:rsidRPr="007B541C">
              <w:rPr>
                <w:spacing w:val="-1"/>
                <w:highlight w:val="green"/>
              </w:rPr>
              <w:t>A1</w:t>
            </w:r>
            <w:r w:rsidRPr="00700100" w:rsidR="00D646FE">
              <w:rPr>
                <w:rFonts w:ascii="Arial" w:hAnsi="Arial"/>
                <w:b/>
                <w:i/>
                <w:caps/>
                <w:color w:val="172B39" w:themeColor="accent1" w:themeShade="80"/>
                <w:sz w:val="24"/>
              </w:rPr>
              <w:t> </w:t>
            </w:r>
          </w:p>
          <w:p w:rsidRPr="00700100" w:rsidR="00D646FE" w:rsidP="00AC739C" w:rsidRDefault="00D646FE" w14:paraId="35D4808D" w14:textId="7FD860C9">
            <w:pPr>
              <w:keepNext/>
              <w:keepLines/>
              <w:spacing w:before="47"/>
              <w:outlineLvl w:val="5"/>
              <w:rPr>
                <w:rFonts w:ascii="Arial" w:hAnsi="Arial" w:eastAsia="Times New Roman" w:cs="Arial"/>
                <w:b/>
                <w:bCs/>
                <w:sz w:val="24"/>
                <w:szCs w:val="24"/>
              </w:rPr>
            </w:pPr>
            <w:r w:rsidRPr="00700100">
              <w:rPr>
                <w:rFonts w:asciiTheme="majorHAnsi" w:hAnsiTheme="majorHAnsi"/>
                <w:b/>
                <w:i/>
                <w:caps/>
              </w:rPr>
              <w:t>Všeobecné bankovní údaje</w:t>
            </w:r>
            <w:r w:rsidRPr="00700100">
              <w:rPr>
                <w:rFonts w:ascii="Arial" w:hAnsi="Arial"/>
                <w:sz w:val="20"/>
              </w:rPr>
              <w:t> </w:t>
            </w:r>
          </w:p>
        </w:tc>
      </w:tr>
      <w:tr w:rsidRPr="00700100" w:rsidR="00D646FE" w:rsidTr="00AC739C" w14:paraId="7FCE330E"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255B8502"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noWrap/>
          </w:tcPr>
          <w:p w:rsidRPr="00700100" w:rsidR="00D646FE" w:rsidP="00AC739C" w:rsidRDefault="00D646FE" w14:paraId="430A5E3D" w14:textId="77777777">
            <w:pPr>
              <w:jc w:val="center"/>
              <w:rPr>
                <w:rFonts w:ascii="Arial" w:hAnsi="Arial" w:eastAsia="Times New Roman" w:cs="Arial"/>
                <w:b/>
                <w:bCs/>
                <w:sz w:val="20"/>
                <w:szCs w:val="20"/>
                <w:lang w:eastAsia="en-GB"/>
              </w:rPr>
            </w:pPr>
          </w:p>
        </w:tc>
      </w:tr>
      <w:tr w:rsidRPr="00700100" w:rsidR="00D646FE" w:rsidTr="00AC739C" w14:paraId="2441C83B" w14:textId="77777777">
        <w:trPr>
          <w:trHeight w:val="300"/>
        </w:trPr>
        <w:tc>
          <w:tcPr>
            <w:tcW w:w="6804" w:type="dxa"/>
            <w:tcBorders>
              <w:top w:val="single" w:color="auto" w:sz="4" w:space="0"/>
              <w:left w:val="nil"/>
              <w:bottom w:val="single" w:color="auto" w:sz="4" w:space="0"/>
              <w:right w:val="nil"/>
            </w:tcBorders>
            <w:noWrap/>
            <w:hideMark/>
          </w:tcPr>
          <w:p w:rsidRPr="00700100" w:rsidR="00D646FE" w:rsidP="00AC739C" w:rsidRDefault="00D646FE" w14:paraId="2489ABAE" w14:textId="77777777">
            <w:pPr>
              <w:rPr>
                <w:rFonts w:ascii="Arial" w:hAnsi="Arial" w:eastAsia="Times New Roman" w:cs="Arial"/>
                <w:b/>
                <w:bCs/>
                <w:sz w:val="20"/>
                <w:szCs w:val="20"/>
              </w:rPr>
            </w:pPr>
            <w:r w:rsidRPr="00700100">
              <w:rPr>
                <w:rFonts w:ascii="Arial" w:hAnsi="Arial"/>
                <w:b/>
                <w:sz w:val="20"/>
              </w:rPr>
              <w:t>Oddíl 1 – Obecné informace</w:t>
            </w:r>
          </w:p>
        </w:tc>
        <w:tc>
          <w:tcPr>
            <w:tcW w:w="2745" w:type="dxa"/>
            <w:tcBorders>
              <w:top w:val="single" w:color="auto" w:sz="4" w:space="0"/>
              <w:left w:val="nil"/>
              <w:right w:val="nil"/>
            </w:tcBorders>
            <w:noWrap/>
            <w:hideMark/>
          </w:tcPr>
          <w:p w:rsidRPr="00700100" w:rsidR="00D646FE" w:rsidP="00AC739C" w:rsidRDefault="00D646FE" w14:paraId="508BF4F9" w14:textId="77777777">
            <w:pPr>
              <w:jc w:val="center"/>
              <w:rPr>
                <w:rFonts w:ascii="Arial" w:hAnsi="Arial" w:eastAsia="Times New Roman" w:cs="Arial"/>
                <w:b/>
                <w:bCs/>
                <w:sz w:val="20"/>
                <w:szCs w:val="20"/>
              </w:rPr>
            </w:pPr>
            <w:r w:rsidRPr="00700100">
              <w:rPr>
                <w:rFonts w:ascii="Arial" w:hAnsi="Arial"/>
                <w:b/>
                <w:sz w:val="20"/>
              </w:rPr>
              <w:t>Odpověď</w:t>
            </w:r>
          </w:p>
        </w:tc>
      </w:tr>
      <w:tr w:rsidRPr="00700100" w:rsidR="00D646FE" w:rsidTr="00AC739C" w14:paraId="653A2166" w14:textId="77777777">
        <w:trPr>
          <w:gridAfter w:val="1"/>
          <w:wAfter w:w="2745" w:type="dxa"/>
          <w:trHeight w:val="300"/>
        </w:trPr>
        <w:tc>
          <w:tcPr>
            <w:tcW w:w="6804" w:type="dxa"/>
            <w:tcBorders>
              <w:top w:val="single" w:color="auto" w:sz="4" w:space="0"/>
              <w:left w:val="nil"/>
              <w:bottom w:val="single" w:color="auto" w:sz="4" w:space="0"/>
              <w:right w:val="nil"/>
            </w:tcBorders>
            <w:noWrap/>
            <w:hideMark/>
          </w:tcPr>
          <w:p w:rsidRPr="00700100" w:rsidR="00D646FE" w:rsidP="00AC739C" w:rsidRDefault="00D646FE" w14:paraId="0AAB35C3" w14:textId="77777777">
            <w:pPr>
              <w:ind w:firstLine="200" w:firstLineChars="100"/>
              <w:rPr>
                <w:rFonts w:ascii="Arial" w:hAnsi="Arial" w:eastAsia="Times New Roman" w:cs="Arial"/>
                <w:sz w:val="20"/>
                <w:szCs w:val="20"/>
              </w:rPr>
            </w:pPr>
            <w:r w:rsidRPr="00700100">
              <w:rPr>
                <w:rFonts w:ascii="Arial" w:hAnsi="Arial"/>
                <w:sz w:val="20"/>
              </w:rPr>
              <w:t>a. Obecné informace poskytnuté relevantním orgánem dohledu:</w:t>
            </w:r>
          </w:p>
        </w:tc>
      </w:tr>
      <w:tr w:rsidRPr="00700100" w:rsidR="00D646FE" w:rsidTr="00AC739C" w14:paraId="5D1495F1" w14:textId="77777777">
        <w:trPr>
          <w:trHeight w:val="300"/>
        </w:trPr>
        <w:tc>
          <w:tcPr>
            <w:tcW w:w="6804" w:type="dxa"/>
            <w:tcBorders>
              <w:left w:val="nil"/>
              <w:right w:val="nil"/>
            </w:tcBorders>
            <w:noWrap/>
            <w:hideMark/>
          </w:tcPr>
          <w:p w:rsidRPr="00700100" w:rsidR="00D646FE" w:rsidP="00AC739C" w:rsidRDefault="00D646FE" w14:paraId="022042A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Kód země</w:t>
            </w:r>
          </w:p>
        </w:tc>
        <w:tc>
          <w:tcPr>
            <w:tcW w:w="2745" w:type="dxa"/>
            <w:tcBorders>
              <w:left w:val="nil"/>
              <w:bottom w:val="single" w:color="auto" w:sz="4" w:space="0"/>
              <w:right w:val="nil"/>
            </w:tcBorders>
            <w:noWrap/>
            <w:hideMark/>
          </w:tcPr>
          <w:p w:rsidRPr="00700100" w:rsidR="00D646FE" w:rsidP="00AC739C" w:rsidRDefault="00D646FE" w14:paraId="2AAA29DC"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36F5E92E" w14:textId="77777777">
        <w:trPr>
          <w:trHeight w:val="300"/>
        </w:trPr>
        <w:tc>
          <w:tcPr>
            <w:tcW w:w="6804" w:type="dxa"/>
            <w:tcBorders>
              <w:left w:val="nil"/>
              <w:right w:val="nil"/>
            </w:tcBorders>
            <w:noWrap/>
            <w:hideMark/>
          </w:tcPr>
          <w:p w:rsidRPr="00700100" w:rsidR="00D646FE" w:rsidP="00AC739C" w:rsidRDefault="00D646FE" w14:paraId="79C93828"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Název banky</w:t>
            </w:r>
          </w:p>
        </w:tc>
        <w:tc>
          <w:tcPr>
            <w:tcW w:w="2745" w:type="dxa"/>
            <w:tcBorders>
              <w:left w:val="nil"/>
              <w:bottom w:val="single" w:color="auto" w:sz="4" w:space="0"/>
              <w:right w:val="nil"/>
            </w:tcBorders>
            <w:hideMark/>
          </w:tcPr>
          <w:p w:rsidRPr="00700100" w:rsidR="00D646FE" w:rsidP="00AC739C" w:rsidRDefault="00D646FE" w14:paraId="377C4F2B"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32606A52" w14:textId="77777777">
        <w:trPr>
          <w:trHeight w:val="300"/>
        </w:trPr>
        <w:tc>
          <w:tcPr>
            <w:tcW w:w="6804" w:type="dxa"/>
            <w:tcBorders>
              <w:left w:val="nil"/>
              <w:right w:val="nil"/>
            </w:tcBorders>
            <w:noWrap/>
            <w:hideMark/>
          </w:tcPr>
          <w:p w:rsidRPr="00700100" w:rsidR="00D646FE" w:rsidP="00AC739C" w:rsidRDefault="00D646FE" w14:paraId="12FF6B45"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Datum vykazování (rrrr-mm-dd)</w:t>
            </w:r>
          </w:p>
        </w:tc>
        <w:tc>
          <w:tcPr>
            <w:tcW w:w="2745" w:type="dxa"/>
            <w:tcBorders>
              <w:left w:val="nil"/>
              <w:bottom w:val="single" w:color="auto" w:sz="4" w:space="0"/>
              <w:right w:val="nil"/>
            </w:tcBorders>
            <w:noWrap/>
            <w:hideMark/>
          </w:tcPr>
          <w:p w:rsidRPr="00700100" w:rsidR="00D646FE" w:rsidP="00AC739C" w:rsidRDefault="00D646FE" w14:paraId="6BC2FC92" w14:textId="77777777">
            <w:pPr>
              <w:jc w:val="center"/>
              <w:rPr>
                <w:rFonts w:ascii="Arial" w:hAnsi="Arial" w:eastAsia="Times New Roman" w:cs="Arial"/>
                <w:sz w:val="20"/>
                <w:szCs w:val="20"/>
                <w:lang w:eastAsia="en-GB"/>
              </w:rPr>
            </w:pPr>
          </w:p>
        </w:tc>
      </w:tr>
      <w:tr w:rsidRPr="00700100" w:rsidR="00D646FE" w:rsidTr="00AC739C" w14:paraId="18E195E8" w14:textId="77777777">
        <w:trPr>
          <w:trHeight w:val="300"/>
        </w:trPr>
        <w:tc>
          <w:tcPr>
            <w:tcW w:w="6804" w:type="dxa"/>
            <w:tcBorders>
              <w:left w:val="nil"/>
              <w:right w:val="nil"/>
            </w:tcBorders>
            <w:noWrap/>
            <w:hideMark/>
          </w:tcPr>
          <w:p w:rsidRPr="00700100" w:rsidR="00D646FE" w:rsidP="00AC739C" w:rsidRDefault="00D646FE" w14:paraId="37DB9A3D" w14:textId="77777777">
            <w:pPr>
              <w:ind w:firstLine="400" w:firstLineChars="200"/>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Vykazovací měna</w:t>
            </w:r>
          </w:p>
        </w:tc>
        <w:tc>
          <w:tcPr>
            <w:tcW w:w="2745" w:type="dxa"/>
            <w:tcBorders>
              <w:left w:val="nil"/>
              <w:bottom w:val="single" w:color="auto" w:sz="4" w:space="0"/>
              <w:right w:val="nil"/>
            </w:tcBorders>
            <w:noWrap/>
            <w:hideMark/>
          </w:tcPr>
          <w:p w:rsidRPr="00700100" w:rsidR="00D646FE" w:rsidP="00AC739C" w:rsidRDefault="00D646FE" w14:paraId="7EB8F6D0" w14:textId="77777777">
            <w:pPr>
              <w:jc w:val="center"/>
              <w:rPr>
                <w:rFonts w:ascii="Arial" w:hAnsi="Arial" w:eastAsia="Times New Roman" w:cs="Arial"/>
                <w:sz w:val="20"/>
                <w:szCs w:val="20"/>
                <w:lang w:eastAsia="en-GB"/>
              </w:rPr>
            </w:pPr>
          </w:p>
        </w:tc>
      </w:tr>
      <w:tr w:rsidRPr="00700100" w:rsidR="00D646FE" w:rsidTr="00AC739C" w14:paraId="4753372B" w14:textId="77777777">
        <w:trPr>
          <w:trHeight w:val="300"/>
        </w:trPr>
        <w:tc>
          <w:tcPr>
            <w:tcW w:w="6804" w:type="dxa"/>
            <w:tcBorders>
              <w:left w:val="nil"/>
              <w:right w:val="nil"/>
            </w:tcBorders>
            <w:noWrap/>
            <w:hideMark/>
          </w:tcPr>
          <w:p w:rsidRPr="00700100" w:rsidR="00D646FE" w:rsidP="00AC739C" w:rsidRDefault="00D646FE" w14:paraId="2140A100" w14:textId="77777777">
            <w:pPr>
              <w:ind w:firstLine="400" w:firstLineChars="200"/>
              <w:rPr>
                <w:rFonts w:ascii="Arial" w:hAnsi="Arial" w:eastAsia="Times New Roman" w:cs="Arial"/>
                <w:sz w:val="20"/>
                <w:szCs w:val="20"/>
              </w:rPr>
            </w:pPr>
            <w:r w:rsidRPr="00700100">
              <w:rPr>
                <w:rFonts w:ascii="Arial" w:hAnsi="Arial"/>
                <w:sz w:val="20"/>
                <w:lang w:eastAsia="en-GB"/>
              </w:rPr>
              <w:t xml:space="preserve">(5) </w:t>
            </w:r>
            <w:r w:rsidRPr="00700100">
              <w:rPr>
                <w:rFonts w:ascii="Arial" w:hAnsi="Arial"/>
                <w:sz w:val="20"/>
              </w:rPr>
              <w:t>Směnný kurz eura</w:t>
            </w:r>
          </w:p>
        </w:tc>
        <w:tc>
          <w:tcPr>
            <w:tcW w:w="2745" w:type="dxa"/>
            <w:tcBorders>
              <w:left w:val="nil"/>
              <w:bottom w:val="single" w:color="auto" w:sz="4" w:space="0"/>
              <w:right w:val="nil"/>
            </w:tcBorders>
            <w:noWrap/>
            <w:hideMark/>
          </w:tcPr>
          <w:p w:rsidRPr="00700100" w:rsidR="00D646FE" w:rsidP="00AC739C" w:rsidRDefault="00D646FE" w14:paraId="476D4DEC" w14:textId="77777777">
            <w:pPr>
              <w:rPr>
                <w:rFonts w:ascii="Arial" w:hAnsi="Arial" w:eastAsia="Times New Roman" w:cs="Arial"/>
                <w:sz w:val="20"/>
                <w:szCs w:val="20"/>
              </w:rPr>
            </w:pPr>
            <w:r w:rsidRPr="00700100">
              <w:rPr>
                <w:rFonts w:ascii="Arial" w:hAnsi="Arial"/>
                <w:sz w:val="20"/>
              </w:rPr>
              <w:t> </w:t>
            </w:r>
          </w:p>
        </w:tc>
      </w:tr>
      <w:tr w:rsidRPr="00700100" w:rsidR="00D646FE" w:rsidTr="00AC739C" w14:paraId="48249851" w14:textId="77777777">
        <w:trPr>
          <w:trHeight w:val="300"/>
        </w:trPr>
        <w:tc>
          <w:tcPr>
            <w:tcW w:w="6804" w:type="dxa"/>
            <w:tcBorders>
              <w:left w:val="nil"/>
              <w:right w:val="nil"/>
            </w:tcBorders>
            <w:noWrap/>
            <w:hideMark/>
          </w:tcPr>
          <w:p w:rsidRPr="00700100" w:rsidR="00D646FE" w:rsidP="00AC739C" w:rsidRDefault="00D646FE" w14:paraId="5E783DB1" w14:textId="77777777">
            <w:pPr>
              <w:ind w:firstLine="400" w:firstLineChars="200"/>
              <w:rPr>
                <w:rFonts w:ascii="Arial" w:hAnsi="Arial" w:eastAsia="Times New Roman" w:cs="Arial"/>
                <w:sz w:val="20"/>
                <w:szCs w:val="20"/>
              </w:rPr>
            </w:pPr>
            <w:r w:rsidRPr="00700100">
              <w:rPr>
                <w:rFonts w:ascii="Arial" w:hAnsi="Arial"/>
                <w:sz w:val="20"/>
                <w:lang w:eastAsia="en-GB"/>
              </w:rPr>
              <w:t xml:space="preserve">(6) </w:t>
            </w:r>
            <w:r w:rsidRPr="00700100">
              <w:rPr>
                <w:rFonts w:ascii="Arial" w:hAnsi="Arial"/>
                <w:sz w:val="20"/>
              </w:rPr>
              <w:t>Datum předložení (rrrr-mm-dd)</w:t>
            </w:r>
          </w:p>
        </w:tc>
        <w:tc>
          <w:tcPr>
            <w:tcW w:w="2745" w:type="dxa"/>
            <w:tcBorders>
              <w:left w:val="nil"/>
              <w:bottom w:val="single" w:color="auto" w:sz="4" w:space="0"/>
              <w:right w:val="nil"/>
            </w:tcBorders>
            <w:noWrap/>
            <w:hideMark/>
          </w:tcPr>
          <w:p w:rsidRPr="00700100" w:rsidR="00D646FE" w:rsidP="00AC739C" w:rsidRDefault="00D646FE" w14:paraId="45E39DAC"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69EB4431" w14:textId="77777777">
        <w:trPr>
          <w:trHeight w:val="300"/>
        </w:trPr>
        <w:tc>
          <w:tcPr>
            <w:tcW w:w="6804" w:type="dxa"/>
            <w:tcBorders>
              <w:left w:val="nil"/>
              <w:right w:val="nil"/>
            </w:tcBorders>
            <w:noWrap/>
            <w:hideMark/>
          </w:tcPr>
          <w:p w:rsidRPr="00700100" w:rsidR="00D646FE" w:rsidP="00AC739C" w:rsidRDefault="00D646FE" w14:paraId="3EF4242E" w14:textId="77777777">
            <w:pPr>
              <w:ind w:firstLine="200" w:firstLineChars="100"/>
              <w:rPr>
                <w:rFonts w:ascii="Arial" w:hAnsi="Arial" w:eastAsia="Times New Roman" w:cs="Arial"/>
                <w:sz w:val="20"/>
                <w:szCs w:val="20"/>
              </w:rPr>
            </w:pPr>
            <w:r w:rsidRPr="00700100">
              <w:rPr>
                <w:rFonts w:ascii="Arial" w:hAnsi="Arial"/>
                <w:sz w:val="20"/>
              </w:rPr>
              <w:t>b. Obecné informace poskytnuté vykazující institucí:</w:t>
            </w:r>
          </w:p>
        </w:tc>
        <w:tc>
          <w:tcPr>
            <w:tcW w:w="2745" w:type="dxa"/>
            <w:tcBorders>
              <w:left w:val="nil"/>
              <w:bottom w:val="single" w:color="auto" w:sz="4" w:space="0"/>
              <w:right w:val="nil"/>
            </w:tcBorders>
            <w:noWrap/>
            <w:hideMark/>
          </w:tcPr>
          <w:p w:rsidRPr="00700100" w:rsidR="00D646FE" w:rsidP="00AC739C" w:rsidRDefault="00D646FE" w14:paraId="371CE0DD"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79B39E4A" w14:textId="77777777">
        <w:trPr>
          <w:trHeight w:val="300"/>
        </w:trPr>
        <w:tc>
          <w:tcPr>
            <w:tcW w:w="6804" w:type="dxa"/>
            <w:tcBorders>
              <w:left w:val="nil"/>
              <w:right w:val="nil"/>
            </w:tcBorders>
            <w:noWrap/>
            <w:hideMark/>
          </w:tcPr>
          <w:p w:rsidRPr="00700100" w:rsidR="00D646FE" w:rsidP="00AC739C" w:rsidRDefault="00D646FE" w14:paraId="01A3F7B4"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Vykazující jednotka</w:t>
            </w:r>
          </w:p>
        </w:tc>
        <w:tc>
          <w:tcPr>
            <w:tcW w:w="2745" w:type="dxa"/>
            <w:tcBorders>
              <w:left w:val="nil"/>
              <w:bottom w:val="single" w:color="auto" w:sz="4" w:space="0"/>
              <w:right w:val="nil"/>
            </w:tcBorders>
            <w:noWrap/>
            <w:hideMark/>
          </w:tcPr>
          <w:p w:rsidRPr="00700100" w:rsidR="00D646FE" w:rsidP="00AC739C" w:rsidRDefault="00D646FE" w14:paraId="0A625716"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3FB5C862" w14:textId="77777777">
        <w:trPr>
          <w:trHeight w:val="300"/>
        </w:trPr>
        <w:tc>
          <w:tcPr>
            <w:tcW w:w="6804" w:type="dxa"/>
            <w:tcBorders>
              <w:left w:val="nil"/>
              <w:right w:val="nil"/>
            </w:tcBorders>
            <w:noWrap/>
            <w:hideMark/>
          </w:tcPr>
          <w:p w:rsidRPr="00700100" w:rsidR="00D646FE" w:rsidP="00AC739C" w:rsidRDefault="00D646FE" w14:paraId="7ACC642B"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Účetní standard</w:t>
            </w:r>
          </w:p>
        </w:tc>
        <w:tc>
          <w:tcPr>
            <w:tcW w:w="2745" w:type="dxa"/>
            <w:tcBorders>
              <w:left w:val="nil"/>
              <w:bottom w:val="single" w:color="auto" w:sz="4" w:space="0"/>
              <w:right w:val="nil"/>
            </w:tcBorders>
            <w:hideMark/>
          </w:tcPr>
          <w:p w:rsidRPr="00700100" w:rsidR="00D646FE" w:rsidP="00AC739C" w:rsidRDefault="00D646FE" w14:paraId="0E2BC1C8"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57E7973C" w14:textId="77777777">
        <w:trPr>
          <w:trHeight w:val="300"/>
        </w:trPr>
        <w:tc>
          <w:tcPr>
            <w:tcW w:w="6804" w:type="dxa"/>
            <w:tcBorders>
              <w:left w:val="nil"/>
              <w:right w:val="nil"/>
            </w:tcBorders>
            <w:noWrap/>
            <w:hideMark/>
          </w:tcPr>
          <w:p w:rsidRPr="00700100" w:rsidR="00D646FE" w:rsidP="00AC739C" w:rsidRDefault="00D646FE" w14:paraId="3BD53051"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Datum zveřejnění (rrrr-mm-dd)</w:t>
            </w:r>
          </w:p>
        </w:tc>
        <w:tc>
          <w:tcPr>
            <w:tcW w:w="2745" w:type="dxa"/>
            <w:tcBorders>
              <w:left w:val="nil"/>
              <w:bottom w:val="single" w:color="auto" w:sz="4" w:space="0"/>
              <w:right w:val="nil"/>
            </w:tcBorders>
            <w:noWrap/>
            <w:hideMark/>
          </w:tcPr>
          <w:p w:rsidRPr="00700100" w:rsidR="00D646FE" w:rsidP="00AC739C" w:rsidRDefault="00D646FE" w14:paraId="7CAB6FA9"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3C669ECE" w14:textId="77777777">
        <w:trPr>
          <w:trHeight w:val="300"/>
        </w:trPr>
        <w:tc>
          <w:tcPr>
            <w:tcW w:w="6804" w:type="dxa"/>
            <w:tcBorders>
              <w:left w:val="nil"/>
              <w:right w:val="nil"/>
            </w:tcBorders>
            <w:noWrap/>
            <w:hideMark/>
          </w:tcPr>
          <w:p w:rsidRPr="00700100" w:rsidR="00D646FE" w:rsidP="00AC739C" w:rsidRDefault="00D646FE" w14:paraId="6AA1C7E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Jazyk zveřejnění</w:t>
            </w:r>
          </w:p>
        </w:tc>
        <w:tc>
          <w:tcPr>
            <w:tcW w:w="2745" w:type="dxa"/>
            <w:tcBorders>
              <w:left w:val="nil"/>
              <w:bottom w:val="single" w:color="auto" w:sz="4" w:space="0"/>
              <w:right w:val="nil"/>
            </w:tcBorders>
            <w:hideMark/>
          </w:tcPr>
          <w:p w:rsidRPr="00700100" w:rsidR="00D646FE" w:rsidP="00AC739C" w:rsidRDefault="00D646FE" w14:paraId="5B7F4428"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737A4355" w14:textId="77777777">
        <w:trPr>
          <w:trHeight w:val="300"/>
        </w:trPr>
        <w:tc>
          <w:tcPr>
            <w:tcW w:w="6804" w:type="dxa"/>
            <w:tcBorders>
              <w:left w:val="nil"/>
              <w:bottom w:val="single" w:color="auto" w:sz="4" w:space="0"/>
              <w:right w:val="nil"/>
            </w:tcBorders>
            <w:noWrap/>
            <w:hideMark/>
          </w:tcPr>
          <w:p w:rsidRPr="00700100" w:rsidR="00D646FE" w:rsidP="00AC739C" w:rsidRDefault="00D646FE" w14:paraId="47E70A5F" w14:textId="77777777">
            <w:pPr>
              <w:ind w:firstLine="400" w:firstLineChars="200"/>
              <w:rPr>
                <w:rFonts w:ascii="Arial" w:hAnsi="Arial" w:eastAsia="Times New Roman" w:cs="Arial"/>
                <w:sz w:val="20"/>
                <w:szCs w:val="20"/>
              </w:rPr>
            </w:pPr>
            <w:r w:rsidRPr="00700100">
              <w:rPr>
                <w:rFonts w:ascii="Arial" w:hAnsi="Arial"/>
                <w:sz w:val="20"/>
                <w:lang w:eastAsia="en-GB"/>
              </w:rPr>
              <w:t xml:space="preserve">(5) </w:t>
            </w:r>
            <w:r w:rsidRPr="00700100">
              <w:rPr>
                <w:rFonts w:ascii="Arial" w:hAnsi="Arial"/>
                <w:sz w:val="20"/>
              </w:rPr>
              <w:t>Webová adresa zveřejnění</w:t>
            </w:r>
          </w:p>
        </w:tc>
        <w:tc>
          <w:tcPr>
            <w:tcW w:w="2745" w:type="dxa"/>
            <w:tcBorders>
              <w:left w:val="nil"/>
              <w:bottom w:val="single" w:color="auto" w:sz="4" w:space="0"/>
              <w:right w:val="nil"/>
            </w:tcBorders>
            <w:noWrap/>
            <w:hideMark/>
          </w:tcPr>
          <w:p w:rsidRPr="00700100" w:rsidR="00D646FE" w:rsidP="00AC739C" w:rsidRDefault="00D646FE" w14:paraId="0585A792" w14:textId="77777777">
            <w:pPr>
              <w:jc w:val="center"/>
              <w:rPr>
                <w:rFonts w:ascii="Arial" w:hAnsi="Arial" w:eastAsia="Times New Roman" w:cs="Arial"/>
                <w:color w:val="0000FF"/>
                <w:sz w:val="20"/>
                <w:szCs w:val="20"/>
                <w:u w:val="single"/>
                <w:lang w:eastAsia="en-GB"/>
              </w:rPr>
            </w:pPr>
          </w:p>
        </w:tc>
      </w:tr>
      <w:tr w:rsidRPr="00700100" w:rsidR="00D646FE" w:rsidTr="00AC739C" w14:paraId="4B327364"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4761608" w14:textId="77777777">
            <w:pPr>
              <w:ind w:firstLine="400" w:firstLineChars="200"/>
              <w:rPr>
                <w:rFonts w:ascii="Arial" w:hAnsi="Arial" w:eastAsia="Times New Roman" w:cs="Arial"/>
                <w:sz w:val="20"/>
                <w:szCs w:val="20"/>
              </w:rPr>
            </w:pPr>
            <w:r w:rsidRPr="00700100">
              <w:rPr>
                <w:rFonts w:ascii="Arial" w:hAnsi="Arial"/>
                <w:sz w:val="20"/>
                <w:lang w:eastAsia="en-GB"/>
              </w:rPr>
              <w:t xml:space="preserve">(6) </w:t>
            </w:r>
            <w:r w:rsidRPr="00700100">
              <w:rPr>
                <w:rFonts w:ascii="Arial" w:hAnsi="Arial"/>
                <w:sz w:val="20"/>
              </w:rPr>
              <w:t>Kód LEI</w:t>
            </w:r>
          </w:p>
        </w:tc>
        <w:tc>
          <w:tcPr>
            <w:tcW w:w="2745" w:type="dxa"/>
            <w:tcBorders>
              <w:left w:val="nil"/>
              <w:bottom w:val="single" w:color="auto" w:sz="4" w:space="0"/>
              <w:right w:val="nil"/>
            </w:tcBorders>
            <w:hideMark/>
          </w:tcPr>
          <w:p w:rsidRPr="00700100" w:rsidR="00D646FE" w:rsidP="00AC739C" w:rsidRDefault="00D646FE" w14:paraId="3137F804" w14:textId="77777777">
            <w:pPr>
              <w:jc w:val="center"/>
              <w:rPr>
                <w:rFonts w:ascii="Arial" w:hAnsi="Arial" w:eastAsia="Times New Roman" w:cs="Arial"/>
                <w:sz w:val="20"/>
                <w:szCs w:val="20"/>
              </w:rPr>
            </w:pPr>
            <w:r w:rsidRPr="00700100">
              <w:rPr>
                <w:rFonts w:ascii="Arial" w:hAnsi="Arial"/>
                <w:sz w:val="20"/>
              </w:rPr>
              <w:t> </w:t>
            </w:r>
          </w:p>
        </w:tc>
      </w:tr>
      <w:tr w:rsidRPr="00700100" w:rsidR="00D646FE" w:rsidTr="00AC739C" w14:paraId="01B59B63" w14:textId="77777777">
        <w:trPr>
          <w:trHeight w:val="300"/>
        </w:trPr>
        <w:tc>
          <w:tcPr>
            <w:tcW w:w="6804" w:type="dxa"/>
            <w:tcBorders>
              <w:left w:val="nil"/>
              <w:bottom w:val="nil"/>
              <w:right w:val="nil"/>
            </w:tcBorders>
            <w:noWrap/>
          </w:tcPr>
          <w:p w:rsidRPr="00700100" w:rsidR="00D646FE" w:rsidP="00AC739C" w:rsidRDefault="00D646FE" w14:paraId="6981972C" w14:textId="77777777">
            <w:pPr>
              <w:ind w:firstLine="400" w:firstLineChars="200"/>
              <w:rPr>
                <w:rFonts w:ascii="Arial" w:hAnsi="Arial" w:eastAsia="Times New Roman" w:cs="Arial"/>
                <w:sz w:val="20"/>
                <w:szCs w:val="20"/>
                <w:lang w:eastAsia="en-GB"/>
              </w:rPr>
            </w:pPr>
          </w:p>
        </w:tc>
        <w:tc>
          <w:tcPr>
            <w:tcW w:w="2745" w:type="dxa"/>
            <w:tcBorders>
              <w:left w:val="nil"/>
              <w:bottom w:val="nil"/>
              <w:right w:val="nil"/>
            </w:tcBorders>
          </w:tcPr>
          <w:p w:rsidRPr="00700100" w:rsidR="00D646FE" w:rsidP="00AC739C" w:rsidRDefault="00D646FE" w14:paraId="2B9156A4" w14:textId="77777777">
            <w:pPr>
              <w:jc w:val="center"/>
              <w:rPr>
                <w:rFonts w:ascii="Arial" w:hAnsi="Arial" w:eastAsia="Times New Roman" w:cs="Arial"/>
                <w:sz w:val="20"/>
                <w:szCs w:val="20"/>
                <w:lang w:eastAsia="en-GB"/>
              </w:rPr>
            </w:pPr>
          </w:p>
        </w:tc>
      </w:tr>
      <w:tr w:rsidRPr="00700100" w:rsidR="00D646FE" w:rsidTr="00AC739C" w14:paraId="580B384D" w14:textId="77777777">
        <w:trPr>
          <w:trHeight w:val="300"/>
        </w:trPr>
        <w:tc>
          <w:tcPr>
            <w:tcW w:w="6804" w:type="dxa"/>
            <w:tcBorders>
              <w:top w:val="nil"/>
              <w:left w:val="nil"/>
              <w:bottom w:val="nil"/>
              <w:right w:val="nil"/>
            </w:tcBorders>
            <w:noWrap/>
          </w:tcPr>
          <w:p w:rsidRPr="00700100" w:rsidR="00D646FE" w:rsidP="00AC739C" w:rsidRDefault="00D646FE" w14:paraId="2F16D538" w14:textId="77777777">
            <w:pPr>
              <w:keepNext/>
              <w:keepLines/>
              <w:spacing w:before="47"/>
              <w:outlineLvl w:val="5"/>
              <w:rPr>
                <w:rFonts w:ascii="Arial" w:hAnsi="Arial" w:eastAsia="Times New Roman" w:cs="Arial"/>
                <w:i/>
                <w:iCs/>
                <w:caps/>
                <w:color w:val="172B39" w:themeColor="accent1" w:themeShade="80"/>
                <w:sz w:val="20"/>
                <w:szCs w:val="20"/>
              </w:rPr>
            </w:pPr>
            <w:r w:rsidRPr="00700100">
              <w:rPr>
                <w:rFonts w:asciiTheme="majorHAnsi" w:hAnsiTheme="majorHAnsi"/>
                <w:b/>
                <w:i/>
                <w:caps/>
              </w:rPr>
              <w:t>Ukazatele velikosti</w:t>
            </w:r>
          </w:p>
        </w:tc>
        <w:tc>
          <w:tcPr>
            <w:tcW w:w="2745" w:type="dxa"/>
            <w:tcBorders>
              <w:top w:val="nil"/>
              <w:left w:val="nil"/>
              <w:bottom w:val="nil"/>
              <w:right w:val="nil"/>
            </w:tcBorders>
          </w:tcPr>
          <w:p w:rsidRPr="00700100" w:rsidR="00D646FE" w:rsidP="00AC739C" w:rsidRDefault="00D646FE" w14:paraId="19FE9E4A" w14:textId="77777777">
            <w:pPr>
              <w:jc w:val="center"/>
              <w:rPr>
                <w:rFonts w:ascii="Arial" w:hAnsi="Arial" w:eastAsia="Times New Roman" w:cs="Arial"/>
                <w:sz w:val="20"/>
                <w:szCs w:val="20"/>
                <w:lang w:eastAsia="en-GB"/>
              </w:rPr>
            </w:pPr>
          </w:p>
        </w:tc>
      </w:tr>
      <w:tr w:rsidRPr="00700100" w:rsidR="00D646FE" w:rsidTr="00AC739C" w14:paraId="559A42E4"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417BBD63" w14:textId="77777777">
            <w:pPr>
              <w:ind w:firstLine="400" w:firstLineChars="200"/>
              <w:rPr>
                <w:rFonts w:ascii="Arial" w:hAnsi="Arial" w:eastAsia="Times New Roman" w:cs="Arial"/>
                <w:sz w:val="20"/>
                <w:szCs w:val="20"/>
                <w:lang w:eastAsia="en-GB"/>
              </w:rPr>
            </w:pPr>
          </w:p>
        </w:tc>
        <w:tc>
          <w:tcPr>
            <w:tcW w:w="2745" w:type="dxa"/>
            <w:tcBorders>
              <w:top w:val="nil"/>
              <w:left w:val="nil"/>
              <w:bottom w:val="single" w:color="auto" w:sz="4" w:space="0"/>
              <w:right w:val="nil"/>
            </w:tcBorders>
          </w:tcPr>
          <w:p w:rsidRPr="00700100" w:rsidR="00D646FE" w:rsidP="00AC739C" w:rsidRDefault="00D646FE" w14:paraId="431D4985" w14:textId="77777777">
            <w:pPr>
              <w:jc w:val="center"/>
              <w:rPr>
                <w:rFonts w:ascii="Arial" w:hAnsi="Arial" w:eastAsia="Times New Roman" w:cs="Arial"/>
                <w:sz w:val="20"/>
                <w:szCs w:val="20"/>
                <w:lang w:eastAsia="en-GB"/>
              </w:rPr>
            </w:pPr>
          </w:p>
        </w:tc>
      </w:tr>
      <w:tr w:rsidRPr="00700100" w:rsidR="00D646FE" w:rsidTr="00AC739C" w14:paraId="4299119A" w14:textId="77777777">
        <w:trPr>
          <w:trHeight w:val="300"/>
        </w:trPr>
        <w:tc>
          <w:tcPr>
            <w:tcW w:w="6804" w:type="dxa"/>
            <w:tcBorders>
              <w:left w:val="nil"/>
              <w:right w:val="nil"/>
            </w:tcBorders>
            <w:noWrap/>
          </w:tcPr>
          <w:p w:rsidRPr="00700100" w:rsidR="00D646FE" w:rsidP="00AC739C" w:rsidRDefault="00D646FE" w14:paraId="1A04FAEC" w14:textId="77777777">
            <w:pPr>
              <w:rPr>
                <w:rFonts w:ascii="Arial" w:hAnsi="Arial" w:eastAsia="Times New Roman" w:cs="Arial"/>
                <w:sz w:val="20"/>
                <w:szCs w:val="20"/>
              </w:rPr>
            </w:pPr>
            <w:r w:rsidRPr="00700100">
              <w:rPr>
                <w:rFonts w:ascii="Arial" w:hAnsi="Arial"/>
                <w:b/>
                <w:sz w:val="20"/>
              </w:rPr>
              <w:t>Oddíl 2 – Expozice celkem</w:t>
            </w:r>
          </w:p>
        </w:tc>
        <w:tc>
          <w:tcPr>
            <w:tcW w:w="2745" w:type="dxa"/>
            <w:tcBorders>
              <w:left w:val="nil"/>
              <w:right w:val="nil"/>
            </w:tcBorders>
            <w:noWrap/>
          </w:tcPr>
          <w:p w:rsidRPr="00700100" w:rsidR="00D646FE" w:rsidP="00AC739C" w:rsidRDefault="00D646FE" w14:paraId="4C1AFE42" w14:textId="77777777">
            <w:pPr>
              <w:ind w:firstLine="201" w:firstLineChars="100"/>
              <w:jc w:val="center"/>
              <w:rPr>
                <w:rFonts w:ascii="Arial" w:hAnsi="Arial" w:eastAsia="Times New Roman" w:cs="Arial"/>
                <w:sz w:val="20"/>
                <w:szCs w:val="20"/>
              </w:rPr>
            </w:pPr>
            <w:r w:rsidRPr="00700100">
              <w:rPr>
                <w:rFonts w:ascii="Arial" w:hAnsi="Arial"/>
                <w:b/>
                <w:sz w:val="20"/>
              </w:rPr>
              <w:t>Částka</w:t>
            </w:r>
          </w:p>
        </w:tc>
      </w:tr>
      <w:tr w:rsidRPr="00700100" w:rsidR="00D646FE" w:rsidTr="00AC739C" w14:paraId="7E423BFD" w14:textId="77777777">
        <w:trPr>
          <w:trHeight w:val="300"/>
        </w:trPr>
        <w:tc>
          <w:tcPr>
            <w:tcW w:w="6804" w:type="dxa"/>
            <w:tcBorders>
              <w:left w:val="nil"/>
              <w:right w:val="nil"/>
            </w:tcBorders>
            <w:noWrap/>
            <w:hideMark/>
          </w:tcPr>
          <w:p w:rsidRPr="00700100" w:rsidR="00D646FE" w:rsidP="00AC739C" w:rsidRDefault="00D646FE" w14:paraId="054522CE" w14:textId="77777777">
            <w:pPr>
              <w:ind w:firstLine="200" w:firstLineChars="100"/>
              <w:rPr>
                <w:rFonts w:ascii="Arial" w:hAnsi="Arial" w:eastAsia="Times New Roman" w:cs="Arial"/>
                <w:sz w:val="20"/>
                <w:szCs w:val="20"/>
              </w:rPr>
            </w:pPr>
            <w:r w:rsidRPr="00700100">
              <w:rPr>
                <w:rFonts w:ascii="Arial" w:hAnsi="Arial"/>
                <w:sz w:val="20"/>
              </w:rPr>
              <w:t>a. Deriváty</w:t>
            </w:r>
          </w:p>
        </w:tc>
        <w:tc>
          <w:tcPr>
            <w:tcW w:w="2745" w:type="dxa"/>
            <w:tcBorders>
              <w:left w:val="nil"/>
              <w:right w:val="nil"/>
            </w:tcBorders>
            <w:noWrap/>
            <w:hideMark/>
          </w:tcPr>
          <w:p w:rsidRPr="00700100" w:rsidR="00D646FE" w:rsidP="00AC739C" w:rsidRDefault="00D646FE" w14:paraId="4854F4DA"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7E6033F1" w14:textId="77777777">
        <w:trPr>
          <w:trHeight w:val="300"/>
        </w:trPr>
        <w:tc>
          <w:tcPr>
            <w:tcW w:w="6804" w:type="dxa"/>
            <w:tcBorders>
              <w:left w:val="nil"/>
              <w:right w:val="nil"/>
            </w:tcBorders>
            <w:noWrap/>
            <w:hideMark/>
          </w:tcPr>
          <w:p w:rsidRPr="00700100" w:rsidR="00D646FE" w:rsidP="00AC739C" w:rsidRDefault="00D646FE" w14:paraId="4E044F39"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Expozice protistrany z derivátových smluv</w:t>
            </w:r>
          </w:p>
        </w:tc>
        <w:tc>
          <w:tcPr>
            <w:tcW w:w="2745" w:type="dxa"/>
            <w:tcBorders>
              <w:left w:val="nil"/>
              <w:right w:val="nil"/>
            </w:tcBorders>
            <w:noWrap/>
            <w:hideMark/>
          </w:tcPr>
          <w:p w:rsidRPr="00700100" w:rsidR="00D646FE" w:rsidP="00AC739C" w:rsidRDefault="00D646FE" w14:paraId="1660105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972F871" w14:textId="77777777">
        <w:trPr>
          <w:trHeight w:val="300"/>
        </w:trPr>
        <w:tc>
          <w:tcPr>
            <w:tcW w:w="6804" w:type="dxa"/>
            <w:tcBorders>
              <w:left w:val="nil"/>
              <w:right w:val="nil"/>
            </w:tcBorders>
            <w:noWrap/>
            <w:hideMark/>
          </w:tcPr>
          <w:p w:rsidRPr="00700100" w:rsidR="00D646FE" w:rsidP="00AC739C" w:rsidRDefault="00D646FE" w14:paraId="4BB5B04B"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Omezená pomyslná hodnota úvěrových derivátů</w:t>
            </w:r>
          </w:p>
        </w:tc>
        <w:tc>
          <w:tcPr>
            <w:tcW w:w="2745" w:type="dxa"/>
            <w:tcBorders>
              <w:left w:val="nil"/>
              <w:right w:val="nil"/>
            </w:tcBorders>
            <w:noWrap/>
            <w:hideMark/>
          </w:tcPr>
          <w:p w:rsidRPr="00700100" w:rsidR="00D646FE" w:rsidP="00AC739C" w:rsidRDefault="00D646FE" w14:paraId="1438FDF2"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9D64ECA" w14:textId="77777777">
        <w:trPr>
          <w:trHeight w:val="300"/>
        </w:trPr>
        <w:tc>
          <w:tcPr>
            <w:tcW w:w="6804" w:type="dxa"/>
            <w:tcBorders>
              <w:left w:val="nil"/>
              <w:right w:val="nil"/>
            </w:tcBorders>
            <w:noWrap/>
            <w:hideMark/>
          </w:tcPr>
          <w:p w:rsidRPr="00700100" w:rsidR="00D646FE" w:rsidP="00AC739C" w:rsidRDefault="00D646FE" w14:paraId="7AB1E47C"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Potenciální budoucí expozice derivátových smluv</w:t>
            </w:r>
          </w:p>
        </w:tc>
        <w:tc>
          <w:tcPr>
            <w:tcW w:w="2745" w:type="dxa"/>
            <w:tcBorders>
              <w:left w:val="nil"/>
              <w:right w:val="nil"/>
            </w:tcBorders>
            <w:noWrap/>
            <w:hideMark/>
          </w:tcPr>
          <w:p w:rsidRPr="00700100" w:rsidR="00D646FE" w:rsidP="00AC739C" w:rsidRDefault="00D646FE" w14:paraId="1597564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DEDC3FF" w14:textId="77777777">
        <w:trPr>
          <w:trHeight w:val="300"/>
        </w:trPr>
        <w:tc>
          <w:tcPr>
            <w:tcW w:w="6804" w:type="dxa"/>
            <w:tcBorders>
              <w:left w:val="nil"/>
              <w:right w:val="nil"/>
            </w:tcBorders>
            <w:noWrap/>
            <w:hideMark/>
          </w:tcPr>
          <w:p w:rsidRPr="00700100" w:rsidR="00D646FE" w:rsidP="00AC739C" w:rsidRDefault="00D646FE" w14:paraId="5D998987" w14:textId="77777777">
            <w:pPr>
              <w:ind w:firstLine="200" w:firstLineChars="100"/>
              <w:rPr>
                <w:rFonts w:ascii="Arial" w:hAnsi="Arial" w:eastAsia="Times New Roman" w:cs="Arial"/>
                <w:sz w:val="20"/>
                <w:szCs w:val="20"/>
              </w:rPr>
            </w:pPr>
            <w:r w:rsidRPr="00700100">
              <w:rPr>
                <w:rFonts w:ascii="Arial" w:hAnsi="Arial"/>
                <w:sz w:val="20"/>
              </w:rPr>
              <w:t>b. Obchody zajišťující financování (SFT)</w:t>
            </w:r>
          </w:p>
        </w:tc>
        <w:tc>
          <w:tcPr>
            <w:tcW w:w="2745" w:type="dxa"/>
            <w:tcBorders>
              <w:left w:val="nil"/>
              <w:right w:val="nil"/>
            </w:tcBorders>
            <w:noWrap/>
            <w:hideMark/>
          </w:tcPr>
          <w:p w:rsidRPr="00700100" w:rsidR="00D646FE" w:rsidP="00AC739C" w:rsidRDefault="00D646FE" w14:paraId="663DDA54"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00850A4B" w14:textId="77777777">
        <w:trPr>
          <w:trHeight w:val="300"/>
        </w:trPr>
        <w:tc>
          <w:tcPr>
            <w:tcW w:w="6804" w:type="dxa"/>
            <w:tcBorders>
              <w:left w:val="nil"/>
              <w:right w:val="nil"/>
            </w:tcBorders>
            <w:noWrap/>
            <w:hideMark/>
          </w:tcPr>
          <w:p w:rsidRPr="00700100" w:rsidR="00D646FE" w:rsidP="00AC739C" w:rsidRDefault="00D646FE" w14:paraId="5584F4A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Upravená hrubá hodnota SFT</w:t>
            </w:r>
          </w:p>
        </w:tc>
        <w:tc>
          <w:tcPr>
            <w:tcW w:w="2745" w:type="dxa"/>
            <w:tcBorders>
              <w:left w:val="nil"/>
              <w:right w:val="nil"/>
            </w:tcBorders>
            <w:noWrap/>
            <w:hideMark/>
          </w:tcPr>
          <w:p w:rsidRPr="00700100" w:rsidR="00D646FE" w:rsidP="00AC739C" w:rsidRDefault="00D646FE" w14:paraId="68AAEE4E"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F3EBB5B" w14:textId="77777777">
        <w:trPr>
          <w:trHeight w:val="300"/>
        </w:trPr>
        <w:tc>
          <w:tcPr>
            <w:tcW w:w="6804" w:type="dxa"/>
            <w:tcBorders>
              <w:left w:val="nil"/>
              <w:right w:val="nil"/>
            </w:tcBorders>
            <w:noWrap/>
            <w:hideMark/>
          </w:tcPr>
          <w:p w:rsidRPr="00700100" w:rsidR="00D646FE" w:rsidP="00AC739C" w:rsidRDefault="00D646FE" w14:paraId="0AE89E90"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Expozice protistrany ze SFT</w:t>
            </w:r>
          </w:p>
        </w:tc>
        <w:tc>
          <w:tcPr>
            <w:tcW w:w="2745" w:type="dxa"/>
            <w:tcBorders>
              <w:left w:val="nil"/>
              <w:right w:val="nil"/>
            </w:tcBorders>
            <w:noWrap/>
            <w:hideMark/>
          </w:tcPr>
          <w:p w:rsidRPr="00700100" w:rsidR="00D646FE" w:rsidP="00AC739C" w:rsidRDefault="00D646FE" w14:paraId="1917C07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5E8798AE" w14:textId="77777777">
        <w:trPr>
          <w:trHeight w:val="300"/>
        </w:trPr>
        <w:tc>
          <w:tcPr>
            <w:tcW w:w="6804" w:type="dxa"/>
            <w:tcBorders>
              <w:left w:val="nil"/>
              <w:right w:val="nil"/>
            </w:tcBorders>
            <w:noWrap/>
            <w:hideMark/>
          </w:tcPr>
          <w:p w:rsidRPr="00700100" w:rsidR="00D646FE" w:rsidP="00AC739C" w:rsidRDefault="00D646FE" w14:paraId="64A65D66" w14:textId="77777777">
            <w:pPr>
              <w:ind w:firstLine="200" w:firstLineChars="100"/>
              <w:rPr>
                <w:rFonts w:ascii="Arial" w:hAnsi="Arial" w:eastAsia="Times New Roman" w:cs="Arial"/>
                <w:sz w:val="20"/>
                <w:szCs w:val="20"/>
              </w:rPr>
            </w:pPr>
            <w:r w:rsidRPr="00700100">
              <w:rPr>
                <w:rFonts w:ascii="Arial" w:hAnsi="Arial"/>
                <w:sz w:val="20"/>
              </w:rPr>
              <w:t>c. Ostatní aktiva</w:t>
            </w:r>
          </w:p>
        </w:tc>
        <w:tc>
          <w:tcPr>
            <w:tcW w:w="2745" w:type="dxa"/>
            <w:tcBorders>
              <w:left w:val="nil"/>
              <w:right w:val="nil"/>
            </w:tcBorders>
            <w:noWrap/>
            <w:hideMark/>
          </w:tcPr>
          <w:p w:rsidRPr="00700100" w:rsidR="00D646FE" w:rsidP="00AC739C" w:rsidRDefault="00D646FE" w14:paraId="5D59F13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262C2DB" w14:textId="77777777">
        <w:trPr>
          <w:trHeight w:val="300"/>
        </w:trPr>
        <w:tc>
          <w:tcPr>
            <w:tcW w:w="6804" w:type="dxa"/>
            <w:tcBorders>
              <w:left w:val="nil"/>
              <w:right w:val="nil"/>
            </w:tcBorders>
            <w:noWrap/>
            <w:hideMark/>
          </w:tcPr>
          <w:p w:rsidRPr="00700100" w:rsidR="00D646FE" w:rsidP="00AC739C" w:rsidRDefault="00D646FE" w14:paraId="12F932EA" w14:textId="77777777">
            <w:pPr>
              <w:ind w:firstLine="200" w:firstLineChars="100"/>
              <w:rPr>
                <w:rFonts w:ascii="Arial" w:hAnsi="Arial" w:eastAsia="Times New Roman" w:cs="Arial"/>
                <w:sz w:val="20"/>
                <w:szCs w:val="20"/>
              </w:rPr>
            </w:pPr>
            <w:r w:rsidRPr="00700100">
              <w:rPr>
                <w:rFonts w:ascii="Arial" w:hAnsi="Arial"/>
                <w:sz w:val="20"/>
              </w:rPr>
              <w:t>d. Hrubá pomyslná hodnota podrozvahových položek</w:t>
            </w:r>
          </w:p>
        </w:tc>
        <w:tc>
          <w:tcPr>
            <w:tcW w:w="2745" w:type="dxa"/>
            <w:tcBorders>
              <w:left w:val="nil"/>
              <w:right w:val="nil"/>
            </w:tcBorders>
            <w:noWrap/>
            <w:hideMark/>
          </w:tcPr>
          <w:p w:rsidRPr="00700100" w:rsidR="00D646FE" w:rsidP="00AC739C" w:rsidRDefault="00D646FE" w14:paraId="7D22FD77"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0F81FB84" w14:textId="77777777">
        <w:trPr>
          <w:trHeight w:val="300"/>
        </w:trPr>
        <w:tc>
          <w:tcPr>
            <w:tcW w:w="6804" w:type="dxa"/>
            <w:tcBorders>
              <w:left w:val="nil"/>
              <w:right w:val="nil"/>
            </w:tcBorders>
            <w:noWrap/>
            <w:hideMark/>
          </w:tcPr>
          <w:p w:rsidRPr="00700100" w:rsidR="00D646FE" w:rsidP="00AC739C" w:rsidRDefault="00D646FE" w14:paraId="61DA1284"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Položky s úvěrovým konverzním faktorem (CCF) 0 %</w:t>
            </w:r>
          </w:p>
        </w:tc>
        <w:tc>
          <w:tcPr>
            <w:tcW w:w="2745" w:type="dxa"/>
            <w:tcBorders>
              <w:left w:val="nil"/>
              <w:right w:val="nil"/>
            </w:tcBorders>
            <w:noWrap/>
            <w:hideMark/>
          </w:tcPr>
          <w:p w:rsidRPr="00700100" w:rsidR="00D646FE" w:rsidP="00AC739C" w:rsidRDefault="00D646FE" w14:paraId="06052C52"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471A003" w14:textId="77777777">
        <w:trPr>
          <w:trHeight w:val="300"/>
        </w:trPr>
        <w:tc>
          <w:tcPr>
            <w:tcW w:w="6804" w:type="dxa"/>
            <w:tcBorders>
              <w:left w:val="nil"/>
              <w:right w:val="nil"/>
            </w:tcBorders>
            <w:noWrap/>
            <w:hideMark/>
          </w:tcPr>
          <w:p w:rsidRPr="00700100" w:rsidR="00D646FE" w:rsidP="00AC739C" w:rsidRDefault="00D646FE" w14:paraId="089AB380"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Položky s CCF 20 %</w:t>
            </w:r>
          </w:p>
        </w:tc>
        <w:tc>
          <w:tcPr>
            <w:tcW w:w="2745" w:type="dxa"/>
            <w:tcBorders>
              <w:left w:val="nil"/>
              <w:right w:val="nil"/>
            </w:tcBorders>
            <w:noWrap/>
            <w:hideMark/>
          </w:tcPr>
          <w:p w:rsidRPr="00700100" w:rsidR="00D646FE" w:rsidP="00AC739C" w:rsidRDefault="00D646FE" w14:paraId="31E4DFF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6CE2485" w14:textId="77777777">
        <w:trPr>
          <w:trHeight w:val="300"/>
        </w:trPr>
        <w:tc>
          <w:tcPr>
            <w:tcW w:w="6804" w:type="dxa"/>
            <w:tcBorders>
              <w:left w:val="nil"/>
              <w:right w:val="nil"/>
            </w:tcBorders>
            <w:noWrap/>
            <w:hideMark/>
          </w:tcPr>
          <w:p w:rsidRPr="00700100" w:rsidR="00D646FE" w:rsidP="00AC739C" w:rsidRDefault="00D646FE" w14:paraId="0614684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Položky s CCF 50 %</w:t>
            </w:r>
          </w:p>
        </w:tc>
        <w:tc>
          <w:tcPr>
            <w:tcW w:w="2745" w:type="dxa"/>
            <w:tcBorders>
              <w:left w:val="nil"/>
              <w:right w:val="nil"/>
            </w:tcBorders>
            <w:noWrap/>
            <w:hideMark/>
          </w:tcPr>
          <w:p w:rsidRPr="00700100" w:rsidR="00D646FE" w:rsidP="00AC739C" w:rsidRDefault="00D646FE" w14:paraId="57F1802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D436124" w14:textId="77777777">
        <w:trPr>
          <w:trHeight w:val="300"/>
        </w:trPr>
        <w:tc>
          <w:tcPr>
            <w:tcW w:w="6804" w:type="dxa"/>
            <w:tcBorders>
              <w:left w:val="nil"/>
              <w:right w:val="nil"/>
            </w:tcBorders>
            <w:noWrap/>
            <w:hideMark/>
          </w:tcPr>
          <w:p w:rsidRPr="00700100" w:rsidR="00D646FE" w:rsidP="00AC739C" w:rsidRDefault="00D646FE" w14:paraId="0D5BDFAE" w14:textId="77777777">
            <w:pPr>
              <w:ind w:firstLine="400" w:firstLineChars="200"/>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Položky s CCF 100 %</w:t>
            </w:r>
          </w:p>
        </w:tc>
        <w:tc>
          <w:tcPr>
            <w:tcW w:w="2745" w:type="dxa"/>
            <w:tcBorders>
              <w:left w:val="nil"/>
              <w:right w:val="nil"/>
            </w:tcBorders>
            <w:noWrap/>
            <w:hideMark/>
          </w:tcPr>
          <w:p w:rsidRPr="00700100" w:rsidR="00D646FE" w:rsidP="00AC739C" w:rsidRDefault="00D646FE" w14:paraId="18A0D62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70D4E82" w14:textId="77777777">
        <w:trPr>
          <w:trHeight w:val="300"/>
        </w:trPr>
        <w:tc>
          <w:tcPr>
            <w:tcW w:w="6804" w:type="dxa"/>
            <w:tcBorders>
              <w:left w:val="nil"/>
              <w:right w:val="nil"/>
            </w:tcBorders>
            <w:noWrap/>
            <w:hideMark/>
          </w:tcPr>
          <w:p w:rsidRPr="00700100" w:rsidR="00D646FE" w:rsidP="00AC739C" w:rsidRDefault="00D646FE" w14:paraId="4CF281E9" w14:textId="77777777">
            <w:pPr>
              <w:ind w:firstLine="200" w:firstLineChars="100"/>
              <w:rPr>
                <w:rFonts w:ascii="Arial" w:hAnsi="Arial" w:eastAsia="Times New Roman" w:cs="Arial"/>
                <w:sz w:val="20"/>
                <w:szCs w:val="20"/>
              </w:rPr>
            </w:pPr>
            <w:r w:rsidRPr="00700100">
              <w:rPr>
                <w:rFonts w:ascii="Arial" w:hAnsi="Arial"/>
                <w:sz w:val="20"/>
              </w:rPr>
              <w:t>e. Regulační úpravy</w:t>
            </w:r>
          </w:p>
        </w:tc>
        <w:tc>
          <w:tcPr>
            <w:tcW w:w="2745" w:type="dxa"/>
            <w:tcBorders>
              <w:left w:val="nil"/>
              <w:right w:val="nil"/>
            </w:tcBorders>
            <w:noWrap/>
            <w:hideMark/>
          </w:tcPr>
          <w:p w:rsidRPr="00700100" w:rsidR="00D646FE" w:rsidP="00AC739C" w:rsidRDefault="00D646FE" w14:paraId="0E6EADC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8290173" w14:textId="77777777">
        <w:trPr>
          <w:trHeight w:val="300"/>
        </w:trPr>
        <w:tc>
          <w:tcPr>
            <w:tcW w:w="6804" w:type="dxa"/>
            <w:tcBorders>
              <w:left w:val="nil"/>
              <w:right w:val="nil"/>
            </w:tcBorders>
            <w:noWrap/>
          </w:tcPr>
          <w:p w:rsidRPr="00700100" w:rsidR="00D646FE" w:rsidP="00AC739C" w:rsidRDefault="00D646FE" w14:paraId="6489B94D" w14:textId="77777777">
            <w:pPr>
              <w:ind w:left="171" w:firstLine="28" w:firstLineChars="14"/>
              <w:rPr>
                <w:rFonts w:ascii="Arial" w:hAnsi="Arial" w:eastAsia="Times New Roman" w:cs="Arial"/>
                <w:sz w:val="20"/>
                <w:szCs w:val="20"/>
              </w:rPr>
            </w:pPr>
            <w:r w:rsidRPr="00700100">
              <w:rPr>
                <w:rFonts w:ascii="Arial" w:hAnsi="Arial"/>
                <w:sz w:val="20"/>
              </w:rPr>
              <w:lastRenderedPageBreak/>
              <w:t>f. Expozice celkem před regulačními úpravami (součet položek 2.a.(1) až 2.c., 0,1násobek 2.d.(1), 0,2násobek 2.d.(2), 0,5násobek 2.d.(3) a 2.d.(4))</w:t>
            </w:r>
          </w:p>
        </w:tc>
        <w:tc>
          <w:tcPr>
            <w:tcW w:w="2745" w:type="dxa"/>
            <w:tcBorders>
              <w:left w:val="nil"/>
              <w:right w:val="nil"/>
            </w:tcBorders>
            <w:noWrap/>
          </w:tcPr>
          <w:p w:rsidRPr="00700100" w:rsidR="00D646FE" w:rsidP="00AC739C" w:rsidRDefault="00D646FE" w14:paraId="1296A447" w14:textId="77777777">
            <w:pPr>
              <w:jc w:val="right"/>
              <w:rPr>
                <w:rFonts w:ascii="Arial" w:hAnsi="Arial" w:eastAsia="Times New Roman" w:cs="Arial"/>
                <w:sz w:val="20"/>
                <w:szCs w:val="20"/>
                <w:lang w:eastAsia="en-GB"/>
              </w:rPr>
            </w:pPr>
          </w:p>
        </w:tc>
      </w:tr>
      <w:tr w:rsidRPr="00700100" w:rsidR="00D646FE" w:rsidTr="00AC739C" w14:paraId="5CE377F7" w14:textId="77777777">
        <w:trPr>
          <w:trHeight w:val="300"/>
        </w:trPr>
        <w:tc>
          <w:tcPr>
            <w:tcW w:w="6804" w:type="dxa"/>
            <w:tcBorders>
              <w:left w:val="nil"/>
              <w:right w:val="nil"/>
            </w:tcBorders>
            <w:noWrap/>
          </w:tcPr>
          <w:p w:rsidRPr="00700100" w:rsidR="00D646FE" w:rsidP="00AC739C" w:rsidRDefault="00D646FE" w14:paraId="18296176" w14:textId="77777777">
            <w:pPr>
              <w:ind w:left="171" w:firstLine="28" w:firstLineChars="14"/>
              <w:rPr>
                <w:rFonts w:ascii="Arial" w:hAnsi="Arial" w:eastAsia="Times New Roman" w:cs="Arial"/>
                <w:sz w:val="20"/>
                <w:szCs w:val="20"/>
              </w:rPr>
            </w:pPr>
            <w:r w:rsidRPr="00700100">
              <w:rPr>
                <w:rFonts w:ascii="Arial" w:hAnsi="Arial"/>
                <w:sz w:val="20"/>
              </w:rPr>
              <w:t>g. Expozice pojišťovacích dceřiných společností nezahrnuté v položce 2.f. bez expozic v rámci skupiny:</w:t>
            </w:r>
          </w:p>
        </w:tc>
        <w:tc>
          <w:tcPr>
            <w:tcW w:w="2745" w:type="dxa"/>
            <w:tcBorders>
              <w:left w:val="nil"/>
              <w:right w:val="nil"/>
            </w:tcBorders>
            <w:noWrap/>
          </w:tcPr>
          <w:p w:rsidRPr="00700100" w:rsidR="00D646FE" w:rsidP="00AC739C" w:rsidRDefault="00D646FE" w14:paraId="068CA6B1" w14:textId="77777777">
            <w:pPr>
              <w:jc w:val="right"/>
              <w:rPr>
                <w:rFonts w:ascii="Arial" w:hAnsi="Arial" w:eastAsia="Times New Roman" w:cs="Arial"/>
                <w:sz w:val="20"/>
                <w:szCs w:val="20"/>
                <w:lang w:eastAsia="en-GB"/>
              </w:rPr>
            </w:pPr>
          </w:p>
        </w:tc>
      </w:tr>
      <w:tr w:rsidRPr="00700100" w:rsidR="00D646FE" w:rsidTr="00AC739C" w14:paraId="6DD13FB3" w14:textId="77777777">
        <w:trPr>
          <w:trHeight w:val="300"/>
        </w:trPr>
        <w:tc>
          <w:tcPr>
            <w:tcW w:w="6804" w:type="dxa"/>
            <w:tcBorders>
              <w:left w:val="nil"/>
              <w:right w:val="nil"/>
            </w:tcBorders>
            <w:noWrap/>
          </w:tcPr>
          <w:p w:rsidRPr="00700100" w:rsidR="00D646FE" w:rsidP="00AC739C" w:rsidRDefault="00D646FE" w14:paraId="1D7E2A41" w14:textId="77777777">
            <w:pPr>
              <w:ind w:left="720" w:firstLine="28" w:firstLineChars="14"/>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Rozvahová a podrozvahová aktiva pojišťovacích dceřiných společností</w:t>
            </w:r>
          </w:p>
        </w:tc>
        <w:tc>
          <w:tcPr>
            <w:tcW w:w="2745" w:type="dxa"/>
            <w:tcBorders>
              <w:left w:val="nil"/>
              <w:right w:val="nil"/>
            </w:tcBorders>
            <w:noWrap/>
          </w:tcPr>
          <w:p w:rsidRPr="00700100" w:rsidR="00D646FE" w:rsidP="00AC739C" w:rsidRDefault="00D646FE" w14:paraId="0C27CC32" w14:textId="77777777">
            <w:pPr>
              <w:jc w:val="right"/>
              <w:rPr>
                <w:rFonts w:ascii="Arial" w:hAnsi="Arial" w:eastAsia="Times New Roman" w:cs="Arial"/>
                <w:sz w:val="20"/>
                <w:szCs w:val="20"/>
                <w:lang w:eastAsia="en-GB"/>
              </w:rPr>
            </w:pPr>
          </w:p>
        </w:tc>
      </w:tr>
      <w:tr w:rsidRPr="00700100" w:rsidR="00D646FE" w:rsidTr="00AC739C" w14:paraId="48A59A17" w14:textId="77777777">
        <w:trPr>
          <w:trHeight w:val="300"/>
        </w:trPr>
        <w:tc>
          <w:tcPr>
            <w:tcW w:w="6804" w:type="dxa"/>
            <w:tcBorders>
              <w:left w:val="nil"/>
              <w:right w:val="nil"/>
            </w:tcBorders>
            <w:noWrap/>
          </w:tcPr>
          <w:p w:rsidRPr="00700100" w:rsidR="00D646FE" w:rsidP="00AC739C" w:rsidRDefault="00D646FE" w14:paraId="0F85B64F" w14:textId="77777777">
            <w:pPr>
              <w:ind w:left="720" w:firstLine="28" w:firstLineChars="14"/>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Potenciální budoucí expozice derivátových smluv pojišťovacích dceřiných společností</w:t>
            </w:r>
          </w:p>
        </w:tc>
        <w:tc>
          <w:tcPr>
            <w:tcW w:w="2745" w:type="dxa"/>
            <w:tcBorders>
              <w:left w:val="nil"/>
              <w:right w:val="nil"/>
            </w:tcBorders>
            <w:noWrap/>
          </w:tcPr>
          <w:p w:rsidRPr="00700100" w:rsidR="00D646FE" w:rsidP="00AC739C" w:rsidRDefault="00D646FE" w14:paraId="17AFA6FB" w14:textId="77777777">
            <w:pPr>
              <w:jc w:val="right"/>
              <w:rPr>
                <w:rFonts w:ascii="Arial" w:hAnsi="Arial" w:eastAsia="Times New Roman" w:cs="Arial"/>
                <w:sz w:val="20"/>
                <w:szCs w:val="20"/>
                <w:lang w:eastAsia="en-GB"/>
              </w:rPr>
            </w:pPr>
          </w:p>
        </w:tc>
      </w:tr>
      <w:tr w:rsidRPr="00700100" w:rsidR="00D646FE" w:rsidTr="00AC739C" w14:paraId="0D794089" w14:textId="77777777">
        <w:trPr>
          <w:trHeight w:val="300"/>
        </w:trPr>
        <w:tc>
          <w:tcPr>
            <w:tcW w:w="6804" w:type="dxa"/>
            <w:tcBorders>
              <w:left w:val="nil"/>
              <w:right w:val="nil"/>
            </w:tcBorders>
            <w:noWrap/>
          </w:tcPr>
          <w:p w:rsidRPr="00700100" w:rsidR="00D646FE" w:rsidP="00AC739C" w:rsidRDefault="00D646FE" w14:paraId="141532F5" w14:textId="77777777">
            <w:pPr>
              <w:ind w:left="720" w:firstLine="28" w:firstLineChars="14"/>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Hodnota investic do konsolidovaných subjektů</w:t>
            </w:r>
          </w:p>
        </w:tc>
        <w:tc>
          <w:tcPr>
            <w:tcW w:w="2745" w:type="dxa"/>
            <w:tcBorders>
              <w:left w:val="nil"/>
              <w:right w:val="nil"/>
            </w:tcBorders>
            <w:noWrap/>
          </w:tcPr>
          <w:p w:rsidRPr="00700100" w:rsidR="00D646FE" w:rsidP="00AC739C" w:rsidRDefault="00D646FE" w14:paraId="0C50A93D" w14:textId="77777777">
            <w:pPr>
              <w:jc w:val="right"/>
              <w:rPr>
                <w:rFonts w:ascii="Arial" w:hAnsi="Arial" w:eastAsia="Times New Roman" w:cs="Arial"/>
                <w:sz w:val="20"/>
                <w:szCs w:val="20"/>
                <w:lang w:eastAsia="en-GB"/>
              </w:rPr>
            </w:pPr>
          </w:p>
        </w:tc>
      </w:tr>
      <w:tr w:rsidRPr="00700100" w:rsidR="00D646FE" w:rsidTr="00AC739C" w14:paraId="1AC40D68" w14:textId="77777777">
        <w:trPr>
          <w:trHeight w:val="300"/>
        </w:trPr>
        <w:tc>
          <w:tcPr>
            <w:tcW w:w="6804" w:type="dxa"/>
            <w:tcBorders>
              <w:left w:val="nil"/>
              <w:right w:val="nil"/>
            </w:tcBorders>
            <w:noWrap/>
          </w:tcPr>
          <w:p w:rsidRPr="00700100" w:rsidR="00D646FE" w:rsidP="00AC739C" w:rsidRDefault="00D646FE" w14:paraId="7FAD8428" w14:textId="77777777">
            <w:pPr>
              <w:ind w:left="171"/>
              <w:rPr>
                <w:rFonts w:ascii="Arial" w:hAnsi="Arial" w:eastAsia="Times New Roman" w:cs="Arial"/>
                <w:sz w:val="20"/>
                <w:szCs w:val="20"/>
              </w:rPr>
            </w:pPr>
            <w:r w:rsidRPr="00700100">
              <w:rPr>
                <w:rFonts w:ascii="Arial" w:hAnsi="Arial"/>
                <w:sz w:val="20"/>
              </w:rPr>
              <w:t>h. Expozice v rámci skupiny zahrnuté v položce 2.f. vůči pojišťovacím dceřiným společnostem oznámeným v položce 2.g.</w:t>
            </w:r>
          </w:p>
        </w:tc>
        <w:tc>
          <w:tcPr>
            <w:tcW w:w="2745" w:type="dxa"/>
            <w:tcBorders>
              <w:left w:val="nil"/>
              <w:right w:val="nil"/>
            </w:tcBorders>
            <w:noWrap/>
          </w:tcPr>
          <w:p w:rsidRPr="00700100" w:rsidR="00D646FE" w:rsidP="00AC739C" w:rsidRDefault="00D646FE" w14:paraId="3EB4022B" w14:textId="77777777">
            <w:pPr>
              <w:jc w:val="right"/>
              <w:rPr>
                <w:rFonts w:ascii="Arial" w:hAnsi="Arial" w:eastAsia="Times New Roman" w:cs="Arial"/>
                <w:sz w:val="20"/>
                <w:szCs w:val="20"/>
                <w:lang w:eastAsia="en-GB"/>
              </w:rPr>
            </w:pPr>
          </w:p>
        </w:tc>
      </w:tr>
      <w:tr w:rsidRPr="00700100" w:rsidR="00D646FE" w:rsidTr="00AC739C" w14:paraId="6620BC79" w14:textId="77777777">
        <w:trPr>
          <w:trHeight w:val="300"/>
        </w:trPr>
        <w:tc>
          <w:tcPr>
            <w:tcW w:w="6804" w:type="dxa"/>
            <w:tcBorders>
              <w:left w:val="nil"/>
              <w:bottom w:val="single" w:color="auto" w:sz="4" w:space="0"/>
              <w:right w:val="nil"/>
            </w:tcBorders>
            <w:noWrap/>
          </w:tcPr>
          <w:p w:rsidRPr="00700100" w:rsidR="00D646FE" w:rsidP="00AC739C" w:rsidRDefault="00D646FE" w14:paraId="6E4303D4" w14:textId="77777777">
            <w:pPr>
              <w:ind w:left="171"/>
              <w:rPr>
                <w:rFonts w:ascii="Arial" w:hAnsi="Arial" w:eastAsia="Times New Roman" w:cs="Arial"/>
                <w:sz w:val="20"/>
                <w:szCs w:val="20"/>
              </w:rPr>
            </w:pPr>
            <w:r w:rsidRPr="00700100">
              <w:rPr>
                <w:rFonts w:ascii="Arial" w:hAnsi="Arial"/>
                <w:sz w:val="20"/>
              </w:rPr>
              <w:t>i. Ukazatel celkových expozic, včetně pojišťovacích dceřiných společností (součet položek 2.f., 2.g.(1) až 2.g.(2) minus 2.g.(3) až 2.h.)</w:t>
            </w:r>
          </w:p>
        </w:tc>
        <w:tc>
          <w:tcPr>
            <w:tcW w:w="2745" w:type="dxa"/>
            <w:tcBorders>
              <w:left w:val="nil"/>
              <w:bottom w:val="single" w:color="auto" w:sz="4" w:space="0"/>
              <w:right w:val="nil"/>
            </w:tcBorders>
            <w:noWrap/>
          </w:tcPr>
          <w:p w:rsidRPr="00700100" w:rsidR="00D646FE" w:rsidP="00AC739C" w:rsidRDefault="00D646FE" w14:paraId="1BF6CCEF" w14:textId="77777777">
            <w:pPr>
              <w:jc w:val="right"/>
              <w:rPr>
                <w:rFonts w:ascii="Arial" w:hAnsi="Arial" w:eastAsia="Times New Roman" w:cs="Arial"/>
                <w:sz w:val="20"/>
                <w:szCs w:val="20"/>
                <w:lang w:eastAsia="en-GB"/>
              </w:rPr>
            </w:pPr>
          </w:p>
        </w:tc>
      </w:tr>
      <w:tr w:rsidRPr="00700100" w:rsidR="00D646FE" w:rsidTr="00AC739C" w14:paraId="45D27B4E" w14:textId="77777777">
        <w:trPr>
          <w:trHeight w:val="403"/>
        </w:trPr>
        <w:tc>
          <w:tcPr>
            <w:tcW w:w="9549" w:type="dxa"/>
            <w:gridSpan w:val="2"/>
            <w:tcBorders>
              <w:left w:val="nil"/>
              <w:right w:val="nil"/>
            </w:tcBorders>
            <w:noWrap/>
            <w:hideMark/>
          </w:tcPr>
          <w:p w:rsidRPr="00700100" w:rsidR="00D646FE" w:rsidP="00AC739C" w:rsidRDefault="00D646FE" w14:paraId="10EB4B05" w14:textId="77777777">
            <w:pPr>
              <w:keepNext/>
              <w:keepLines/>
              <w:spacing w:before="47"/>
              <w:outlineLvl w:val="5"/>
              <w:rPr>
                <w:rFonts w:ascii="Arial" w:hAnsi="Arial" w:eastAsia="Times New Roman" w:cs="Arial"/>
                <w:b/>
                <w:bCs/>
                <w:i/>
                <w:iCs/>
                <w:caps/>
                <w:color w:val="172B39" w:themeColor="accent1" w:themeShade="80"/>
                <w:sz w:val="20"/>
                <w:szCs w:val="20"/>
                <w:lang w:eastAsia="en-GB"/>
              </w:rPr>
            </w:pPr>
          </w:p>
          <w:p w:rsidRPr="00700100" w:rsidR="00D646FE" w:rsidP="00AC739C" w:rsidRDefault="00D646FE" w14:paraId="2DA9C939" w14:textId="77777777">
            <w:pPr>
              <w:keepNext/>
              <w:keepLines/>
              <w:spacing w:before="47"/>
              <w:outlineLvl w:val="5"/>
              <w:rPr>
                <w:rFonts w:ascii="Arial" w:hAnsi="Arial" w:eastAsia="Times New Roman" w:cs="Arial"/>
                <w:i/>
                <w:iCs/>
                <w:caps/>
                <w:color w:val="172B39" w:themeColor="accent1" w:themeShade="80"/>
                <w:sz w:val="20"/>
                <w:szCs w:val="20"/>
              </w:rPr>
            </w:pPr>
            <w:r w:rsidRPr="00700100">
              <w:rPr>
                <w:rFonts w:ascii="Arial" w:hAnsi="Arial"/>
                <w:b/>
                <w:i/>
                <w:caps/>
                <w:color w:val="172B39" w:themeColor="accent1" w:themeShade="80"/>
                <w:sz w:val="24"/>
              </w:rPr>
              <w:t> </w:t>
            </w:r>
            <w:r w:rsidRPr="00700100">
              <w:rPr>
                <w:rFonts w:asciiTheme="majorHAnsi" w:hAnsiTheme="majorHAnsi"/>
                <w:b/>
                <w:i/>
                <w:caps/>
              </w:rPr>
              <w:t>Ukazatele propojení</w:t>
            </w:r>
          </w:p>
          <w:p w:rsidRPr="00700100" w:rsidR="00D646FE" w:rsidP="00AC739C" w:rsidRDefault="00D646FE" w14:paraId="65995158" w14:textId="77777777">
            <w:pPr>
              <w:rPr>
                <w:rFonts w:ascii="Arial" w:hAnsi="Arial" w:eastAsia="Times New Roman" w:cs="Arial"/>
                <w:b/>
                <w:bCs/>
                <w:sz w:val="24"/>
                <w:szCs w:val="24"/>
              </w:rPr>
            </w:pPr>
            <w:r w:rsidRPr="00700100">
              <w:rPr>
                <w:rFonts w:ascii="Arial" w:hAnsi="Arial"/>
                <w:b/>
                <w:sz w:val="24"/>
              </w:rPr>
              <w:t> </w:t>
            </w:r>
          </w:p>
        </w:tc>
      </w:tr>
      <w:tr w:rsidRPr="00700100" w:rsidR="00D646FE" w:rsidTr="00AC739C" w14:paraId="069B11D0"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6D12D1D" w14:textId="77777777">
            <w:pPr>
              <w:rPr>
                <w:rFonts w:ascii="Arial" w:hAnsi="Arial" w:eastAsia="Times New Roman" w:cs="Arial"/>
                <w:b/>
                <w:bCs/>
                <w:sz w:val="20"/>
                <w:szCs w:val="20"/>
              </w:rPr>
            </w:pPr>
            <w:r w:rsidRPr="00700100">
              <w:rPr>
                <w:rFonts w:ascii="Arial" w:hAnsi="Arial"/>
                <w:b/>
                <w:sz w:val="20"/>
              </w:rPr>
              <w:t>Oddíl 3 – Aktiva v rámci finančního systému</w:t>
            </w:r>
          </w:p>
        </w:tc>
        <w:tc>
          <w:tcPr>
            <w:tcW w:w="2745" w:type="dxa"/>
            <w:tcBorders>
              <w:left w:val="nil"/>
              <w:bottom w:val="single" w:color="auto" w:sz="4" w:space="0"/>
              <w:right w:val="nil"/>
            </w:tcBorders>
            <w:hideMark/>
          </w:tcPr>
          <w:p w:rsidRPr="00700100" w:rsidR="00D646FE" w:rsidP="00AC739C" w:rsidRDefault="00D646FE" w14:paraId="11BC79D8"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450DBBB" w14:textId="77777777">
        <w:trPr>
          <w:trHeight w:val="300"/>
        </w:trPr>
        <w:tc>
          <w:tcPr>
            <w:tcW w:w="6804" w:type="dxa"/>
            <w:tcBorders>
              <w:left w:val="nil"/>
              <w:right w:val="nil"/>
            </w:tcBorders>
            <w:noWrap/>
            <w:hideMark/>
          </w:tcPr>
          <w:p w:rsidRPr="00700100" w:rsidR="00D646FE" w:rsidP="00AC739C" w:rsidRDefault="00D646FE" w14:paraId="060710D6" w14:textId="77777777">
            <w:pPr>
              <w:ind w:firstLine="200" w:firstLineChars="100"/>
              <w:rPr>
                <w:rFonts w:ascii="Arial" w:hAnsi="Arial" w:eastAsia="Times New Roman" w:cs="Arial"/>
                <w:sz w:val="20"/>
                <w:szCs w:val="20"/>
              </w:rPr>
            </w:pPr>
            <w:r w:rsidRPr="00700100">
              <w:rPr>
                <w:rFonts w:ascii="Arial" w:hAnsi="Arial"/>
                <w:sz w:val="20"/>
              </w:rPr>
              <w:t>a. Finanční prostředky uložené u jiných finančních institucí nebo půjčené jiným finančním institucím</w:t>
            </w:r>
          </w:p>
        </w:tc>
        <w:tc>
          <w:tcPr>
            <w:tcW w:w="2745" w:type="dxa"/>
            <w:tcBorders>
              <w:left w:val="nil"/>
              <w:right w:val="nil"/>
            </w:tcBorders>
            <w:noWrap/>
            <w:hideMark/>
          </w:tcPr>
          <w:p w:rsidRPr="00700100" w:rsidR="00D646FE" w:rsidP="00AC739C" w:rsidRDefault="00D646FE" w14:paraId="581DA50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1162C46" w14:textId="77777777">
        <w:trPr>
          <w:trHeight w:val="300"/>
        </w:trPr>
        <w:tc>
          <w:tcPr>
            <w:tcW w:w="6804" w:type="dxa"/>
            <w:tcBorders>
              <w:left w:val="nil"/>
              <w:bottom w:val="single" w:color="auto" w:sz="4" w:space="0"/>
              <w:right w:val="nil"/>
            </w:tcBorders>
            <w:noWrap/>
            <w:hideMark/>
          </w:tcPr>
          <w:p w:rsidRPr="00700100" w:rsidR="00D646FE" w:rsidP="00AC739C" w:rsidRDefault="00D646FE" w14:paraId="2D0A54C6"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 xml:space="preserve">Vkladní listy </w:t>
            </w:r>
          </w:p>
        </w:tc>
        <w:tc>
          <w:tcPr>
            <w:tcW w:w="2745" w:type="dxa"/>
            <w:tcBorders>
              <w:left w:val="nil"/>
              <w:right w:val="nil"/>
            </w:tcBorders>
            <w:noWrap/>
            <w:hideMark/>
          </w:tcPr>
          <w:p w:rsidRPr="00700100" w:rsidR="00D646FE" w:rsidP="00AC739C" w:rsidRDefault="00D646FE" w14:paraId="0063007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82689C4" w14:textId="77777777">
        <w:trPr>
          <w:gridAfter w:val="1"/>
          <w:wAfter w:w="2745" w:type="dxa"/>
          <w:trHeight w:val="300"/>
        </w:trPr>
        <w:tc>
          <w:tcPr>
            <w:tcW w:w="6804" w:type="dxa"/>
            <w:tcBorders>
              <w:left w:val="nil"/>
              <w:right w:val="nil"/>
            </w:tcBorders>
            <w:noWrap/>
            <w:hideMark/>
          </w:tcPr>
          <w:p w:rsidRPr="00700100" w:rsidR="00D646FE" w:rsidP="00AC739C" w:rsidRDefault="00D646FE" w14:paraId="7AAD5F1B" w14:textId="77777777">
            <w:pPr>
              <w:ind w:left="171" w:firstLine="28" w:firstLineChars="14"/>
              <w:rPr>
                <w:rFonts w:ascii="Arial" w:hAnsi="Arial" w:eastAsia="Times New Roman" w:cs="Arial"/>
                <w:sz w:val="20"/>
                <w:szCs w:val="20"/>
              </w:rPr>
            </w:pPr>
            <w:r w:rsidRPr="00700100">
              <w:rPr>
                <w:rFonts w:ascii="Arial" w:hAnsi="Arial"/>
                <w:sz w:val="20"/>
              </w:rPr>
              <w:t>b. Nevyužitá část přislíbených linek poskytnutých jiným finančním institucím</w:t>
            </w:r>
          </w:p>
        </w:tc>
      </w:tr>
      <w:tr w:rsidRPr="00700100" w:rsidR="00D646FE" w:rsidTr="00AC739C" w14:paraId="0989DA5C" w14:textId="77777777">
        <w:trPr>
          <w:trHeight w:val="300"/>
        </w:trPr>
        <w:tc>
          <w:tcPr>
            <w:tcW w:w="6804" w:type="dxa"/>
            <w:tcBorders>
              <w:left w:val="nil"/>
              <w:right w:val="nil"/>
            </w:tcBorders>
            <w:noWrap/>
            <w:hideMark/>
          </w:tcPr>
          <w:p w:rsidRPr="00700100" w:rsidR="00D646FE" w:rsidP="00AC739C" w:rsidRDefault="00D646FE" w14:paraId="298000E4" w14:textId="77777777">
            <w:pPr>
              <w:ind w:firstLine="200" w:firstLineChars="100"/>
              <w:rPr>
                <w:rFonts w:ascii="Arial" w:hAnsi="Arial" w:eastAsia="Times New Roman" w:cs="Arial"/>
                <w:sz w:val="20"/>
                <w:szCs w:val="20"/>
              </w:rPr>
            </w:pPr>
            <w:r w:rsidRPr="00700100">
              <w:rPr>
                <w:rFonts w:ascii="Arial" w:hAnsi="Arial"/>
                <w:sz w:val="20"/>
              </w:rPr>
              <w:t>c. Držby cenných papírů emitovaných jinými finančními institucemi</w:t>
            </w:r>
          </w:p>
        </w:tc>
        <w:tc>
          <w:tcPr>
            <w:tcW w:w="2745" w:type="dxa"/>
            <w:tcBorders>
              <w:left w:val="nil"/>
              <w:right w:val="nil"/>
            </w:tcBorders>
            <w:noWrap/>
            <w:hideMark/>
          </w:tcPr>
          <w:p w:rsidRPr="00700100" w:rsidR="00D646FE" w:rsidP="00AC739C" w:rsidRDefault="00D646FE" w14:paraId="2EAEF8C1"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7D1227A1" w14:textId="77777777">
        <w:trPr>
          <w:trHeight w:val="300"/>
        </w:trPr>
        <w:tc>
          <w:tcPr>
            <w:tcW w:w="6804" w:type="dxa"/>
            <w:tcBorders>
              <w:left w:val="nil"/>
              <w:right w:val="nil"/>
            </w:tcBorders>
            <w:noWrap/>
            <w:hideMark/>
          </w:tcPr>
          <w:p w:rsidRPr="00700100" w:rsidR="00D646FE" w:rsidP="00AC739C" w:rsidRDefault="00D646FE" w14:paraId="088AB186"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Zajištěné dluhové cenné papíry</w:t>
            </w:r>
          </w:p>
        </w:tc>
        <w:tc>
          <w:tcPr>
            <w:tcW w:w="2745" w:type="dxa"/>
            <w:tcBorders>
              <w:left w:val="nil"/>
              <w:right w:val="nil"/>
            </w:tcBorders>
            <w:noWrap/>
            <w:hideMark/>
          </w:tcPr>
          <w:p w:rsidRPr="00700100" w:rsidR="00D646FE" w:rsidP="00AC739C" w:rsidRDefault="00D646FE" w14:paraId="4BC91AB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A82CD88" w14:textId="77777777">
        <w:trPr>
          <w:trHeight w:val="300"/>
        </w:trPr>
        <w:tc>
          <w:tcPr>
            <w:tcW w:w="6804" w:type="dxa"/>
            <w:tcBorders>
              <w:left w:val="nil"/>
              <w:right w:val="nil"/>
            </w:tcBorders>
            <w:noWrap/>
            <w:hideMark/>
          </w:tcPr>
          <w:p w:rsidRPr="00700100" w:rsidR="00D646FE" w:rsidP="00AC739C" w:rsidRDefault="00D646FE" w14:paraId="3C874D31"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Senioritní nezajištěné dluhové cenné papíry</w:t>
            </w:r>
          </w:p>
        </w:tc>
        <w:tc>
          <w:tcPr>
            <w:tcW w:w="2745" w:type="dxa"/>
            <w:tcBorders>
              <w:left w:val="nil"/>
              <w:right w:val="nil"/>
            </w:tcBorders>
            <w:noWrap/>
            <w:hideMark/>
          </w:tcPr>
          <w:p w:rsidRPr="00700100" w:rsidR="00D646FE" w:rsidP="00AC739C" w:rsidRDefault="00D646FE" w14:paraId="2DA9147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541F155D" w14:textId="77777777">
        <w:trPr>
          <w:trHeight w:val="300"/>
        </w:trPr>
        <w:tc>
          <w:tcPr>
            <w:tcW w:w="6804" w:type="dxa"/>
            <w:tcBorders>
              <w:left w:val="nil"/>
              <w:right w:val="nil"/>
            </w:tcBorders>
            <w:noWrap/>
            <w:hideMark/>
          </w:tcPr>
          <w:p w:rsidRPr="00700100" w:rsidR="00D646FE" w:rsidP="00AC739C" w:rsidRDefault="00D646FE" w14:paraId="1713AC02"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Podřízené dluhové cenné papíry</w:t>
            </w:r>
          </w:p>
        </w:tc>
        <w:tc>
          <w:tcPr>
            <w:tcW w:w="2745" w:type="dxa"/>
            <w:tcBorders>
              <w:left w:val="nil"/>
              <w:right w:val="nil"/>
            </w:tcBorders>
            <w:noWrap/>
            <w:hideMark/>
          </w:tcPr>
          <w:p w:rsidRPr="00700100" w:rsidR="00D646FE" w:rsidP="00AC739C" w:rsidRDefault="00D646FE" w14:paraId="68BA74C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8D957A0" w14:textId="77777777">
        <w:trPr>
          <w:trHeight w:val="300"/>
        </w:trPr>
        <w:tc>
          <w:tcPr>
            <w:tcW w:w="6804" w:type="dxa"/>
            <w:tcBorders>
              <w:left w:val="nil"/>
              <w:right w:val="nil"/>
            </w:tcBorders>
            <w:noWrap/>
            <w:hideMark/>
          </w:tcPr>
          <w:p w:rsidRPr="00700100" w:rsidR="00D646FE" w:rsidP="00AC739C" w:rsidRDefault="00D646FE" w14:paraId="47838287" w14:textId="77777777">
            <w:pPr>
              <w:ind w:firstLine="400" w:firstLineChars="200"/>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 xml:space="preserve">Obchodní cenné papíry </w:t>
            </w:r>
          </w:p>
        </w:tc>
        <w:tc>
          <w:tcPr>
            <w:tcW w:w="2745" w:type="dxa"/>
            <w:tcBorders>
              <w:left w:val="nil"/>
              <w:right w:val="nil"/>
            </w:tcBorders>
            <w:noWrap/>
            <w:hideMark/>
          </w:tcPr>
          <w:p w:rsidRPr="00700100" w:rsidR="00D646FE" w:rsidP="00AC739C" w:rsidRDefault="00D646FE" w14:paraId="1B33448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4808A48" w14:textId="77777777">
        <w:trPr>
          <w:trHeight w:val="300"/>
        </w:trPr>
        <w:tc>
          <w:tcPr>
            <w:tcW w:w="6804" w:type="dxa"/>
            <w:tcBorders>
              <w:left w:val="nil"/>
              <w:bottom w:val="single" w:color="auto" w:sz="4" w:space="0"/>
              <w:right w:val="nil"/>
            </w:tcBorders>
            <w:noWrap/>
            <w:hideMark/>
          </w:tcPr>
          <w:p w:rsidRPr="00700100" w:rsidR="00D646FE" w:rsidP="00AC739C" w:rsidRDefault="00D646FE" w14:paraId="65034168" w14:textId="77777777">
            <w:pPr>
              <w:ind w:firstLine="400" w:firstLineChars="200"/>
              <w:rPr>
                <w:rFonts w:ascii="Arial" w:hAnsi="Arial" w:eastAsia="Times New Roman" w:cs="Arial"/>
                <w:sz w:val="20"/>
                <w:szCs w:val="20"/>
              </w:rPr>
            </w:pPr>
            <w:r w:rsidRPr="00700100">
              <w:rPr>
                <w:rFonts w:ascii="Arial" w:hAnsi="Arial"/>
                <w:sz w:val="20"/>
                <w:lang w:eastAsia="en-GB"/>
              </w:rPr>
              <w:t xml:space="preserve">(5) </w:t>
            </w:r>
            <w:r w:rsidRPr="00700100">
              <w:rPr>
                <w:rFonts w:ascii="Arial" w:hAnsi="Arial"/>
                <w:sz w:val="20"/>
              </w:rPr>
              <w:t>Majetkové cenné papíry</w:t>
            </w:r>
          </w:p>
        </w:tc>
        <w:tc>
          <w:tcPr>
            <w:tcW w:w="2745" w:type="dxa"/>
            <w:tcBorders>
              <w:left w:val="nil"/>
              <w:right w:val="nil"/>
            </w:tcBorders>
            <w:noWrap/>
            <w:hideMark/>
          </w:tcPr>
          <w:p w:rsidRPr="00700100" w:rsidR="00D646FE" w:rsidP="00AC739C" w:rsidRDefault="00D646FE" w14:paraId="48F11A0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70A2C8F" w14:textId="77777777">
        <w:trPr>
          <w:trHeight w:val="300"/>
        </w:trPr>
        <w:tc>
          <w:tcPr>
            <w:tcW w:w="6804" w:type="dxa"/>
            <w:tcBorders>
              <w:left w:val="nil"/>
              <w:bottom w:val="single" w:color="auto" w:sz="4" w:space="0"/>
              <w:right w:val="nil"/>
            </w:tcBorders>
            <w:noWrap/>
          </w:tcPr>
          <w:p w:rsidRPr="00700100" w:rsidR="00D646FE" w:rsidP="00AC739C" w:rsidRDefault="00D646FE" w14:paraId="3245E325" w14:textId="77777777">
            <w:pPr>
              <w:ind w:left="313" w:firstLine="86" w:firstLineChars="43"/>
              <w:rPr>
                <w:rFonts w:ascii="Arial" w:hAnsi="Arial" w:eastAsia="Times New Roman" w:cs="Arial"/>
                <w:sz w:val="20"/>
                <w:szCs w:val="20"/>
              </w:rPr>
            </w:pPr>
            <w:r w:rsidRPr="00700100">
              <w:rPr>
                <w:rFonts w:ascii="Arial" w:hAnsi="Arial"/>
                <w:sz w:val="20"/>
                <w:lang w:eastAsia="en-GB"/>
              </w:rPr>
              <w:t xml:space="preserve">(6) </w:t>
            </w:r>
            <w:r w:rsidRPr="00700100">
              <w:rPr>
                <w:rFonts w:ascii="Arial" w:hAnsi="Arial"/>
                <w:sz w:val="20"/>
              </w:rPr>
              <w:t>Započtení krátkých pozic v souvislosti se specifickými majetkovými cennými papíry uvedenými v položce 3.c.(5)</w:t>
            </w:r>
          </w:p>
        </w:tc>
        <w:tc>
          <w:tcPr>
            <w:tcW w:w="2745" w:type="dxa"/>
            <w:tcBorders>
              <w:left w:val="nil"/>
              <w:right w:val="nil"/>
            </w:tcBorders>
            <w:noWrap/>
          </w:tcPr>
          <w:p w:rsidRPr="00700100" w:rsidR="00D646FE" w:rsidP="00AC739C" w:rsidRDefault="00D646FE" w14:paraId="3E27C700" w14:textId="77777777">
            <w:pPr>
              <w:jc w:val="right"/>
              <w:rPr>
                <w:rFonts w:ascii="Arial" w:hAnsi="Arial" w:eastAsia="Times New Roman" w:cs="Arial"/>
                <w:sz w:val="20"/>
                <w:szCs w:val="20"/>
                <w:lang w:eastAsia="en-GB"/>
              </w:rPr>
            </w:pPr>
          </w:p>
        </w:tc>
      </w:tr>
      <w:tr w:rsidRPr="00700100" w:rsidR="00D646FE" w:rsidTr="00AC739C" w14:paraId="7B1130AE" w14:textId="77777777">
        <w:trPr>
          <w:trHeight w:val="300"/>
        </w:trPr>
        <w:tc>
          <w:tcPr>
            <w:tcW w:w="6804" w:type="dxa"/>
            <w:tcBorders>
              <w:left w:val="nil"/>
              <w:bottom w:val="single" w:color="auto" w:sz="4" w:space="0"/>
              <w:right w:val="nil"/>
            </w:tcBorders>
            <w:noWrap/>
          </w:tcPr>
          <w:p w:rsidRPr="00700100" w:rsidR="00D646FE" w:rsidP="00AC739C" w:rsidRDefault="00D646FE" w14:paraId="7C5C3074" w14:textId="77777777">
            <w:pPr>
              <w:ind w:firstLine="171"/>
              <w:rPr>
                <w:rFonts w:ascii="Arial" w:hAnsi="Arial" w:eastAsia="Times New Roman" w:cs="Arial"/>
                <w:sz w:val="20"/>
                <w:szCs w:val="20"/>
              </w:rPr>
            </w:pPr>
            <w:r w:rsidRPr="00700100">
              <w:rPr>
                <w:rFonts w:ascii="Arial" w:hAnsi="Arial"/>
                <w:sz w:val="20"/>
              </w:rPr>
              <w:t>d. Čistá kladná stávající expozice obchodů zajišťujících financování v jiných finančních institucích</w:t>
            </w:r>
          </w:p>
        </w:tc>
        <w:tc>
          <w:tcPr>
            <w:tcW w:w="2745" w:type="dxa"/>
            <w:tcBorders>
              <w:left w:val="nil"/>
              <w:right w:val="nil"/>
            </w:tcBorders>
            <w:noWrap/>
          </w:tcPr>
          <w:p w:rsidRPr="00700100" w:rsidR="00D646FE" w:rsidP="00AC739C" w:rsidRDefault="00D646FE" w14:paraId="77BBCF6B" w14:textId="77777777">
            <w:pPr>
              <w:jc w:val="right"/>
              <w:rPr>
                <w:rFonts w:ascii="Arial" w:hAnsi="Arial" w:eastAsia="Times New Roman" w:cs="Arial"/>
                <w:sz w:val="20"/>
                <w:szCs w:val="20"/>
                <w:lang w:eastAsia="en-GB"/>
              </w:rPr>
            </w:pPr>
          </w:p>
        </w:tc>
      </w:tr>
      <w:tr w:rsidRPr="00700100" w:rsidR="00D646FE" w:rsidTr="00AC739C" w14:paraId="1514EAEA" w14:textId="77777777">
        <w:trPr>
          <w:trHeight w:val="300"/>
        </w:trPr>
        <w:tc>
          <w:tcPr>
            <w:tcW w:w="6804" w:type="dxa"/>
            <w:tcBorders>
              <w:left w:val="nil"/>
              <w:bottom w:val="single" w:color="auto" w:sz="4" w:space="0"/>
              <w:right w:val="nil"/>
            </w:tcBorders>
            <w:noWrap/>
          </w:tcPr>
          <w:p w:rsidRPr="00700100" w:rsidR="00D646FE" w:rsidP="00AC739C" w:rsidRDefault="00D646FE" w14:paraId="5D858A4E" w14:textId="77777777">
            <w:pPr>
              <w:ind w:left="171"/>
              <w:rPr>
                <w:rFonts w:ascii="Arial" w:hAnsi="Arial" w:eastAsia="Times New Roman" w:cs="Arial"/>
                <w:sz w:val="20"/>
                <w:szCs w:val="20"/>
              </w:rPr>
            </w:pPr>
            <w:r w:rsidRPr="00700100">
              <w:rPr>
                <w:rFonts w:ascii="Arial" w:hAnsi="Arial"/>
                <w:sz w:val="20"/>
              </w:rPr>
              <w:t>e. Mimoburzovní (OTC) deriváty v jiných finančních institucích, které mají čistou kladnou reálnou hodnotu</w:t>
            </w:r>
          </w:p>
        </w:tc>
        <w:tc>
          <w:tcPr>
            <w:tcW w:w="2745" w:type="dxa"/>
            <w:tcBorders>
              <w:left w:val="nil"/>
              <w:right w:val="nil"/>
            </w:tcBorders>
            <w:noWrap/>
          </w:tcPr>
          <w:p w:rsidRPr="00700100" w:rsidR="00D646FE" w:rsidP="00AC739C" w:rsidRDefault="00D646FE" w14:paraId="6717BF5B" w14:textId="77777777">
            <w:pPr>
              <w:jc w:val="right"/>
              <w:rPr>
                <w:rFonts w:ascii="Arial" w:hAnsi="Arial" w:eastAsia="Times New Roman" w:cs="Arial"/>
                <w:sz w:val="20"/>
                <w:szCs w:val="20"/>
                <w:lang w:eastAsia="en-GB"/>
              </w:rPr>
            </w:pPr>
          </w:p>
        </w:tc>
      </w:tr>
      <w:tr w:rsidRPr="00700100" w:rsidR="00D646FE" w:rsidTr="00AC739C" w14:paraId="45E558E6" w14:textId="77777777">
        <w:trPr>
          <w:trHeight w:val="300"/>
        </w:trPr>
        <w:tc>
          <w:tcPr>
            <w:tcW w:w="6804" w:type="dxa"/>
            <w:tcBorders>
              <w:left w:val="nil"/>
              <w:bottom w:val="single" w:color="auto" w:sz="4" w:space="0"/>
              <w:right w:val="nil"/>
            </w:tcBorders>
            <w:noWrap/>
          </w:tcPr>
          <w:p w:rsidRPr="00700100" w:rsidR="00D646FE" w:rsidP="00AC739C" w:rsidRDefault="00D646FE" w14:paraId="5E84D937" w14:textId="77777777">
            <w:pPr>
              <w:ind w:left="313" w:firstLine="86" w:firstLineChars="43"/>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Čistá kladná reálná hodnota</w:t>
            </w:r>
          </w:p>
        </w:tc>
        <w:tc>
          <w:tcPr>
            <w:tcW w:w="2745" w:type="dxa"/>
            <w:tcBorders>
              <w:left w:val="nil"/>
              <w:right w:val="nil"/>
            </w:tcBorders>
            <w:noWrap/>
          </w:tcPr>
          <w:p w:rsidRPr="00700100" w:rsidR="00D646FE" w:rsidP="00AC739C" w:rsidRDefault="00D646FE" w14:paraId="298DF464" w14:textId="77777777">
            <w:pPr>
              <w:jc w:val="right"/>
              <w:rPr>
                <w:rFonts w:ascii="Arial" w:hAnsi="Arial" w:eastAsia="Times New Roman" w:cs="Arial"/>
                <w:sz w:val="20"/>
                <w:szCs w:val="20"/>
                <w:lang w:eastAsia="en-GB"/>
              </w:rPr>
            </w:pPr>
          </w:p>
        </w:tc>
      </w:tr>
      <w:tr w:rsidRPr="00700100" w:rsidR="00D646FE" w:rsidTr="00AC739C" w14:paraId="78301C69" w14:textId="77777777">
        <w:trPr>
          <w:trHeight w:val="300"/>
        </w:trPr>
        <w:tc>
          <w:tcPr>
            <w:tcW w:w="6804" w:type="dxa"/>
            <w:tcBorders>
              <w:left w:val="nil"/>
              <w:bottom w:val="single" w:color="auto" w:sz="4" w:space="0"/>
              <w:right w:val="nil"/>
            </w:tcBorders>
            <w:noWrap/>
          </w:tcPr>
          <w:p w:rsidRPr="00700100" w:rsidR="00D646FE" w:rsidP="00AC739C" w:rsidRDefault="00D646FE" w14:paraId="0A904EB8" w14:textId="77777777">
            <w:pPr>
              <w:ind w:left="313" w:firstLine="86" w:firstLineChars="43"/>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Potenciální budoucí expozice</w:t>
            </w:r>
          </w:p>
        </w:tc>
        <w:tc>
          <w:tcPr>
            <w:tcW w:w="2745" w:type="dxa"/>
            <w:tcBorders>
              <w:left w:val="nil"/>
              <w:right w:val="nil"/>
            </w:tcBorders>
            <w:noWrap/>
          </w:tcPr>
          <w:p w:rsidRPr="00700100" w:rsidR="00D646FE" w:rsidP="00AC739C" w:rsidRDefault="00D646FE" w14:paraId="5D28902E" w14:textId="77777777">
            <w:pPr>
              <w:jc w:val="right"/>
              <w:rPr>
                <w:rFonts w:ascii="Arial" w:hAnsi="Arial" w:eastAsia="Times New Roman" w:cs="Arial"/>
                <w:sz w:val="20"/>
                <w:szCs w:val="20"/>
                <w:lang w:eastAsia="en-GB"/>
              </w:rPr>
            </w:pPr>
          </w:p>
        </w:tc>
      </w:tr>
      <w:tr w:rsidRPr="00700100" w:rsidR="00D646FE" w:rsidTr="00AC739C" w14:paraId="7B63986D" w14:textId="77777777">
        <w:trPr>
          <w:gridAfter w:val="1"/>
          <w:wAfter w:w="2745" w:type="dxa"/>
          <w:trHeight w:val="450"/>
        </w:trPr>
        <w:tc>
          <w:tcPr>
            <w:tcW w:w="6804" w:type="dxa"/>
            <w:vMerge w:val="restart"/>
            <w:tcBorders>
              <w:left w:val="nil"/>
              <w:right w:val="nil"/>
            </w:tcBorders>
            <w:hideMark/>
          </w:tcPr>
          <w:p w:rsidRPr="00700100" w:rsidR="00D646FE" w:rsidP="00AC739C" w:rsidRDefault="00D646FE" w14:paraId="68BED0F8" w14:textId="77777777">
            <w:pPr>
              <w:ind w:left="171" w:firstLine="28" w:firstLineChars="14"/>
              <w:rPr>
                <w:rFonts w:ascii="Arial" w:hAnsi="Arial" w:eastAsia="Times New Roman" w:cs="Arial"/>
                <w:sz w:val="20"/>
                <w:szCs w:val="20"/>
              </w:rPr>
            </w:pPr>
            <w:r w:rsidRPr="00700100">
              <w:rPr>
                <w:rFonts w:ascii="Arial" w:hAnsi="Arial"/>
                <w:sz w:val="20"/>
              </w:rPr>
              <w:t>f. Ukazatel aktiv v rámci finančního systému, včetně pojišťovacích dceřiných společností (součet položek 3.a., 3.b. až 3.c.(5), 3.d., 3.e.(1) a 3.e.(2) minus položka 3.c.(6))</w:t>
            </w:r>
          </w:p>
        </w:tc>
      </w:tr>
      <w:tr w:rsidRPr="00700100" w:rsidR="00D646FE" w:rsidTr="00AC739C" w14:paraId="1E0CF81E" w14:textId="77777777">
        <w:trPr>
          <w:gridAfter w:val="1"/>
          <w:wAfter w:w="2745" w:type="dxa"/>
          <w:trHeight w:val="450"/>
        </w:trPr>
        <w:tc>
          <w:tcPr>
            <w:tcW w:w="6804" w:type="dxa"/>
            <w:vMerge/>
            <w:tcBorders>
              <w:left w:val="nil"/>
              <w:right w:val="nil"/>
            </w:tcBorders>
            <w:hideMark/>
          </w:tcPr>
          <w:p w:rsidRPr="00700100" w:rsidR="00D646FE" w:rsidP="00AC739C" w:rsidRDefault="00D646FE" w14:paraId="36DB81BD" w14:textId="77777777">
            <w:pPr>
              <w:rPr>
                <w:rFonts w:ascii="Arial" w:hAnsi="Arial" w:eastAsia="Times New Roman" w:cs="Arial"/>
                <w:sz w:val="20"/>
                <w:szCs w:val="20"/>
                <w:lang w:eastAsia="en-GB"/>
              </w:rPr>
            </w:pPr>
          </w:p>
        </w:tc>
      </w:tr>
      <w:tr w:rsidRPr="00700100" w:rsidR="00D646FE" w:rsidTr="00AC739C" w14:paraId="7331BC21" w14:textId="77777777">
        <w:trPr>
          <w:trHeight w:val="300"/>
        </w:trPr>
        <w:tc>
          <w:tcPr>
            <w:tcW w:w="6804" w:type="dxa"/>
            <w:tcBorders>
              <w:left w:val="nil"/>
              <w:bottom w:val="nil"/>
              <w:right w:val="nil"/>
            </w:tcBorders>
            <w:noWrap/>
          </w:tcPr>
          <w:p w:rsidRPr="00700100" w:rsidR="00D646FE" w:rsidP="00AC739C" w:rsidRDefault="00D646FE" w14:paraId="7297632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34C48BBE" w14:textId="77777777">
            <w:pPr>
              <w:jc w:val="center"/>
              <w:rPr>
                <w:rFonts w:ascii="Arial" w:hAnsi="Arial" w:eastAsia="Times New Roman" w:cs="Arial"/>
                <w:b/>
                <w:bCs/>
                <w:sz w:val="20"/>
                <w:szCs w:val="20"/>
                <w:lang w:eastAsia="en-GB"/>
              </w:rPr>
            </w:pPr>
          </w:p>
        </w:tc>
      </w:tr>
      <w:tr w:rsidRPr="00700100" w:rsidR="00D646FE" w:rsidTr="00AC739C" w14:paraId="1ACF221E"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560B4276" w14:textId="77777777">
            <w:pPr>
              <w:rPr>
                <w:rFonts w:ascii="Arial" w:hAnsi="Arial" w:eastAsia="Times New Roman" w:cs="Arial"/>
                <w:b/>
                <w:bCs/>
                <w:sz w:val="20"/>
                <w:szCs w:val="20"/>
              </w:rPr>
            </w:pPr>
            <w:r w:rsidRPr="00700100">
              <w:rPr>
                <w:rFonts w:ascii="Arial" w:hAnsi="Arial"/>
                <w:b/>
                <w:sz w:val="20"/>
              </w:rPr>
              <w:t>Oddíl 4 – Závazky v rámci finančního systému</w:t>
            </w:r>
          </w:p>
        </w:tc>
        <w:tc>
          <w:tcPr>
            <w:tcW w:w="2745" w:type="dxa"/>
            <w:tcBorders>
              <w:top w:val="nil"/>
              <w:left w:val="nil"/>
              <w:right w:val="nil"/>
            </w:tcBorders>
            <w:hideMark/>
          </w:tcPr>
          <w:p w:rsidRPr="00700100" w:rsidR="00D646FE" w:rsidP="00AC739C" w:rsidRDefault="00D646FE" w14:paraId="0901881B"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5F7BFBC" w14:textId="77777777">
        <w:trPr>
          <w:gridAfter w:val="1"/>
          <w:wAfter w:w="2745" w:type="dxa"/>
          <w:trHeight w:val="300"/>
        </w:trPr>
        <w:tc>
          <w:tcPr>
            <w:tcW w:w="6804" w:type="dxa"/>
            <w:tcBorders>
              <w:left w:val="nil"/>
              <w:right w:val="nil"/>
            </w:tcBorders>
            <w:noWrap/>
            <w:hideMark/>
          </w:tcPr>
          <w:p w:rsidRPr="00700100" w:rsidR="00D646FE" w:rsidP="00AC739C" w:rsidRDefault="00D646FE" w14:paraId="175C961E" w14:textId="77777777">
            <w:pPr>
              <w:ind w:left="171" w:firstLine="28" w:firstLineChars="14"/>
              <w:rPr>
                <w:rFonts w:ascii="Arial" w:hAnsi="Arial" w:eastAsia="Times New Roman" w:cs="Arial"/>
                <w:sz w:val="20"/>
                <w:szCs w:val="20"/>
              </w:rPr>
            </w:pPr>
            <w:r w:rsidRPr="00700100">
              <w:rPr>
                <w:rFonts w:ascii="Arial" w:hAnsi="Arial"/>
                <w:sz w:val="20"/>
              </w:rPr>
              <w:t>a. Finanční prostředky uložené jinými institucemi nebo půjčené od jiných finančních institucí</w:t>
            </w:r>
          </w:p>
        </w:tc>
      </w:tr>
      <w:tr w:rsidRPr="00700100" w:rsidR="00D646FE" w:rsidTr="00AC739C" w14:paraId="090AE70C" w14:textId="77777777">
        <w:trPr>
          <w:trHeight w:val="300"/>
        </w:trPr>
        <w:tc>
          <w:tcPr>
            <w:tcW w:w="6804" w:type="dxa"/>
            <w:tcBorders>
              <w:left w:val="nil"/>
              <w:right w:val="nil"/>
            </w:tcBorders>
            <w:noWrap/>
            <w:hideMark/>
          </w:tcPr>
          <w:p w:rsidRPr="00700100" w:rsidR="00D646FE" w:rsidP="00AC739C" w:rsidRDefault="00D646FE" w14:paraId="1C836A0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Vklady splatné depozitním institucím</w:t>
            </w:r>
          </w:p>
        </w:tc>
        <w:tc>
          <w:tcPr>
            <w:tcW w:w="2745" w:type="dxa"/>
            <w:tcBorders>
              <w:left w:val="nil"/>
              <w:right w:val="nil"/>
            </w:tcBorders>
            <w:noWrap/>
            <w:hideMark/>
          </w:tcPr>
          <w:p w:rsidRPr="00700100" w:rsidR="00D646FE" w:rsidP="00AC739C" w:rsidRDefault="00D646FE" w14:paraId="7887B3D5"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0158B2D" w14:textId="77777777">
        <w:trPr>
          <w:trHeight w:val="300"/>
        </w:trPr>
        <w:tc>
          <w:tcPr>
            <w:tcW w:w="6804" w:type="dxa"/>
            <w:tcBorders>
              <w:left w:val="nil"/>
              <w:right w:val="nil"/>
            </w:tcBorders>
            <w:noWrap/>
            <w:hideMark/>
          </w:tcPr>
          <w:p w:rsidRPr="00700100" w:rsidR="00D646FE" w:rsidP="00AC739C" w:rsidRDefault="00D646FE" w14:paraId="024E63CC"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Vklady splatné nedepozitním finančním institucím</w:t>
            </w:r>
          </w:p>
        </w:tc>
        <w:tc>
          <w:tcPr>
            <w:tcW w:w="2745" w:type="dxa"/>
            <w:tcBorders>
              <w:left w:val="nil"/>
              <w:right w:val="nil"/>
            </w:tcBorders>
            <w:noWrap/>
            <w:hideMark/>
          </w:tcPr>
          <w:p w:rsidRPr="00700100" w:rsidR="00D646FE" w:rsidP="00AC739C" w:rsidRDefault="00D646FE" w14:paraId="1457319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2C55039" w14:textId="77777777">
        <w:trPr>
          <w:trHeight w:val="300"/>
        </w:trPr>
        <w:tc>
          <w:tcPr>
            <w:tcW w:w="6804" w:type="dxa"/>
            <w:tcBorders>
              <w:left w:val="nil"/>
              <w:right w:val="nil"/>
            </w:tcBorders>
            <w:noWrap/>
            <w:hideMark/>
          </w:tcPr>
          <w:p w:rsidRPr="00700100" w:rsidR="00D646FE" w:rsidP="00AC739C" w:rsidRDefault="00D646FE" w14:paraId="058925B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Půjčky získané od jiných finančních institucí</w:t>
            </w:r>
          </w:p>
        </w:tc>
        <w:tc>
          <w:tcPr>
            <w:tcW w:w="2745" w:type="dxa"/>
            <w:tcBorders>
              <w:left w:val="nil"/>
              <w:right w:val="nil"/>
            </w:tcBorders>
            <w:noWrap/>
            <w:hideMark/>
          </w:tcPr>
          <w:p w:rsidRPr="00700100" w:rsidR="00D646FE" w:rsidP="00AC739C" w:rsidRDefault="00D646FE" w14:paraId="7979051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10D37AA" w14:textId="77777777">
        <w:trPr>
          <w:trHeight w:val="300"/>
        </w:trPr>
        <w:tc>
          <w:tcPr>
            <w:tcW w:w="6804" w:type="dxa"/>
            <w:tcBorders>
              <w:left w:val="nil"/>
              <w:right w:val="nil"/>
            </w:tcBorders>
            <w:noWrap/>
          </w:tcPr>
          <w:p w:rsidRPr="00700100" w:rsidR="00D646FE" w:rsidP="00AC739C" w:rsidRDefault="00D646FE" w14:paraId="56A360C4" w14:textId="77777777">
            <w:pPr>
              <w:ind w:left="171"/>
              <w:rPr>
                <w:rFonts w:ascii="Arial" w:hAnsi="Arial" w:eastAsia="Times New Roman" w:cs="Arial"/>
                <w:sz w:val="20"/>
                <w:szCs w:val="20"/>
              </w:rPr>
            </w:pPr>
            <w:r w:rsidRPr="00700100">
              <w:rPr>
                <w:rFonts w:ascii="Arial" w:hAnsi="Arial"/>
                <w:sz w:val="20"/>
              </w:rPr>
              <w:lastRenderedPageBreak/>
              <w:t>b. Nevyužitá část přislíbených linek získaných od jiných finančních institucí</w:t>
            </w:r>
          </w:p>
        </w:tc>
        <w:tc>
          <w:tcPr>
            <w:tcW w:w="2745" w:type="dxa"/>
            <w:tcBorders>
              <w:left w:val="nil"/>
              <w:right w:val="nil"/>
            </w:tcBorders>
            <w:noWrap/>
          </w:tcPr>
          <w:p w:rsidRPr="00700100" w:rsidR="00D646FE" w:rsidP="00AC739C" w:rsidRDefault="00D646FE" w14:paraId="54C412AC" w14:textId="77777777">
            <w:pPr>
              <w:jc w:val="right"/>
              <w:rPr>
                <w:rFonts w:ascii="Arial" w:hAnsi="Arial" w:eastAsia="Times New Roman" w:cs="Arial"/>
                <w:sz w:val="20"/>
                <w:szCs w:val="20"/>
                <w:lang w:eastAsia="en-GB"/>
              </w:rPr>
            </w:pPr>
          </w:p>
        </w:tc>
      </w:tr>
      <w:tr w:rsidRPr="00700100" w:rsidR="00D646FE" w:rsidTr="00AC739C" w14:paraId="35F8B6EE" w14:textId="77777777">
        <w:trPr>
          <w:trHeight w:val="300"/>
        </w:trPr>
        <w:tc>
          <w:tcPr>
            <w:tcW w:w="6804" w:type="dxa"/>
            <w:tcBorders>
              <w:left w:val="nil"/>
              <w:right w:val="nil"/>
            </w:tcBorders>
            <w:noWrap/>
          </w:tcPr>
          <w:p w:rsidRPr="00700100" w:rsidR="00D646FE" w:rsidP="00AC739C" w:rsidRDefault="00D646FE" w14:paraId="731D2CCD" w14:textId="77777777">
            <w:pPr>
              <w:ind w:left="171"/>
              <w:rPr>
                <w:rFonts w:ascii="Arial" w:hAnsi="Arial" w:eastAsia="Times New Roman" w:cs="Arial"/>
                <w:sz w:val="20"/>
                <w:szCs w:val="20"/>
              </w:rPr>
            </w:pPr>
            <w:r w:rsidRPr="00700100">
              <w:rPr>
                <w:rFonts w:ascii="Arial" w:hAnsi="Arial"/>
                <w:sz w:val="20"/>
              </w:rPr>
              <w:t>c. Čistá záporná stávající expozice obchodů zajišťujících financování v jiných finančních institucích</w:t>
            </w:r>
          </w:p>
        </w:tc>
        <w:tc>
          <w:tcPr>
            <w:tcW w:w="2745" w:type="dxa"/>
            <w:tcBorders>
              <w:left w:val="nil"/>
              <w:right w:val="nil"/>
            </w:tcBorders>
            <w:noWrap/>
          </w:tcPr>
          <w:p w:rsidRPr="00700100" w:rsidR="00D646FE" w:rsidP="00AC739C" w:rsidRDefault="00D646FE" w14:paraId="414CAF95" w14:textId="77777777">
            <w:pPr>
              <w:jc w:val="right"/>
              <w:rPr>
                <w:rFonts w:ascii="Arial" w:hAnsi="Arial" w:eastAsia="Times New Roman" w:cs="Arial"/>
                <w:sz w:val="20"/>
                <w:szCs w:val="20"/>
                <w:lang w:eastAsia="en-GB"/>
              </w:rPr>
            </w:pPr>
          </w:p>
        </w:tc>
      </w:tr>
      <w:tr w:rsidRPr="00700100" w:rsidR="00D646FE" w:rsidTr="00AC739C" w14:paraId="2D40C546" w14:textId="77777777">
        <w:trPr>
          <w:trHeight w:val="300"/>
        </w:trPr>
        <w:tc>
          <w:tcPr>
            <w:tcW w:w="6804" w:type="dxa"/>
            <w:tcBorders>
              <w:left w:val="nil"/>
              <w:bottom w:val="single" w:color="auto" w:sz="4" w:space="0"/>
              <w:right w:val="nil"/>
            </w:tcBorders>
            <w:noWrap/>
          </w:tcPr>
          <w:p w:rsidRPr="00700100" w:rsidR="00D646FE" w:rsidP="00AC739C" w:rsidRDefault="00D646FE" w14:paraId="218E8D19" w14:textId="77777777">
            <w:pPr>
              <w:ind w:left="171"/>
              <w:rPr>
                <w:rFonts w:ascii="Arial" w:hAnsi="Arial" w:eastAsia="Times New Roman" w:cs="Arial"/>
                <w:sz w:val="20"/>
                <w:szCs w:val="20"/>
              </w:rPr>
            </w:pPr>
            <w:r w:rsidRPr="00700100">
              <w:rPr>
                <w:rFonts w:ascii="Arial" w:hAnsi="Arial"/>
                <w:sz w:val="20"/>
              </w:rPr>
              <w:t>d. OTC deriváty v jiných finančních institucích, které mají čistou zápornou reálnou hodnotu</w:t>
            </w:r>
          </w:p>
        </w:tc>
        <w:tc>
          <w:tcPr>
            <w:tcW w:w="2745" w:type="dxa"/>
            <w:tcBorders>
              <w:left w:val="nil"/>
              <w:bottom w:val="single" w:color="auto" w:sz="4" w:space="0"/>
              <w:right w:val="nil"/>
            </w:tcBorders>
            <w:noWrap/>
          </w:tcPr>
          <w:p w:rsidRPr="00700100" w:rsidR="00D646FE" w:rsidP="00AC739C" w:rsidRDefault="00D646FE" w14:paraId="74C7BA3E" w14:textId="77777777">
            <w:pPr>
              <w:jc w:val="right"/>
              <w:rPr>
                <w:rFonts w:ascii="Arial" w:hAnsi="Arial" w:eastAsia="Times New Roman" w:cs="Arial"/>
                <w:sz w:val="20"/>
                <w:szCs w:val="20"/>
                <w:lang w:eastAsia="en-GB"/>
              </w:rPr>
            </w:pPr>
          </w:p>
        </w:tc>
      </w:tr>
      <w:tr w:rsidRPr="00700100" w:rsidR="00D646FE" w:rsidTr="00AC739C" w14:paraId="5E6F9F8C" w14:textId="77777777">
        <w:trPr>
          <w:trHeight w:val="300"/>
        </w:trPr>
        <w:tc>
          <w:tcPr>
            <w:tcW w:w="6804" w:type="dxa"/>
            <w:tcBorders>
              <w:left w:val="nil"/>
              <w:right w:val="nil"/>
            </w:tcBorders>
            <w:noWrap/>
            <w:hideMark/>
          </w:tcPr>
          <w:p w:rsidRPr="00700100" w:rsidR="00D646FE" w:rsidP="00AC739C" w:rsidRDefault="00D646FE" w14:paraId="28DCE5DF"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Čistá záporná reálná hodnota</w:t>
            </w:r>
          </w:p>
        </w:tc>
        <w:tc>
          <w:tcPr>
            <w:tcW w:w="2745" w:type="dxa"/>
            <w:tcBorders>
              <w:left w:val="nil"/>
              <w:right w:val="nil"/>
            </w:tcBorders>
            <w:noWrap/>
            <w:hideMark/>
          </w:tcPr>
          <w:p w:rsidRPr="00700100" w:rsidR="00D646FE" w:rsidP="00AC739C" w:rsidRDefault="00D646FE" w14:paraId="3D6B74E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38F4BF4" w14:textId="77777777">
        <w:trPr>
          <w:trHeight w:val="300"/>
        </w:trPr>
        <w:tc>
          <w:tcPr>
            <w:tcW w:w="6804" w:type="dxa"/>
            <w:tcBorders>
              <w:left w:val="nil"/>
              <w:right w:val="nil"/>
            </w:tcBorders>
            <w:noWrap/>
            <w:hideMark/>
          </w:tcPr>
          <w:p w:rsidRPr="00700100" w:rsidR="00D646FE" w:rsidP="00AC739C" w:rsidRDefault="00D646FE" w14:paraId="7B48A675"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Potenciální budoucí expozice</w:t>
            </w:r>
          </w:p>
        </w:tc>
        <w:tc>
          <w:tcPr>
            <w:tcW w:w="2745" w:type="dxa"/>
            <w:tcBorders>
              <w:left w:val="nil"/>
              <w:right w:val="nil"/>
            </w:tcBorders>
            <w:noWrap/>
            <w:hideMark/>
          </w:tcPr>
          <w:p w:rsidRPr="00700100" w:rsidR="00D646FE" w:rsidP="00AC739C" w:rsidRDefault="00D646FE" w14:paraId="2D26C63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79FA692" w14:textId="77777777">
        <w:trPr>
          <w:trHeight w:val="300"/>
        </w:trPr>
        <w:tc>
          <w:tcPr>
            <w:tcW w:w="6804" w:type="dxa"/>
            <w:tcBorders>
              <w:left w:val="nil"/>
              <w:bottom w:val="single" w:color="auto" w:sz="4" w:space="0"/>
              <w:right w:val="nil"/>
            </w:tcBorders>
            <w:noWrap/>
          </w:tcPr>
          <w:p w:rsidRPr="00700100" w:rsidR="00D646FE" w:rsidP="00AC739C" w:rsidRDefault="00D646FE" w14:paraId="6B61A1E9" w14:textId="77777777">
            <w:pPr>
              <w:ind w:left="171"/>
              <w:rPr>
                <w:rFonts w:ascii="Arial" w:hAnsi="Arial" w:eastAsia="Times New Roman" w:cs="Arial"/>
                <w:sz w:val="20"/>
                <w:szCs w:val="20"/>
              </w:rPr>
            </w:pPr>
            <w:r w:rsidRPr="00700100">
              <w:rPr>
                <w:rFonts w:ascii="Arial" w:hAnsi="Arial"/>
                <w:sz w:val="20"/>
              </w:rPr>
              <w:t>e. Ukazatel závazků v rámci finančního systému, včetně pojišťovacích dceřiných společností (součet položek 4.a.(1) až 4.d.(2))</w:t>
            </w:r>
          </w:p>
        </w:tc>
        <w:tc>
          <w:tcPr>
            <w:tcW w:w="2745" w:type="dxa"/>
            <w:tcBorders>
              <w:left w:val="nil"/>
              <w:bottom w:val="single" w:color="auto" w:sz="4" w:space="0"/>
              <w:right w:val="nil"/>
            </w:tcBorders>
            <w:noWrap/>
          </w:tcPr>
          <w:p w:rsidRPr="00700100" w:rsidR="00D646FE" w:rsidP="00AC739C" w:rsidRDefault="00D646FE" w14:paraId="1B8D526B" w14:textId="77777777">
            <w:pPr>
              <w:jc w:val="right"/>
              <w:rPr>
                <w:rFonts w:ascii="Arial" w:hAnsi="Arial" w:eastAsia="Times New Roman" w:cs="Arial"/>
                <w:sz w:val="20"/>
                <w:szCs w:val="20"/>
                <w:lang w:eastAsia="en-GB"/>
              </w:rPr>
            </w:pPr>
          </w:p>
        </w:tc>
      </w:tr>
      <w:tr w:rsidRPr="00700100" w:rsidR="00D646FE" w:rsidTr="00AC739C" w14:paraId="5ECA1A87" w14:textId="77777777">
        <w:trPr>
          <w:trHeight w:val="300"/>
        </w:trPr>
        <w:tc>
          <w:tcPr>
            <w:tcW w:w="6804" w:type="dxa"/>
            <w:tcBorders>
              <w:left w:val="nil"/>
              <w:bottom w:val="nil"/>
              <w:right w:val="nil"/>
            </w:tcBorders>
            <w:noWrap/>
          </w:tcPr>
          <w:p w:rsidRPr="00700100" w:rsidR="00D646FE" w:rsidP="00AC739C" w:rsidRDefault="00D646FE" w14:paraId="62C5DE64"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5BF19ABD" w14:textId="77777777">
            <w:pPr>
              <w:jc w:val="center"/>
              <w:rPr>
                <w:rFonts w:ascii="Arial" w:hAnsi="Arial" w:eastAsia="Times New Roman" w:cs="Arial"/>
                <w:b/>
                <w:bCs/>
                <w:sz w:val="20"/>
                <w:szCs w:val="20"/>
                <w:lang w:eastAsia="en-GB"/>
              </w:rPr>
            </w:pPr>
          </w:p>
        </w:tc>
      </w:tr>
      <w:tr w:rsidRPr="00700100" w:rsidR="00D646FE" w:rsidTr="00AC739C" w14:paraId="0CA7395B" w14:textId="77777777">
        <w:trPr>
          <w:trHeight w:val="300"/>
        </w:trPr>
        <w:tc>
          <w:tcPr>
            <w:tcW w:w="6804" w:type="dxa"/>
            <w:tcBorders>
              <w:top w:val="nil"/>
              <w:left w:val="nil"/>
              <w:right w:val="nil"/>
            </w:tcBorders>
            <w:noWrap/>
            <w:hideMark/>
          </w:tcPr>
          <w:p w:rsidRPr="00700100" w:rsidR="00D646FE" w:rsidP="00AC739C" w:rsidRDefault="00D646FE" w14:paraId="0A688D08" w14:textId="77777777">
            <w:pPr>
              <w:rPr>
                <w:rFonts w:ascii="Arial" w:hAnsi="Arial" w:eastAsia="Times New Roman" w:cs="Arial"/>
                <w:b/>
                <w:bCs/>
                <w:sz w:val="20"/>
                <w:szCs w:val="20"/>
              </w:rPr>
            </w:pPr>
            <w:r w:rsidRPr="00700100">
              <w:rPr>
                <w:rFonts w:ascii="Arial" w:hAnsi="Arial"/>
                <w:b/>
                <w:sz w:val="20"/>
              </w:rPr>
              <w:t>Oddíl 5 – Nezaplacené cenné papíry</w:t>
            </w:r>
          </w:p>
        </w:tc>
        <w:tc>
          <w:tcPr>
            <w:tcW w:w="2745" w:type="dxa"/>
            <w:tcBorders>
              <w:top w:val="nil"/>
              <w:left w:val="nil"/>
              <w:right w:val="nil"/>
            </w:tcBorders>
            <w:hideMark/>
          </w:tcPr>
          <w:p w:rsidRPr="00700100" w:rsidR="00D646FE" w:rsidP="00AC739C" w:rsidRDefault="00D646FE" w14:paraId="67F7132B"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38C3A90" w14:textId="77777777">
        <w:trPr>
          <w:trHeight w:val="300"/>
        </w:trPr>
        <w:tc>
          <w:tcPr>
            <w:tcW w:w="6804" w:type="dxa"/>
            <w:tcBorders>
              <w:left w:val="nil"/>
              <w:right w:val="nil"/>
            </w:tcBorders>
            <w:noWrap/>
            <w:hideMark/>
          </w:tcPr>
          <w:p w:rsidRPr="00700100" w:rsidR="00D646FE" w:rsidP="00AC739C" w:rsidRDefault="00D646FE" w14:paraId="06501EA5" w14:textId="77777777">
            <w:pPr>
              <w:ind w:firstLine="200" w:firstLineChars="100"/>
              <w:rPr>
                <w:rFonts w:ascii="Arial" w:hAnsi="Arial" w:eastAsia="Times New Roman" w:cs="Arial"/>
                <w:sz w:val="20"/>
                <w:szCs w:val="20"/>
              </w:rPr>
            </w:pPr>
            <w:r w:rsidRPr="00700100">
              <w:rPr>
                <w:rFonts w:ascii="Arial" w:hAnsi="Arial"/>
                <w:sz w:val="20"/>
              </w:rPr>
              <w:t>a. Zajištěné dluhové cenné papíry</w:t>
            </w:r>
          </w:p>
        </w:tc>
        <w:tc>
          <w:tcPr>
            <w:tcW w:w="2745" w:type="dxa"/>
            <w:tcBorders>
              <w:left w:val="nil"/>
              <w:right w:val="nil"/>
            </w:tcBorders>
            <w:noWrap/>
            <w:hideMark/>
          </w:tcPr>
          <w:p w:rsidRPr="00700100" w:rsidR="00D646FE" w:rsidP="00AC739C" w:rsidRDefault="00D646FE" w14:paraId="4AB4577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BE9E3FB" w14:textId="77777777">
        <w:trPr>
          <w:trHeight w:val="300"/>
        </w:trPr>
        <w:tc>
          <w:tcPr>
            <w:tcW w:w="6804" w:type="dxa"/>
            <w:tcBorders>
              <w:left w:val="nil"/>
              <w:right w:val="nil"/>
            </w:tcBorders>
            <w:noWrap/>
            <w:hideMark/>
          </w:tcPr>
          <w:p w:rsidRPr="00700100" w:rsidR="00D646FE" w:rsidP="00AC739C" w:rsidRDefault="00D646FE" w14:paraId="35AF60FB" w14:textId="77777777">
            <w:pPr>
              <w:ind w:firstLine="200" w:firstLineChars="100"/>
              <w:rPr>
                <w:rFonts w:ascii="Arial" w:hAnsi="Arial" w:eastAsia="Times New Roman" w:cs="Arial"/>
                <w:sz w:val="20"/>
                <w:szCs w:val="20"/>
              </w:rPr>
            </w:pPr>
            <w:r w:rsidRPr="00700100">
              <w:rPr>
                <w:rFonts w:ascii="Arial" w:hAnsi="Arial"/>
                <w:sz w:val="20"/>
              </w:rPr>
              <w:t>b. Senioritní nezajištěné dluhové cenné papíry</w:t>
            </w:r>
          </w:p>
        </w:tc>
        <w:tc>
          <w:tcPr>
            <w:tcW w:w="2745" w:type="dxa"/>
            <w:tcBorders>
              <w:left w:val="nil"/>
              <w:right w:val="nil"/>
            </w:tcBorders>
            <w:noWrap/>
            <w:hideMark/>
          </w:tcPr>
          <w:p w:rsidRPr="00700100" w:rsidR="00D646FE" w:rsidP="00AC739C" w:rsidRDefault="00D646FE" w14:paraId="24285FA4"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E478408" w14:textId="77777777">
        <w:trPr>
          <w:trHeight w:val="300"/>
        </w:trPr>
        <w:tc>
          <w:tcPr>
            <w:tcW w:w="6804" w:type="dxa"/>
            <w:tcBorders>
              <w:left w:val="nil"/>
              <w:right w:val="nil"/>
            </w:tcBorders>
            <w:noWrap/>
            <w:hideMark/>
          </w:tcPr>
          <w:p w:rsidRPr="00700100" w:rsidR="00D646FE" w:rsidP="00AC739C" w:rsidRDefault="00D646FE" w14:paraId="16DBE004" w14:textId="77777777">
            <w:pPr>
              <w:ind w:firstLine="200" w:firstLineChars="100"/>
              <w:rPr>
                <w:rFonts w:ascii="Arial" w:hAnsi="Arial" w:eastAsia="Times New Roman" w:cs="Arial"/>
                <w:sz w:val="20"/>
                <w:szCs w:val="20"/>
              </w:rPr>
            </w:pPr>
            <w:r w:rsidRPr="00700100">
              <w:rPr>
                <w:rFonts w:ascii="Arial" w:hAnsi="Arial"/>
                <w:sz w:val="20"/>
              </w:rPr>
              <w:t>c. Podřízené dluhové cenné papíry</w:t>
            </w:r>
          </w:p>
        </w:tc>
        <w:tc>
          <w:tcPr>
            <w:tcW w:w="2745" w:type="dxa"/>
            <w:tcBorders>
              <w:left w:val="nil"/>
              <w:right w:val="nil"/>
            </w:tcBorders>
            <w:noWrap/>
            <w:hideMark/>
          </w:tcPr>
          <w:p w:rsidRPr="00700100" w:rsidR="00D646FE" w:rsidP="00AC739C" w:rsidRDefault="00D646FE" w14:paraId="0C2DA60A"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524D90D" w14:textId="77777777">
        <w:trPr>
          <w:trHeight w:val="300"/>
        </w:trPr>
        <w:tc>
          <w:tcPr>
            <w:tcW w:w="6804" w:type="dxa"/>
            <w:tcBorders>
              <w:left w:val="nil"/>
              <w:right w:val="nil"/>
            </w:tcBorders>
            <w:noWrap/>
            <w:hideMark/>
          </w:tcPr>
          <w:p w:rsidRPr="00700100" w:rsidR="00D646FE" w:rsidP="00AC739C" w:rsidRDefault="00D646FE" w14:paraId="28A0FBCD" w14:textId="77777777">
            <w:pPr>
              <w:ind w:firstLine="200" w:firstLineChars="100"/>
              <w:rPr>
                <w:rFonts w:ascii="Arial" w:hAnsi="Arial" w:eastAsia="Times New Roman" w:cs="Arial"/>
                <w:sz w:val="20"/>
                <w:szCs w:val="20"/>
              </w:rPr>
            </w:pPr>
            <w:r w:rsidRPr="00700100">
              <w:rPr>
                <w:rFonts w:ascii="Arial" w:hAnsi="Arial"/>
                <w:sz w:val="20"/>
              </w:rPr>
              <w:t>d. Obchodní cenné papíry</w:t>
            </w:r>
          </w:p>
        </w:tc>
        <w:tc>
          <w:tcPr>
            <w:tcW w:w="2745" w:type="dxa"/>
            <w:tcBorders>
              <w:left w:val="nil"/>
              <w:right w:val="nil"/>
            </w:tcBorders>
            <w:noWrap/>
            <w:hideMark/>
          </w:tcPr>
          <w:p w:rsidRPr="00700100" w:rsidR="00D646FE" w:rsidP="00AC739C" w:rsidRDefault="00D646FE" w14:paraId="42E8B99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D7069C0" w14:textId="77777777">
        <w:trPr>
          <w:trHeight w:val="300"/>
        </w:trPr>
        <w:tc>
          <w:tcPr>
            <w:tcW w:w="6804" w:type="dxa"/>
            <w:tcBorders>
              <w:left w:val="nil"/>
              <w:right w:val="nil"/>
            </w:tcBorders>
            <w:noWrap/>
            <w:hideMark/>
          </w:tcPr>
          <w:p w:rsidRPr="00700100" w:rsidR="00D646FE" w:rsidP="00AC739C" w:rsidRDefault="00D646FE" w14:paraId="21A7C9F3" w14:textId="77777777">
            <w:pPr>
              <w:ind w:firstLine="200" w:firstLineChars="100"/>
              <w:rPr>
                <w:rFonts w:ascii="Arial" w:hAnsi="Arial" w:eastAsia="Times New Roman" w:cs="Arial"/>
                <w:sz w:val="20"/>
                <w:szCs w:val="20"/>
              </w:rPr>
            </w:pPr>
            <w:r w:rsidRPr="00700100">
              <w:rPr>
                <w:rFonts w:ascii="Arial" w:hAnsi="Arial"/>
                <w:sz w:val="20"/>
              </w:rPr>
              <w:t>e. Vkladní listy</w:t>
            </w:r>
          </w:p>
        </w:tc>
        <w:tc>
          <w:tcPr>
            <w:tcW w:w="2745" w:type="dxa"/>
            <w:tcBorders>
              <w:left w:val="nil"/>
              <w:right w:val="nil"/>
            </w:tcBorders>
            <w:noWrap/>
            <w:hideMark/>
          </w:tcPr>
          <w:p w:rsidRPr="00700100" w:rsidR="00D646FE" w:rsidP="00AC739C" w:rsidRDefault="00D646FE" w14:paraId="3CFB3D6E"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CA2D4A0" w14:textId="77777777">
        <w:trPr>
          <w:trHeight w:val="300"/>
        </w:trPr>
        <w:tc>
          <w:tcPr>
            <w:tcW w:w="6804" w:type="dxa"/>
            <w:tcBorders>
              <w:left w:val="nil"/>
              <w:right w:val="nil"/>
            </w:tcBorders>
            <w:noWrap/>
            <w:hideMark/>
          </w:tcPr>
          <w:p w:rsidRPr="00700100" w:rsidR="00D646FE" w:rsidP="00AC739C" w:rsidRDefault="00D646FE" w14:paraId="2C95947D" w14:textId="77777777">
            <w:pPr>
              <w:ind w:firstLine="200" w:firstLineChars="100"/>
              <w:rPr>
                <w:rFonts w:ascii="Arial" w:hAnsi="Arial" w:eastAsia="Times New Roman" w:cs="Arial"/>
                <w:sz w:val="20"/>
                <w:szCs w:val="20"/>
              </w:rPr>
            </w:pPr>
            <w:r w:rsidRPr="00700100">
              <w:rPr>
                <w:rFonts w:ascii="Arial" w:hAnsi="Arial"/>
                <w:sz w:val="20"/>
              </w:rPr>
              <w:t>f. Kmenové akcie</w:t>
            </w:r>
          </w:p>
        </w:tc>
        <w:tc>
          <w:tcPr>
            <w:tcW w:w="2745" w:type="dxa"/>
            <w:tcBorders>
              <w:left w:val="nil"/>
              <w:right w:val="nil"/>
            </w:tcBorders>
            <w:noWrap/>
            <w:hideMark/>
          </w:tcPr>
          <w:p w:rsidRPr="00700100" w:rsidR="00D646FE" w:rsidP="00AC739C" w:rsidRDefault="00D646FE" w14:paraId="016E398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74ABAF3" w14:textId="77777777">
        <w:trPr>
          <w:trHeight w:val="300"/>
        </w:trPr>
        <w:tc>
          <w:tcPr>
            <w:tcW w:w="6804" w:type="dxa"/>
            <w:tcBorders>
              <w:left w:val="nil"/>
              <w:right w:val="nil"/>
            </w:tcBorders>
            <w:noWrap/>
          </w:tcPr>
          <w:p w:rsidRPr="00700100" w:rsidR="00D646FE" w:rsidP="00AC739C" w:rsidRDefault="00D646FE" w14:paraId="0DC3E861" w14:textId="77777777">
            <w:pPr>
              <w:ind w:left="171"/>
              <w:rPr>
                <w:rFonts w:ascii="Arial" w:hAnsi="Arial" w:eastAsia="Times New Roman" w:cs="Arial"/>
                <w:sz w:val="20"/>
                <w:szCs w:val="20"/>
              </w:rPr>
            </w:pPr>
            <w:r w:rsidRPr="00700100">
              <w:rPr>
                <w:rFonts w:ascii="Arial" w:hAnsi="Arial"/>
                <w:sz w:val="20"/>
              </w:rPr>
              <w:t>g. Preferenční akcie a jakékoli jiné formy podřízeného financování nezachycené v položce 5.c.</w:t>
            </w:r>
          </w:p>
        </w:tc>
        <w:tc>
          <w:tcPr>
            <w:tcW w:w="2745" w:type="dxa"/>
            <w:tcBorders>
              <w:left w:val="nil"/>
              <w:right w:val="nil"/>
            </w:tcBorders>
            <w:noWrap/>
          </w:tcPr>
          <w:p w:rsidRPr="00700100" w:rsidR="00D646FE" w:rsidP="00AC739C" w:rsidRDefault="00D646FE" w14:paraId="2FB67F9F" w14:textId="77777777">
            <w:pPr>
              <w:jc w:val="right"/>
              <w:rPr>
                <w:rFonts w:ascii="Arial" w:hAnsi="Arial" w:eastAsia="Times New Roman" w:cs="Arial"/>
                <w:sz w:val="20"/>
                <w:szCs w:val="20"/>
                <w:lang w:eastAsia="en-GB"/>
              </w:rPr>
            </w:pPr>
          </w:p>
        </w:tc>
      </w:tr>
      <w:tr w:rsidRPr="00700100" w:rsidR="00D646FE" w:rsidTr="00AC739C" w14:paraId="5B631402" w14:textId="77777777">
        <w:trPr>
          <w:trHeight w:val="300"/>
        </w:trPr>
        <w:tc>
          <w:tcPr>
            <w:tcW w:w="6804" w:type="dxa"/>
            <w:tcBorders>
              <w:left w:val="nil"/>
              <w:bottom w:val="single" w:color="auto" w:sz="4" w:space="0"/>
              <w:right w:val="nil"/>
            </w:tcBorders>
            <w:noWrap/>
          </w:tcPr>
          <w:p w:rsidRPr="00700100" w:rsidR="00D646FE" w:rsidP="00AC739C" w:rsidRDefault="00D646FE" w14:paraId="58F2BAFE" w14:textId="77777777">
            <w:pPr>
              <w:ind w:left="171"/>
              <w:rPr>
                <w:rFonts w:ascii="Arial" w:hAnsi="Arial" w:eastAsia="Times New Roman" w:cs="Arial"/>
                <w:sz w:val="20"/>
                <w:szCs w:val="20"/>
              </w:rPr>
            </w:pPr>
            <w:r w:rsidRPr="00700100">
              <w:rPr>
                <w:rFonts w:ascii="Arial" w:hAnsi="Arial"/>
                <w:sz w:val="20"/>
              </w:rPr>
              <w:t>h. Ukazatel nezaplacených cenných papírů, včetně cenných papírů emitovaných pojišťovacími dceřinými společnostmi (součet položek 5.a. až 5.g.)</w:t>
            </w:r>
          </w:p>
        </w:tc>
        <w:tc>
          <w:tcPr>
            <w:tcW w:w="2745" w:type="dxa"/>
            <w:tcBorders>
              <w:left w:val="nil"/>
              <w:bottom w:val="single" w:color="auto" w:sz="4" w:space="0"/>
              <w:right w:val="nil"/>
            </w:tcBorders>
            <w:noWrap/>
          </w:tcPr>
          <w:p w:rsidRPr="00700100" w:rsidR="00D646FE" w:rsidP="00AC739C" w:rsidRDefault="00D646FE" w14:paraId="72FC7D62" w14:textId="77777777">
            <w:pPr>
              <w:jc w:val="right"/>
              <w:rPr>
                <w:rFonts w:ascii="Arial" w:hAnsi="Arial" w:eastAsia="Times New Roman" w:cs="Arial"/>
                <w:sz w:val="20"/>
                <w:szCs w:val="20"/>
                <w:lang w:eastAsia="en-GB"/>
              </w:rPr>
            </w:pPr>
          </w:p>
        </w:tc>
      </w:tr>
      <w:tr w:rsidRPr="00700100" w:rsidR="00D646FE" w:rsidTr="00AC739C" w14:paraId="3F7A048A" w14:textId="77777777">
        <w:trPr>
          <w:trHeight w:val="300"/>
        </w:trPr>
        <w:tc>
          <w:tcPr>
            <w:tcW w:w="6804" w:type="dxa"/>
            <w:tcBorders>
              <w:top w:val="single" w:color="auto" w:sz="4" w:space="0"/>
              <w:left w:val="nil"/>
              <w:bottom w:val="nil"/>
              <w:right w:val="nil"/>
            </w:tcBorders>
            <w:noWrap/>
          </w:tcPr>
          <w:p w:rsidRPr="00700100" w:rsidR="00D646FE" w:rsidP="00AC739C" w:rsidRDefault="00D646FE" w14:paraId="030370DD" w14:textId="77777777">
            <w:pPr>
              <w:keepNext/>
              <w:keepLines/>
              <w:spacing w:before="47"/>
              <w:outlineLvl w:val="5"/>
              <w:rPr>
                <w:rFonts w:ascii="Arial" w:hAnsi="Arial" w:cs="Arial" w:eastAsiaTheme="majorEastAsia"/>
                <w:b/>
                <w:bCs/>
                <w:i/>
                <w:iCs/>
                <w:caps/>
                <w:spacing w:val="-2"/>
                <w:sz w:val="20"/>
                <w:szCs w:val="20"/>
              </w:rPr>
            </w:pPr>
          </w:p>
        </w:tc>
        <w:tc>
          <w:tcPr>
            <w:tcW w:w="2745" w:type="dxa"/>
            <w:tcBorders>
              <w:top w:val="single" w:color="auto" w:sz="4" w:space="0"/>
              <w:left w:val="nil"/>
              <w:bottom w:val="nil"/>
              <w:right w:val="nil"/>
            </w:tcBorders>
            <w:noWrap/>
          </w:tcPr>
          <w:p w:rsidRPr="00700100" w:rsidR="00D646FE" w:rsidP="00AC739C" w:rsidRDefault="00D646FE" w14:paraId="360D837C" w14:textId="77777777">
            <w:pPr>
              <w:jc w:val="center"/>
              <w:rPr>
                <w:rFonts w:ascii="Arial" w:hAnsi="Arial" w:eastAsia="Times New Roman" w:cs="Arial"/>
                <w:b/>
                <w:bCs/>
                <w:sz w:val="20"/>
                <w:szCs w:val="20"/>
                <w:lang w:eastAsia="en-GB"/>
              </w:rPr>
            </w:pPr>
          </w:p>
        </w:tc>
      </w:tr>
      <w:tr w:rsidRPr="00700100" w:rsidR="00D646FE" w:rsidTr="00AC739C" w14:paraId="7E667BA0" w14:textId="77777777">
        <w:trPr>
          <w:trHeight w:val="300"/>
        </w:trPr>
        <w:tc>
          <w:tcPr>
            <w:tcW w:w="6804" w:type="dxa"/>
            <w:tcBorders>
              <w:top w:val="nil"/>
              <w:left w:val="nil"/>
              <w:bottom w:val="nil"/>
              <w:right w:val="nil"/>
            </w:tcBorders>
            <w:noWrap/>
          </w:tcPr>
          <w:p w:rsidRPr="00700100" w:rsidR="00D646FE" w:rsidP="00AC739C" w:rsidRDefault="00D646FE" w14:paraId="470D0078" w14:textId="77777777">
            <w:pPr>
              <w:keepNext/>
              <w:keepLines/>
              <w:spacing w:before="47"/>
              <w:outlineLvl w:val="5"/>
              <w:rPr>
                <w:rFonts w:asciiTheme="majorHAnsi" w:hAnsiTheme="majorHAnsi" w:eastAsiaTheme="majorEastAsia" w:cstheme="majorBidi"/>
                <w:b/>
                <w:bCs/>
                <w:i/>
                <w:iCs/>
                <w:caps/>
                <w:spacing w:val="-2"/>
              </w:rPr>
            </w:pPr>
            <w:r w:rsidRPr="00700100">
              <w:rPr>
                <w:rFonts w:asciiTheme="majorHAnsi" w:hAnsiTheme="majorHAnsi"/>
                <w:b/>
                <w:i/>
                <w:caps/>
              </w:rPr>
              <w:t>Ukazatele nahraditelnosti / infrastruktury finančních institucí</w:t>
            </w:r>
          </w:p>
          <w:p w:rsidRPr="00700100" w:rsidR="00D646FE" w:rsidP="00AC739C" w:rsidRDefault="00D646FE" w14:paraId="58D7C95E" w14:textId="77777777">
            <w:pPr>
              <w:rPr>
                <w:rFonts w:ascii="Arial" w:hAnsi="Arial" w:eastAsia="Times New Roman" w:cs="Arial"/>
                <w:b/>
                <w:bCs/>
                <w:sz w:val="20"/>
                <w:szCs w:val="20"/>
                <w:lang w:eastAsia="en-GB"/>
              </w:rPr>
            </w:pPr>
          </w:p>
        </w:tc>
        <w:tc>
          <w:tcPr>
            <w:tcW w:w="2745" w:type="dxa"/>
            <w:tcBorders>
              <w:top w:val="nil"/>
              <w:left w:val="nil"/>
              <w:bottom w:val="nil"/>
              <w:right w:val="nil"/>
            </w:tcBorders>
            <w:noWrap/>
          </w:tcPr>
          <w:p w:rsidRPr="00700100" w:rsidR="00D646FE" w:rsidP="00AC739C" w:rsidRDefault="00D646FE" w14:paraId="695509D1" w14:textId="77777777">
            <w:pPr>
              <w:jc w:val="center"/>
              <w:rPr>
                <w:rFonts w:ascii="Arial" w:hAnsi="Arial" w:eastAsia="Times New Roman" w:cs="Arial"/>
                <w:b/>
                <w:bCs/>
                <w:sz w:val="20"/>
                <w:szCs w:val="20"/>
                <w:lang w:eastAsia="en-GB"/>
              </w:rPr>
            </w:pPr>
          </w:p>
        </w:tc>
      </w:tr>
      <w:tr w:rsidRPr="00700100" w:rsidR="00D646FE" w:rsidTr="00AC739C" w14:paraId="560EDCB3" w14:textId="77777777">
        <w:trPr>
          <w:trHeight w:val="300"/>
        </w:trPr>
        <w:tc>
          <w:tcPr>
            <w:tcW w:w="6804" w:type="dxa"/>
            <w:tcBorders>
              <w:left w:val="nil"/>
              <w:bottom w:val="single" w:color="auto" w:sz="4" w:space="0"/>
              <w:right w:val="nil"/>
            </w:tcBorders>
            <w:noWrap/>
          </w:tcPr>
          <w:p w:rsidRPr="00700100" w:rsidR="00D646FE" w:rsidP="00AC739C" w:rsidRDefault="00D646FE" w14:paraId="3CA1AE20" w14:textId="77777777">
            <w:pPr>
              <w:rPr>
                <w:rFonts w:ascii="Arial" w:hAnsi="Arial" w:eastAsia="Times New Roman" w:cs="Arial"/>
                <w:sz w:val="20"/>
                <w:szCs w:val="20"/>
              </w:rPr>
            </w:pPr>
            <w:r w:rsidRPr="00700100">
              <w:rPr>
                <w:rFonts w:ascii="Arial" w:hAnsi="Arial"/>
                <w:b/>
                <w:sz w:val="20"/>
              </w:rPr>
              <w:t>Oddíl 6 – Platby provedené ve vykazovaném roku (vyjma plateb v rámci skupiny)</w:t>
            </w:r>
          </w:p>
        </w:tc>
        <w:tc>
          <w:tcPr>
            <w:tcW w:w="2745" w:type="dxa"/>
            <w:tcBorders>
              <w:left w:val="nil"/>
              <w:bottom w:val="single" w:color="auto" w:sz="4" w:space="0"/>
              <w:right w:val="nil"/>
            </w:tcBorders>
            <w:noWrap/>
          </w:tcPr>
          <w:p w:rsidRPr="00700100" w:rsidR="00D646FE" w:rsidP="00AC739C" w:rsidRDefault="00D646FE" w14:paraId="21A1C4FD"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42A8F927" w14:textId="77777777">
        <w:trPr>
          <w:trHeight w:val="300"/>
        </w:trPr>
        <w:tc>
          <w:tcPr>
            <w:tcW w:w="6804" w:type="dxa"/>
            <w:tcBorders>
              <w:left w:val="nil"/>
              <w:right w:val="nil"/>
            </w:tcBorders>
            <w:noWrap/>
            <w:hideMark/>
          </w:tcPr>
          <w:p w:rsidRPr="00700100" w:rsidR="00D646FE" w:rsidP="00AC739C" w:rsidRDefault="00D646FE" w14:paraId="1335A11D" w14:textId="77777777">
            <w:pPr>
              <w:ind w:firstLine="200" w:firstLineChars="100"/>
              <w:rPr>
                <w:rFonts w:ascii="Arial" w:hAnsi="Arial" w:eastAsia="Times New Roman" w:cs="Arial"/>
                <w:sz w:val="20"/>
                <w:szCs w:val="20"/>
              </w:rPr>
            </w:pPr>
            <w:r w:rsidRPr="00700100">
              <w:rPr>
                <w:rFonts w:ascii="Arial" w:hAnsi="Arial"/>
                <w:sz w:val="20"/>
              </w:rPr>
              <w:t xml:space="preserve"> a. Australský dolar (AUD)</w:t>
            </w:r>
          </w:p>
        </w:tc>
        <w:tc>
          <w:tcPr>
            <w:tcW w:w="2745" w:type="dxa"/>
            <w:tcBorders>
              <w:left w:val="nil"/>
              <w:right w:val="nil"/>
            </w:tcBorders>
            <w:noWrap/>
            <w:hideMark/>
          </w:tcPr>
          <w:p w:rsidRPr="00700100" w:rsidR="00D646FE" w:rsidP="00AC739C" w:rsidRDefault="00D646FE" w14:paraId="0B72801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312423C" w14:textId="77777777">
        <w:trPr>
          <w:trHeight w:val="300"/>
        </w:trPr>
        <w:tc>
          <w:tcPr>
            <w:tcW w:w="6804" w:type="dxa"/>
            <w:tcBorders>
              <w:left w:val="nil"/>
              <w:right w:val="nil"/>
            </w:tcBorders>
            <w:noWrap/>
            <w:hideMark/>
          </w:tcPr>
          <w:p w:rsidRPr="00700100" w:rsidR="00D646FE" w:rsidP="00AC739C" w:rsidRDefault="00D646FE" w14:paraId="676B1E3D" w14:textId="77777777">
            <w:pPr>
              <w:ind w:firstLine="200" w:firstLineChars="100"/>
              <w:rPr>
                <w:rFonts w:ascii="Arial" w:hAnsi="Arial" w:eastAsia="Times New Roman" w:cs="Arial"/>
                <w:sz w:val="20"/>
                <w:szCs w:val="20"/>
              </w:rPr>
            </w:pPr>
            <w:r w:rsidRPr="00700100">
              <w:rPr>
                <w:rFonts w:ascii="Arial" w:hAnsi="Arial"/>
                <w:sz w:val="20"/>
              </w:rPr>
              <w:t>b. Kanadský dolar (CAD)</w:t>
            </w:r>
          </w:p>
        </w:tc>
        <w:tc>
          <w:tcPr>
            <w:tcW w:w="2745" w:type="dxa"/>
            <w:tcBorders>
              <w:left w:val="nil"/>
              <w:right w:val="nil"/>
            </w:tcBorders>
            <w:noWrap/>
            <w:hideMark/>
          </w:tcPr>
          <w:p w:rsidRPr="00700100" w:rsidR="00D646FE" w:rsidP="00AC739C" w:rsidRDefault="00D646FE" w14:paraId="1373F88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AD3F5CE" w14:textId="77777777">
        <w:trPr>
          <w:trHeight w:val="300"/>
        </w:trPr>
        <w:tc>
          <w:tcPr>
            <w:tcW w:w="6804" w:type="dxa"/>
            <w:tcBorders>
              <w:left w:val="nil"/>
              <w:right w:val="nil"/>
            </w:tcBorders>
            <w:noWrap/>
            <w:hideMark/>
          </w:tcPr>
          <w:p w:rsidRPr="00700100" w:rsidR="00D646FE" w:rsidP="00AC739C" w:rsidRDefault="00D646FE" w14:paraId="4E83E6EA" w14:textId="77777777">
            <w:pPr>
              <w:ind w:firstLine="200" w:firstLineChars="100"/>
              <w:rPr>
                <w:rFonts w:ascii="Arial" w:hAnsi="Arial" w:eastAsia="Times New Roman" w:cs="Arial"/>
                <w:sz w:val="20"/>
                <w:szCs w:val="20"/>
              </w:rPr>
            </w:pPr>
            <w:r w:rsidRPr="00700100">
              <w:rPr>
                <w:rFonts w:ascii="Arial" w:hAnsi="Arial"/>
                <w:sz w:val="20"/>
              </w:rPr>
              <w:t>c. Švýcarský frank (CHF)</w:t>
            </w:r>
          </w:p>
        </w:tc>
        <w:tc>
          <w:tcPr>
            <w:tcW w:w="2745" w:type="dxa"/>
            <w:tcBorders>
              <w:left w:val="nil"/>
              <w:right w:val="nil"/>
            </w:tcBorders>
            <w:noWrap/>
            <w:hideMark/>
          </w:tcPr>
          <w:p w:rsidRPr="00700100" w:rsidR="00D646FE" w:rsidP="00AC739C" w:rsidRDefault="00D646FE" w14:paraId="353E872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C94F66A" w14:textId="77777777">
        <w:trPr>
          <w:trHeight w:val="300"/>
        </w:trPr>
        <w:tc>
          <w:tcPr>
            <w:tcW w:w="6804" w:type="dxa"/>
            <w:tcBorders>
              <w:left w:val="nil"/>
              <w:right w:val="nil"/>
            </w:tcBorders>
            <w:noWrap/>
            <w:hideMark/>
          </w:tcPr>
          <w:p w:rsidRPr="00700100" w:rsidR="00D646FE" w:rsidP="00AC739C" w:rsidRDefault="00D646FE" w14:paraId="7089A55E" w14:textId="77777777">
            <w:pPr>
              <w:ind w:firstLine="200" w:firstLineChars="100"/>
              <w:rPr>
                <w:rFonts w:ascii="Arial" w:hAnsi="Arial" w:eastAsia="Times New Roman" w:cs="Arial"/>
                <w:sz w:val="20"/>
                <w:szCs w:val="20"/>
              </w:rPr>
            </w:pPr>
            <w:r w:rsidRPr="00700100">
              <w:rPr>
                <w:rFonts w:ascii="Arial" w:hAnsi="Arial"/>
                <w:sz w:val="20"/>
              </w:rPr>
              <w:t>d. Čínský jüan (CNY)</w:t>
            </w:r>
          </w:p>
        </w:tc>
        <w:tc>
          <w:tcPr>
            <w:tcW w:w="2745" w:type="dxa"/>
            <w:tcBorders>
              <w:left w:val="nil"/>
              <w:right w:val="nil"/>
            </w:tcBorders>
            <w:noWrap/>
            <w:hideMark/>
          </w:tcPr>
          <w:p w:rsidRPr="00700100" w:rsidR="00D646FE" w:rsidP="00AC739C" w:rsidRDefault="00D646FE" w14:paraId="6B99F69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F1FCC9D" w14:textId="77777777">
        <w:trPr>
          <w:trHeight w:val="300"/>
        </w:trPr>
        <w:tc>
          <w:tcPr>
            <w:tcW w:w="6804" w:type="dxa"/>
            <w:tcBorders>
              <w:left w:val="nil"/>
              <w:right w:val="nil"/>
            </w:tcBorders>
            <w:noWrap/>
            <w:hideMark/>
          </w:tcPr>
          <w:p w:rsidRPr="00700100" w:rsidR="00D646FE" w:rsidP="00AC739C" w:rsidRDefault="00D646FE" w14:paraId="49BDFCFA" w14:textId="77777777">
            <w:pPr>
              <w:ind w:firstLine="200" w:firstLineChars="100"/>
              <w:rPr>
                <w:rFonts w:ascii="Arial" w:hAnsi="Arial" w:eastAsia="Times New Roman" w:cs="Arial"/>
                <w:sz w:val="20"/>
                <w:szCs w:val="20"/>
              </w:rPr>
            </w:pPr>
            <w:r w:rsidRPr="00700100">
              <w:rPr>
                <w:rFonts w:ascii="Arial" w:hAnsi="Arial"/>
                <w:sz w:val="20"/>
              </w:rPr>
              <w:t>e. Euro (EUR)</w:t>
            </w:r>
          </w:p>
        </w:tc>
        <w:tc>
          <w:tcPr>
            <w:tcW w:w="2745" w:type="dxa"/>
            <w:tcBorders>
              <w:left w:val="nil"/>
              <w:right w:val="nil"/>
            </w:tcBorders>
            <w:noWrap/>
            <w:hideMark/>
          </w:tcPr>
          <w:p w:rsidRPr="00700100" w:rsidR="00D646FE" w:rsidP="00AC739C" w:rsidRDefault="00D646FE" w14:paraId="189ECCB4"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29B4213" w14:textId="77777777">
        <w:trPr>
          <w:trHeight w:val="300"/>
        </w:trPr>
        <w:tc>
          <w:tcPr>
            <w:tcW w:w="6804" w:type="dxa"/>
            <w:tcBorders>
              <w:left w:val="nil"/>
              <w:right w:val="nil"/>
            </w:tcBorders>
            <w:noWrap/>
            <w:hideMark/>
          </w:tcPr>
          <w:p w:rsidRPr="00700100" w:rsidR="00D646FE" w:rsidP="00AC739C" w:rsidRDefault="00D646FE" w14:paraId="21F977DB" w14:textId="77777777">
            <w:pPr>
              <w:ind w:firstLine="200" w:firstLineChars="100"/>
              <w:rPr>
                <w:rFonts w:ascii="Arial" w:hAnsi="Arial" w:eastAsia="Times New Roman" w:cs="Arial"/>
                <w:sz w:val="20"/>
                <w:szCs w:val="20"/>
              </w:rPr>
            </w:pPr>
            <w:r w:rsidRPr="00700100">
              <w:rPr>
                <w:rFonts w:ascii="Arial" w:hAnsi="Arial"/>
                <w:sz w:val="20"/>
              </w:rPr>
              <w:t>f. Libra šterlinků (GBP)</w:t>
            </w:r>
          </w:p>
        </w:tc>
        <w:tc>
          <w:tcPr>
            <w:tcW w:w="2745" w:type="dxa"/>
            <w:tcBorders>
              <w:left w:val="nil"/>
              <w:right w:val="nil"/>
            </w:tcBorders>
            <w:noWrap/>
            <w:hideMark/>
          </w:tcPr>
          <w:p w:rsidRPr="00700100" w:rsidR="00D646FE" w:rsidP="00AC739C" w:rsidRDefault="00D646FE" w14:paraId="7A77D7B5"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3126195" w14:textId="77777777">
        <w:trPr>
          <w:trHeight w:val="300"/>
        </w:trPr>
        <w:tc>
          <w:tcPr>
            <w:tcW w:w="6804" w:type="dxa"/>
            <w:tcBorders>
              <w:left w:val="nil"/>
              <w:right w:val="nil"/>
            </w:tcBorders>
            <w:noWrap/>
            <w:hideMark/>
          </w:tcPr>
          <w:p w:rsidRPr="00700100" w:rsidR="00D646FE" w:rsidP="00AC739C" w:rsidRDefault="00D646FE" w14:paraId="7942AE89" w14:textId="77777777">
            <w:pPr>
              <w:ind w:firstLine="200" w:firstLineChars="100"/>
              <w:rPr>
                <w:rFonts w:ascii="Arial" w:hAnsi="Arial" w:eastAsia="Times New Roman" w:cs="Arial"/>
                <w:sz w:val="20"/>
                <w:szCs w:val="20"/>
              </w:rPr>
            </w:pPr>
            <w:r w:rsidRPr="00700100">
              <w:rPr>
                <w:rFonts w:ascii="Arial" w:hAnsi="Arial"/>
                <w:sz w:val="20"/>
              </w:rPr>
              <w:t>g. Hongkongský dolar (HKD)</w:t>
            </w:r>
          </w:p>
        </w:tc>
        <w:tc>
          <w:tcPr>
            <w:tcW w:w="2745" w:type="dxa"/>
            <w:tcBorders>
              <w:left w:val="nil"/>
              <w:right w:val="nil"/>
            </w:tcBorders>
            <w:noWrap/>
            <w:hideMark/>
          </w:tcPr>
          <w:p w:rsidRPr="00700100" w:rsidR="00D646FE" w:rsidP="00AC739C" w:rsidRDefault="00D646FE" w14:paraId="0E2EC39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E444F11" w14:textId="77777777">
        <w:trPr>
          <w:trHeight w:val="300"/>
        </w:trPr>
        <w:tc>
          <w:tcPr>
            <w:tcW w:w="6804" w:type="dxa"/>
            <w:tcBorders>
              <w:left w:val="nil"/>
              <w:right w:val="nil"/>
            </w:tcBorders>
            <w:noWrap/>
            <w:hideMark/>
          </w:tcPr>
          <w:p w:rsidRPr="00700100" w:rsidR="00D646FE" w:rsidP="00AC739C" w:rsidRDefault="00D646FE" w14:paraId="63364FEB" w14:textId="77777777">
            <w:pPr>
              <w:ind w:firstLine="200" w:firstLineChars="100"/>
              <w:rPr>
                <w:rFonts w:ascii="Arial" w:hAnsi="Arial" w:eastAsia="Times New Roman" w:cs="Arial"/>
                <w:sz w:val="20"/>
                <w:szCs w:val="20"/>
              </w:rPr>
            </w:pPr>
            <w:r w:rsidRPr="00700100">
              <w:rPr>
                <w:rFonts w:ascii="Arial" w:hAnsi="Arial"/>
                <w:sz w:val="20"/>
              </w:rPr>
              <w:t>h. Indická rupie (INR)</w:t>
            </w:r>
          </w:p>
        </w:tc>
        <w:tc>
          <w:tcPr>
            <w:tcW w:w="2745" w:type="dxa"/>
            <w:tcBorders>
              <w:left w:val="nil"/>
              <w:right w:val="nil"/>
            </w:tcBorders>
            <w:noWrap/>
            <w:hideMark/>
          </w:tcPr>
          <w:p w:rsidRPr="00700100" w:rsidR="00D646FE" w:rsidP="00AC739C" w:rsidRDefault="00D646FE" w14:paraId="35A4CC74"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1A6C386" w14:textId="77777777">
        <w:trPr>
          <w:trHeight w:val="300"/>
        </w:trPr>
        <w:tc>
          <w:tcPr>
            <w:tcW w:w="6804" w:type="dxa"/>
            <w:tcBorders>
              <w:left w:val="nil"/>
              <w:right w:val="nil"/>
            </w:tcBorders>
            <w:noWrap/>
            <w:hideMark/>
          </w:tcPr>
          <w:p w:rsidRPr="00700100" w:rsidR="00D646FE" w:rsidP="00AC739C" w:rsidRDefault="00D646FE" w14:paraId="6D99F93E" w14:textId="77777777">
            <w:pPr>
              <w:ind w:firstLine="200" w:firstLineChars="100"/>
              <w:rPr>
                <w:rFonts w:ascii="Arial" w:hAnsi="Arial" w:eastAsia="Times New Roman" w:cs="Arial"/>
                <w:sz w:val="20"/>
                <w:szCs w:val="20"/>
              </w:rPr>
            </w:pPr>
            <w:r w:rsidRPr="00700100">
              <w:rPr>
                <w:rFonts w:ascii="Arial" w:hAnsi="Arial"/>
                <w:sz w:val="20"/>
              </w:rPr>
              <w:t>i. Japonský jen (JPY)</w:t>
            </w:r>
          </w:p>
        </w:tc>
        <w:tc>
          <w:tcPr>
            <w:tcW w:w="2745" w:type="dxa"/>
            <w:tcBorders>
              <w:left w:val="nil"/>
              <w:right w:val="nil"/>
            </w:tcBorders>
            <w:noWrap/>
            <w:hideMark/>
          </w:tcPr>
          <w:p w:rsidRPr="00700100" w:rsidR="00D646FE" w:rsidP="00AC739C" w:rsidRDefault="00D646FE" w14:paraId="46FBB6F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155DDC9" w14:textId="77777777">
        <w:trPr>
          <w:trHeight w:val="300"/>
        </w:trPr>
        <w:tc>
          <w:tcPr>
            <w:tcW w:w="6804" w:type="dxa"/>
            <w:tcBorders>
              <w:left w:val="nil"/>
              <w:right w:val="nil"/>
            </w:tcBorders>
            <w:noWrap/>
            <w:hideMark/>
          </w:tcPr>
          <w:p w:rsidRPr="00700100" w:rsidR="00D646FE" w:rsidP="00AC739C" w:rsidRDefault="00D646FE" w14:paraId="35A7C273" w14:textId="77777777">
            <w:pPr>
              <w:ind w:firstLine="200" w:firstLineChars="100"/>
              <w:rPr>
                <w:rFonts w:ascii="Arial" w:hAnsi="Arial" w:eastAsia="Times New Roman" w:cs="Arial"/>
                <w:sz w:val="20"/>
                <w:szCs w:val="20"/>
              </w:rPr>
            </w:pPr>
            <w:r w:rsidRPr="00700100">
              <w:rPr>
                <w:rFonts w:ascii="Arial" w:hAnsi="Arial"/>
                <w:sz w:val="20"/>
              </w:rPr>
              <w:t>j. Novozélandský dolar (NZD)</w:t>
            </w:r>
          </w:p>
        </w:tc>
        <w:tc>
          <w:tcPr>
            <w:tcW w:w="2745" w:type="dxa"/>
            <w:tcBorders>
              <w:left w:val="nil"/>
              <w:right w:val="nil"/>
            </w:tcBorders>
            <w:noWrap/>
            <w:hideMark/>
          </w:tcPr>
          <w:p w:rsidRPr="00700100" w:rsidR="00D646FE" w:rsidP="00AC739C" w:rsidRDefault="00D646FE" w14:paraId="7FDB764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BC0C61F" w14:textId="77777777">
        <w:trPr>
          <w:trHeight w:val="300"/>
        </w:trPr>
        <w:tc>
          <w:tcPr>
            <w:tcW w:w="6804" w:type="dxa"/>
            <w:tcBorders>
              <w:left w:val="nil"/>
              <w:right w:val="nil"/>
            </w:tcBorders>
            <w:noWrap/>
            <w:hideMark/>
          </w:tcPr>
          <w:p w:rsidRPr="00700100" w:rsidR="00D646FE" w:rsidP="00AC739C" w:rsidRDefault="00D646FE" w14:paraId="762A26E2" w14:textId="77777777">
            <w:pPr>
              <w:ind w:firstLine="200" w:firstLineChars="100"/>
              <w:rPr>
                <w:rFonts w:ascii="Arial" w:hAnsi="Arial" w:eastAsia="Times New Roman" w:cs="Arial"/>
                <w:sz w:val="20"/>
                <w:szCs w:val="20"/>
              </w:rPr>
            </w:pPr>
            <w:r w:rsidRPr="00700100">
              <w:rPr>
                <w:rFonts w:ascii="Arial" w:hAnsi="Arial"/>
                <w:sz w:val="20"/>
              </w:rPr>
              <w:t>k. Švédská koruna (SEK)</w:t>
            </w:r>
          </w:p>
        </w:tc>
        <w:tc>
          <w:tcPr>
            <w:tcW w:w="2745" w:type="dxa"/>
            <w:tcBorders>
              <w:left w:val="nil"/>
              <w:right w:val="nil"/>
            </w:tcBorders>
            <w:noWrap/>
            <w:hideMark/>
          </w:tcPr>
          <w:p w:rsidRPr="00700100" w:rsidR="00D646FE" w:rsidP="00AC739C" w:rsidRDefault="00D646FE" w14:paraId="4A22952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12B07C4" w14:textId="77777777">
        <w:trPr>
          <w:trHeight w:val="300"/>
        </w:trPr>
        <w:tc>
          <w:tcPr>
            <w:tcW w:w="6804" w:type="dxa"/>
            <w:tcBorders>
              <w:left w:val="nil"/>
              <w:right w:val="nil"/>
            </w:tcBorders>
            <w:noWrap/>
            <w:hideMark/>
          </w:tcPr>
          <w:p w:rsidRPr="00700100" w:rsidR="00D646FE" w:rsidP="00AC739C" w:rsidRDefault="00D646FE" w14:paraId="1D7D5BA5" w14:textId="77777777">
            <w:pPr>
              <w:ind w:firstLine="200" w:firstLineChars="100"/>
              <w:rPr>
                <w:rFonts w:ascii="Arial" w:hAnsi="Arial" w:eastAsia="Times New Roman" w:cs="Arial"/>
                <w:sz w:val="20"/>
                <w:szCs w:val="20"/>
              </w:rPr>
            </w:pPr>
            <w:r w:rsidRPr="00700100">
              <w:rPr>
                <w:rFonts w:ascii="Arial" w:hAnsi="Arial"/>
                <w:sz w:val="20"/>
              </w:rPr>
              <w:t>l. Americký dolar (USD)</w:t>
            </w:r>
          </w:p>
        </w:tc>
        <w:tc>
          <w:tcPr>
            <w:tcW w:w="2745" w:type="dxa"/>
            <w:tcBorders>
              <w:left w:val="nil"/>
              <w:right w:val="nil"/>
            </w:tcBorders>
            <w:noWrap/>
            <w:hideMark/>
          </w:tcPr>
          <w:p w:rsidRPr="00700100" w:rsidR="00D646FE" w:rsidP="00AC739C" w:rsidRDefault="00D646FE" w14:paraId="6D318E3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33228E0" w14:textId="77777777">
        <w:trPr>
          <w:trHeight w:val="300"/>
        </w:trPr>
        <w:tc>
          <w:tcPr>
            <w:tcW w:w="6804" w:type="dxa"/>
            <w:tcBorders>
              <w:left w:val="nil"/>
              <w:bottom w:val="single" w:color="auto" w:sz="4" w:space="0"/>
              <w:right w:val="nil"/>
            </w:tcBorders>
            <w:noWrap/>
            <w:hideMark/>
          </w:tcPr>
          <w:p w:rsidRPr="00700100" w:rsidR="00D646FE" w:rsidP="00AC739C" w:rsidRDefault="00D646FE" w14:paraId="0AD5ADDE" w14:textId="77777777">
            <w:pPr>
              <w:ind w:firstLine="200" w:firstLineChars="100"/>
              <w:rPr>
                <w:rFonts w:ascii="Arial" w:hAnsi="Arial" w:eastAsia="Times New Roman" w:cs="Arial"/>
                <w:sz w:val="20"/>
                <w:szCs w:val="20"/>
              </w:rPr>
            </w:pPr>
            <w:r w:rsidRPr="00700100">
              <w:rPr>
                <w:rFonts w:ascii="Arial" w:hAnsi="Arial"/>
                <w:sz w:val="20"/>
              </w:rPr>
              <w:t>m. Ukazatel platební činnosti (součet položek 6.a. až 6.l.)</w:t>
            </w:r>
          </w:p>
        </w:tc>
        <w:tc>
          <w:tcPr>
            <w:tcW w:w="2745" w:type="dxa"/>
            <w:tcBorders>
              <w:left w:val="nil"/>
              <w:bottom w:val="single" w:color="auto" w:sz="4" w:space="0"/>
              <w:right w:val="nil"/>
            </w:tcBorders>
            <w:noWrap/>
            <w:hideMark/>
          </w:tcPr>
          <w:p w:rsidRPr="00700100" w:rsidR="00D646FE" w:rsidP="00AC739C" w:rsidRDefault="00D646FE" w14:paraId="427BD1F3" w14:textId="77777777">
            <w:pPr>
              <w:jc w:val="right"/>
              <w:rPr>
                <w:rFonts w:ascii="Arial" w:hAnsi="Arial" w:eastAsia="Times New Roman" w:cs="Arial"/>
                <w:sz w:val="20"/>
                <w:szCs w:val="20"/>
              </w:rPr>
            </w:pPr>
            <w:r w:rsidRPr="00700100">
              <w:rPr>
                <w:rFonts w:ascii="Arial" w:hAnsi="Arial"/>
                <w:sz w:val="20"/>
              </w:rPr>
              <w:t xml:space="preserve"> </w:t>
            </w:r>
          </w:p>
        </w:tc>
      </w:tr>
      <w:tr w:rsidRPr="00700100" w:rsidR="00D646FE" w:rsidTr="00AC739C" w14:paraId="35772AE2" w14:textId="77777777">
        <w:trPr>
          <w:trHeight w:val="300"/>
        </w:trPr>
        <w:tc>
          <w:tcPr>
            <w:tcW w:w="6804" w:type="dxa"/>
            <w:tcBorders>
              <w:left w:val="nil"/>
              <w:bottom w:val="nil"/>
              <w:right w:val="nil"/>
            </w:tcBorders>
            <w:noWrap/>
          </w:tcPr>
          <w:p w:rsidRPr="00700100" w:rsidR="00D646FE" w:rsidP="00AC739C" w:rsidRDefault="00D646FE" w14:paraId="5656EBCC"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5FA0C374" w14:textId="77777777">
            <w:pPr>
              <w:jc w:val="center"/>
              <w:rPr>
                <w:rFonts w:ascii="Arial" w:hAnsi="Arial" w:eastAsia="Times New Roman" w:cs="Arial"/>
                <w:b/>
                <w:bCs/>
                <w:sz w:val="20"/>
                <w:szCs w:val="20"/>
                <w:lang w:eastAsia="en-GB"/>
              </w:rPr>
            </w:pPr>
          </w:p>
        </w:tc>
      </w:tr>
      <w:tr w:rsidRPr="00700100" w:rsidR="00D646FE" w:rsidTr="00AC739C" w14:paraId="6D4DA32F"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37B4EF9A" w14:textId="77777777">
            <w:pPr>
              <w:rPr>
                <w:rFonts w:ascii="Arial" w:hAnsi="Arial" w:eastAsia="Times New Roman" w:cs="Arial"/>
                <w:b/>
                <w:bCs/>
                <w:sz w:val="20"/>
                <w:szCs w:val="20"/>
              </w:rPr>
            </w:pPr>
            <w:r w:rsidRPr="00700100">
              <w:rPr>
                <w:rFonts w:ascii="Arial" w:hAnsi="Arial"/>
                <w:b/>
                <w:sz w:val="20"/>
              </w:rPr>
              <w:t>Oddíl 7 – Aktiva v úschově</w:t>
            </w:r>
          </w:p>
        </w:tc>
        <w:tc>
          <w:tcPr>
            <w:tcW w:w="2745" w:type="dxa"/>
            <w:tcBorders>
              <w:top w:val="nil"/>
              <w:left w:val="nil"/>
              <w:bottom w:val="single" w:color="auto" w:sz="4" w:space="0"/>
              <w:right w:val="nil"/>
            </w:tcBorders>
            <w:hideMark/>
          </w:tcPr>
          <w:p w:rsidRPr="00700100" w:rsidR="00D646FE" w:rsidP="00AC739C" w:rsidRDefault="00D646FE" w14:paraId="3358B612"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632803C5" w14:textId="77777777">
        <w:trPr>
          <w:trHeight w:val="300"/>
        </w:trPr>
        <w:tc>
          <w:tcPr>
            <w:tcW w:w="6804" w:type="dxa"/>
            <w:tcBorders>
              <w:left w:val="nil"/>
              <w:bottom w:val="single" w:color="auto" w:sz="4" w:space="0"/>
              <w:right w:val="nil"/>
            </w:tcBorders>
            <w:noWrap/>
            <w:hideMark/>
          </w:tcPr>
          <w:p w:rsidRPr="00700100" w:rsidR="00D646FE" w:rsidP="00AC739C" w:rsidRDefault="00D646FE" w14:paraId="567A2953" w14:textId="77777777">
            <w:pPr>
              <w:ind w:firstLine="200" w:firstLineChars="100"/>
              <w:rPr>
                <w:rFonts w:ascii="Arial" w:hAnsi="Arial" w:eastAsia="Times New Roman" w:cs="Arial"/>
                <w:sz w:val="20"/>
                <w:szCs w:val="20"/>
              </w:rPr>
            </w:pPr>
            <w:r w:rsidRPr="00700100">
              <w:rPr>
                <w:rFonts w:ascii="Arial" w:hAnsi="Arial"/>
                <w:sz w:val="20"/>
              </w:rPr>
              <w:t>a. Ukazatel aktiv v úschově</w:t>
            </w:r>
          </w:p>
        </w:tc>
        <w:tc>
          <w:tcPr>
            <w:tcW w:w="2745" w:type="dxa"/>
            <w:tcBorders>
              <w:left w:val="nil"/>
              <w:bottom w:val="single" w:color="auto" w:sz="4" w:space="0"/>
              <w:right w:val="nil"/>
            </w:tcBorders>
            <w:noWrap/>
            <w:hideMark/>
          </w:tcPr>
          <w:p w:rsidRPr="00700100" w:rsidR="00D646FE" w:rsidP="00AC739C" w:rsidRDefault="00D646FE" w14:paraId="27903AA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8B61BA1" w14:textId="77777777">
        <w:trPr>
          <w:trHeight w:val="300"/>
        </w:trPr>
        <w:tc>
          <w:tcPr>
            <w:tcW w:w="6804" w:type="dxa"/>
            <w:tcBorders>
              <w:left w:val="nil"/>
              <w:bottom w:val="nil"/>
              <w:right w:val="nil"/>
            </w:tcBorders>
            <w:noWrap/>
          </w:tcPr>
          <w:p w:rsidRPr="00700100" w:rsidR="00D646FE" w:rsidP="00AC739C" w:rsidRDefault="00D646FE" w14:paraId="11257F40"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700100" w:rsidR="00D646FE" w:rsidP="00AC739C" w:rsidRDefault="00D646FE" w14:paraId="668F7631" w14:textId="77777777">
            <w:pPr>
              <w:jc w:val="center"/>
              <w:rPr>
                <w:rFonts w:ascii="Arial" w:hAnsi="Arial" w:eastAsia="Times New Roman" w:cs="Arial"/>
                <w:b/>
                <w:bCs/>
                <w:sz w:val="20"/>
                <w:szCs w:val="20"/>
                <w:lang w:eastAsia="en-GB"/>
              </w:rPr>
            </w:pPr>
          </w:p>
        </w:tc>
      </w:tr>
      <w:tr w:rsidRPr="00700100" w:rsidR="00D646FE" w:rsidTr="00AC739C" w14:paraId="01D1CA53"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6D4EC38E" w14:textId="77777777">
            <w:pPr>
              <w:rPr>
                <w:rFonts w:ascii="Arial" w:hAnsi="Arial" w:eastAsia="Times New Roman" w:cs="Arial"/>
                <w:sz w:val="20"/>
                <w:szCs w:val="20"/>
              </w:rPr>
            </w:pPr>
            <w:r w:rsidRPr="00700100">
              <w:rPr>
                <w:rFonts w:ascii="Arial" w:hAnsi="Arial"/>
                <w:b/>
                <w:sz w:val="20"/>
              </w:rPr>
              <w:lastRenderedPageBreak/>
              <w:t>Oddíl 8 – Upsané transakce na trzích dluhových i majetkových cenných papírů</w:t>
            </w:r>
          </w:p>
        </w:tc>
        <w:tc>
          <w:tcPr>
            <w:tcW w:w="2745" w:type="dxa"/>
            <w:tcBorders>
              <w:top w:val="nil"/>
              <w:left w:val="nil"/>
              <w:bottom w:val="single" w:color="auto" w:sz="4" w:space="0"/>
              <w:right w:val="nil"/>
            </w:tcBorders>
            <w:noWrap/>
          </w:tcPr>
          <w:p w:rsidRPr="00700100" w:rsidR="00D646FE" w:rsidP="00AC739C" w:rsidRDefault="00D646FE" w14:paraId="01B11726"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63A8278" w14:textId="77777777">
        <w:trPr>
          <w:trHeight w:val="300"/>
        </w:trPr>
        <w:tc>
          <w:tcPr>
            <w:tcW w:w="6804" w:type="dxa"/>
            <w:tcBorders>
              <w:left w:val="nil"/>
              <w:right w:val="nil"/>
            </w:tcBorders>
            <w:noWrap/>
            <w:hideMark/>
          </w:tcPr>
          <w:p w:rsidRPr="00700100" w:rsidR="00D646FE" w:rsidP="00AC739C" w:rsidRDefault="00D646FE" w14:paraId="684B8A80" w14:textId="77777777">
            <w:pPr>
              <w:ind w:firstLine="200" w:firstLineChars="100"/>
              <w:rPr>
                <w:rFonts w:ascii="Arial" w:hAnsi="Arial" w:eastAsia="Times New Roman" w:cs="Arial"/>
                <w:sz w:val="20"/>
                <w:szCs w:val="20"/>
              </w:rPr>
            </w:pPr>
            <w:r w:rsidRPr="00700100">
              <w:rPr>
                <w:rFonts w:ascii="Arial" w:hAnsi="Arial"/>
                <w:sz w:val="20"/>
              </w:rPr>
              <w:t>a. Činnost upisování majetkových cenných papírů</w:t>
            </w:r>
          </w:p>
        </w:tc>
        <w:tc>
          <w:tcPr>
            <w:tcW w:w="2745" w:type="dxa"/>
            <w:tcBorders>
              <w:left w:val="nil"/>
              <w:right w:val="nil"/>
            </w:tcBorders>
            <w:noWrap/>
            <w:hideMark/>
          </w:tcPr>
          <w:p w:rsidRPr="00700100" w:rsidR="00D646FE" w:rsidP="00AC739C" w:rsidRDefault="00D646FE" w14:paraId="350D31C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1A7CDC3" w14:textId="77777777">
        <w:trPr>
          <w:trHeight w:val="300"/>
        </w:trPr>
        <w:tc>
          <w:tcPr>
            <w:tcW w:w="6804" w:type="dxa"/>
            <w:tcBorders>
              <w:left w:val="nil"/>
              <w:right w:val="nil"/>
            </w:tcBorders>
            <w:noWrap/>
            <w:hideMark/>
          </w:tcPr>
          <w:p w:rsidRPr="00700100" w:rsidR="00D646FE" w:rsidP="00AC739C" w:rsidRDefault="00D646FE" w14:paraId="1DAC08C4" w14:textId="77777777">
            <w:pPr>
              <w:ind w:firstLine="200" w:firstLineChars="100"/>
              <w:rPr>
                <w:rFonts w:ascii="Arial" w:hAnsi="Arial" w:eastAsia="Times New Roman" w:cs="Arial"/>
                <w:sz w:val="20"/>
                <w:szCs w:val="20"/>
              </w:rPr>
            </w:pPr>
            <w:r w:rsidRPr="00700100">
              <w:rPr>
                <w:rFonts w:ascii="Arial" w:hAnsi="Arial"/>
                <w:sz w:val="20"/>
              </w:rPr>
              <w:t>b. Činnost upisování dluhových cenných papírů</w:t>
            </w:r>
          </w:p>
        </w:tc>
        <w:tc>
          <w:tcPr>
            <w:tcW w:w="2745" w:type="dxa"/>
            <w:tcBorders>
              <w:left w:val="nil"/>
              <w:right w:val="nil"/>
            </w:tcBorders>
            <w:noWrap/>
            <w:hideMark/>
          </w:tcPr>
          <w:p w:rsidRPr="00700100" w:rsidR="00D646FE" w:rsidP="00AC739C" w:rsidRDefault="00D646FE" w14:paraId="6BD9128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1E08B99" w14:textId="77777777">
        <w:trPr>
          <w:trHeight w:val="300"/>
        </w:trPr>
        <w:tc>
          <w:tcPr>
            <w:tcW w:w="6804" w:type="dxa"/>
            <w:tcBorders>
              <w:left w:val="nil"/>
              <w:bottom w:val="single" w:color="auto" w:sz="4" w:space="0"/>
              <w:right w:val="nil"/>
            </w:tcBorders>
            <w:noWrap/>
            <w:hideMark/>
          </w:tcPr>
          <w:p w:rsidRPr="00700100" w:rsidR="00D646FE" w:rsidP="00AC739C" w:rsidRDefault="00D646FE" w14:paraId="1D8D5EB9" w14:textId="77777777">
            <w:pPr>
              <w:ind w:firstLine="200" w:firstLineChars="100"/>
              <w:rPr>
                <w:rFonts w:ascii="Arial" w:hAnsi="Arial" w:eastAsia="Times New Roman" w:cs="Arial"/>
                <w:sz w:val="20"/>
                <w:szCs w:val="20"/>
              </w:rPr>
            </w:pPr>
            <w:r w:rsidRPr="00700100">
              <w:rPr>
                <w:rFonts w:ascii="Arial" w:hAnsi="Arial"/>
                <w:sz w:val="20"/>
              </w:rPr>
              <w:t>c. Ukazatel činnosti upisování (součet položek 8.a. a 8.b.)</w:t>
            </w:r>
          </w:p>
        </w:tc>
        <w:tc>
          <w:tcPr>
            <w:tcW w:w="2745" w:type="dxa"/>
            <w:tcBorders>
              <w:left w:val="nil"/>
              <w:bottom w:val="single" w:color="auto" w:sz="4" w:space="0"/>
              <w:right w:val="nil"/>
            </w:tcBorders>
            <w:noWrap/>
            <w:hideMark/>
          </w:tcPr>
          <w:p w:rsidRPr="00700100" w:rsidR="00D646FE" w:rsidP="00AC739C" w:rsidRDefault="00D646FE" w14:paraId="5377B17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BF6894D" w14:textId="77777777">
        <w:trPr>
          <w:trHeight w:val="300"/>
        </w:trPr>
        <w:tc>
          <w:tcPr>
            <w:tcW w:w="6804" w:type="dxa"/>
            <w:tcBorders>
              <w:left w:val="nil"/>
              <w:bottom w:val="nil"/>
              <w:right w:val="nil"/>
            </w:tcBorders>
            <w:noWrap/>
          </w:tcPr>
          <w:p w:rsidRPr="00700100" w:rsidR="00D646FE" w:rsidP="00AC739C" w:rsidRDefault="00D646FE" w14:paraId="0E582887"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67178281" w14:textId="77777777">
            <w:pPr>
              <w:jc w:val="center"/>
              <w:rPr>
                <w:rFonts w:ascii="Arial" w:hAnsi="Arial" w:eastAsia="Times New Roman" w:cs="Arial"/>
                <w:b/>
                <w:bCs/>
                <w:sz w:val="20"/>
                <w:szCs w:val="20"/>
                <w:lang w:eastAsia="en-GB"/>
              </w:rPr>
            </w:pPr>
          </w:p>
        </w:tc>
      </w:tr>
      <w:tr w:rsidRPr="00700100" w:rsidR="00D646FE" w:rsidTr="00AC739C" w14:paraId="6AD22F51" w14:textId="77777777">
        <w:trPr>
          <w:trHeight w:val="300"/>
        </w:trPr>
        <w:tc>
          <w:tcPr>
            <w:tcW w:w="6804" w:type="dxa"/>
            <w:tcBorders>
              <w:top w:val="nil"/>
              <w:left w:val="nil"/>
              <w:right w:val="nil"/>
            </w:tcBorders>
            <w:noWrap/>
            <w:hideMark/>
          </w:tcPr>
          <w:p w:rsidRPr="00700100" w:rsidR="00D646FE" w:rsidP="00AC739C" w:rsidRDefault="00D646FE" w14:paraId="0BFDFACF" w14:textId="77777777">
            <w:pPr>
              <w:rPr>
                <w:rFonts w:ascii="Arial" w:hAnsi="Arial" w:eastAsia="Times New Roman" w:cs="Arial"/>
                <w:b/>
                <w:bCs/>
                <w:sz w:val="20"/>
                <w:szCs w:val="20"/>
              </w:rPr>
            </w:pPr>
            <w:r w:rsidRPr="00700100">
              <w:rPr>
                <w:rFonts w:ascii="Arial" w:hAnsi="Arial"/>
                <w:b/>
                <w:sz w:val="20"/>
              </w:rPr>
              <w:t>Oddíl 9 – Objem obchodů</w:t>
            </w:r>
          </w:p>
        </w:tc>
        <w:tc>
          <w:tcPr>
            <w:tcW w:w="2745" w:type="dxa"/>
            <w:tcBorders>
              <w:top w:val="nil"/>
              <w:left w:val="nil"/>
              <w:right w:val="nil"/>
            </w:tcBorders>
            <w:hideMark/>
          </w:tcPr>
          <w:p w:rsidRPr="00700100" w:rsidR="00D646FE" w:rsidP="00AC739C" w:rsidRDefault="00D646FE" w14:paraId="298B94A4"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5C1C4C2" w14:textId="77777777">
        <w:trPr>
          <w:trHeight w:val="300"/>
        </w:trPr>
        <w:tc>
          <w:tcPr>
            <w:tcW w:w="6804" w:type="dxa"/>
            <w:tcBorders>
              <w:left w:val="nil"/>
              <w:right w:val="nil"/>
            </w:tcBorders>
            <w:noWrap/>
          </w:tcPr>
          <w:p w:rsidRPr="00700100" w:rsidR="00D646FE" w:rsidP="00AC739C" w:rsidRDefault="00D646FE" w14:paraId="1C6E2B2B" w14:textId="77777777">
            <w:pPr>
              <w:ind w:left="171" w:firstLine="28" w:firstLineChars="14"/>
              <w:rPr>
                <w:rFonts w:ascii="Arial" w:hAnsi="Arial" w:eastAsia="Times New Roman" w:cs="Arial"/>
                <w:sz w:val="20"/>
                <w:szCs w:val="20"/>
              </w:rPr>
            </w:pPr>
            <w:r w:rsidRPr="00700100">
              <w:rPr>
                <w:rFonts w:ascii="Arial" w:hAnsi="Arial"/>
                <w:sz w:val="20"/>
              </w:rPr>
              <w:t>a. Objem obchodů s cennými papíry emitovanými jinými subjekty veřejného sektoru, s výjimkou transakcí v rámci skupiny</w:t>
            </w:r>
          </w:p>
        </w:tc>
        <w:tc>
          <w:tcPr>
            <w:tcW w:w="2745" w:type="dxa"/>
            <w:tcBorders>
              <w:left w:val="nil"/>
              <w:right w:val="nil"/>
            </w:tcBorders>
            <w:noWrap/>
          </w:tcPr>
          <w:p w:rsidRPr="00700100" w:rsidR="00D646FE" w:rsidP="00AC739C" w:rsidRDefault="00D646FE" w14:paraId="497AC419" w14:textId="77777777">
            <w:pPr>
              <w:jc w:val="right"/>
              <w:rPr>
                <w:rFonts w:ascii="Arial" w:hAnsi="Arial" w:eastAsia="Times New Roman" w:cs="Arial"/>
                <w:sz w:val="20"/>
                <w:szCs w:val="20"/>
                <w:lang w:eastAsia="en-GB"/>
              </w:rPr>
            </w:pPr>
          </w:p>
        </w:tc>
      </w:tr>
      <w:tr w:rsidRPr="00700100" w:rsidR="00D646FE" w:rsidTr="00AC739C" w14:paraId="6A14761B" w14:textId="77777777">
        <w:trPr>
          <w:trHeight w:val="300"/>
        </w:trPr>
        <w:tc>
          <w:tcPr>
            <w:tcW w:w="6804" w:type="dxa"/>
            <w:tcBorders>
              <w:left w:val="nil"/>
              <w:bottom w:val="single" w:color="auto" w:sz="4" w:space="0"/>
              <w:right w:val="nil"/>
            </w:tcBorders>
            <w:noWrap/>
            <w:hideMark/>
          </w:tcPr>
          <w:p w:rsidRPr="00700100" w:rsidR="00D646FE" w:rsidP="00AC739C" w:rsidRDefault="00D646FE" w14:paraId="75A5F980" w14:textId="77777777">
            <w:pPr>
              <w:ind w:left="171" w:firstLine="28" w:firstLineChars="14"/>
              <w:rPr>
                <w:rFonts w:ascii="Arial" w:hAnsi="Arial" w:eastAsia="Times New Roman" w:cs="Arial"/>
                <w:sz w:val="20"/>
                <w:szCs w:val="20"/>
              </w:rPr>
            </w:pPr>
            <w:r w:rsidRPr="00700100">
              <w:rPr>
                <w:rFonts w:ascii="Arial" w:hAnsi="Arial"/>
                <w:sz w:val="20"/>
              </w:rPr>
              <w:t>b. Objem obchodů s jinými cennými papíry s pevným výnosem, s výjimkou transakcí v rámci skupiny</w:t>
            </w:r>
          </w:p>
        </w:tc>
        <w:tc>
          <w:tcPr>
            <w:tcW w:w="2745" w:type="dxa"/>
            <w:tcBorders>
              <w:left w:val="nil"/>
              <w:right w:val="nil"/>
            </w:tcBorders>
            <w:noWrap/>
            <w:hideMark/>
          </w:tcPr>
          <w:p w:rsidRPr="00700100" w:rsidR="00D646FE" w:rsidP="00AC739C" w:rsidRDefault="00D646FE" w14:paraId="7B61981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5245E8E" w14:textId="77777777">
        <w:trPr>
          <w:gridAfter w:val="1"/>
          <w:wAfter w:w="2745" w:type="dxa"/>
          <w:trHeight w:val="300"/>
        </w:trPr>
        <w:tc>
          <w:tcPr>
            <w:tcW w:w="6804" w:type="dxa"/>
            <w:tcBorders>
              <w:left w:val="nil"/>
              <w:bottom w:val="single" w:color="auto" w:sz="4" w:space="0"/>
              <w:right w:val="nil"/>
            </w:tcBorders>
            <w:noWrap/>
            <w:hideMark/>
          </w:tcPr>
          <w:p w:rsidRPr="00700100" w:rsidR="00D646FE" w:rsidP="00AC739C" w:rsidRDefault="00273AA4" w14:paraId="2E03DC3A" w14:textId="41996CFF">
            <w:pPr>
              <w:ind w:firstLine="200" w:firstLineChars="100"/>
              <w:rPr>
                <w:rFonts w:ascii="Arial" w:hAnsi="Arial" w:eastAsia="Times New Roman" w:cs="Arial"/>
                <w:sz w:val="20"/>
                <w:szCs w:val="20"/>
              </w:rPr>
            </w:pPr>
            <w:r>
              <w:rPr>
                <w:rFonts w:ascii="Arial" w:hAnsi="Arial"/>
                <w:sz w:val="20"/>
              </w:rPr>
              <w:t>c</w:t>
            </w:r>
            <w:r w:rsidRPr="00700100" w:rsidR="00D646FE">
              <w:rPr>
                <w:rFonts w:ascii="Arial" w:hAnsi="Arial"/>
                <w:sz w:val="20"/>
              </w:rPr>
              <w:t>. Dílčí ukazatel pro objem obchodů s pevným výnosem (součet položek 9.a. a 9.b.)</w:t>
            </w:r>
          </w:p>
        </w:tc>
      </w:tr>
      <w:tr w:rsidRPr="00700100" w:rsidR="00D646FE" w:rsidTr="00AC739C" w14:paraId="0AF2C441" w14:textId="77777777">
        <w:trPr>
          <w:trHeight w:val="300"/>
        </w:trPr>
        <w:tc>
          <w:tcPr>
            <w:tcW w:w="6804" w:type="dxa"/>
            <w:tcBorders>
              <w:left w:val="nil"/>
              <w:right w:val="nil"/>
            </w:tcBorders>
            <w:noWrap/>
            <w:hideMark/>
          </w:tcPr>
          <w:p w:rsidRPr="00700100" w:rsidR="00D646FE" w:rsidP="00AC739C" w:rsidRDefault="00D646FE" w14:paraId="3F4C6459" w14:textId="77777777">
            <w:pPr>
              <w:ind w:firstLine="200" w:firstLineChars="100"/>
              <w:rPr>
                <w:rFonts w:ascii="Arial" w:hAnsi="Arial" w:eastAsia="Times New Roman" w:cs="Arial"/>
                <w:sz w:val="20"/>
                <w:szCs w:val="20"/>
              </w:rPr>
            </w:pPr>
            <w:r w:rsidRPr="00700100">
              <w:rPr>
                <w:rFonts w:ascii="Arial" w:hAnsi="Arial"/>
                <w:sz w:val="20"/>
              </w:rPr>
              <w:t>d. Objem obchodů s akciemi kótovanými na burze, s výjimkou transakcí v rámci skupiny</w:t>
            </w:r>
          </w:p>
        </w:tc>
        <w:tc>
          <w:tcPr>
            <w:tcW w:w="2745" w:type="dxa"/>
            <w:tcBorders>
              <w:left w:val="nil"/>
              <w:right w:val="nil"/>
            </w:tcBorders>
            <w:noWrap/>
            <w:hideMark/>
          </w:tcPr>
          <w:p w:rsidRPr="00700100" w:rsidR="00D646FE" w:rsidP="00AC739C" w:rsidRDefault="00D646FE" w14:paraId="70B2805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CFB6CB1" w14:textId="77777777">
        <w:trPr>
          <w:trHeight w:val="300"/>
        </w:trPr>
        <w:tc>
          <w:tcPr>
            <w:tcW w:w="6804" w:type="dxa"/>
            <w:tcBorders>
              <w:left w:val="nil"/>
              <w:bottom w:val="single" w:color="auto" w:sz="4" w:space="0"/>
              <w:right w:val="nil"/>
            </w:tcBorders>
            <w:noWrap/>
            <w:hideMark/>
          </w:tcPr>
          <w:p w:rsidRPr="00700100" w:rsidR="00D646FE" w:rsidP="00AC739C" w:rsidRDefault="00D646FE" w14:paraId="1E5FB713" w14:textId="77777777">
            <w:pPr>
              <w:ind w:left="171"/>
              <w:rPr>
                <w:rFonts w:ascii="Arial" w:hAnsi="Arial" w:eastAsia="Times New Roman" w:cs="Arial"/>
                <w:sz w:val="20"/>
                <w:szCs w:val="20"/>
              </w:rPr>
            </w:pPr>
            <w:r w:rsidRPr="00700100">
              <w:rPr>
                <w:rFonts w:ascii="Arial" w:hAnsi="Arial"/>
                <w:sz w:val="20"/>
              </w:rPr>
              <w:t>e. Objem obchodů se všemi ostatními cennými papíry, s výjimkou transakcí v rámci skupiny</w:t>
            </w:r>
          </w:p>
        </w:tc>
        <w:tc>
          <w:tcPr>
            <w:tcW w:w="2745" w:type="dxa"/>
            <w:tcBorders>
              <w:left w:val="nil"/>
              <w:right w:val="nil"/>
            </w:tcBorders>
            <w:noWrap/>
            <w:hideMark/>
          </w:tcPr>
          <w:p w:rsidRPr="00700100" w:rsidR="00D646FE" w:rsidP="00AC739C" w:rsidRDefault="00D646FE" w14:paraId="58FF15FD"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5004008" w14:textId="77777777">
        <w:trPr>
          <w:gridAfter w:val="1"/>
          <w:wAfter w:w="2745" w:type="dxa"/>
          <w:trHeight w:val="300"/>
        </w:trPr>
        <w:tc>
          <w:tcPr>
            <w:tcW w:w="6804" w:type="dxa"/>
            <w:tcBorders>
              <w:left w:val="nil"/>
              <w:bottom w:val="single" w:color="auto" w:sz="4" w:space="0"/>
              <w:right w:val="nil"/>
            </w:tcBorders>
            <w:noWrap/>
            <w:hideMark/>
          </w:tcPr>
          <w:p w:rsidRPr="00700100" w:rsidR="00D646FE" w:rsidP="00AC739C" w:rsidRDefault="00D646FE" w14:paraId="64859DB6" w14:textId="77777777">
            <w:pPr>
              <w:ind w:left="171" w:firstLine="28" w:firstLineChars="14"/>
              <w:rPr>
                <w:rFonts w:ascii="Arial" w:hAnsi="Arial" w:eastAsia="Times New Roman" w:cs="Arial"/>
                <w:sz w:val="20"/>
                <w:szCs w:val="20"/>
              </w:rPr>
            </w:pPr>
            <w:r w:rsidRPr="00700100">
              <w:rPr>
                <w:rFonts w:ascii="Arial" w:hAnsi="Arial"/>
                <w:sz w:val="20"/>
              </w:rPr>
              <w:t>f. Dílčí ukazatel pro objem obchodů s akciemi a ostatními cennými papíry (součet položek 9.d. a 9.e.)</w:t>
            </w:r>
          </w:p>
        </w:tc>
      </w:tr>
      <w:tr w:rsidRPr="00700100" w:rsidR="00D646FE" w:rsidTr="00AC739C" w14:paraId="74F2AE93" w14:textId="77777777">
        <w:trPr>
          <w:trHeight w:val="403"/>
        </w:trPr>
        <w:tc>
          <w:tcPr>
            <w:tcW w:w="6804" w:type="dxa"/>
            <w:tcBorders>
              <w:left w:val="nil"/>
              <w:bottom w:val="nil"/>
              <w:right w:val="nil"/>
            </w:tcBorders>
            <w:noWrap/>
          </w:tcPr>
          <w:p w:rsidRPr="00700100" w:rsidR="00D646FE" w:rsidP="00AC739C" w:rsidRDefault="00D646FE" w14:paraId="25A568D8"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left w:val="nil"/>
              <w:bottom w:val="nil"/>
              <w:right w:val="nil"/>
            </w:tcBorders>
            <w:noWrap/>
          </w:tcPr>
          <w:p w:rsidRPr="00700100" w:rsidR="00D646FE" w:rsidP="00AC739C" w:rsidRDefault="00D646FE" w14:paraId="55B3FCB6" w14:textId="77777777">
            <w:pPr>
              <w:rPr>
                <w:rFonts w:ascii="Arial" w:hAnsi="Arial" w:eastAsia="Times New Roman" w:cs="Arial"/>
                <w:sz w:val="20"/>
                <w:szCs w:val="20"/>
                <w:lang w:eastAsia="en-GB"/>
              </w:rPr>
            </w:pPr>
          </w:p>
        </w:tc>
      </w:tr>
      <w:tr w:rsidRPr="00700100" w:rsidR="00D646FE" w:rsidTr="00AC739C" w14:paraId="5FA2D65A" w14:textId="77777777">
        <w:trPr>
          <w:trHeight w:val="403"/>
        </w:trPr>
        <w:tc>
          <w:tcPr>
            <w:tcW w:w="6804" w:type="dxa"/>
            <w:tcBorders>
              <w:top w:val="nil"/>
              <w:left w:val="nil"/>
              <w:bottom w:val="nil"/>
              <w:right w:val="nil"/>
            </w:tcBorders>
            <w:noWrap/>
            <w:hideMark/>
          </w:tcPr>
          <w:p w:rsidRPr="00700100" w:rsidR="00D646FE" w:rsidP="00AC739C" w:rsidRDefault="00D646FE" w14:paraId="1D204327" w14:textId="77777777">
            <w:pPr>
              <w:keepNext/>
              <w:keepLines/>
              <w:spacing w:before="47"/>
              <w:outlineLvl w:val="5"/>
              <w:rPr>
                <w:rFonts w:ascii="Arial" w:hAnsi="Arial" w:eastAsia="Times New Roman" w:cs="Arial"/>
                <w:sz w:val="20"/>
                <w:szCs w:val="20"/>
                <w:lang w:eastAsia="en-GB"/>
              </w:rPr>
            </w:pPr>
            <w:r w:rsidRPr="00700100">
              <w:rPr>
                <w:rFonts w:ascii="Arial" w:hAnsi="Arial"/>
                <w:i/>
                <w:caps/>
                <w:color w:val="172B39" w:themeColor="accent1" w:themeShade="80"/>
                <w:sz w:val="20"/>
              </w:rPr>
              <w:t> </w:t>
            </w:r>
            <w:r w:rsidRPr="00700100">
              <w:rPr>
                <w:rFonts w:asciiTheme="majorHAnsi" w:hAnsiTheme="majorHAnsi"/>
                <w:b/>
                <w:i/>
                <w:caps/>
              </w:rPr>
              <w:t>Ukazatele složitosti</w:t>
            </w:r>
          </w:p>
        </w:tc>
        <w:tc>
          <w:tcPr>
            <w:tcW w:w="2745" w:type="dxa"/>
            <w:tcBorders>
              <w:top w:val="nil"/>
              <w:left w:val="nil"/>
              <w:bottom w:val="nil"/>
              <w:right w:val="nil"/>
            </w:tcBorders>
            <w:noWrap/>
            <w:hideMark/>
          </w:tcPr>
          <w:p w:rsidRPr="00700100" w:rsidR="00D646FE" w:rsidP="00AC739C" w:rsidRDefault="00D646FE" w14:paraId="79BCEB7B" w14:textId="77777777">
            <w:pPr>
              <w:rPr>
                <w:rFonts w:ascii="Arial" w:hAnsi="Arial" w:eastAsia="Times New Roman" w:cs="Arial"/>
                <w:sz w:val="20"/>
                <w:szCs w:val="20"/>
              </w:rPr>
            </w:pPr>
            <w:r w:rsidRPr="00700100">
              <w:rPr>
                <w:rFonts w:ascii="Arial" w:hAnsi="Arial"/>
                <w:sz w:val="20"/>
              </w:rPr>
              <w:t> </w:t>
            </w:r>
          </w:p>
        </w:tc>
      </w:tr>
      <w:tr w:rsidRPr="00700100" w:rsidR="00D646FE" w:rsidTr="00AC739C" w14:paraId="2FFCFFF3" w14:textId="77777777">
        <w:trPr>
          <w:trHeight w:val="403"/>
        </w:trPr>
        <w:tc>
          <w:tcPr>
            <w:tcW w:w="6804" w:type="dxa"/>
            <w:tcBorders>
              <w:top w:val="nil"/>
              <w:left w:val="nil"/>
              <w:bottom w:val="single" w:color="auto" w:sz="4" w:space="0"/>
              <w:right w:val="nil"/>
            </w:tcBorders>
            <w:noWrap/>
          </w:tcPr>
          <w:p w:rsidRPr="00700100" w:rsidR="00D646FE" w:rsidP="00AC739C" w:rsidRDefault="00D646FE" w14:paraId="05062087" w14:textId="77777777">
            <w:pPr>
              <w:keepNext/>
              <w:keepLines/>
              <w:spacing w:before="47"/>
              <w:outlineLvl w:val="5"/>
              <w:rPr>
                <w:rFonts w:ascii="Arial" w:hAnsi="Arial" w:eastAsia="Times New Roman" w:cs="Arial"/>
                <w:i/>
                <w:iCs/>
                <w:caps/>
                <w:color w:val="172B39" w:themeColor="accent1" w:themeShade="80"/>
                <w:sz w:val="20"/>
                <w:szCs w:val="20"/>
                <w:lang w:eastAsia="en-GB"/>
              </w:rPr>
            </w:pPr>
          </w:p>
        </w:tc>
        <w:tc>
          <w:tcPr>
            <w:tcW w:w="2745" w:type="dxa"/>
            <w:tcBorders>
              <w:top w:val="nil"/>
              <w:left w:val="nil"/>
              <w:bottom w:val="single" w:color="auto" w:sz="4" w:space="0"/>
              <w:right w:val="nil"/>
            </w:tcBorders>
            <w:noWrap/>
          </w:tcPr>
          <w:p w:rsidRPr="00700100" w:rsidR="00D646FE" w:rsidP="00AC739C" w:rsidRDefault="00D646FE" w14:paraId="571A88C0" w14:textId="77777777">
            <w:pPr>
              <w:rPr>
                <w:rFonts w:ascii="Arial" w:hAnsi="Arial" w:eastAsia="Times New Roman" w:cs="Arial"/>
                <w:sz w:val="20"/>
                <w:szCs w:val="20"/>
                <w:lang w:eastAsia="en-GB"/>
              </w:rPr>
            </w:pPr>
          </w:p>
        </w:tc>
      </w:tr>
      <w:tr w:rsidRPr="00700100" w:rsidR="00D646FE" w:rsidTr="00AC739C" w14:paraId="791964DD" w14:textId="77777777">
        <w:trPr>
          <w:trHeight w:val="300"/>
        </w:trPr>
        <w:tc>
          <w:tcPr>
            <w:tcW w:w="6804" w:type="dxa"/>
            <w:tcBorders>
              <w:left w:val="nil"/>
              <w:right w:val="nil"/>
            </w:tcBorders>
            <w:noWrap/>
          </w:tcPr>
          <w:p w:rsidRPr="00700100" w:rsidR="00D646FE" w:rsidP="00AC739C" w:rsidRDefault="00D646FE" w14:paraId="17F3CAB9" w14:textId="77777777">
            <w:pPr>
              <w:ind w:firstLine="201" w:firstLineChars="100"/>
              <w:rPr>
                <w:rFonts w:ascii="Arial" w:hAnsi="Arial" w:eastAsia="Times New Roman" w:cs="Arial"/>
                <w:sz w:val="20"/>
                <w:szCs w:val="20"/>
              </w:rPr>
            </w:pPr>
            <w:r w:rsidRPr="00700100">
              <w:rPr>
                <w:rFonts w:ascii="Arial" w:hAnsi="Arial"/>
                <w:b/>
                <w:sz w:val="20"/>
              </w:rPr>
              <w:t>Oddíl 10 – Pomyslná částka mimoburzovních (OTC ) derivátů</w:t>
            </w:r>
          </w:p>
        </w:tc>
        <w:tc>
          <w:tcPr>
            <w:tcW w:w="2745" w:type="dxa"/>
            <w:tcBorders>
              <w:left w:val="nil"/>
              <w:right w:val="nil"/>
            </w:tcBorders>
            <w:noWrap/>
          </w:tcPr>
          <w:p w:rsidRPr="00700100" w:rsidR="00D646FE" w:rsidP="00AC739C" w:rsidRDefault="00D646FE" w14:paraId="7EB4CC95"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97199E5" w14:textId="77777777">
        <w:trPr>
          <w:trHeight w:val="300"/>
        </w:trPr>
        <w:tc>
          <w:tcPr>
            <w:tcW w:w="6804" w:type="dxa"/>
            <w:tcBorders>
              <w:left w:val="nil"/>
              <w:right w:val="nil"/>
            </w:tcBorders>
            <w:noWrap/>
            <w:hideMark/>
          </w:tcPr>
          <w:p w:rsidRPr="00700100" w:rsidR="00D646FE" w:rsidP="00AC739C" w:rsidRDefault="00D646FE" w14:paraId="5E3F727C" w14:textId="77777777">
            <w:pPr>
              <w:ind w:firstLine="200" w:firstLineChars="100"/>
              <w:rPr>
                <w:rFonts w:ascii="Arial" w:hAnsi="Arial" w:eastAsia="Times New Roman" w:cs="Arial"/>
                <w:sz w:val="20"/>
                <w:szCs w:val="20"/>
              </w:rPr>
            </w:pPr>
            <w:r w:rsidRPr="00700100">
              <w:rPr>
                <w:rFonts w:ascii="Arial" w:hAnsi="Arial"/>
                <w:sz w:val="20"/>
              </w:rPr>
              <w:t>a. OTC deriváty zúčtované prostřednictvím ústřední protistrany</w:t>
            </w:r>
          </w:p>
        </w:tc>
        <w:tc>
          <w:tcPr>
            <w:tcW w:w="2745" w:type="dxa"/>
            <w:tcBorders>
              <w:left w:val="nil"/>
              <w:right w:val="nil"/>
            </w:tcBorders>
            <w:noWrap/>
            <w:hideMark/>
          </w:tcPr>
          <w:p w:rsidRPr="00700100" w:rsidR="00D646FE" w:rsidP="00AC739C" w:rsidRDefault="00D646FE" w14:paraId="4317F72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AC39619" w14:textId="77777777">
        <w:trPr>
          <w:trHeight w:val="300"/>
        </w:trPr>
        <w:tc>
          <w:tcPr>
            <w:tcW w:w="6804" w:type="dxa"/>
            <w:tcBorders>
              <w:left w:val="nil"/>
              <w:right w:val="nil"/>
            </w:tcBorders>
            <w:noWrap/>
            <w:hideMark/>
          </w:tcPr>
          <w:p w:rsidRPr="00700100" w:rsidR="00D646FE" w:rsidP="00AC739C" w:rsidRDefault="00D646FE" w14:paraId="662989EE" w14:textId="77777777">
            <w:pPr>
              <w:ind w:firstLine="200" w:firstLineChars="100"/>
              <w:rPr>
                <w:rFonts w:ascii="Arial" w:hAnsi="Arial" w:eastAsia="Times New Roman" w:cs="Arial"/>
                <w:sz w:val="20"/>
                <w:szCs w:val="20"/>
              </w:rPr>
            </w:pPr>
            <w:r w:rsidRPr="00700100">
              <w:rPr>
                <w:rFonts w:ascii="Arial" w:hAnsi="Arial"/>
                <w:sz w:val="20"/>
              </w:rPr>
              <w:t>b. OTC deriváty vypořádané dvoustrannou dohodou</w:t>
            </w:r>
          </w:p>
        </w:tc>
        <w:tc>
          <w:tcPr>
            <w:tcW w:w="2745" w:type="dxa"/>
            <w:tcBorders>
              <w:left w:val="nil"/>
              <w:right w:val="nil"/>
            </w:tcBorders>
            <w:noWrap/>
            <w:hideMark/>
          </w:tcPr>
          <w:p w:rsidRPr="00700100" w:rsidR="00D646FE" w:rsidP="00AC739C" w:rsidRDefault="00D646FE" w14:paraId="629D61F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80FE9F5" w14:textId="77777777">
        <w:trPr>
          <w:trHeight w:val="300"/>
        </w:trPr>
        <w:tc>
          <w:tcPr>
            <w:tcW w:w="6804" w:type="dxa"/>
            <w:tcBorders>
              <w:left w:val="nil"/>
              <w:bottom w:val="single" w:color="auto" w:sz="4" w:space="0"/>
              <w:right w:val="nil"/>
            </w:tcBorders>
            <w:noWrap/>
          </w:tcPr>
          <w:p w:rsidRPr="00700100" w:rsidR="00D646FE" w:rsidP="00AC739C" w:rsidRDefault="00D646FE" w14:paraId="4C62095C" w14:textId="77777777">
            <w:pPr>
              <w:ind w:left="171" w:firstLine="28" w:firstLineChars="14"/>
              <w:rPr>
                <w:rFonts w:ascii="Arial" w:hAnsi="Arial" w:eastAsia="Times New Roman" w:cs="Arial"/>
                <w:sz w:val="20"/>
                <w:szCs w:val="20"/>
              </w:rPr>
            </w:pPr>
            <w:r w:rsidRPr="00700100">
              <w:rPr>
                <w:rFonts w:ascii="Arial" w:hAnsi="Arial"/>
                <w:sz w:val="20"/>
              </w:rPr>
              <w:t>c. Ukazatel pomyslné hodnoty OTC derivátů, včetně pojišťovacích dceřiných společností (součet položek 10.a. a 10.b.)</w:t>
            </w:r>
          </w:p>
        </w:tc>
        <w:tc>
          <w:tcPr>
            <w:tcW w:w="2745" w:type="dxa"/>
            <w:tcBorders>
              <w:left w:val="nil"/>
              <w:bottom w:val="single" w:color="auto" w:sz="4" w:space="0"/>
              <w:right w:val="nil"/>
            </w:tcBorders>
            <w:noWrap/>
          </w:tcPr>
          <w:p w:rsidRPr="00700100" w:rsidR="00D646FE" w:rsidP="00AC739C" w:rsidRDefault="00D646FE" w14:paraId="680DE4D0" w14:textId="77777777">
            <w:pPr>
              <w:jc w:val="right"/>
              <w:rPr>
                <w:rFonts w:ascii="Arial" w:hAnsi="Arial" w:eastAsia="Times New Roman" w:cs="Arial"/>
                <w:sz w:val="20"/>
                <w:szCs w:val="20"/>
                <w:lang w:eastAsia="en-GB"/>
              </w:rPr>
            </w:pPr>
          </w:p>
        </w:tc>
      </w:tr>
      <w:tr w:rsidRPr="00700100" w:rsidR="00D646FE" w:rsidTr="00AC739C" w14:paraId="6D1E0F4B" w14:textId="77777777">
        <w:trPr>
          <w:trHeight w:val="300"/>
        </w:trPr>
        <w:tc>
          <w:tcPr>
            <w:tcW w:w="6804" w:type="dxa"/>
            <w:tcBorders>
              <w:left w:val="nil"/>
              <w:bottom w:val="nil"/>
              <w:right w:val="nil"/>
            </w:tcBorders>
            <w:noWrap/>
          </w:tcPr>
          <w:p w:rsidRPr="00700100" w:rsidR="00D646FE" w:rsidP="00AC739C" w:rsidRDefault="00D646FE" w14:paraId="158F5983"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3769B3A8" w14:textId="77777777">
            <w:pPr>
              <w:jc w:val="center"/>
              <w:rPr>
                <w:rFonts w:ascii="Arial" w:hAnsi="Arial" w:eastAsia="Times New Roman" w:cs="Arial"/>
                <w:b/>
                <w:bCs/>
                <w:sz w:val="20"/>
                <w:szCs w:val="20"/>
                <w:lang w:eastAsia="en-GB"/>
              </w:rPr>
            </w:pPr>
          </w:p>
        </w:tc>
      </w:tr>
      <w:tr w:rsidRPr="00700100" w:rsidR="00D646FE" w:rsidTr="00AC739C" w14:paraId="14138CAF"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353D933A" w14:textId="77777777">
            <w:pPr>
              <w:rPr>
                <w:rFonts w:ascii="Arial" w:hAnsi="Arial" w:eastAsia="Times New Roman" w:cs="Arial"/>
                <w:b/>
                <w:bCs/>
                <w:sz w:val="20"/>
                <w:szCs w:val="20"/>
              </w:rPr>
            </w:pPr>
            <w:r w:rsidRPr="00700100">
              <w:rPr>
                <w:rFonts w:ascii="Arial" w:hAnsi="Arial"/>
                <w:b/>
                <w:sz w:val="20"/>
              </w:rPr>
              <w:t>Oddíl 11 – Cenné papíry k obchodování a realizovatelné</w:t>
            </w:r>
          </w:p>
        </w:tc>
        <w:tc>
          <w:tcPr>
            <w:tcW w:w="2745" w:type="dxa"/>
            <w:tcBorders>
              <w:top w:val="nil"/>
              <w:left w:val="nil"/>
              <w:bottom w:val="single" w:color="auto" w:sz="4" w:space="0"/>
              <w:right w:val="nil"/>
            </w:tcBorders>
            <w:hideMark/>
          </w:tcPr>
          <w:p w:rsidRPr="00700100" w:rsidR="00D646FE" w:rsidP="00AC739C" w:rsidRDefault="00D646FE" w14:paraId="1645EFF7"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10DAD53" w14:textId="77777777">
        <w:trPr>
          <w:trHeight w:val="300"/>
        </w:trPr>
        <w:tc>
          <w:tcPr>
            <w:tcW w:w="6804" w:type="dxa"/>
            <w:tcBorders>
              <w:left w:val="nil"/>
              <w:right w:val="nil"/>
            </w:tcBorders>
            <w:noWrap/>
            <w:hideMark/>
          </w:tcPr>
          <w:p w:rsidRPr="00700100" w:rsidR="00D646FE" w:rsidP="00AC739C" w:rsidRDefault="00D646FE" w14:paraId="4D08C0A8" w14:textId="77777777">
            <w:pPr>
              <w:ind w:firstLine="200" w:firstLineChars="100"/>
              <w:rPr>
                <w:rFonts w:ascii="Arial" w:hAnsi="Arial" w:eastAsia="Times New Roman" w:cs="Arial"/>
                <w:sz w:val="20"/>
                <w:szCs w:val="20"/>
              </w:rPr>
            </w:pPr>
            <w:r w:rsidRPr="00700100">
              <w:rPr>
                <w:rFonts w:ascii="Arial" w:hAnsi="Arial"/>
                <w:sz w:val="20"/>
              </w:rPr>
              <w:t>a. Cenné papíry držené k obchodování (HFT)</w:t>
            </w:r>
          </w:p>
        </w:tc>
        <w:tc>
          <w:tcPr>
            <w:tcW w:w="2745" w:type="dxa"/>
            <w:tcBorders>
              <w:left w:val="nil"/>
              <w:right w:val="nil"/>
            </w:tcBorders>
            <w:noWrap/>
            <w:hideMark/>
          </w:tcPr>
          <w:p w:rsidRPr="00700100" w:rsidR="00D646FE" w:rsidP="00AC739C" w:rsidRDefault="00D646FE" w14:paraId="63D3D7E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93C5C84" w14:textId="77777777">
        <w:trPr>
          <w:trHeight w:val="300"/>
        </w:trPr>
        <w:tc>
          <w:tcPr>
            <w:tcW w:w="6804" w:type="dxa"/>
            <w:tcBorders>
              <w:left w:val="nil"/>
              <w:bottom w:val="single" w:color="auto" w:sz="4" w:space="0"/>
              <w:right w:val="nil"/>
            </w:tcBorders>
            <w:noWrap/>
            <w:hideMark/>
          </w:tcPr>
          <w:p w:rsidRPr="00700100" w:rsidR="00D646FE" w:rsidP="00AC739C" w:rsidRDefault="00D646FE" w14:paraId="14BF3A26" w14:textId="77777777">
            <w:pPr>
              <w:ind w:firstLine="200" w:firstLineChars="100"/>
              <w:rPr>
                <w:rFonts w:ascii="Arial" w:hAnsi="Arial" w:eastAsia="Times New Roman" w:cs="Arial"/>
                <w:sz w:val="20"/>
                <w:szCs w:val="20"/>
              </w:rPr>
            </w:pPr>
            <w:r w:rsidRPr="00700100">
              <w:rPr>
                <w:rFonts w:ascii="Arial" w:hAnsi="Arial"/>
                <w:sz w:val="20"/>
              </w:rPr>
              <w:t>b. Realizovatelné cenné papíry (AFS)</w:t>
            </w:r>
          </w:p>
        </w:tc>
        <w:tc>
          <w:tcPr>
            <w:tcW w:w="2745" w:type="dxa"/>
            <w:tcBorders>
              <w:left w:val="nil"/>
              <w:right w:val="nil"/>
            </w:tcBorders>
            <w:noWrap/>
            <w:hideMark/>
          </w:tcPr>
          <w:p w:rsidRPr="00700100" w:rsidR="00D646FE" w:rsidP="00AC739C" w:rsidRDefault="00D646FE" w14:paraId="072673FD"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A14A43F" w14:textId="77777777">
        <w:trPr>
          <w:trHeight w:val="300"/>
        </w:trPr>
        <w:tc>
          <w:tcPr>
            <w:tcW w:w="6804" w:type="dxa"/>
            <w:tcBorders>
              <w:left w:val="nil"/>
              <w:bottom w:val="single" w:color="auto" w:sz="4" w:space="0"/>
              <w:right w:val="nil"/>
            </w:tcBorders>
            <w:noWrap/>
          </w:tcPr>
          <w:p w:rsidRPr="00700100" w:rsidR="00D646FE" w:rsidP="00AC739C" w:rsidRDefault="00D646FE" w14:paraId="4BB62937" w14:textId="77777777">
            <w:pPr>
              <w:ind w:firstLine="200" w:firstLineChars="100"/>
              <w:rPr>
                <w:rFonts w:ascii="Arial" w:hAnsi="Arial" w:eastAsia="Times New Roman" w:cs="Arial"/>
                <w:sz w:val="20"/>
                <w:szCs w:val="20"/>
              </w:rPr>
            </w:pPr>
            <w:r w:rsidRPr="00700100">
              <w:rPr>
                <w:rFonts w:ascii="Arial" w:hAnsi="Arial"/>
                <w:sz w:val="20"/>
              </w:rPr>
              <w:t>c. Cenné papíry k obchodování a realizovatelné, které splňují definici aktiv úrovně 1</w:t>
            </w:r>
          </w:p>
        </w:tc>
        <w:tc>
          <w:tcPr>
            <w:tcW w:w="2745" w:type="dxa"/>
            <w:tcBorders>
              <w:left w:val="nil"/>
              <w:right w:val="nil"/>
            </w:tcBorders>
            <w:noWrap/>
          </w:tcPr>
          <w:p w:rsidRPr="00700100" w:rsidR="00D646FE" w:rsidP="00AC739C" w:rsidRDefault="00D646FE" w14:paraId="26580716" w14:textId="77777777">
            <w:pPr>
              <w:jc w:val="right"/>
              <w:rPr>
                <w:rFonts w:ascii="Arial" w:hAnsi="Arial" w:eastAsia="Times New Roman" w:cs="Arial"/>
                <w:sz w:val="20"/>
                <w:szCs w:val="20"/>
                <w:lang w:eastAsia="en-GB"/>
              </w:rPr>
            </w:pPr>
          </w:p>
        </w:tc>
      </w:tr>
      <w:tr w:rsidRPr="00700100" w:rsidR="00D646FE" w:rsidTr="00AC739C" w14:paraId="143575B3" w14:textId="77777777">
        <w:trPr>
          <w:trHeight w:val="300"/>
        </w:trPr>
        <w:tc>
          <w:tcPr>
            <w:tcW w:w="6804" w:type="dxa"/>
            <w:tcBorders>
              <w:left w:val="nil"/>
              <w:bottom w:val="single" w:color="auto" w:sz="4" w:space="0"/>
              <w:right w:val="nil"/>
            </w:tcBorders>
            <w:noWrap/>
          </w:tcPr>
          <w:p w:rsidRPr="00700100" w:rsidR="00D646FE" w:rsidP="00AC739C" w:rsidRDefault="00D646FE" w14:paraId="24EDC2C8" w14:textId="77777777">
            <w:pPr>
              <w:ind w:left="171" w:firstLine="28" w:firstLineChars="14"/>
              <w:rPr>
                <w:rFonts w:ascii="Arial" w:hAnsi="Arial" w:eastAsia="Times New Roman" w:cs="Arial"/>
                <w:sz w:val="20"/>
                <w:szCs w:val="20"/>
              </w:rPr>
            </w:pPr>
            <w:r w:rsidRPr="00700100">
              <w:rPr>
                <w:rFonts w:ascii="Arial" w:hAnsi="Arial"/>
                <w:sz w:val="20"/>
              </w:rPr>
              <w:t>d. Cenné papíry k obchodování a realizovatelné, které splňují definici aktiv úrovně 2, se srážkami</w:t>
            </w:r>
          </w:p>
        </w:tc>
        <w:tc>
          <w:tcPr>
            <w:tcW w:w="2745" w:type="dxa"/>
            <w:tcBorders>
              <w:left w:val="nil"/>
              <w:right w:val="nil"/>
            </w:tcBorders>
            <w:noWrap/>
          </w:tcPr>
          <w:p w:rsidRPr="00700100" w:rsidR="00D646FE" w:rsidP="00AC739C" w:rsidRDefault="00D646FE" w14:paraId="5056277B" w14:textId="77777777">
            <w:pPr>
              <w:jc w:val="right"/>
              <w:rPr>
                <w:rFonts w:ascii="Arial" w:hAnsi="Arial" w:eastAsia="Times New Roman" w:cs="Arial"/>
                <w:sz w:val="20"/>
                <w:szCs w:val="20"/>
                <w:lang w:eastAsia="en-GB"/>
              </w:rPr>
            </w:pPr>
          </w:p>
        </w:tc>
      </w:tr>
      <w:tr w:rsidRPr="00700100" w:rsidR="00D646FE" w:rsidTr="00AC739C" w14:paraId="5C904319" w14:textId="77777777">
        <w:trPr>
          <w:trHeight w:val="300"/>
        </w:trPr>
        <w:tc>
          <w:tcPr>
            <w:tcW w:w="6804" w:type="dxa"/>
            <w:tcBorders>
              <w:left w:val="nil"/>
              <w:bottom w:val="single" w:color="auto" w:sz="4" w:space="0"/>
              <w:right w:val="nil"/>
            </w:tcBorders>
            <w:noWrap/>
          </w:tcPr>
          <w:p w:rsidRPr="00700100" w:rsidR="00D646FE" w:rsidP="00AC739C" w:rsidRDefault="00D646FE" w14:paraId="61F10999" w14:textId="77777777">
            <w:pPr>
              <w:ind w:left="171" w:firstLine="28" w:firstLineChars="14"/>
              <w:rPr>
                <w:rFonts w:ascii="Arial" w:hAnsi="Arial" w:eastAsia="Times New Roman" w:cs="Arial"/>
                <w:sz w:val="20"/>
                <w:szCs w:val="20"/>
              </w:rPr>
            </w:pPr>
            <w:r w:rsidRPr="00700100">
              <w:rPr>
                <w:rFonts w:ascii="Arial" w:hAnsi="Arial"/>
                <w:sz w:val="20"/>
              </w:rPr>
              <w:t>e. Ukazatel cenných papírů k obchodování a realizovatelných (součet položek 11.a. a 11.b., minus součet 11.c. a 11.d.)</w:t>
            </w:r>
          </w:p>
        </w:tc>
        <w:tc>
          <w:tcPr>
            <w:tcW w:w="2745" w:type="dxa"/>
            <w:tcBorders>
              <w:left w:val="nil"/>
              <w:bottom w:val="single" w:color="auto" w:sz="4" w:space="0"/>
              <w:right w:val="nil"/>
            </w:tcBorders>
            <w:noWrap/>
          </w:tcPr>
          <w:p w:rsidRPr="00700100" w:rsidR="00D646FE" w:rsidP="00AC739C" w:rsidRDefault="00D646FE" w14:paraId="770A2DE9" w14:textId="77777777">
            <w:pPr>
              <w:jc w:val="right"/>
              <w:rPr>
                <w:rFonts w:ascii="Arial" w:hAnsi="Arial" w:eastAsia="Times New Roman" w:cs="Arial"/>
                <w:sz w:val="20"/>
                <w:szCs w:val="20"/>
                <w:lang w:eastAsia="en-GB"/>
              </w:rPr>
            </w:pPr>
          </w:p>
        </w:tc>
      </w:tr>
      <w:tr w:rsidRPr="00700100" w:rsidR="00D646FE" w:rsidTr="00AC739C" w14:paraId="3F265EB4" w14:textId="77777777">
        <w:trPr>
          <w:trHeight w:val="300"/>
        </w:trPr>
        <w:tc>
          <w:tcPr>
            <w:tcW w:w="6804" w:type="dxa"/>
            <w:tcBorders>
              <w:left w:val="nil"/>
              <w:bottom w:val="nil"/>
              <w:right w:val="nil"/>
            </w:tcBorders>
            <w:noWrap/>
          </w:tcPr>
          <w:p w:rsidRPr="00700100" w:rsidR="00D646FE" w:rsidP="00AC739C" w:rsidRDefault="00D646FE" w14:paraId="256AEEE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125AC438" w14:textId="77777777">
            <w:pPr>
              <w:jc w:val="center"/>
              <w:rPr>
                <w:rFonts w:ascii="Arial" w:hAnsi="Arial" w:eastAsia="Times New Roman" w:cs="Arial"/>
                <w:b/>
                <w:bCs/>
                <w:sz w:val="20"/>
                <w:szCs w:val="20"/>
                <w:lang w:eastAsia="en-GB"/>
              </w:rPr>
            </w:pPr>
          </w:p>
        </w:tc>
      </w:tr>
      <w:tr w:rsidRPr="00700100" w:rsidR="00D646FE" w:rsidTr="00AC739C" w14:paraId="125DB9CD"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3E0BE85F" w14:textId="77777777">
            <w:pPr>
              <w:rPr>
                <w:rFonts w:ascii="Arial" w:hAnsi="Arial" w:eastAsia="Times New Roman" w:cs="Arial"/>
                <w:b/>
                <w:bCs/>
                <w:sz w:val="20"/>
                <w:szCs w:val="20"/>
              </w:rPr>
            </w:pPr>
            <w:r w:rsidRPr="00700100">
              <w:rPr>
                <w:rFonts w:ascii="Arial" w:hAnsi="Arial"/>
                <w:b/>
                <w:sz w:val="20"/>
              </w:rPr>
              <w:t>Oddíl 12 – Aktiva úrovně 3</w:t>
            </w:r>
          </w:p>
        </w:tc>
        <w:tc>
          <w:tcPr>
            <w:tcW w:w="2745" w:type="dxa"/>
            <w:tcBorders>
              <w:top w:val="nil"/>
              <w:left w:val="nil"/>
              <w:bottom w:val="single" w:color="auto" w:sz="4" w:space="0"/>
              <w:right w:val="nil"/>
            </w:tcBorders>
            <w:hideMark/>
          </w:tcPr>
          <w:p w:rsidRPr="00700100" w:rsidR="00D646FE" w:rsidP="00AC739C" w:rsidRDefault="00D646FE" w14:paraId="69DE5B34"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8B236AD"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0ADB422" w14:textId="77777777">
            <w:pPr>
              <w:ind w:firstLine="200" w:firstLineChars="100"/>
              <w:rPr>
                <w:rFonts w:ascii="Arial" w:hAnsi="Arial" w:eastAsia="Times New Roman" w:cs="Arial"/>
                <w:sz w:val="20"/>
                <w:szCs w:val="20"/>
              </w:rPr>
            </w:pPr>
            <w:r w:rsidRPr="00700100">
              <w:rPr>
                <w:rFonts w:ascii="Arial" w:hAnsi="Arial"/>
                <w:sz w:val="20"/>
              </w:rPr>
              <w:t xml:space="preserve">a. Ukazatel aktiv úrovně 3, včetně pojišťovacích dceřiných společností </w:t>
            </w:r>
          </w:p>
        </w:tc>
        <w:tc>
          <w:tcPr>
            <w:tcW w:w="2745" w:type="dxa"/>
            <w:tcBorders>
              <w:left w:val="nil"/>
              <w:bottom w:val="single" w:color="auto" w:sz="4" w:space="0"/>
              <w:right w:val="nil"/>
            </w:tcBorders>
            <w:noWrap/>
            <w:hideMark/>
          </w:tcPr>
          <w:p w:rsidRPr="00700100" w:rsidR="00D646FE" w:rsidP="00AC739C" w:rsidRDefault="00D646FE" w14:paraId="12E43AD8"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EB95204" w14:textId="77777777">
        <w:trPr>
          <w:trHeight w:val="300"/>
        </w:trPr>
        <w:tc>
          <w:tcPr>
            <w:tcW w:w="6804" w:type="dxa"/>
            <w:tcBorders>
              <w:left w:val="nil"/>
              <w:bottom w:val="nil"/>
              <w:right w:val="nil"/>
            </w:tcBorders>
            <w:noWrap/>
          </w:tcPr>
          <w:p w:rsidRPr="00700100" w:rsidR="00D646FE" w:rsidP="00AC739C" w:rsidRDefault="00D646FE" w14:paraId="47E86C41"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700100" w:rsidR="00D646FE" w:rsidP="00AC739C" w:rsidRDefault="00D646FE" w14:paraId="3A8DD88C" w14:textId="77777777">
            <w:pPr>
              <w:jc w:val="right"/>
              <w:rPr>
                <w:rFonts w:ascii="Arial" w:hAnsi="Arial" w:eastAsia="Times New Roman" w:cs="Arial"/>
                <w:sz w:val="20"/>
                <w:szCs w:val="20"/>
                <w:lang w:eastAsia="en-GB"/>
              </w:rPr>
            </w:pPr>
          </w:p>
        </w:tc>
      </w:tr>
      <w:tr w:rsidRPr="00700100" w:rsidR="00D646FE" w:rsidTr="00AC739C" w14:paraId="496DB15D" w14:textId="77777777">
        <w:trPr>
          <w:trHeight w:val="300"/>
        </w:trPr>
        <w:tc>
          <w:tcPr>
            <w:tcW w:w="6804" w:type="dxa"/>
            <w:tcBorders>
              <w:top w:val="nil"/>
              <w:left w:val="nil"/>
              <w:bottom w:val="nil"/>
              <w:right w:val="nil"/>
            </w:tcBorders>
            <w:noWrap/>
          </w:tcPr>
          <w:p w:rsidRPr="00700100" w:rsidR="00D646FE" w:rsidP="00AC739C" w:rsidRDefault="00D646FE" w14:paraId="568C5784" w14:textId="77777777">
            <w:pPr>
              <w:ind w:firstLine="221" w:firstLineChars="100"/>
              <w:rPr>
                <w:rFonts w:ascii="Arial" w:hAnsi="Arial" w:eastAsia="Times New Roman" w:cs="Arial"/>
                <w:sz w:val="20"/>
                <w:szCs w:val="20"/>
              </w:rPr>
            </w:pPr>
            <w:r w:rsidRPr="00700100">
              <w:rPr>
                <w:rFonts w:asciiTheme="majorHAnsi" w:hAnsiTheme="majorHAnsi"/>
                <w:b/>
                <w:i/>
                <w:caps/>
              </w:rPr>
              <w:t>Ukazatele činností napříč jurisdikcemi</w:t>
            </w:r>
          </w:p>
        </w:tc>
        <w:tc>
          <w:tcPr>
            <w:tcW w:w="2745" w:type="dxa"/>
            <w:tcBorders>
              <w:top w:val="nil"/>
              <w:left w:val="nil"/>
              <w:bottom w:val="nil"/>
              <w:right w:val="nil"/>
            </w:tcBorders>
            <w:noWrap/>
          </w:tcPr>
          <w:p w:rsidRPr="00700100" w:rsidR="00D646FE" w:rsidP="00AC739C" w:rsidRDefault="00D646FE" w14:paraId="61064ABA" w14:textId="77777777">
            <w:pPr>
              <w:jc w:val="right"/>
              <w:rPr>
                <w:rFonts w:ascii="Arial" w:hAnsi="Arial" w:eastAsia="Times New Roman" w:cs="Arial"/>
                <w:sz w:val="20"/>
                <w:szCs w:val="20"/>
                <w:lang w:eastAsia="en-GB"/>
              </w:rPr>
            </w:pPr>
          </w:p>
        </w:tc>
      </w:tr>
      <w:tr w:rsidRPr="00700100" w:rsidR="00D646FE" w:rsidTr="00AC739C" w14:paraId="309E1810"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103A16ED" w14:textId="77777777">
            <w:pPr>
              <w:ind w:firstLine="200" w:firstLineChars="100"/>
              <w:rPr>
                <w:rFonts w:ascii="Arial" w:hAnsi="Arial" w:eastAsia="Times New Roman" w:cs="Arial"/>
                <w:sz w:val="20"/>
                <w:szCs w:val="20"/>
                <w:lang w:eastAsia="en-GB"/>
              </w:rPr>
            </w:pPr>
          </w:p>
        </w:tc>
        <w:tc>
          <w:tcPr>
            <w:tcW w:w="2745" w:type="dxa"/>
            <w:tcBorders>
              <w:top w:val="nil"/>
              <w:left w:val="nil"/>
              <w:bottom w:val="single" w:color="auto" w:sz="4" w:space="0"/>
              <w:right w:val="nil"/>
            </w:tcBorders>
            <w:noWrap/>
          </w:tcPr>
          <w:p w:rsidRPr="00700100" w:rsidR="00D646FE" w:rsidP="00AC739C" w:rsidRDefault="00D646FE" w14:paraId="1F8E4948" w14:textId="77777777">
            <w:pPr>
              <w:jc w:val="right"/>
              <w:rPr>
                <w:rFonts w:ascii="Arial" w:hAnsi="Arial" w:eastAsia="Times New Roman" w:cs="Arial"/>
                <w:sz w:val="20"/>
                <w:szCs w:val="20"/>
                <w:lang w:eastAsia="en-GB"/>
              </w:rPr>
            </w:pPr>
          </w:p>
        </w:tc>
      </w:tr>
      <w:tr w:rsidRPr="00700100" w:rsidR="00D646FE" w:rsidTr="00AC739C" w14:paraId="2E1972C2"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C0DED89" w14:textId="77777777">
            <w:pPr>
              <w:rPr>
                <w:rFonts w:ascii="Arial" w:hAnsi="Arial" w:eastAsia="Times New Roman" w:cs="Arial"/>
                <w:b/>
                <w:bCs/>
                <w:sz w:val="20"/>
                <w:szCs w:val="20"/>
              </w:rPr>
            </w:pPr>
            <w:r w:rsidRPr="00700100">
              <w:rPr>
                <w:rFonts w:ascii="Arial" w:hAnsi="Arial"/>
                <w:b/>
                <w:sz w:val="20"/>
              </w:rPr>
              <w:t>Oddíl 13 – Pohledávky napříč jurisdikcemi</w:t>
            </w:r>
          </w:p>
        </w:tc>
        <w:tc>
          <w:tcPr>
            <w:tcW w:w="2745" w:type="dxa"/>
            <w:tcBorders>
              <w:left w:val="nil"/>
              <w:bottom w:val="single" w:color="auto" w:sz="4" w:space="0"/>
              <w:right w:val="nil"/>
            </w:tcBorders>
            <w:hideMark/>
          </w:tcPr>
          <w:p w:rsidRPr="00700100" w:rsidR="00D646FE" w:rsidP="00AC739C" w:rsidRDefault="00D646FE" w14:paraId="7D5E84CC"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214A6A06" w14:textId="77777777">
        <w:trPr>
          <w:trHeight w:val="300"/>
        </w:trPr>
        <w:tc>
          <w:tcPr>
            <w:tcW w:w="6804" w:type="dxa"/>
            <w:tcBorders>
              <w:left w:val="nil"/>
              <w:right w:val="nil"/>
            </w:tcBorders>
            <w:noWrap/>
            <w:hideMark/>
          </w:tcPr>
          <w:p w:rsidRPr="00700100" w:rsidR="00D646FE" w:rsidP="00AC739C" w:rsidRDefault="00D646FE" w14:paraId="21543EA4" w14:textId="77777777">
            <w:pPr>
              <w:ind w:firstLine="200" w:firstLineChars="100"/>
              <w:rPr>
                <w:rFonts w:ascii="Arial" w:hAnsi="Arial" w:eastAsia="Times New Roman" w:cs="Arial"/>
                <w:sz w:val="20"/>
                <w:szCs w:val="20"/>
              </w:rPr>
            </w:pPr>
            <w:r w:rsidRPr="00700100">
              <w:rPr>
                <w:rFonts w:ascii="Arial" w:hAnsi="Arial"/>
                <w:sz w:val="20"/>
              </w:rPr>
              <w:t>a. Celkové zahraniční pohledávky na základě konečného rizika</w:t>
            </w:r>
          </w:p>
        </w:tc>
        <w:tc>
          <w:tcPr>
            <w:tcW w:w="2745" w:type="dxa"/>
            <w:tcBorders>
              <w:left w:val="nil"/>
              <w:right w:val="nil"/>
            </w:tcBorders>
            <w:noWrap/>
            <w:hideMark/>
          </w:tcPr>
          <w:p w:rsidRPr="00700100" w:rsidR="00D646FE" w:rsidP="00AC739C" w:rsidRDefault="00D646FE" w14:paraId="37F3DBF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5A6C390" w14:textId="77777777">
        <w:trPr>
          <w:trHeight w:val="300"/>
        </w:trPr>
        <w:tc>
          <w:tcPr>
            <w:tcW w:w="6804" w:type="dxa"/>
            <w:tcBorders>
              <w:left w:val="nil"/>
              <w:right w:val="nil"/>
            </w:tcBorders>
            <w:noWrap/>
            <w:hideMark/>
          </w:tcPr>
          <w:p w:rsidRPr="00700100" w:rsidR="00D646FE" w:rsidP="00AC739C" w:rsidRDefault="00D646FE" w14:paraId="3ED2331C" w14:textId="77777777">
            <w:pPr>
              <w:ind w:firstLine="200" w:firstLineChars="100"/>
              <w:rPr>
                <w:rFonts w:ascii="Arial" w:hAnsi="Arial" w:eastAsia="Times New Roman" w:cs="Arial"/>
                <w:sz w:val="20"/>
                <w:szCs w:val="20"/>
              </w:rPr>
            </w:pPr>
            <w:r w:rsidRPr="00700100">
              <w:rPr>
                <w:rFonts w:ascii="Arial" w:hAnsi="Arial"/>
                <w:sz w:val="20"/>
              </w:rPr>
              <w:t>b. Zahraniční derivátové pohledávky na základě konečného rizika</w:t>
            </w:r>
          </w:p>
        </w:tc>
        <w:tc>
          <w:tcPr>
            <w:tcW w:w="2745" w:type="dxa"/>
            <w:tcBorders>
              <w:left w:val="nil"/>
              <w:right w:val="nil"/>
            </w:tcBorders>
            <w:noWrap/>
            <w:hideMark/>
          </w:tcPr>
          <w:p w:rsidRPr="00700100" w:rsidR="00D646FE" w:rsidP="00AC739C" w:rsidRDefault="00D646FE" w14:paraId="20FF853A"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6A4CD5A" w14:textId="77777777">
        <w:trPr>
          <w:gridAfter w:val="1"/>
          <w:wAfter w:w="2745" w:type="dxa"/>
          <w:trHeight w:val="300"/>
        </w:trPr>
        <w:tc>
          <w:tcPr>
            <w:tcW w:w="6804" w:type="dxa"/>
            <w:tcBorders>
              <w:left w:val="nil"/>
              <w:bottom w:val="single" w:color="auto" w:sz="4" w:space="0"/>
              <w:right w:val="nil"/>
            </w:tcBorders>
            <w:hideMark/>
          </w:tcPr>
          <w:p w:rsidRPr="00700100" w:rsidR="00D646FE" w:rsidP="00AC739C" w:rsidRDefault="00D646FE" w14:paraId="69A91558" w14:textId="77777777">
            <w:pPr>
              <w:ind w:firstLine="200" w:firstLineChars="100"/>
              <w:rPr>
                <w:rFonts w:ascii="Arial" w:hAnsi="Arial" w:eastAsia="Times New Roman" w:cs="Arial"/>
                <w:sz w:val="20"/>
                <w:szCs w:val="20"/>
              </w:rPr>
            </w:pPr>
            <w:r w:rsidRPr="00700100">
              <w:rPr>
                <w:rFonts w:ascii="Arial" w:hAnsi="Arial"/>
                <w:sz w:val="20"/>
              </w:rPr>
              <w:lastRenderedPageBreak/>
              <w:t>c. Ukazatel pohledávek napříč jurisdikcemi (součet položek 13.a. a 13.b.)</w:t>
            </w:r>
          </w:p>
        </w:tc>
      </w:tr>
      <w:tr w:rsidRPr="00700100" w:rsidR="00D646FE" w:rsidTr="00AC739C" w14:paraId="59DFB71E" w14:textId="77777777">
        <w:trPr>
          <w:trHeight w:val="300"/>
        </w:trPr>
        <w:tc>
          <w:tcPr>
            <w:tcW w:w="6804" w:type="dxa"/>
            <w:tcBorders>
              <w:left w:val="nil"/>
              <w:bottom w:val="nil"/>
              <w:right w:val="nil"/>
            </w:tcBorders>
            <w:noWrap/>
          </w:tcPr>
          <w:p w:rsidRPr="00700100" w:rsidR="00D646FE" w:rsidP="00AC739C" w:rsidRDefault="00D646FE" w14:paraId="4B66BD4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3F772BFF" w14:textId="77777777">
            <w:pPr>
              <w:jc w:val="center"/>
              <w:rPr>
                <w:rFonts w:ascii="Arial" w:hAnsi="Arial" w:eastAsia="Times New Roman" w:cs="Arial"/>
                <w:b/>
                <w:bCs/>
                <w:sz w:val="20"/>
                <w:szCs w:val="20"/>
                <w:lang w:eastAsia="en-GB"/>
              </w:rPr>
            </w:pPr>
          </w:p>
        </w:tc>
      </w:tr>
      <w:tr w:rsidRPr="00700100" w:rsidR="00D646FE" w:rsidTr="00AC739C" w14:paraId="0298EDBE"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7680DFCC" w14:textId="77777777">
            <w:pPr>
              <w:rPr>
                <w:rFonts w:ascii="Arial" w:hAnsi="Arial" w:eastAsia="Times New Roman" w:cs="Arial"/>
                <w:b/>
                <w:bCs/>
                <w:sz w:val="20"/>
                <w:szCs w:val="20"/>
              </w:rPr>
            </w:pPr>
            <w:r w:rsidRPr="00700100">
              <w:rPr>
                <w:rFonts w:ascii="Arial" w:hAnsi="Arial"/>
                <w:b/>
                <w:sz w:val="20"/>
              </w:rPr>
              <w:t>Oddíl 14 – Závazky napříč jurisdikcemi</w:t>
            </w:r>
          </w:p>
        </w:tc>
        <w:tc>
          <w:tcPr>
            <w:tcW w:w="2745" w:type="dxa"/>
            <w:tcBorders>
              <w:top w:val="nil"/>
              <w:left w:val="nil"/>
              <w:right w:val="nil"/>
            </w:tcBorders>
            <w:hideMark/>
          </w:tcPr>
          <w:p w:rsidRPr="00700100" w:rsidR="00D646FE" w:rsidP="00AC739C" w:rsidRDefault="00D646FE" w14:paraId="49169683"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C40134C" w14:textId="77777777">
        <w:trPr>
          <w:gridAfter w:val="1"/>
          <w:wAfter w:w="2745" w:type="dxa"/>
          <w:trHeight w:val="300"/>
        </w:trPr>
        <w:tc>
          <w:tcPr>
            <w:tcW w:w="6804" w:type="dxa"/>
            <w:tcBorders>
              <w:left w:val="nil"/>
              <w:right w:val="nil"/>
            </w:tcBorders>
            <w:noWrap/>
            <w:hideMark/>
          </w:tcPr>
          <w:p w:rsidRPr="00700100" w:rsidR="00D646FE" w:rsidP="00AC739C" w:rsidRDefault="00D646FE" w14:paraId="3FE556CF" w14:textId="77777777">
            <w:pPr>
              <w:ind w:left="171" w:firstLine="28" w:firstLineChars="14"/>
              <w:rPr>
                <w:rFonts w:ascii="Arial" w:hAnsi="Arial" w:eastAsia="Times New Roman" w:cs="Arial"/>
                <w:sz w:val="20"/>
                <w:szCs w:val="20"/>
              </w:rPr>
            </w:pPr>
            <w:r w:rsidRPr="00700100">
              <w:rPr>
                <w:rFonts w:ascii="Arial" w:hAnsi="Arial"/>
                <w:sz w:val="20"/>
              </w:rPr>
              <w:t>a. Zahraniční závazky na základě bezprostředního rizika, s výjimkou derivátů a včetně místních závazků v místní měně</w:t>
            </w:r>
          </w:p>
        </w:tc>
      </w:tr>
      <w:tr w:rsidRPr="00700100" w:rsidR="00D646FE" w:rsidTr="00AC739C" w14:paraId="330BDEDF" w14:textId="77777777">
        <w:trPr>
          <w:trHeight w:val="300"/>
        </w:trPr>
        <w:tc>
          <w:tcPr>
            <w:tcW w:w="6804" w:type="dxa"/>
            <w:tcBorders>
              <w:left w:val="nil"/>
              <w:right w:val="nil"/>
            </w:tcBorders>
            <w:noWrap/>
            <w:hideMark/>
          </w:tcPr>
          <w:p w:rsidRPr="00700100" w:rsidR="00D646FE" w:rsidP="00AC739C" w:rsidRDefault="00D646FE" w14:paraId="2131421F" w14:textId="77777777">
            <w:pPr>
              <w:ind w:firstLine="200" w:firstLineChars="100"/>
              <w:rPr>
                <w:rFonts w:ascii="Arial" w:hAnsi="Arial" w:eastAsia="Times New Roman" w:cs="Arial"/>
                <w:sz w:val="20"/>
                <w:szCs w:val="20"/>
              </w:rPr>
            </w:pPr>
            <w:r w:rsidRPr="00700100">
              <w:rPr>
                <w:rFonts w:ascii="Arial" w:hAnsi="Arial"/>
                <w:sz w:val="20"/>
              </w:rPr>
              <w:t>b. Zahraniční derivátové závazky na základě bezprostředního rizika</w:t>
            </w:r>
          </w:p>
        </w:tc>
        <w:tc>
          <w:tcPr>
            <w:tcW w:w="2745" w:type="dxa"/>
            <w:tcBorders>
              <w:left w:val="nil"/>
              <w:right w:val="nil"/>
            </w:tcBorders>
            <w:noWrap/>
            <w:hideMark/>
          </w:tcPr>
          <w:p w:rsidRPr="00700100" w:rsidR="00D646FE" w:rsidP="00AC739C" w:rsidRDefault="00D646FE" w14:paraId="79C26E3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FCD5B94" w14:textId="77777777">
        <w:trPr>
          <w:gridAfter w:val="1"/>
          <w:wAfter w:w="2745" w:type="dxa"/>
          <w:trHeight w:val="300"/>
        </w:trPr>
        <w:tc>
          <w:tcPr>
            <w:tcW w:w="6804" w:type="dxa"/>
            <w:tcBorders>
              <w:left w:val="nil"/>
              <w:bottom w:val="single" w:color="auto" w:sz="4" w:space="0"/>
              <w:right w:val="nil"/>
            </w:tcBorders>
            <w:hideMark/>
          </w:tcPr>
          <w:p w:rsidRPr="00700100" w:rsidR="00D646FE" w:rsidP="00AC739C" w:rsidRDefault="00D646FE" w14:paraId="6971DA37" w14:textId="77777777">
            <w:pPr>
              <w:ind w:firstLine="200" w:firstLineChars="100"/>
              <w:rPr>
                <w:rFonts w:ascii="Arial" w:hAnsi="Arial" w:eastAsia="Times New Roman" w:cs="Arial"/>
                <w:sz w:val="20"/>
                <w:szCs w:val="20"/>
              </w:rPr>
            </w:pPr>
            <w:r w:rsidRPr="00700100">
              <w:rPr>
                <w:rFonts w:ascii="Arial" w:hAnsi="Arial"/>
                <w:sz w:val="20"/>
              </w:rPr>
              <w:t>c. Ukazatel závazků napříč jurisdikcemi (součet položek 14.a. a 14.b.)</w:t>
            </w:r>
          </w:p>
        </w:tc>
      </w:tr>
      <w:tr w:rsidRPr="00700100" w:rsidR="00D646FE" w:rsidTr="00AC739C" w14:paraId="0497FCC3" w14:textId="77777777">
        <w:trPr>
          <w:trHeight w:val="300"/>
        </w:trPr>
        <w:tc>
          <w:tcPr>
            <w:tcW w:w="6804" w:type="dxa"/>
            <w:tcBorders>
              <w:left w:val="nil"/>
              <w:bottom w:val="nil"/>
              <w:right w:val="nil"/>
            </w:tcBorders>
            <w:noWrap/>
          </w:tcPr>
          <w:p w:rsidRPr="00700100" w:rsidR="00D646FE" w:rsidP="00AC739C" w:rsidRDefault="00D646FE" w14:paraId="143F105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526194D8" w14:textId="77777777">
            <w:pPr>
              <w:jc w:val="center"/>
              <w:rPr>
                <w:rFonts w:ascii="Arial" w:hAnsi="Arial" w:eastAsia="Times New Roman" w:cs="Arial"/>
                <w:b/>
                <w:bCs/>
                <w:sz w:val="20"/>
                <w:szCs w:val="20"/>
                <w:lang w:eastAsia="en-GB"/>
              </w:rPr>
            </w:pPr>
          </w:p>
        </w:tc>
      </w:tr>
      <w:tr w:rsidRPr="00700100" w:rsidR="00D646FE" w:rsidTr="00AC739C" w14:paraId="6729C25C" w14:textId="77777777">
        <w:trPr>
          <w:trHeight w:val="300"/>
        </w:trPr>
        <w:tc>
          <w:tcPr>
            <w:tcW w:w="6804" w:type="dxa"/>
            <w:tcBorders>
              <w:top w:val="nil"/>
              <w:left w:val="nil"/>
              <w:bottom w:val="nil"/>
              <w:right w:val="nil"/>
            </w:tcBorders>
            <w:noWrap/>
          </w:tcPr>
          <w:p w:rsidRPr="00700100" w:rsidR="00D646FE" w:rsidP="00AC739C" w:rsidRDefault="00D646FE" w14:paraId="55C87398" w14:textId="77777777">
            <w:pPr>
              <w:keepNext/>
              <w:keepLines/>
              <w:spacing w:before="47"/>
              <w:outlineLvl w:val="5"/>
              <w:rPr>
                <w:rFonts w:ascii="Arial" w:hAnsi="Arial" w:eastAsia="Times New Roman" w:cs="Arial"/>
                <w:b/>
                <w:bCs/>
                <w:i/>
                <w:iCs/>
                <w:caps/>
                <w:color w:val="172B39" w:themeColor="accent1" w:themeShade="80"/>
                <w:sz w:val="20"/>
                <w:szCs w:val="20"/>
              </w:rPr>
            </w:pPr>
            <w:r w:rsidRPr="00700100">
              <w:rPr>
                <w:rFonts w:asciiTheme="majorHAnsi" w:hAnsiTheme="majorHAnsi"/>
                <w:b/>
                <w:i/>
                <w:caps/>
              </w:rPr>
              <w:t>PŘIDRUŽENÉ ÚDAJE</w:t>
            </w:r>
          </w:p>
        </w:tc>
        <w:tc>
          <w:tcPr>
            <w:tcW w:w="2745" w:type="dxa"/>
            <w:tcBorders>
              <w:top w:val="nil"/>
              <w:left w:val="nil"/>
              <w:bottom w:val="nil"/>
              <w:right w:val="nil"/>
            </w:tcBorders>
          </w:tcPr>
          <w:p w:rsidRPr="00700100" w:rsidR="00D646FE" w:rsidP="00AC739C" w:rsidRDefault="00D646FE" w14:paraId="06077540" w14:textId="77777777">
            <w:pPr>
              <w:jc w:val="center"/>
              <w:rPr>
                <w:rFonts w:ascii="Arial" w:hAnsi="Arial" w:eastAsia="Times New Roman" w:cs="Arial"/>
                <w:b/>
                <w:bCs/>
                <w:sz w:val="20"/>
                <w:szCs w:val="20"/>
                <w:lang w:eastAsia="en-GB"/>
              </w:rPr>
            </w:pPr>
          </w:p>
        </w:tc>
      </w:tr>
      <w:tr w:rsidRPr="00700100" w:rsidR="00D646FE" w:rsidTr="00AC739C" w14:paraId="07325CE4"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48122068" w14:textId="77777777">
            <w:pPr>
              <w:rPr>
                <w:rFonts w:ascii="Arial" w:hAnsi="Arial" w:eastAsia="Times New Roman" w:cs="Arial"/>
                <w:b/>
                <w:bCs/>
                <w:sz w:val="20"/>
                <w:szCs w:val="20"/>
                <w:lang w:eastAsia="en-GB"/>
              </w:rPr>
            </w:pPr>
          </w:p>
        </w:tc>
        <w:tc>
          <w:tcPr>
            <w:tcW w:w="2745" w:type="dxa"/>
            <w:tcBorders>
              <w:top w:val="nil"/>
              <w:left w:val="nil"/>
              <w:bottom w:val="single" w:color="auto" w:sz="4" w:space="0"/>
              <w:right w:val="nil"/>
            </w:tcBorders>
          </w:tcPr>
          <w:p w:rsidRPr="00700100" w:rsidR="00D646FE" w:rsidP="00AC739C" w:rsidRDefault="00D646FE" w14:paraId="7A721F94" w14:textId="77777777">
            <w:pPr>
              <w:jc w:val="center"/>
              <w:rPr>
                <w:rFonts w:ascii="Arial" w:hAnsi="Arial" w:eastAsia="Times New Roman" w:cs="Arial"/>
                <w:b/>
                <w:bCs/>
                <w:sz w:val="20"/>
                <w:szCs w:val="20"/>
                <w:lang w:eastAsia="en-GB"/>
              </w:rPr>
            </w:pPr>
          </w:p>
        </w:tc>
      </w:tr>
      <w:tr w:rsidRPr="00700100" w:rsidR="00D646FE" w:rsidTr="00AC739C" w14:paraId="1935A3FF"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2224E80" w14:textId="77777777">
            <w:pPr>
              <w:rPr>
                <w:rFonts w:ascii="Arial" w:hAnsi="Arial" w:eastAsia="Times New Roman" w:cs="Arial"/>
                <w:b/>
                <w:bCs/>
                <w:sz w:val="20"/>
                <w:szCs w:val="20"/>
              </w:rPr>
            </w:pPr>
            <w:r w:rsidRPr="00700100">
              <w:rPr>
                <w:rFonts w:ascii="Arial" w:hAnsi="Arial"/>
                <w:b/>
                <w:sz w:val="20"/>
              </w:rPr>
              <w:t>Oddíl 15 – Přidružené ukazatele</w:t>
            </w:r>
          </w:p>
        </w:tc>
        <w:tc>
          <w:tcPr>
            <w:tcW w:w="2745" w:type="dxa"/>
            <w:tcBorders>
              <w:left w:val="nil"/>
              <w:bottom w:val="single" w:color="auto" w:sz="4" w:space="0"/>
              <w:right w:val="nil"/>
            </w:tcBorders>
            <w:hideMark/>
          </w:tcPr>
          <w:p w:rsidRPr="00700100" w:rsidR="00D646FE" w:rsidP="00AC739C" w:rsidRDefault="00D646FE" w14:paraId="692A5CC3"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1B0EA9FB" w14:textId="77777777">
        <w:trPr>
          <w:trHeight w:val="300"/>
        </w:trPr>
        <w:tc>
          <w:tcPr>
            <w:tcW w:w="6804" w:type="dxa"/>
            <w:tcBorders>
              <w:left w:val="nil"/>
              <w:right w:val="nil"/>
            </w:tcBorders>
            <w:noWrap/>
            <w:hideMark/>
          </w:tcPr>
          <w:p w:rsidRPr="00700100" w:rsidR="00D646FE" w:rsidP="00AC739C" w:rsidRDefault="00D646FE" w14:paraId="39E12A7B" w14:textId="77777777">
            <w:pPr>
              <w:ind w:firstLine="200" w:firstLineChars="100"/>
              <w:rPr>
                <w:rFonts w:ascii="Arial" w:hAnsi="Arial" w:eastAsia="Times New Roman" w:cs="Arial"/>
                <w:sz w:val="20"/>
                <w:szCs w:val="20"/>
              </w:rPr>
            </w:pPr>
            <w:r w:rsidRPr="00700100">
              <w:rPr>
                <w:rFonts w:ascii="Arial" w:hAnsi="Arial"/>
                <w:sz w:val="20"/>
              </w:rPr>
              <w:t>a. Závazky celkem</w:t>
            </w:r>
          </w:p>
        </w:tc>
        <w:tc>
          <w:tcPr>
            <w:tcW w:w="2745" w:type="dxa"/>
            <w:tcBorders>
              <w:left w:val="nil"/>
              <w:right w:val="nil"/>
            </w:tcBorders>
            <w:noWrap/>
            <w:hideMark/>
          </w:tcPr>
          <w:p w:rsidRPr="00700100" w:rsidR="00D646FE" w:rsidP="00AC739C" w:rsidRDefault="00D646FE" w14:paraId="0E27770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FBD9427" w14:textId="77777777">
        <w:trPr>
          <w:trHeight w:val="300"/>
        </w:trPr>
        <w:tc>
          <w:tcPr>
            <w:tcW w:w="6804" w:type="dxa"/>
            <w:tcBorders>
              <w:left w:val="nil"/>
              <w:right w:val="nil"/>
            </w:tcBorders>
            <w:noWrap/>
            <w:hideMark/>
          </w:tcPr>
          <w:p w:rsidRPr="00700100" w:rsidR="00D646FE" w:rsidP="00AC739C" w:rsidRDefault="00D646FE" w14:paraId="1C9BB284" w14:textId="77777777">
            <w:pPr>
              <w:ind w:firstLine="200" w:firstLineChars="100"/>
              <w:rPr>
                <w:rFonts w:ascii="Arial" w:hAnsi="Arial" w:eastAsia="Times New Roman" w:cs="Arial"/>
                <w:sz w:val="20"/>
                <w:szCs w:val="20"/>
              </w:rPr>
            </w:pPr>
            <w:r w:rsidRPr="00700100">
              <w:rPr>
                <w:rFonts w:ascii="Arial" w:hAnsi="Arial"/>
                <w:sz w:val="20"/>
              </w:rPr>
              <w:t>b. Retailové financování</w:t>
            </w:r>
          </w:p>
        </w:tc>
        <w:tc>
          <w:tcPr>
            <w:tcW w:w="2745" w:type="dxa"/>
            <w:tcBorders>
              <w:left w:val="nil"/>
              <w:right w:val="nil"/>
            </w:tcBorders>
            <w:noWrap/>
            <w:hideMark/>
          </w:tcPr>
          <w:p w:rsidRPr="00700100" w:rsidR="00D646FE" w:rsidP="00AC739C" w:rsidRDefault="00D646FE" w14:paraId="1C1C2B80"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CC74752" w14:textId="77777777">
        <w:trPr>
          <w:gridAfter w:val="1"/>
          <w:wAfter w:w="2745" w:type="dxa"/>
          <w:trHeight w:val="540"/>
        </w:trPr>
        <w:tc>
          <w:tcPr>
            <w:tcW w:w="6804" w:type="dxa"/>
            <w:tcBorders>
              <w:left w:val="nil"/>
              <w:right w:val="nil"/>
            </w:tcBorders>
            <w:noWrap/>
            <w:hideMark/>
          </w:tcPr>
          <w:p w:rsidRPr="00700100" w:rsidR="00D646FE" w:rsidP="00AC739C" w:rsidRDefault="00D646FE" w14:paraId="26E9A763" w14:textId="77777777">
            <w:pPr>
              <w:ind w:left="171"/>
              <w:rPr>
                <w:rFonts w:ascii="Arial" w:hAnsi="Arial" w:eastAsia="Times New Roman" w:cs="Arial"/>
                <w:sz w:val="20"/>
                <w:szCs w:val="20"/>
              </w:rPr>
            </w:pPr>
            <w:r w:rsidRPr="00700100">
              <w:rPr>
                <w:rFonts w:ascii="Arial" w:hAnsi="Arial"/>
                <w:sz w:val="20"/>
              </w:rPr>
              <w:t>c. Míra závislosti na velkoobchodním financování (rozdíl mezi položkami 15.a. a 14.b., dělený položkou 15.a.)</w:t>
            </w:r>
          </w:p>
        </w:tc>
      </w:tr>
      <w:tr w:rsidRPr="00700100" w:rsidR="00D646FE" w:rsidTr="00AC739C" w14:paraId="5B513CA5" w14:textId="77777777">
        <w:trPr>
          <w:trHeight w:val="300"/>
        </w:trPr>
        <w:tc>
          <w:tcPr>
            <w:tcW w:w="6804" w:type="dxa"/>
            <w:tcBorders>
              <w:left w:val="nil"/>
              <w:right w:val="nil"/>
            </w:tcBorders>
            <w:noWrap/>
            <w:hideMark/>
          </w:tcPr>
          <w:p w:rsidRPr="00700100" w:rsidR="00D646FE" w:rsidP="00AC739C" w:rsidRDefault="00D646FE" w14:paraId="34080422" w14:textId="77777777">
            <w:pPr>
              <w:ind w:firstLine="200" w:firstLineChars="100"/>
              <w:rPr>
                <w:rFonts w:ascii="Arial" w:hAnsi="Arial" w:eastAsia="Times New Roman" w:cs="Arial"/>
                <w:sz w:val="20"/>
                <w:szCs w:val="20"/>
              </w:rPr>
            </w:pPr>
            <w:r w:rsidRPr="00700100">
              <w:rPr>
                <w:rFonts w:ascii="Arial" w:hAnsi="Arial"/>
                <w:sz w:val="20"/>
              </w:rPr>
              <w:t>d. Hrubý příjem celkem</w:t>
            </w:r>
          </w:p>
        </w:tc>
        <w:tc>
          <w:tcPr>
            <w:tcW w:w="2745" w:type="dxa"/>
            <w:tcBorders>
              <w:left w:val="nil"/>
              <w:right w:val="nil"/>
            </w:tcBorders>
            <w:noWrap/>
            <w:hideMark/>
          </w:tcPr>
          <w:p w:rsidRPr="00700100" w:rsidR="00D646FE" w:rsidP="00AC739C" w:rsidRDefault="00D646FE" w14:paraId="32936332"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646CCF2" w14:textId="77777777">
        <w:trPr>
          <w:trHeight w:val="300"/>
        </w:trPr>
        <w:tc>
          <w:tcPr>
            <w:tcW w:w="6804" w:type="dxa"/>
            <w:tcBorders>
              <w:left w:val="nil"/>
              <w:right w:val="nil"/>
            </w:tcBorders>
            <w:noWrap/>
            <w:hideMark/>
          </w:tcPr>
          <w:p w:rsidRPr="00700100" w:rsidR="00D646FE" w:rsidP="00AC739C" w:rsidRDefault="00D646FE" w14:paraId="56906AB8" w14:textId="77777777">
            <w:pPr>
              <w:ind w:firstLine="200" w:firstLineChars="100"/>
              <w:rPr>
                <w:rFonts w:ascii="Arial" w:hAnsi="Arial" w:eastAsia="Times New Roman" w:cs="Arial"/>
                <w:sz w:val="20"/>
                <w:szCs w:val="20"/>
              </w:rPr>
            </w:pPr>
            <w:r w:rsidRPr="00700100">
              <w:rPr>
                <w:rFonts w:ascii="Arial" w:hAnsi="Arial"/>
                <w:sz w:val="20"/>
              </w:rPr>
              <w:t>e. Čistý příjem celkem</w:t>
            </w:r>
          </w:p>
        </w:tc>
        <w:tc>
          <w:tcPr>
            <w:tcW w:w="2745" w:type="dxa"/>
            <w:tcBorders>
              <w:left w:val="nil"/>
              <w:right w:val="nil"/>
            </w:tcBorders>
            <w:noWrap/>
            <w:hideMark/>
          </w:tcPr>
          <w:p w:rsidRPr="00700100" w:rsidR="00D646FE" w:rsidP="00AC739C" w:rsidRDefault="00D646FE" w14:paraId="7D5AFA71"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1E41365" w14:textId="77777777">
        <w:trPr>
          <w:trHeight w:val="300"/>
        </w:trPr>
        <w:tc>
          <w:tcPr>
            <w:tcW w:w="6804" w:type="dxa"/>
            <w:tcBorders>
              <w:left w:val="nil"/>
              <w:right w:val="nil"/>
            </w:tcBorders>
            <w:noWrap/>
            <w:hideMark/>
          </w:tcPr>
          <w:p w:rsidRPr="00700100" w:rsidR="00D646FE" w:rsidP="00AC739C" w:rsidRDefault="00D646FE" w14:paraId="05311830" w14:textId="77777777">
            <w:pPr>
              <w:ind w:firstLine="200" w:firstLineChars="100"/>
              <w:rPr>
                <w:rFonts w:ascii="Arial" w:hAnsi="Arial" w:eastAsia="Times New Roman" w:cs="Arial"/>
                <w:sz w:val="20"/>
                <w:szCs w:val="20"/>
              </w:rPr>
            </w:pPr>
            <w:r w:rsidRPr="00700100">
              <w:rPr>
                <w:rFonts w:ascii="Arial" w:hAnsi="Arial"/>
                <w:sz w:val="20"/>
              </w:rPr>
              <w:t>f. Čistý zahraniční příjem</w:t>
            </w:r>
          </w:p>
        </w:tc>
        <w:tc>
          <w:tcPr>
            <w:tcW w:w="2745" w:type="dxa"/>
            <w:tcBorders>
              <w:left w:val="nil"/>
              <w:right w:val="nil"/>
            </w:tcBorders>
            <w:noWrap/>
            <w:hideMark/>
          </w:tcPr>
          <w:p w:rsidRPr="00700100" w:rsidR="00D646FE" w:rsidP="00AC739C" w:rsidRDefault="00D646FE" w14:paraId="4779ACB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1911298" w14:textId="77777777">
        <w:trPr>
          <w:trHeight w:val="300"/>
        </w:trPr>
        <w:tc>
          <w:tcPr>
            <w:tcW w:w="6804" w:type="dxa"/>
            <w:tcBorders>
              <w:left w:val="nil"/>
              <w:right w:val="nil"/>
            </w:tcBorders>
            <w:noWrap/>
          </w:tcPr>
          <w:p w:rsidRPr="00700100" w:rsidR="00D646FE" w:rsidP="00AC739C" w:rsidRDefault="00D646FE" w14:paraId="45C8C988" w14:textId="77777777">
            <w:pPr>
              <w:ind w:left="171"/>
              <w:rPr>
                <w:rFonts w:ascii="Arial" w:hAnsi="Arial" w:eastAsia="Times New Roman" w:cs="Arial"/>
                <w:sz w:val="20"/>
                <w:szCs w:val="20"/>
              </w:rPr>
            </w:pPr>
            <w:r w:rsidRPr="00700100">
              <w:rPr>
                <w:rFonts w:ascii="Arial" w:hAnsi="Arial"/>
                <w:sz w:val="20"/>
              </w:rPr>
              <w:t>g. Hrubá hodnota poskytnutých peněžních prostředků a hrubá reálná hodnota cenných papírů poskytnutých v rámci operací SFT</w:t>
            </w:r>
          </w:p>
        </w:tc>
        <w:tc>
          <w:tcPr>
            <w:tcW w:w="2745" w:type="dxa"/>
            <w:tcBorders>
              <w:left w:val="nil"/>
              <w:right w:val="nil"/>
            </w:tcBorders>
            <w:noWrap/>
          </w:tcPr>
          <w:p w:rsidRPr="00700100" w:rsidR="00D646FE" w:rsidP="00AC739C" w:rsidRDefault="00D646FE" w14:paraId="42E836F4" w14:textId="77777777">
            <w:pPr>
              <w:jc w:val="right"/>
              <w:rPr>
                <w:rFonts w:ascii="Arial" w:hAnsi="Arial" w:eastAsia="Times New Roman" w:cs="Arial"/>
                <w:sz w:val="20"/>
                <w:szCs w:val="20"/>
                <w:lang w:eastAsia="en-GB"/>
              </w:rPr>
            </w:pPr>
          </w:p>
        </w:tc>
      </w:tr>
      <w:tr w:rsidRPr="00700100" w:rsidR="00D646FE" w:rsidTr="00AC739C" w14:paraId="0B41C961" w14:textId="77777777">
        <w:trPr>
          <w:trHeight w:val="300"/>
        </w:trPr>
        <w:tc>
          <w:tcPr>
            <w:tcW w:w="6804" w:type="dxa"/>
            <w:tcBorders>
              <w:left w:val="nil"/>
              <w:right w:val="nil"/>
            </w:tcBorders>
            <w:noWrap/>
          </w:tcPr>
          <w:p w:rsidRPr="00700100" w:rsidR="00D646FE" w:rsidP="00AC739C" w:rsidRDefault="00D646FE" w14:paraId="158336E6" w14:textId="77777777">
            <w:pPr>
              <w:ind w:left="171"/>
              <w:rPr>
                <w:rFonts w:ascii="Arial" w:hAnsi="Arial" w:eastAsia="Times New Roman" w:cs="Arial"/>
                <w:sz w:val="20"/>
                <w:szCs w:val="20"/>
              </w:rPr>
            </w:pPr>
            <w:r w:rsidRPr="00700100">
              <w:rPr>
                <w:rFonts w:ascii="Arial" w:hAnsi="Arial"/>
                <w:sz w:val="20"/>
              </w:rPr>
              <w:t>h. Hrubá hodnota vypůjčených peněžních prostředků a hrubá reálná hodnota cenných papírů vypůjčených v rámci operací SFT</w:t>
            </w:r>
          </w:p>
        </w:tc>
        <w:tc>
          <w:tcPr>
            <w:tcW w:w="2745" w:type="dxa"/>
            <w:tcBorders>
              <w:left w:val="nil"/>
              <w:right w:val="nil"/>
            </w:tcBorders>
            <w:noWrap/>
          </w:tcPr>
          <w:p w:rsidRPr="00700100" w:rsidR="00D646FE" w:rsidP="00AC739C" w:rsidRDefault="00D646FE" w14:paraId="65DDDBB0" w14:textId="77777777">
            <w:pPr>
              <w:jc w:val="right"/>
              <w:rPr>
                <w:rFonts w:ascii="Arial" w:hAnsi="Arial" w:eastAsia="Times New Roman" w:cs="Arial"/>
                <w:sz w:val="20"/>
                <w:szCs w:val="20"/>
                <w:lang w:eastAsia="en-GB"/>
              </w:rPr>
            </w:pPr>
          </w:p>
        </w:tc>
      </w:tr>
      <w:tr w:rsidRPr="00700100" w:rsidR="00D646FE" w:rsidTr="00AC739C" w14:paraId="5DB9212F" w14:textId="77777777">
        <w:trPr>
          <w:trHeight w:val="300"/>
        </w:trPr>
        <w:tc>
          <w:tcPr>
            <w:tcW w:w="6804" w:type="dxa"/>
            <w:tcBorders>
              <w:left w:val="nil"/>
              <w:right w:val="nil"/>
            </w:tcBorders>
            <w:noWrap/>
          </w:tcPr>
          <w:p w:rsidRPr="00700100" w:rsidR="00D646FE" w:rsidP="00AC739C" w:rsidRDefault="00D646FE" w14:paraId="75D74AED" w14:textId="77777777">
            <w:pPr>
              <w:ind w:left="171"/>
              <w:rPr>
                <w:rFonts w:ascii="Arial" w:hAnsi="Arial" w:eastAsia="Times New Roman" w:cs="Arial"/>
                <w:sz w:val="20"/>
                <w:szCs w:val="20"/>
              </w:rPr>
            </w:pPr>
            <w:r w:rsidRPr="00700100">
              <w:rPr>
                <w:rFonts w:ascii="Arial" w:hAnsi="Arial"/>
                <w:sz w:val="20"/>
              </w:rPr>
              <w:t>i. Hrubá kladná reálná hodnota transakcí s OTC deriváty</w:t>
            </w:r>
          </w:p>
        </w:tc>
        <w:tc>
          <w:tcPr>
            <w:tcW w:w="2745" w:type="dxa"/>
            <w:tcBorders>
              <w:left w:val="nil"/>
              <w:right w:val="nil"/>
            </w:tcBorders>
            <w:noWrap/>
          </w:tcPr>
          <w:p w:rsidRPr="00700100" w:rsidR="00D646FE" w:rsidP="00AC739C" w:rsidRDefault="00D646FE" w14:paraId="5F626B3E" w14:textId="77777777">
            <w:pPr>
              <w:jc w:val="right"/>
              <w:rPr>
                <w:rFonts w:ascii="Arial" w:hAnsi="Arial" w:eastAsia="Times New Roman" w:cs="Arial"/>
                <w:sz w:val="20"/>
                <w:szCs w:val="20"/>
                <w:lang w:eastAsia="en-GB"/>
              </w:rPr>
            </w:pPr>
          </w:p>
        </w:tc>
      </w:tr>
      <w:tr w:rsidRPr="00700100" w:rsidR="00D646FE" w:rsidTr="00AC739C" w14:paraId="77B6A51D" w14:textId="77777777">
        <w:trPr>
          <w:trHeight w:val="300"/>
        </w:trPr>
        <w:tc>
          <w:tcPr>
            <w:tcW w:w="6804" w:type="dxa"/>
            <w:tcBorders>
              <w:left w:val="nil"/>
              <w:bottom w:val="single" w:color="auto" w:sz="4" w:space="0"/>
              <w:right w:val="nil"/>
            </w:tcBorders>
            <w:noWrap/>
          </w:tcPr>
          <w:p w:rsidRPr="00700100" w:rsidR="00D646FE" w:rsidP="00AC739C" w:rsidRDefault="00D646FE" w14:paraId="223AE4FD" w14:textId="77777777">
            <w:pPr>
              <w:ind w:left="171"/>
              <w:rPr>
                <w:rFonts w:ascii="Arial" w:hAnsi="Arial" w:eastAsia="Times New Roman" w:cs="Arial"/>
                <w:sz w:val="20"/>
                <w:szCs w:val="20"/>
              </w:rPr>
            </w:pPr>
            <w:r w:rsidRPr="00700100">
              <w:rPr>
                <w:rFonts w:ascii="Arial" w:hAnsi="Arial"/>
                <w:sz w:val="20"/>
              </w:rPr>
              <w:t>j. Hrubá kladná reálná hodnota transakcí s OTC deriváty</w:t>
            </w:r>
          </w:p>
        </w:tc>
        <w:tc>
          <w:tcPr>
            <w:tcW w:w="2745" w:type="dxa"/>
            <w:tcBorders>
              <w:left w:val="nil"/>
              <w:bottom w:val="single" w:color="auto" w:sz="4" w:space="0"/>
              <w:right w:val="nil"/>
            </w:tcBorders>
            <w:noWrap/>
          </w:tcPr>
          <w:p w:rsidRPr="00700100" w:rsidR="00D646FE" w:rsidP="00AC739C" w:rsidRDefault="00D646FE" w14:paraId="486F7A61" w14:textId="77777777">
            <w:pPr>
              <w:jc w:val="right"/>
              <w:rPr>
                <w:rFonts w:ascii="Arial" w:hAnsi="Arial" w:eastAsia="Times New Roman" w:cs="Arial"/>
                <w:sz w:val="20"/>
                <w:szCs w:val="20"/>
                <w:lang w:eastAsia="en-GB"/>
              </w:rPr>
            </w:pPr>
          </w:p>
        </w:tc>
      </w:tr>
      <w:tr w:rsidRPr="00700100" w:rsidR="00D646FE" w:rsidTr="00AC739C" w14:paraId="5B3689AC"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4E94D7C" w14:textId="77777777">
            <w:pPr>
              <w:rPr>
                <w:rFonts w:ascii="Arial" w:hAnsi="Arial" w:eastAsia="Times New Roman" w:cs="Arial"/>
                <w:sz w:val="20"/>
                <w:szCs w:val="20"/>
              </w:rPr>
            </w:pPr>
            <w:r w:rsidRPr="00700100">
              <w:rPr>
                <w:rFonts w:ascii="Arial" w:hAnsi="Arial"/>
                <w:sz w:val="20"/>
              </w:rPr>
              <w:t> </w:t>
            </w:r>
          </w:p>
        </w:tc>
        <w:tc>
          <w:tcPr>
            <w:tcW w:w="2745" w:type="dxa"/>
            <w:tcBorders>
              <w:left w:val="nil"/>
              <w:bottom w:val="single" w:color="auto" w:sz="4" w:space="0"/>
              <w:right w:val="nil"/>
            </w:tcBorders>
            <w:hideMark/>
          </w:tcPr>
          <w:p w:rsidRPr="00700100" w:rsidR="00D646FE" w:rsidP="00AC739C" w:rsidRDefault="00D646FE" w14:paraId="754E62F0" w14:textId="77777777">
            <w:pPr>
              <w:jc w:val="center"/>
              <w:rPr>
                <w:rFonts w:ascii="Arial" w:hAnsi="Arial" w:eastAsia="Times New Roman" w:cs="Arial"/>
                <w:b/>
                <w:bCs/>
                <w:sz w:val="20"/>
                <w:szCs w:val="20"/>
              </w:rPr>
            </w:pPr>
            <w:r w:rsidRPr="00700100">
              <w:rPr>
                <w:rFonts w:ascii="Arial" w:hAnsi="Arial"/>
                <w:b/>
                <w:sz w:val="20"/>
              </w:rPr>
              <w:t>Částka v jednotlivých jednotkách</w:t>
            </w:r>
          </w:p>
        </w:tc>
      </w:tr>
      <w:tr w:rsidRPr="00700100" w:rsidR="00D646FE" w:rsidTr="00AC739C" w14:paraId="718BEDAA" w14:textId="77777777">
        <w:trPr>
          <w:trHeight w:val="300"/>
        </w:trPr>
        <w:tc>
          <w:tcPr>
            <w:tcW w:w="6804" w:type="dxa"/>
            <w:tcBorders>
              <w:left w:val="nil"/>
              <w:bottom w:val="single" w:color="auto" w:sz="4" w:space="0"/>
              <w:right w:val="nil"/>
            </w:tcBorders>
            <w:noWrap/>
            <w:hideMark/>
          </w:tcPr>
          <w:p w:rsidRPr="00700100" w:rsidR="00D646FE" w:rsidP="00AC739C" w:rsidRDefault="00D646FE" w14:paraId="564C6852" w14:textId="77777777">
            <w:pPr>
              <w:ind w:firstLine="200" w:firstLineChars="100"/>
              <w:rPr>
                <w:rFonts w:ascii="Arial" w:hAnsi="Arial" w:eastAsia="Times New Roman" w:cs="Arial"/>
                <w:sz w:val="20"/>
                <w:szCs w:val="20"/>
              </w:rPr>
            </w:pPr>
            <w:r w:rsidRPr="00700100">
              <w:rPr>
                <w:rFonts w:ascii="Arial" w:hAnsi="Arial"/>
                <w:sz w:val="20"/>
              </w:rPr>
              <w:t xml:space="preserve">k. Počet jurisdikcí </w:t>
            </w:r>
          </w:p>
        </w:tc>
        <w:tc>
          <w:tcPr>
            <w:tcW w:w="2745" w:type="dxa"/>
            <w:tcBorders>
              <w:left w:val="nil"/>
              <w:bottom w:val="single" w:color="auto" w:sz="4" w:space="0"/>
              <w:right w:val="nil"/>
            </w:tcBorders>
            <w:noWrap/>
            <w:hideMark/>
          </w:tcPr>
          <w:p w:rsidRPr="00700100" w:rsidR="00D646FE" w:rsidP="00AC739C" w:rsidRDefault="00D646FE" w14:paraId="4C4AEDA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DE32B1B" w14:textId="77777777">
        <w:trPr>
          <w:trHeight w:val="300"/>
        </w:trPr>
        <w:tc>
          <w:tcPr>
            <w:tcW w:w="6804" w:type="dxa"/>
            <w:tcBorders>
              <w:left w:val="nil"/>
              <w:bottom w:val="nil"/>
              <w:right w:val="nil"/>
            </w:tcBorders>
            <w:noWrap/>
          </w:tcPr>
          <w:p w:rsidRPr="00700100" w:rsidR="00D646FE" w:rsidP="00AC739C" w:rsidRDefault="00D646FE" w14:paraId="20299656"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76791337" w14:textId="77777777">
            <w:pPr>
              <w:jc w:val="center"/>
              <w:rPr>
                <w:rFonts w:ascii="Arial" w:hAnsi="Arial" w:eastAsia="Times New Roman" w:cs="Arial"/>
                <w:b/>
                <w:bCs/>
                <w:sz w:val="20"/>
                <w:szCs w:val="20"/>
                <w:lang w:eastAsia="en-GB"/>
              </w:rPr>
            </w:pPr>
          </w:p>
        </w:tc>
      </w:tr>
      <w:tr w:rsidRPr="00700100" w:rsidR="00D646FE" w:rsidTr="00AC739C" w14:paraId="1B804152"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2EF963AE" w14:textId="77777777">
            <w:pPr>
              <w:rPr>
                <w:rFonts w:ascii="Arial" w:hAnsi="Arial" w:eastAsia="Times New Roman" w:cs="Arial"/>
                <w:b/>
                <w:bCs/>
                <w:sz w:val="20"/>
                <w:szCs w:val="20"/>
              </w:rPr>
            </w:pPr>
            <w:r w:rsidRPr="00700100">
              <w:rPr>
                <w:rFonts w:ascii="Arial" w:hAnsi="Arial"/>
                <w:b/>
                <w:sz w:val="20"/>
              </w:rPr>
              <w:t>Oddíl 16 – Přidružené položky</w:t>
            </w:r>
          </w:p>
        </w:tc>
        <w:tc>
          <w:tcPr>
            <w:tcW w:w="2745" w:type="dxa"/>
            <w:tcBorders>
              <w:top w:val="nil"/>
              <w:left w:val="nil"/>
              <w:bottom w:val="single" w:color="auto" w:sz="4" w:space="0"/>
              <w:right w:val="nil"/>
            </w:tcBorders>
            <w:hideMark/>
          </w:tcPr>
          <w:p w:rsidRPr="00700100" w:rsidR="00D646FE" w:rsidP="00AC739C" w:rsidRDefault="00D646FE" w14:paraId="3071DEE2"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76D6ABD9" w14:textId="77777777">
        <w:trPr>
          <w:trHeight w:val="300"/>
        </w:trPr>
        <w:tc>
          <w:tcPr>
            <w:tcW w:w="6804" w:type="dxa"/>
            <w:tcBorders>
              <w:left w:val="nil"/>
              <w:right w:val="nil"/>
            </w:tcBorders>
            <w:noWrap/>
            <w:hideMark/>
          </w:tcPr>
          <w:p w:rsidRPr="00700100" w:rsidR="00D646FE" w:rsidP="00AC739C" w:rsidRDefault="00D646FE" w14:paraId="2256A9A1" w14:textId="77777777">
            <w:pPr>
              <w:ind w:firstLine="200" w:firstLineChars="100"/>
              <w:rPr>
                <w:rFonts w:ascii="Arial" w:hAnsi="Arial" w:eastAsia="Times New Roman" w:cs="Arial"/>
                <w:sz w:val="20"/>
                <w:szCs w:val="20"/>
              </w:rPr>
            </w:pPr>
            <w:r w:rsidRPr="00700100">
              <w:rPr>
                <w:rFonts w:ascii="Arial" w:hAnsi="Arial"/>
                <w:sz w:val="20"/>
              </w:rPr>
              <w:t>a. Cenné papíry držené do splatnosti</w:t>
            </w:r>
          </w:p>
        </w:tc>
        <w:tc>
          <w:tcPr>
            <w:tcW w:w="2745" w:type="dxa"/>
            <w:tcBorders>
              <w:left w:val="nil"/>
              <w:right w:val="nil"/>
            </w:tcBorders>
            <w:noWrap/>
            <w:hideMark/>
          </w:tcPr>
          <w:p w:rsidRPr="00700100" w:rsidR="00D646FE" w:rsidP="00AC739C" w:rsidRDefault="00D646FE" w14:paraId="71B639D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57DFD6E" w14:textId="77777777">
        <w:trPr>
          <w:trHeight w:val="300"/>
        </w:trPr>
        <w:tc>
          <w:tcPr>
            <w:tcW w:w="6804" w:type="dxa"/>
            <w:tcBorders>
              <w:left w:val="nil"/>
              <w:right w:val="nil"/>
            </w:tcBorders>
            <w:noWrap/>
            <w:hideMark/>
          </w:tcPr>
          <w:p w:rsidRPr="00700100" w:rsidR="00D646FE" w:rsidP="00AC739C" w:rsidRDefault="00D646FE" w14:paraId="248B98A6" w14:textId="77777777">
            <w:pPr>
              <w:ind w:firstLine="200" w:firstLineChars="100"/>
              <w:rPr>
                <w:rFonts w:ascii="Arial" w:hAnsi="Arial" w:eastAsia="Times New Roman" w:cs="Arial"/>
                <w:sz w:val="20"/>
                <w:szCs w:val="20"/>
              </w:rPr>
            </w:pPr>
            <w:r w:rsidRPr="00700100">
              <w:rPr>
                <w:rFonts w:ascii="Arial" w:hAnsi="Arial"/>
                <w:sz w:val="20"/>
              </w:rPr>
              <w:t>b. Platby provedené ve vykazovaném roku</w:t>
            </w:r>
          </w:p>
        </w:tc>
        <w:tc>
          <w:tcPr>
            <w:tcW w:w="2745" w:type="dxa"/>
            <w:tcBorders>
              <w:left w:val="nil"/>
              <w:right w:val="nil"/>
            </w:tcBorders>
            <w:noWrap/>
            <w:hideMark/>
          </w:tcPr>
          <w:p w:rsidRPr="00700100" w:rsidR="00D646FE" w:rsidP="00AC739C" w:rsidRDefault="00D646FE" w14:paraId="1A6BD2AD" w14:textId="77777777">
            <w:pPr>
              <w:ind w:firstLine="200" w:firstLineChars="100"/>
              <w:rPr>
                <w:rFonts w:ascii="Arial" w:hAnsi="Arial" w:eastAsia="Times New Roman" w:cs="Arial"/>
                <w:sz w:val="20"/>
                <w:szCs w:val="20"/>
              </w:rPr>
            </w:pPr>
            <w:r w:rsidRPr="00700100">
              <w:rPr>
                <w:rFonts w:ascii="Arial" w:hAnsi="Arial"/>
                <w:sz w:val="20"/>
              </w:rPr>
              <w:t> </w:t>
            </w:r>
          </w:p>
        </w:tc>
      </w:tr>
      <w:tr w:rsidRPr="00700100" w:rsidR="00D646FE" w:rsidTr="00AC739C" w14:paraId="10208AEE" w14:textId="77777777">
        <w:trPr>
          <w:trHeight w:val="300"/>
        </w:trPr>
        <w:tc>
          <w:tcPr>
            <w:tcW w:w="6804" w:type="dxa"/>
            <w:tcBorders>
              <w:left w:val="nil"/>
              <w:right w:val="nil"/>
            </w:tcBorders>
            <w:noWrap/>
            <w:hideMark/>
          </w:tcPr>
          <w:p w:rsidRPr="00700100" w:rsidR="00D646FE" w:rsidP="00AC739C" w:rsidRDefault="00D646FE" w14:paraId="3D7042D9" w14:textId="77777777">
            <w:pPr>
              <w:ind w:firstLine="400" w:firstLineChars="200"/>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Brazilský real (BRL)</w:t>
            </w:r>
          </w:p>
        </w:tc>
        <w:tc>
          <w:tcPr>
            <w:tcW w:w="2745" w:type="dxa"/>
            <w:tcBorders>
              <w:left w:val="nil"/>
              <w:right w:val="nil"/>
            </w:tcBorders>
            <w:noWrap/>
            <w:hideMark/>
          </w:tcPr>
          <w:p w:rsidRPr="00700100" w:rsidR="00D646FE" w:rsidP="00AC739C" w:rsidRDefault="00D646FE" w14:paraId="16C1492A"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E4CC1BD" w14:textId="77777777">
        <w:trPr>
          <w:trHeight w:val="300"/>
        </w:trPr>
        <w:tc>
          <w:tcPr>
            <w:tcW w:w="6804" w:type="dxa"/>
            <w:tcBorders>
              <w:left w:val="nil"/>
              <w:right w:val="nil"/>
            </w:tcBorders>
            <w:noWrap/>
            <w:hideMark/>
          </w:tcPr>
          <w:p w:rsidRPr="00700100" w:rsidR="00D646FE" w:rsidP="00AC739C" w:rsidRDefault="00D646FE" w14:paraId="4B7E888E" w14:textId="77777777">
            <w:pPr>
              <w:ind w:firstLine="400" w:firstLineChars="200"/>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Mexické peso (MXN)</w:t>
            </w:r>
          </w:p>
        </w:tc>
        <w:tc>
          <w:tcPr>
            <w:tcW w:w="2745" w:type="dxa"/>
            <w:tcBorders>
              <w:left w:val="nil"/>
              <w:right w:val="nil"/>
            </w:tcBorders>
            <w:noWrap/>
            <w:hideMark/>
          </w:tcPr>
          <w:p w:rsidRPr="00700100" w:rsidR="00D646FE" w:rsidP="00AC739C" w:rsidRDefault="00D646FE" w14:paraId="50497CF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27CB470" w14:textId="77777777">
        <w:trPr>
          <w:trHeight w:val="300"/>
        </w:trPr>
        <w:tc>
          <w:tcPr>
            <w:tcW w:w="6804" w:type="dxa"/>
            <w:tcBorders>
              <w:left w:val="nil"/>
              <w:right w:val="nil"/>
            </w:tcBorders>
            <w:noWrap/>
            <w:hideMark/>
          </w:tcPr>
          <w:p w:rsidRPr="00700100" w:rsidR="00D646FE" w:rsidP="00AC739C" w:rsidRDefault="00D646FE" w14:paraId="51B1429B" w14:textId="77777777">
            <w:pPr>
              <w:ind w:firstLine="400" w:firstLineChars="200"/>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Norská koruna (NOK)</w:t>
            </w:r>
          </w:p>
        </w:tc>
        <w:tc>
          <w:tcPr>
            <w:tcW w:w="2745" w:type="dxa"/>
            <w:tcBorders>
              <w:left w:val="nil"/>
              <w:right w:val="nil"/>
            </w:tcBorders>
            <w:noWrap/>
            <w:hideMark/>
          </w:tcPr>
          <w:p w:rsidRPr="00700100" w:rsidR="00D646FE" w:rsidP="00AC739C" w:rsidRDefault="00D646FE" w14:paraId="1855111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0B6F51D" w14:textId="77777777">
        <w:trPr>
          <w:trHeight w:val="300"/>
        </w:trPr>
        <w:tc>
          <w:tcPr>
            <w:tcW w:w="6804" w:type="dxa"/>
            <w:tcBorders>
              <w:left w:val="nil"/>
              <w:right w:val="nil"/>
            </w:tcBorders>
            <w:noWrap/>
            <w:hideMark/>
          </w:tcPr>
          <w:p w:rsidRPr="00700100" w:rsidR="00D646FE" w:rsidP="00AC739C" w:rsidRDefault="00D646FE" w14:paraId="5522D872" w14:textId="77777777">
            <w:pPr>
              <w:ind w:firstLine="400" w:firstLineChars="200"/>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Ruský rubl (RUB)</w:t>
            </w:r>
          </w:p>
        </w:tc>
        <w:tc>
          <w:tcPr>
            <w:tcW w:w="2745" w:type="dxa"/>
            <w:tcBorders>
              <w:left w:val="nil"/>
              <w:right w:val="nil"/>
            </w:tcBorders>
            <w:noWrap/>
            <w:hideMark/>
          </w:tcPr>
          <w:p w:rsidRPr="00700100" w:rsidR="00D646FE" w:rsidP="00AC739C" w:rsidRDefault="00D646FE" w14:paraId="34D66A40"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0AB6886" w14:textId="77777777">
        <w:trPr>
          <w:trHeight w:val="300"/>
        </w:trPr>
        <w:tc>
          <w:tcPr>
            <w:tcW w:w="6804" w:type="dxa"/>
            <w:tcBorders>
              <w:left w:val="nil"/>
              <w:right w:val="nil"/>
            </w:tcBorders>
            <w:noWrap/>
            <w:hideMark/>
          </w:tcPr>
          <w:p w:rsidRPr="00700100" w:rsidR="00D646FE" w:rsidP="00AC739C" w:rsidRDefault="00D646FE" w14:paraId="25E6278A" w14:textId="77777777">
            <w:pPr>
              <w:ind w:firstLine="400" w:firstLineChars="200"/>
              <w:rPr>
                <w:rFonts w:ascii="Arial" w:hAnsi="Arial" w:eastAsia="Times New Roman" w:cs="Arial"/>
                <w:sz w:val="20"/>
                <w:szCs w:val="20"/>
              </w:rPr>
            </w:pPr>
            <w:r w:rsidRPr="00700100">
              <w:rPr>
                <w:rFonts w:ascii="Arial" w:hAnsi="Arial"/>
                <w:sz w:val="20"/>
                <w:lang w:eastAsia="en-GB"/>
              </w:rPr>
              <w:t xml:space="preserve">(5) </w:t>
            </w:r>
            <w:r w:rsidRPr="00700100">
              <w:rPr>
                <w:rFonts w:ascii="Arial" w:hAnsi="Arial"/>
                <w:sz w:val="20"/>
              </w:rPr>
              <w:t>Singapurský dolar (SGD)</w:t>
            </w:r>
          </w:p>
        </w:tc>
        <w:tc>
          <w:tcPr>
            <w:tcW w:w="2745" w:type="dxa"/>
            <w:tcBorders>
              <w:left w:val="nil"/>
              <w:right w:val="nil"/>
            </w:tcBorders>
            <w:noWrap/>
            <w:hideMark/>
          </w:tcPr>
          <w:p w:rsidRPr="00700100" w:rsidR="00D646FE" w:rsidP="00AC739C" w:rsidRDefault="00D646FE" w14:paraId="09878FFC"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1D56B9AA" w14:textId="77777777">
        <w:trPr>
          <w:trHeight w:val="300"/>
        </w:trPr>
        <w:tc>
          <w:tcPr>
            <w:tcW w:w="6804" w:type="dxa"/>
            <w:tcBorders>
              <w:left w:val="nil"/>
              <w:bottom w:val="single" w:color="auto" w:sz="4" w:space="0"/>
              <w:right w:val="nil"/>
            </w:tcBorders>
            <w:noWrap/>
            <w:hideMark/>
          </w:tcPr>
          <w:p w:rsidRPr="00700100" w:rsidR="00D646FE" w:rsidP="00AC739C" w:rsidRDefault="00D646FE" w14:paraId="3AD5BC70" w14:textId="77777777">
            <w:pPr>
              <w:ind w:firstLine="400" w:firstLineChars="200"/>
              <w:rPr>
                <w:rFonts w:ascii="Arial" w:hAnsi="Arial" w:eastAsia="Times New Roman" w:cs="Arial"/>
                <w:sz w:val="20"/>
                <w:szCs w:val="20"/>
              </w:rPr>
            </w:pPr>
            <w:r w:rsidRPr="00700100">
              <w:rPr>
                <w:rFonts w:ascii="Arial" w:hAnsi="Arial"/>
                <w:sz w:val="20"/>
                <w:lang w:eastAsia="en-GB"/>
              </w:rPr>
              <w:t xml:space="preserve">(6) </w:t>
            </w:r>
            <w:r w:rsidRPr="00700100">
              <w:rPr>
                <w:rFonts w:ascii="Arial" w:hAnsi="Arial"/>
                <w:sz w:val="20"/>
              </w:rPr>
              <w:t>Jihokorejský won (KRW)</w:t>
            </w:r>
          </w:p>
        </w:tc>
        <w:tc>
          <w:tcPr>
            <w:tcW w:w="2745" w:type="dxa"/>
            <w:tcBorders>
              <w:left w:val="nil"/>
              <w:bottom w:val="single" w:color="auto" w:sz="4" w:space="0"/>
              <w:right w:val="nil"/>
            </w:tcBorders>
            <w:noWrap/>
            <w:hideMark/>
          </w:tcPr>
          <w:p w:rsidRPr="00700100" w:rsidR="00D646FE" w:rsidP="00AC739C" w:rsidRDefault="00D646FE" w14:paraId="34AAF3C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2343FBD" w14:textId="77777777">
        <w:trPr>
          <w:trHeight w:val="403"/>
        </w:trPr>
        <w:tc>
          <w:tcPr>
            <w:tcW w:w="6804" w:type="dxa"/>
            <w:tcBorders>
              <w:left w:val="nil"/>
              <w:bottom w:val="nil"/>
              <w:right w:val="nil"/>
            </w:tcBorders>
            <w:noWrap/>
            <w:hideMark/>
          </w:tcPr>
          <w:p w:rsidRPr="00700100" w:rsidR="00D646FE" w:rsidP="00AC739C" w:rsidRDefault="00D646FE" w14:paraId="231D7438" w14:textId="77777777">
            <w:pPr>
              <w:rPr>
                <w:rFonts w:ascii="Arial" w:hAnsi="Arial" w:eastAsia="Times New Roman" w:cs="Arial"/>
                <w:sz w:val="20"/>
                <w:szCs w:val="20"/>
              </w:rPr>
            </w:pPr>
            <w:r w:rsidRPr="00700100">
              <w:rPr>
                <w:rFonts w:ascii="Arial" w:hAnsi="Arial"/>
                <w:sz w:val="20"/>
              </w:rPr>
              <w:t> </w:t>
            </w:r>
          </w:p>
        </w:tc>
        <w:tc>
          <w:tcPr>
            <w:tcW w:w="2745" w:type="dxa"/>
            <w:tcBorders>
              <w:left w:val="nil"/>
              <w:bottom w:val="nil"/>
              <w:right w:val="nil"/>
            </w:tcBorders>
            <w:noWrap/>
            <w:hideMark/>
          </w:tcPr>
          <w:p w:rsidRPr="00700100" w:rsidR="00D646FE" w:rsidP="00AC739C" w:rsidRDefault="00D646FE" w14:paraId="3C004A6E" w14:textId="77777777">
            <w:pPr>
              <w:rPr>
                <w:rFonts w:ascii="Arial" w:hAnsi="Arial" w:eastAsia="Times New Roman" w:cs="Arial"/>
                <w:sz w:val="20"/>
                <w:szCs w:val="20"/>
              </w:rPr>
            </w:pPr>
            <w:r w:rsidRPr="00700100">
              <w:rPr>
                <w:rFonts w:ascii="Arial" w:hAnsi="Arial"/>
                <w:sz w:val="20"/>
              </w:rPr>
              <w:t> </w:t>
            </w:r>
          </w:p>
        </w:tc>
      </w:tr>
      <w:tr w:rsidRPr="00700100" w:rsidR="00D646FE" w:rsidTr="00AC739C" w14:paraId="545AB019" w14:textId="77777777">
        <w:trPr>
          <w:trHeight w:val="403"/>
        </w:trPr>
        <w:tc>
          <w:tcPr>
            <w:tcW w:w="6804" w:type="dxa"/>
            <w:tcBorders>
              <w:top w:val="nil"/>
              <w:left w:val="nil"/>
              <w:bottom w:val="nil"/>
              <w:right w:val="nil"/>
            </w:tcBorders>
            <w:noWrap/>
            <w:hideMark/>
          </w:tcPr>
          <w:p w:rsidRPr="00700100" w:rsidR="00D646FE" w:rsidP="00AC739C" w:rsidRDefault="00D646FE" w14:paraId="597E376F" w14:textId="77777777">
            <w:pPr>
              <w:rPr>
                <w:rFonts w:asciiTheme="majorHAnsi" w:hAnsiTheme="majorHAnsi" w:eastAsiaTheme="majorEastAsia" w:cstheme="majorBidi"/>
                <w:b/>
                <w:bCs/>
                <w:i/>
                <w:iCs/>
                <w:caps/>
                <w:spacing w:val="-2"/>
              </w:rPr>
            </w:pPr>
            <w:r w:rsidRPr="00700100">
              <w:rPr>
                <w:rFonts w:asciiTheme="majorHAnsi" w:hAnsiTheme="majorHAnsi"/>
                <w:b/>
                <w:i/>
                <w:caps/>
              </w:rPr>
              <w:t> Doplňkové (memo) položky</w:t>
            </w:r>
          </w:p>
        </w:tc>
        <w:tc>
          <w:tcPr>
            <w:tcW w:w="2745" w:type="dxa"/>
            <w:tcBorders>
              <w:top w:val="nil"/>
              <w:left w:val="nil"/>
              <w:bottom w:val="nil"/>
              <w:right w:val="nil"/>
            </w:tcBorders>
            <w:noWrap/>
            <w:hideMark/>
          </w:tcPr>
          <w:p w:rsidRPr="00700100" w:rsidR="00D646FE" w:rsidP="00AC739C" w:rsidRDefault="00D646FE" w14:paraId="5A218E3D" w14:textId="77777777">
            <w:pPr>
              <w:rPr>
                <w:rFonts w:ascii="Arial" w:hAnsi="Arial" w:eastAsia="Times New Roman" w:cs="Arial"/>
                <w:b/>
                <w:bCs/>
                <w:sz w:val="24"/>
                <w:szCs w:val="24"/>
              </w:rPr>
            </w:pPr>
            <w:r w:rsidRPr="00700100">
              <w:rPr>
                <w:rFonts w:ascii="Arial" w:hAnsi="Arial"/>
                <w:b/>
                <w:sz w:val="24"/>
              </w:rPr>
              <w:t> </w:t>
            </w:r>
          </w:p>
        </w:tc>
      </w:tr>
      <w:tr w:rsidRPr="00700100" w:rsidR="00D646FE" w:rsidTr="00AC739C" w14:paraId="105B9BA4" w14:textId="77777777">
        <w:trPr>
          <w:trHeight w:val="403"/>
        </w:trPr>
        <w:tc>
          <w:tcPr>
            <w:tcW w:w="6804" w:type="dxa"/>
            <w:tcBorders>
              <w:top w:val="nil"/>
              <w:left w:val="nil"/>
              <w:bottom w:val="single" w:color="auto" w:sz="4" w:space="0"/>
              <w:right w:val="nil"/>
            </w:tcBorders>
            <w:noWrap/>
            <w:hideMark/>
          </w:tcPr>
          <w:p w:rsidRPr="00700100" w:rsidR="00D646FE" w:rsidP="00AC739C" w:rsidRDefault="00D646FE" w14:paraId="3622852D" w14:textId="77777777">
            <w:pPr>
              <w:rPr>
                <w:rFonts w:ascii="Arial" w:hAnsi="Arial" w:eastAsia="Times New Roman" w:cs="Arial"/>
                <w:b/>
                <w:bCs/>
                <w:sz w:val="24"/>
                <w:szCs w:val="24"/>
              </w:rPr>
            </w:pPr>
            <w:r w:rsidRPr="00700100">
              <w:rPr>
                <w:rFonts w:ascii="Arial" w:hAnsi="Arial"/>
                <w:b/>
                <w:sz w:val="24"/>
              </w:rPr>
              <w:t> </w:t>
            </w:r>
          </w:p>
        </w:tc>
        <w:tc>
          <w:tcPr>
            <w:tcW w:w="2745" w:type="dxa"/>
            <w:tcBorders>
              <w:top w:val="nil"/>
              <w:left w:val="nil"/>
              <w:bottom w:val="single" w:color="auto" w:sz="4" w:space="0"/>
              <w:right w:val="nil"/>
            </w:tcBorders>
            <w:noWrap/>
            <w:hideMark/>
          </w:tcPr>
          <w:p w:rsidRPr="00700100" w:rsidR="00D646FE" w:rsidP="00AC739C" w:rsidRDefault="00D646FE" w14:paraId="655BDDDF" w14:textId="77777777">
            <w:pPr>
              <w:rPr>
                <w:rFonts w:ascii="Arial" w:hAnsi="Arial" w:eastAsia="Times New Roman" w:cs="Arial"/>
                <w:b/>
                <w:bCs/>
                <w:sz w:val="24"/>
                <w:szCs w:val="24"/>
              </w:rPr>
            </w:pPr>
            <w:r w:rsidRPr="00700100">
              <w:rPr>
                <w:rFonts w:ascii="Arial" w:hAnsi="Arial"/>
                <w:b/>
                <w:sz w:val="24"/>
              </w:rPr>
              <w:t> </w:t>
            </w:r>
          </w:p>
        </w:tc>
      </w:tr>
      <w:tr w:rsidRPr="00700100" w:rsidR="00D646FE" w:rsidTr="00AC739C" w14:paraId="3050F62B" w14:textId="77777777">
        <w:trPr>
          <w:trHeight w:val="300"/>
        </w:trPr>
        <w:tc>
          <w:tcPr>
            <w:tcW w:w="6804" w:type="dxa"/>
            <w:tcBorders>
              <w:left w:val="nil"/>
              <w:right w:val="nil"/>
            </w:tcBorders>
            <w:noWrap/>
            <w:hideMark/>
          </w:tcPr>
          <w:p w:rsidRPr="00700100" w:rsidR="00D646FE" w:rsidP="00AC739C" w:rsidRDefault="00D646FE" w14:paraId="256E9E13" w14:textId="77777777">
            <w:pPr>
              <w:rPr>
                <w:rFonts w:ascii="Arial" w:hAnsi="Arial" w:eastAsia="Times New Roman" w:cs="Arial"/>
                <w:b/>
                <w:bCs/>
                <w:sz w:val="20"/>
                <w:szCs w:val="20"/>
              </w:rPr>
            </w:pPr>
            <w:r w:rsidRPr="00700100">
              <w:rPr>
                <w:rFonts w:ascii="Arial" w:hAnsi="Arial"/>
                <w:b/>
                <w:sz w:val="20"/>
              </w:rPr>
              <w:t>Oddíl 17 – Položky vztahující se k velikosti</w:t>
            </w:r>
          </w:p>
        </w:tc>
        <w:tc>
          <w:tcPr>
            <w:tcW w:w="2745" w:type="dxa"/>
            <w:tcBorders>
              <w:left w:val="nil"/>
              <w:right w:val="nil"/>
            </w:tcBorders>
            <w:hideMark/>
          </w:tcPr>
          <w:p w:rsidRPr="00700100" w:rsidR="00D646FE" w:rsidP="00AC739C" w:rsidRDefault="00D646FE" w14:paraId="1FB2FAEC"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BF6769D" w14:textId="77777777">
        <w:trPr>
          <w:gridAfter w:val="1"/>
          <w:wAfter w:w="2745" w:type="dxa"/>
          <w:trHeight w:val="300"/>
        </w:trPr>
        <w:tc>
          <w:tcPr>
            <w:tcW w:w="6804" w:type="dxa"/>
            <w:tcBorders>
              <w:left w:val="nil"/>
              <w:right w:val="nil"/>
            </w:tcBorders>
            <w:noWrap/>
            <w:hideMark/>
          </w:tcPr>
          <w:p w:rsidRPr="00700100" w:rsidR="00D646FE" w:rsidP="00AC739C" w:rsidRDefault="00D646FE" w14:paraId="2D009F92" w14:textId="77777777">
            <w:pPr>
              <w:ind w:left="171" w:firstLine="28" w:firstLineChars="14"/>
              <w:rPr>
                <w:rFonts w:ascii="Arial" w:hAnsi="Arial" w:eastAsia="Times New Roman" w:cs="Arial"/>
                <w:sz w:val="20"/>
                <w:szCs w:val="20"/>
              </w:rPr>
            </w:pPr>
            <w:r w:rsidRPr="00700100">
              <w:rPr>
                <w:rFonts w:ascii="Arial" w:hAnsi="Arial"/>
                <w:sz w:val="20"/>
              </w:rPr>
              <w:t>a. Expozice pojišťovacích dceřiných společností již zahrnutých do obezřetnostní konsolidace podle právních předpisů</w:t>
            </w:r>
          </w:p>
        </w:tc>
      </w:tr>
      <w:tr w:rsidRPr="00700100" w:rsidR="00D646FE" w:rsidTr="00AC739C" w14:paraId="30DE1554" w14:textId="77777777">
        <w:trPr>
          <w:trHeight w:val="300"/>
        </w:trPr>
        <w:tc>
          <w:tcPr>
            <w:tcW w:w="6804" w:type="dxa"/>
            <w:tcBorders>
              <w:left w:val="nil"/>
              <w:right w:val="nil"/>
            </w:tcBorders>
            <w:noWrap/>
            <w:hideMark/>
          </w:tcPr>
          <w:p w:rsidRPr="00700100" w:rsidR="00D646FE" w:rsidP="00AC739C" w:rsidRDefault="00D646FE" w14:paraId="09311EF5" w14:textId="77777777">
            <w:pPr>
              <w:ind w:firstLine="200" w:firstLineChars="100"/>
              <w:rPr>
                <w:rFonts w:ascii="Arial" w:hAnsi="Arial" w:eastAsia="Times New Roman" w:cs="Arial"/>
                <w:sz w:val="20"/>
                <w:szCs w:val="20"/>
              </w:rPr>
            </w:pPr>
            <w:r w:rsidRPr="00700100">
              <w:rPr>
                <w:rFonts w:ascii="Arial" w:hAnsi="Arial"/>
                <w:sz w:val="20"/>
              </w:rPr>
              <w:lastRenderedPageBreak/>
              <w:t xml:space="preserve">b. Čtvrtletní průměrná hodnota celkových expozic </w:t>
            </w:r>
          </w:p>
        </w:tc>
        <w:tc>
          <w:tcPr>
            <w:tcW w:w="2745" w:type="dxa"/>
            <w:tcBorders>
              <w:left w:val="nil"/>
              <w:right w:val="nil"/>
            </w:tcBorders>
            <w:noWrap/>
            <w:hideMark/>
          </w:tcPr>
          <w:p w:rsidRPr="00700100" w:rsidR="00D646FE" w:rsidP="00AC739C" w:rsidRDefault="00D646FE" w14:paraId="3C7D6024"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C34543D" w14:textId="77777777">
        <w:trPr>
          <w:trHeight w:val="300"/>
        </w:trPr>
        <w:tc>
          <w:tcPr>
            <w:tcW w:w="6804" w:type="dxa"/>
            <w:tcBorders>
              <w:left w:val="nil"/>
              <w:bottom w:val="single" w:color="auto" w:sz="4" w:space="0"/>
              <w:right w:val="nil"/>
            </w:tcBorders>
            <w:noWrap/>
            <w:hideMark/>
          </w:tcPr>
          <w:p w:rsidRPr="00700100" w:rsidR="00D646FE" w:rsidP="00AC739C" w:rsidRDefault="00D646FE" w14:paraId="52E4FF99" w14:textId="77777777">
            <w:pPr>
              <w:ind w:firstLine="200" w:firstLineChars="100"/>
              <w:rPr>
                <w:rFonts w:ascii="Arial" w:hAnsi="Arial" w:eastAsia="Times New Roman" w:cs="Arial"/>
                <w:sz w:val="20"/>
                <w:szCs w:val="20"/>
              </w:rPr>
            </w:pPr>
            <w:r w:rsidRPr="00700100">
              <w:rPr>
                <w:rFonts w:ascii="Arial" w:hAnsi="Arial"/>
                <w:sz w:val="20"/>
              </w:rPr>
              <w:t xml:space="preserve">c. Měsíční průměrná hodnota celkových expozic </w:t>
            </w:r>
          </w:p>
        </w:tc>
        <w:tc>
          <w:tcPr>
            <w:tcW w:w="2745" w:type="dxa"/>
            <w:tcBorders>
              <w:left w:val="nil"/>
              <w:bottom w:val="single" w:color="auto" w:sz="4" w:space="0"/>
              <w:right w:val="nil"/>
            </w:tcBorders>
            <w:noWrap/>
            <w:hideMark/>
          </w:tcPr>
          <w:p w:rsidRPr="00700100" w:rsidR="00D646FE" w:rsidP="00AC739C" w:rsidRDefault="00D646FE" w14:paraId="362E6062"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459E993" w14:textId="77777777">
        <w:trPr>
          <w:trHeight w:val="300"/>
        </w:trPr>
        <w:tc>
          <w:tcPr>
            <w:tcW w:w="6804" w:type="dxa"/>
            <w:tcBorders>
              <w:left w:val="nil"/>
              <w:bottom w:val="nil"/>
              <w:right w:val="nil"/>
            </w:tcBorders>
            <w:noWrap/>
          </w:tcPr>
          <w:p w:rsidRPr="00700100" w:rsidR="00D646FE" w:rsidP="00AC739C" w:rsidRDefault="00D646FE" w14:paraId="6E906A52"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354BB48A" w14:textId="77777777">
            <w:pPr>
              <w:jc w:val="center"/>
              <w:rPr>
                <w:rFonts w:ascii="Arial" w:hAnsi="Arial" w:eastAsia="Times New Roman" w:cs="Arial"/>
                <w:b/>
                <w:bCs/>
                <w:sz w:val="20"/>
                <w:szCs w:val="20"/>
                <w:lang w:eastAsia="en-GB"/>
              </w:rPr>
            </w:pPr>
          </w:p>
        </w:tc>
      </w:tr>
      <w:tr w:rsidRPr="00700100" w:rsidR="00D646FE" w:rsidTr="00AC739C" w14:paraId="5CFA590C" w14:textId="77777777">
        <w:trPr>
          <w:trHeight w:val="300"/>
        </w:trPr>
        <w:tc>
          <w:tcPr>
            <w:tcW w:w="6804" w:type="dxa"/>
            <w:tcBorders>
              <w:top w:val="nil"/>
              <w:left w:val="nil"/>
              <w:right w:val="nil"/>
            </w:tcBorders>
            <w:noWrap/>
            <w:hideMark/>
          </w:tcPr>
          <w:p w:rsidRPr="00700100" w:rsidR="00D646FE" w:rsidP="00AC739C" w:rsidRDefault="00D646FE" w14:paraId="78628544" w14:textId="77777777">
            <w:pPr>
              <w:rPr>
                <w:rFonts w:ascii="Arial" w:hAnsi="Arial" w:eastAsia="Times New Roman" w:cs="Arial"/>
                <w:b/>
                <w:bCs/>
                <w:sz w:val="20"/>
                <w:szCs w:val="20"/>
              </w:rPr>
            </w:pPr>
            <w:r w:rsidRPr="00700100">
              <w:rPr>
                <w:rFonts w:ascii="Arial" w:hAnsi="Arial"/>
                <w:b/>
                <w:sz w:val="20"/>
              </w:rPr>
              <w:t>Oddíl 18 – Položky vztahující se k propojení</w:t>
            </w:r>
          </w:p>
        </w:tc>
        <w:tc>
          <w:tcPr>
            <w:tcW w:w="2745" w:type="dxa"/>
            <w:tcBorders>
              <w:top w:val="nil"/>
              <w:left w:val="nil"/>
              <w:right w:val="nil"/>
            </w:tcBorders>
            <w:hideMark/>
          </w:tcPr>
          <w:p w:rsidRPr="00700100" w:rsidR="00D646FE" w:rsidP="00AC739C" w:rsidRDefault="00D646FE" w14:paraId="769F6BE0"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6BAD18B6" w14:textId="77777777">
        <w:trPr>
          <w:trHeight w:val="300"/>
        </w:trPr>
        <w:tc>
          <w:tcPr>
            <w:tcW w:w="6804" w:type="dxa"/>
            <w:tcBorders>
              <w:left w:val="nil"/>
              <w:right w:val="nil"/>
            </w:tcBorders>
            <w:noWrap/>
            <w:hideMark/>
          </w:tcPr>
          <w:p w:rsidRPr="00700100" w:rsidR="00D646FE" w:rsidP="00AC739C" w:rsidRDefault="00D646FE" w14:paraId="0B371820" w14:textId="77777777">
            <w:pPr>
              <w:ind w:firstLine="200" w:firstLineChars="100"/>
              <w:rPr>
                <w:rFonts w:ascii="Arial" w:hAnsi="Arial" w:eastAsia="Times New Roman" w:cs="Arial"/>
                <w:sz w:val="20"/>
                <w:szCs w:val="20"/>
              </w:rPr>
            </w:pPr>
            <w:r w:rsidRPr="00700100">
              <w:rPr>
                <w:rFonts w:ascii="Arial" w:hAnsi="Arial"/>
                <w:sz w:val="20"/>
              </w:rPr>
              <w:t>a. Ukazatel aktiv v rámci finančního systému (starý ukazatel)</w:t>
            </w:r>
          </w:p>
        </w:tc>
        <w:tc>
          <w:tcPr>
            <w:tcW w:w="2745" w:type="dxa"/>
            <w:tcBorders>
              <w:left w:val="nil"/>
              <w:right w:val="nil"/>
            </w:tcBorders>
            <w:noWrap/>
            <w:hideMark/>
          </w:tcPr>
          <w:p w:rsidRPr="00700100" w:rsidR="00D646FE" w:rsidP="00AC739C" w:rsidRDefault="00D646FE" w14:paraId="5BA5334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99C98D8" w14:textId="77777777">
        <w:trPr>
          <w:trHeight w:val="300"/>
        </w:trPr>
        <w:tc>
          <w:tcPr>
            <w:tcW w:w="6804" w:type="dxa"/>
            <w:tcBorders>
              <w:left w:val="nil"/>
              <w:right w:val="nil"/>
            </w:tcBorders>
            <w:noWrap/>
            <w:hideMark/>
          </w:tcPr>
          <w:p w:rsidRPr="00700100" w:rsidR="00D646FE" w:rsidP="00AC739C" w:rsidRDefault="00D646FE" w14:paraId="6A99E9DD" w14:textId="77777777">
            <w:pPr>
              <w:ind w:firstLine="200" w:firstLineChars="100"/>
              <w:rPr>
                <w:rFonts w:ascii="Arial" w:hAnsi="Arial" w:eastAsia="Times New Roman" w:cs="Arial"/>
                <w:sz w:val="20"/>
                <w:szCs w:val="20"/>
              </w:rPr>
            </w:pPr>
            <w:r w:rsidRPr="00700100">
              <w:rPr>
                <w:rFonts w:ascii="Arial" w:hAnsi="Arial"/>
                <w:sz w:val="20"/>
              </w:rPr>
              <w:t xml:space="preserve">b. Čtvrtletní průměrná hodnota aktiv v rámci finančního systému </w:t>
            </w:r>
          </w:p>
        </w:tc>
        <w:tc>
          <w:tcPr>
            <w:tcW w:w="2745" w:type="dxa"/>
            <w:tcBorders>
              <w:left w:val="nil"/>
              <w:right w:val="nil"/>
            </w:tcBorders>
            <w:noWrap/>
            <w:hideMark/>
          </w:tcPr>
          <w:p w:rsidRPr="00700100" w:rsidR="00D646FE" w:rsidP="00AC739C" w:rsidRDefault="00D646FE" w14:paraId="2DADA4EB"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2AA3D412" w14:textId="77777777">
        <w:trPr>
          <w:trHeight w:val="300"/>
        </w:trPr>
        <w:tc>
          <w:tcPr>
            <w:tcW w:w="6804" w:type="dxa"/>
            <w:tcBorders>
              <w:left w:val="nil"/>
              <w:right w:val="nil"/>
            </w:tcBorders>
            <w:noWrap/>
            <w:hideMark/>
          </w:tcPr>
          <w:p w:rsidRPr="00700100" w:rsidR="00D646FE" w:rsidP="00AC739C" w:rsidRDefault="00D646FE" w14:paraId="07A08FA2" w14:textId="77777777">
            <w:pPr>
              <w:ind w:firstLine="200" w:firstLineChars="100"/>
              <w:rPr>
                <w:rFonts w:ascii="Arial" w:hAnsi="Arial" w:eastAsia="Times New Roman" w:cs="Arial"/>
                <w:sz w:val="20"/>
                <w:szCs w:val="20"/>
              </w:rPr>
            </w:pPr>
            <w:r w:rsidRPr="00700100">
              <w:rPr>
                <w:rFonts w:ascii="Arial" w:hAnsi="Arial"/>
                <w:sz w:val="20"/>
              </w:rPr>
              <w:t xml:space="preserve">c. Měsíční průměrná hodnota aktiv v rámci finančního systému </w:t>
            </w:r>
          </w:p>
        </w:tc>
        <w:tc>
          <w:tcPr>
            <w:tcW w:w="2745" w:type="dxa"/>
            <w:tcBorders>
              <w:left w:val="nil"/>
              <w:right w:val="nil"/>
            </w:tcBorders>
            <w:noWrap/>
            <w:hideMark/>
          </w:tcPr>
          <w:p w:rsidRPr="00700100" w:rsidR="00D646FE" w:rsidP="00AC739C" w:rsidRDefault="00D646FE" w14:paraId="35B2E264"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1AA0867" w14:textId="77777777">
        <w:trPr>
          <w:trHeight w:val="300"/>
        </w:trPr>
        <w:tc>
          <w:tcPr>
            <w:tcW w:w="6804" w:type="dxa"/>
            <w:tcBorders>
              <w:left w:val="nil"/>
              <w:right w:val="nil"/>
            </w:tcBorders>
            <w:noWrap/>
            <w:hideMark/>
          </w:tcPr>
          <w:p w:rsidRPr="00700100" w:rsidR="00D646FE" w:rsidP="00AC739C" w:rsidRDefault="00D646FE" w14:paraId="6A0B83CA" w14:textId="77777777">
            <w:pPr>
              <w:ind w:firstLine="200" w:firstLineChars="100"/>
              <w:rPr>
                <w:rFonts w:ascii="Arial" w:hAnsi="Arial" w:eastAsia="Times New Roman" w:cs="Arial"/>
                <w:sz w:val="20"/>
                <w:szCs w:val="20"/>
              </w:rPr>
            </w:pPr>
            <w:r w:rsidRPr="00700100">
              <w:rPr>
                <w:rFonts w:ascii="Arial" w:hAnsi="Arial"/>
                <w:sz w:val="20"/>
              </w:rPr>
              <w:t>d. Ukazatel závazků v rámci finančního systému (starý ukazatel)</w:t>
            </w:r>
          </w:p>
        </w:tc>
        <w:tc>
          <w:tcPr>
            <w:tcW w:w="2745" w:type="dxa"/>
            <w:tcBorders>
              <w:left w:val="nil"/>
              <w:right w:val="nil"/>
            </w:tcBorders>
            <w:noWrap/>
            <w:hideMark/>
          </w:tcPr>
          <w:p w:rsidRPr="00700100" w:rsidR="00D646FE" w:rsidP="00AC739C" w:rsidRDefault="00D646FE" w14:paraId="56CBC0A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7E9F286" w14:textId="77777777">
        <w:trPr>
          <w:trHeight w:val="300"/>
        </w:trPr>
        <w:tc>
          <w:tcPr>
            <w:tcW w:w="6804" w:type="dxa"/>
            <w:tcBorders>
              <w:left w:val="nil"/>
              <w:right w:val="nil"/>
            </w:tcBorders>
            <w:noWrap/>
            <w:hideMark/>
          </w:tcPr>
          <w:p w:rsidRPr="00700100" w:rsidR="00D646FE" w:rsidP="00AC739C" w:rsidRDefault="00D646FE" w14:paraId="5311336E" w14:textId="77777777">
            <w:pPr>
              <w:ind w:firstLine="200" w:firstLineChars="100"/>
              <w:rPr>
                <w:rFonts w:ascii="Arial" w:hAnsi="Arial" w:eastAsia="Times New Roman" w:cs="Arial"/>
                <w:sz w:val="20"/>
                <w:szCs w:val="20"/>
              </w:rPr>
            </w:pPr>
            <w:r w:rsidRPr="00700100">
              <w:rPr>
                <w:rFonts w:ascii="Arial" w:hAnsi="Arial"/>
                <w:sz w:val="20"/>
              </w:rPr>
              <w:t xml:space="preserve">e. Čtvrtletní průměrná hodnota závazků v rámci finančního systému </w:t>
            </w:r>
          </w:p>
        </w:tc>
        <w:tc>
          <w:tcPr>
            <w:tcW w:w="2745" w:type="dxa"/>
            <w:tcBorders>
              <w:left w:val="nil"/>
              <w:right w:val="nil"/>
            </w:tcBorders>
            <w:noWrap/>
            <w:hideMark/>
          </w:tcPr>
          <w:p w:rsidRPr="00700100" w:rsidR="00D646FE" w:rsidP="00AC739C" w:rsidRDefault="00D646FE" w14:paraId="55EEDEE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54E49B64" w14:textId="77777777">
        <w:trPr>
          <w:trHeight w:val="300"/>
        </w:trPr>
        <w:tc>
          <w:tcPr>
            <w:tcW w:w="6804" w:type="dxa"/>
            <w:tcBorders>
              <w:left w:val="nil"/>
              <w:right w:val="nil"/>
            </w:tcBorders>
            <w:noWrap/>
            <w:hideMark/>
          </w:tcPr>
          <w:p w:rsidRPr="00700100" w:rsidR="00D646FE" w:rsidP="00AC739C" w:rsidRDefault="00D646FE" w14:paraId="7509D7C4" w14:textId="77777777">
            <w:pPr>
              <w:ind w:firstLine="200" w:firstLineChars="100"/>
              <w:rPr>
                <w:rFonts w:ascii="Arial" w:hAnsi="Arial" w:eastAsia="Times New Roman" w:cs="Arial"/>
                <w:sz w:val="20"/>
                <w:szCs w:val="20"/>
              </w:rPr>
            </w:pPr>
            <w:r w:rsidRPr="00700100">
              <w:rPr>
                <w:rFonts w:ascii="Arial" w:hAnsi="Arial"/>
                <w:sz w:val="20"/>
              </w:rPr>
              <w:t xml:space="preserve">f. Měsíční průměrná hodnota závazků v rámci finančního systému </w:t>
            </w:r>
          </w:p>
        </w:tc>
        <w:tc>
          <w:tcPr>
            <w:tcW w:w="2745" w:type="dxa"/>
            <w:tcBorders>
              <w:left w:val="nil"/>
              <w:right w:val="nil"/>
            </w:tcBorders>
            <w:noWrap/>
            <w:hideMark/>
          </w:tcPr>
          <w:p w:rsidRPr="00700100" w:rsidR="00D646FE" w:rsidP="00AC739C" w:rsidRDefault="00D646FE" w14:paraId="15A7794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DE27713" w14:textId="77777777">
        <w:trPr>
          <w:trHeight w:val="300"/>
        </w:trPr>
        <w:tc>
          <w:tcPr>
            <w:tcW w:w="6804" w:type="dxa"/>
            <w:tcBorders>
              <w:left w:val="nil"/>
              <w:right w:val="nil"/>
            </w:tcBorders>
            <w:noWrap/>
            <w:hideMark/>
          </w:tcPr>
          <w:p w:rsidRPr="00700100" w:rsidR="00D646FE" w:rsidP="00AC739C" w:rsidRDefault="00D646FE" w14:paraId="612A3C2B" w14:textId="77777777">
            <w:pPr>
              <w:ind w:firstLine="200" w:firstLineChars="100"/>
              <w:rPr>
                <w:rFonts w:ascii="Arial" w:hAnsi="Arial" w:eastAsia="Times New Roman" w:cs="Arial"/>
                <w:sz w:val="20"/>
                <w:szCs w:val="20"/>
              </w:rPr>
            </w:pPr>
            <w:r w:rsidRPr="00700100">
              <w:rPr>
                <w:rFonts w:ascii="Arial" w:hAnsi="Arial"/>
                <w:sz w:val="20"/>
              </w:rPr>
              <w:t>g. Ukazatel nezaplacených cenných papírů (starý ukazatel)</w:t>
            </w:r>
          </w:p>
        </w:tc>
        <w:tc>
          <w:tcPr>
            <w:tcW w:w="2745" w:type="dxa"/>
            <w:tcBorders>
              <w:left w:val="nil"/>
              <w:right w:val="nil"/>
            </w:tcBorders>
            <w:noWrap/>
            <w:hideMark/>
          </w:tcPr>
          <w:p w:rsidRPr="00700100" w:rsidR="00D646FE" w:rsidP="00AC739C" w:rsidRDefault="00D646FE" w14:paraId="2C532C97"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5882E17" w14:textId="77777777">
        <w:trPr>
          <w:trHeight w:val="300"/>
        </w:trPr>
        <w:tc>
          <w:tcPr>
            <w:tcW w:w="6804" w:type="dxa"/>
            <w:tcBorders>
              <w:left w:val="nil"/>
              <w:right w:val="nil"/>
            </w:tcBorders>
            <w:noWrap/>
            <w:hideMark/>
          </w:tcPr>
          <w:p w:rsidRPr="00700100" w:rsidR="00D646FE" w:rsidP="00AC739C" w:rsidRDefault="00D646FE" w14:paraId="43FEBBB0" w14:textId="77777777">
            <w:pPr>
              <w:ind w:firstLine="200" w:firstLineChars="100"/>
              <w:rPr>
                <w:rFonts w:ascii="Arial" w:hAnsi="Arial" w:eastAsia="Times New Roman" w:cs="Arial"/>
                <w:sz w:val="20"/>
                <w:szCs w:val="20"/>
              </w:rPr>
            </w:pPr>
            <w:r w:rsidRPr="00700100">
              <w:rPr>
                <w:rFonts w:ascii="Arial" w:hAnsi="Arial"/>
                <w:sz w:val="20"/>
              </w:rPr>
              <w:t xml:space="preserve">h. Čtvrtletní průměrná hodnota nezaplacených cenných papírů </w:t>
            </w:r>
          </w:p>
        </w:tc>
        <w:tc>
          <w:tcPr>
            <w:tcW w:w="2745" w:type="dxa"/>
            <w:tcBorders>
              <w:left w:val="nil"/>
              <w:right w:val="nil"/>
            </w:tcBorders>
            <w:noWrap/>
            <w:hideMark/>
          </w:tcPr>
          <w:p w:rsidRPr="00700100" w:rsidR="00D646FE" w:rsidP="00AC739C" w:rsidRDefault="00D646FE" w14:paraId="1E733A16"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71430066" w14:textId="77777777">
        <w:trPr>
          <w:trHeight w:val="300"/>
        </w:trPr>
        <w:tc>
          <w:tcPr>
            <w:tcW w:w="6804" w:type="dxa"/>
            <w:tcBorders>
              <w:left w:val="nil"/>
              <w:bottom w:val="single" w:color="auto" w:sz="4" w:space="0"/>
              <w:right w:val="nil"/>
            </w:tcBorders>
            <w:noWrap/>
            <w:hideMark/>
          </w:tcPr>
          <w:p w:rsidRPr="00700100" w:rsidR="00D646FE" w:rsidP="00AC739C" w:rsidRDefault="00D646FE" w14:paraId="145D08DE" w14:textId="77777777">
            <w:pPr>
              <w:ind w:firstLine="200" w:firstLineChars="100"/>
              <w:rPr>
                <w:rFonts w:ascii="Arial" w:hAnsi="Arial" w:eastAsia="Times New Roman" w:cs="Arial"/>
                <w:sz w:val="20"/>
                <w:szCs w:val="20"/>
              </w:rPr>
            </w:pPr>
            <w:r w:rsidRPr="00700100">
              <w:rPr>
                <w:rFonts w:ascii="Arial" w:hAnsi="Arial"/>
                <w:sz w:val="20"/>
              </w:rPr>
              <w:t xml:space="preserve">i. Měsíční průměrná hodnota nezaplacených cenných papírů </w:t>
            </w:r>
          </w:p>
        </w:tc>
        <w:tc>
          <w:tcPr>
            <w:tcW w:w="2745" w:type="dxa"/>
            <w:tcBorders>
              <w:left w:val="nil"/>
              <w:bottom w:val="single" w:color="auto" w:sz="4" w:space="0"/>
              <w:right w:val="nil"/>
            </w:tcBorders>
            <w:noWrap/>
            <w:hideMark/>
          </w:tcPr>
          <w:p w:rsidRPr="00700100" w:rsidR="00D646FE" w:rsidP="00AC739C" w:rsidRDefault="00D646FE" w14:paraId="5029DE53"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609FD7D6" w14:textId="77777777">
        <w:trPr>
          <w:trHeight w:val="300"/>
        </w:trPr>
        <w:tc>
          <w:tcPr>
            <w:tcW w:w="6804" w:type="dxa"/>
            <w:tcBorders>
              <w:left w:val="nil"/>
              <w:bottom w:val="nil"/>
              <w:right w:val="nil"/>
            </w:tcBorders>
            <w:noWrap/>
          </w:tcPr>
          <w:p w:rsidRPr="00700100" w:rsidR="00D646FE" w:rsidP="00AC739C" w:rsidRDefault="00D646FE" w14:paraId="327338A0"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09501770" w14:textId="77777777">
            <w:pPr>
              <w:jc w:val="center"/>
              <w:rPr>
                <w:rFonts w:ascii="Arial" w:hAnsi="Arial" w:eastAsia="Times New Roman" w:cs="Arial"/>
                <w:b/>
                <w:bCs/>
                <w:sz w:val="20"/>
                <w:szCs w:val="20"/>
                <w:lang w:eastAsia="en-GB"/>
              </w:rPr>
            </w:pPr>
          </w:p>
        </w:tc>
      </w:tr>
      <w:tr w:rsidRPr="00700100" w:rsidR="00D646FE" w:rsidTr="00AC739C" w14:paraId="06B21166" w14:textId="77777777">
        <w:trPr>
          <w:trHeight w:val="300"/>
        </w:trPr>
        <w:tc>
          <w:tcPr>
            <w:tcW w:w="6804" w:type="dxa"/>
            <w:tcBorders>
              <w:top w:val="nil"/>
              <w:left w:val="nil"/>
              <w:bottom w:val="single" w:color="auto" w:sz="4" w:space="0"/>
              <w:right w:val="nil"/>
            </w:tcBorders>
            <w:noWrap/>
            <w:hideMark/>
          </w:tcPr>
          <w:p w:rsidRPr="00700100" w:rsidR="00D646FE" w:rsidP="00AC739C" w:rsidRDefault="00D646FE" w14:paraId="6F2816C3" w14:textId="77777777">
            <w:pPr>
              <w:rPr>
                <w:rFonts w:ascii="Arial" w:hAnsi="Arial" w:eastAsia="Times New Roman" w:cs="Arial"/>
                <w:b/>
                <w:bCs/>
                <w:sz w:val="20"/>
                <w:szCs w:val="20"/>
              </w:rPr>
            </w:pPr>
            <w:r w:rsidRPr="00700100">
              <w:rPr>
                <w:rFonts w:ascii="Arial" w:hAnsi="Arial"/>
                <w:b/>
                <w:sz w:val="20"/>
              </w:rPr>
              <w:t>Oddíl 19 – Položky vztahující se k nahraditelnosti / finanční infrastruktuře Položky</w:t>
            </w:r>
          </w:p>
        </w:tc>
        <w:tc>
          <w:tcPr>
            <w:tcW w:w="2745" w:type="dxa"/>
            <w:tcBorders>
              <w:top w:val="nil"/>
              <w:left w:val="nil"/>
              <w:right w:val="nil"/>
            </w:tcBorders>
            <w:hideMark/>
          </w:tcPr>
          <w:p w:rsidRPr="00700100" w:rsidR="00D646FE" w:rsidP="00AC739C" w:rsidRDefault="00D646FE" w14:paraId="6FFE37DD"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3ACF730" w14:textId="77777777">
        <w:trPr>
          <w:trHeight w:val="300"/>
        </w:trPr>
        <w:tc>
          <w:tcPr>
            <w:tcW w:w="6804" w:type="dxa"/>
            <w:tcBorders>
              <w:left w:val="nil"/>
              <w:right w:val="nil"/>
            </w:tcBorders>
            <w:noWrap/>
          </w:tcPr>
          <w:p w:rsidRPr="00700100" w:rsidR="00D646FE" w:rsidP="00AC739C" w:rsidRDefault="00D646FE" w14:paraId="7852301F" w14:textId="77777777">
            <w:pPr>
              <w:ind w:left="171" w:firstLine="28" w:firstLineChars="14"/>
              <w:rPr>
                <w:rFonts w:ascii="Arial" w:hAnsi="Arial" w:eastAsia="Times New Roman" w:cs="Arial"/>
                <w:sz w:val="20"/>
                <w:szCs w:val="20"/>
              </w:rPr>
            </w:pPr>
            <w:r w:rsidRPr="00700100">
              <w:rPr>
                <w:rFonts w:ascii="Arial" w:hAnsi="Arial"/>
                <w:sz w:val="20"/>
              </w:rPr>
              <w:t>a. Objem obchodů s cennými papíry, jež vydaly suverénní subjekty, s výjimkou transakcí v rámci skupiny</w:t>
            </w:r>
          </w:p>
        </w:tc>
        <w:tc>
          <w:tcPr>
            <w:tcW w:w="2745" w:type="dxa"/>
            <w:tcBorders>
              <w:left w:val="nil"/>
              <w:right w:val="nil"/>
            </w:tcBorders>
            <w:noWrap/>
          </w:tcPr>
          <w:p w:rsidRPr="00700100" w:rsidR="00D646FE" w:rsidP="00AC739C" w:rsidRDefault="00D646FE" w14:paraId="040D0CB4" w14:textId="77777777">
            <w:pPr>
              <w:jc w:val="right"/>
              <w:rPr>
                <w:rFonts w:ascii="Arial" w:hAnsi="Arial" w:eastAsia="Times New Roman" w:cs="Arial"/>
                <w:sz w:val="20"/>
                <w:szCs w:val="20"/>
                <w:lang w:eastAsia="en-GB"/>
              </w:rPr>
            </w:pPr>
          </w:p>
        </w:tc>
      </w:tr>
      <w:tr w:rsidRPr="00700100" w:rsidR="00D646FE" w:rsidTr="00AC739C" w14:paraId="441BE815" w14:textId="77777777">
        <w:trPr>
          <w:trHeight w:val="300"/>
        </w:trPr>
        <w:tc>
          <w:tcPr>
            <w:tcW w:w="6804" w:type="dxa"/>
            <w:tcBorders>
              <w:left w:val="nil"/>
              <w:right w:val="nil"/>
            </w:tcBorders>
            <w:noWrap/>
          </w:tcPr>
          <w:p w:rsidRPr="00700100" w:rsidR="00D646FE" w:rsidP="00AC739C" w:rsidRDefault="00D646FE" w14:paraId="1D939CD8" w14:textId="77777777">
            <w:pPr>
              <w:ind w:left="171"/>
              <w:rPr>
                <w:rFonts w:ascii="Arial" w:hAnsi="Arial" w:eastAsia="Times New Roman" w:cs="Arial"/>
                <w:sz w:val="20"/>
                <w:szCs w:val="20"/>
              </w:rPr>
            </w:pPr>
            <w:r w:rsidRPr="00700100">
              <w:rPr>
                <w:rFonts w:ascii="Arial" w:hAnsi="Arial"/>
                <w:sz w:val="20"/>
              </w:rPr>
              <w:t>b. Počáteční marže připsaná ústředním protistranám (CCP) jménem klientů</w:t>
            </w:r>
          </w:p>
        </w:tc>
        <w:tc>
          <w:tcPr>
            <w:tcW w:w="2745" w:type="dxa"/>
            <w:tcBorders>
              <w:left w:val="nil"/>
              <w:right w:val="nil"/>
            </w:tcBorders>
            <w:noWrap/>
          </w:tcPr>
          <w:p w:rsidRPr="00700100" w:rsidR="00D646FE" w:rsidP="00AC739C" w:rsidRDefault="00D646FE" w14:paraId="42F4CAFB" w14:textId="77777777">
            <w:pPr>
              <w:jc w:val="right"/>
              <w:rPr>
                <w:rFonts w:ascii="Arial" w:hAnsi="Arial" w:eastAsia="Times New Roman" w:cs="Arial"/>
                <w:sz w:val="20"/>
                <w:szCs w:val="20"/>
                <w:lang w:eastAsia="en-GB"/>
              </w:rPr>
            </w:pPr>
          </w:p>
        </w:tc>
      </w:tr>
      <w:tr w:rsidRPr="00700100" w:rsidR="00D646FE" w:rsidTr="00AC739C" w14:paraId="2B2221A0" w14:textId="77777777">
        <w:trPr>
          <w:trHeight w:val="300"/>
        </w:trPr>
        <w:tc>
          <w:tcPr>
            <w:tcW w:w="6804" w:type="dxa"/>
            <w:tcBorders>
              <w:left w:val="nil"/>
              <w:right w:val="nil"/>
            </w:tcBorders>
            <w:noWrap/>
          </w:tcPr>
          <w:p w:rsidRPr="00700100" w:rsidR="00D646FE" w:rsidP="00AC739C" w:rsidRDefault="00D646FE" w14:paraId="7DA352DB" w14:textId="77777777">
            <w:pPr>
              <w:ind w:firstLine="200" w:firstLineChars="100"/>
              <w:rPr>
                <w:rFonts w:ascii="Arial" w:hAnsi="Arial" w:eastAsia="Times New Roman" w:cs="Arial"/>
                <w:sz w:val="20"/>
                <w:szCs w:val="20"/>
              </w:rPr>
            </w:pPr>
            <w:r w:rsidRPr="00700100">
              <w:rPr>
                <w:rFonts w:ascii="Arial" w:hAnsi="Arial"/>
                <w:sz w:val="20"/>
              </w:rPr>
              <w:t>c. Počáteční marže připsaná ústředním protistranám na vlastní účet vykazující skupiny</w:t>
            </w:r>
          </w:p>
        </w:tc>
        <w:tc>
          <w:tcPr>
            <w:tcW w:w="2745" w:type="dxa"/>
            <w:tcBorders>
              <w:left w:val="nil"/>
              <w:right w:val="nil"/>
            </w:tcBorders>
            <w:noWrap/>
          </w:tcPr>
          <w:p w:rsidRPr="00700100" w:rsidR="00D646FE" w:rsidP="00AC739C" w:rsidRDefault="00D646FE" w14:paraId="7DAE849B" w14:textId="77777777">
            <w:pPr>
              <w:jc w:val="right"/>
              <w:rPr>
                <w:rFonts w:ascii="Arial" w:hAnsi="Arial" w:eastAsia="Times New Roman" w:cs="Arial"/>
                <w:sz w:val="20"/>
                <w:szCs w:val="20"/>
                <w:lang w:eastAsia="en-GB"/>
              </w:rPr>
            </w:pPr>
          </w:p>
        </w:tc>
      </w:tr>
      <w:tr w:rsidRPr="00700100" w:rsidR="00D646FE" w:rsidTr="00AC739C" w14:paraId="1328032D" w14:textId="77777777">
        <w:trPr>
          <w:trHeight w:val="300"/>
        </w:trPr>
        <w:tc>
          <w:tcPr>
            <w:tcW w:w="6804" w:type="dxa"/>
            <w:tcBorders>
              <w:left w:val="nil"/>
              <w:right w:val="nil"/>
            </w:tcBorders>
            <w:noWrap/>
            <w:hideMark/>
          </w:tcPr>
          <w:p w:rsidRPr="00700100" w:rsidR="00D646FE" w:rsidP="00AC739C" w:rsidRDefault="00D646FE" w14:paraId="5770BF94" w14:textId="77777777">
            <w:pPr>
              <w:ind w:firstLine="200" w:firstLineChars="100"/>
              <w:rPr>
                <w:rFonts w:ascii="Arial" w:hAnsi="Arial" w:eastAsia="Times New Roman" w:cs="Arial"/>
                <w:sz w:val="20"/>
                <w:szCs w:val="20"/>
              </w:rPr>
            </w:pPr>
            <w:r w:rsidRPr="00700100">
              <w:rPr>
                <w:rFonts w:ascii="Arial" w:hAnsi="Arial"/>
                <w:sz w:val="20"/>
              </w:rPr>
              <w:t>d. Příspěvky ústředním protistranám do fondu pro případ selhání</w:t>
            </w:r>
          </w:p>
        </w:tc>
        <w:tc>
          <w:tcPr>
            <w:tcW w:w="2745" w:type="dxa"/>
            <w:tcBorders>
              <w:left w:val="nil"/>
              <w:right w:val="nil"/>
            </w:tcBorders>
            <w:noWrap/>
            <w:hideMark/>
          </w:tcPr>
          <w:p w:rsidRPr="00700100" w:rsidR="00D646FE" w:rsidP="00AC739C" w:rsidRDefault="00D646FE" w14:paraId="1B728369"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4C782B61" w14:textId="77777777">
        <w:trPr>
          <w:trHeight w:val="300"/>
        </w:trPr>
        <w:tc>
          <w:tcPr>
            <w:tcW w:w="6804" w:type="dxa"/>
            <w:tcBorders>
              <w:left w:val="nil"/>
              <w:right w:val="nil"/>
            </w:tcBorders>
            <w:noWrap/>
            <w:hideMark/>
          </w:tcPr>
          <w:p w:rsidRPr="00700100" w:rsidR="00D646FE" w:rsidP="00AC739C" w:rsidRDefault="00D646FE" w14:paraId="010E9963" w14:textId="77777777">
            <w:pPr>
              <w:ind w:firstLine="200" w:firstLineChars="100"/>
              <w:rPr>
                <w:rFonts w:ascii="Arial" w:hAnsi="Arial" w:eastAsia="Times New Roman" w:cs="Arial"/>
                <w:sz w:val="20"/>
                <w:szCs w:val="20"/>
              </w:rPr>
            </w:pPr>
            <w:r w:rsidRPr="00700100">
              <w:rPr>
                <w:rFonts w:ascii="Arial" w:hAnsi="Arial"/>
                <w:sz w:val="20"/>
              </w:rPr>
              <w:t>e. Ostatní finanční nástroje ústředním protistranám</w:t>
            </w:r>
          </w:p>
        </w:tc>
        <w:tc>
          <w:tcPr>
            <w:tcW w:w="2745" w:type="dxa"/>
            <w:tcBorders>
              <w:left w:val="nil"/>
              <w:right w:val="nil"/>
            </w:tcBorders>
            <w:noWrap/>
            <w:hideMark/>
          </w:tcPr>
          <w:p w:rsidRPr="00700100" w:rsidR="00D646FE" w:rsidP="00AC739C" w:rsidRDefault="00D646FE" w14:paraId="281F1BB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5CB210B1" w14:textId="77777777">
        <w:trPr>
          <w:gridAfter w:val="1"/>
          <w:wAfter w:w="2745" w:type="dxa"/>
          <w:trHeight w:val="300"/>
        </w:trPr>
        <w:tc>
          <w:tcPr>
            <w:tcW w:w="6804" w:type="dxa"/>
            <w:tcBorders>
              <w:left w:val="nil"/>
              <w:right w:val="nil"/>
            </w:tcBorders>
            <w:noWrap/>
            <w:hideMark/>
          </w:tcPr>
          <w:p w:rsidRPr="00700100" w:rsidR="00D646FE" w:rsidP="00AC739C" w:rsidRDefault="00D646FE" w14:paraId="39250809" w14:textId="77777777">
            <w:pPr>
              <w:ind w:left="171"/>
              <w:rPr>
                <w:rFonts w:ascii="Arial" w:hAnsi="Arial" w:eastAsia="Times New Roman" w:cs="Arial"/>
                <w:sz w:val="20"/>
                <w:szCs w:val="20"/>
              </w:rPr>
            </w:pPr>
            <w:r w:rsidRPr="00700100">
              <w:rPr>
                <w:rFonts w:ascii="Arial" w:hAnsi="Arial"/>
                <w:sz w:val="20"/>
              </w:rPr>
              <w:t>f. Poskytování služeb vypořádání v souvislosti s centrálně zúčtovanými transakcemi</w:t>
            </w:r>
          </w:p>
        </w:tc>
      </w:tr>
      <w:tr w:rsidRPr="00700100" w:rsidR="00D646FE" w:rsidTr="00AC739C" w14:paraId="287A16F7" w14:textId="77777777">
        <w:trPr>
          <w:trHeight w:val="300"/>
        </w:trPr>
        <w:tc>
          <w:tcPr>
            <w:tcW w:w="6804" w:type="dxa"/>
            <w:tcBorders>
              <w:left w:val="nil"/>
              <w:right w:val="nil"/>
            </w:tcBorders>
            <w:noWrap/>
            <w:hideMark/>
          </w:tcPr>
          <w:p w:rsidRPr="00700100" w:rsidR="00D646FE" w:rsidP="00AC739C" w:rsidRDefault="00D646FE" w14:paraId="363744D2" w14:textId="77777777">
            <w:pPr>
              <w:ind w:firstLine="200" w:firstLineChars="100"/>
              <w:rPr>
                <w:rFonts w:ascii="Arial" w:hAnsi="Arial" w:eastAsia="Times New Roman" w:cs="Arial"/>
                <w:sz w:val="20"/>
                <w:szCs w:val="20"/>
              </w:rPr>
            </w:pPr>
            <w:r w:rsidRPr="00700100">
              <w:rPr>
                <w:rFonts w:ascii="Arial" w:hAnsi="Arial"/>
                <w:sz w:val="20"/>
              </w:rPr>
              <w:t xml:space="preserve">g. Čtvrtletní průměrná hodnota aktiv v úschově </w:t>
            </w:r>
          </w:p>
        </w:tc>
        <w:tc>
          <w:tcPr>
            <w:tcW w:w="2745" w:type="dxa"/>
            <w:tcBorders>
              <w:left w:val="nil"/>
              <w:right w:val="nil"/>
            </w:tcBorders>
            <w:noWrap/>
            <w:hideMark/>
          </w:tcPr>
          <w:p w:rsidRPr="00700100" w:rsidR="00D646FE" w:rsidP="00AC739C" w:rsidRDefault="00D646FE" w14:paraId="0158030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023F54C6" w14:textId="77777777">
        <w:trPr>
          <w:trHeight w:val="300"/>
        </w:trPr>
        <w:tc>
          <w:tcPr>
            <w:tcW w:w="6804" w:type="dxa"/>
            <w:tcBorders>
              <w:left w:val="nil"/>
              <w:bottom w:val="single" w:color="auto" w:sz="4" w:space="0"/>
              <w:right w:val="nil"/>
            </w:tcBorders>
            <w:noWrap/>
            <w:hideMark/>
          </w:tcPr>
          <w:p w:rsidRPr="00700100" w:rsidR="00D646FE" w:rsidP="00AC739C" w:rsidRDefault="00D646FE" w14:paraId="6ECFC444" w14:textId="77777777">
            <w:pPr>
              <w:ind w:firstLine="200" w:firstLineChars="100"/>
              <w:rPr>
                <w:rFonts w:ascii="Arial" w:hAnsi="Arial" w:eastAsia="Times New Roman" w:cs="Arial"/>
                <w:sz w:val="20"/>
                <w:szCs w:val="20"/>
              </w:rPr>
            </w:pPr>
            <w:r w:rsidRPr="00700100">
              <w:rPr>
                <w:rFonts w:ascii="Arial" w:hAnsi="Arial"/>
                <w:sz w:val="20"/>
              </w:rPr>
              <w:t xml:space="preserve">h. Měsíční průměrná hodnota aktiv v úschově </w:t>
            </w:r>
          </w:p>
        </w:tc>
        <w:tc>
          <w:tcPr>
            <w:tcW w:w="2745" w:type="dxa"/>
            <w:tcBorders>
              <w:left w:val="nil"/>
              <w:bottom w:val="single" w:color="auto" w:sz="4" w:space="0"/>
              <w:right w:val="nil"/>
            </w:tcBorders>
            <w:noWrap/>
            <w:hideMark/>
          </w:tcPr>
          <w:p w:rsidRPr="00700100" w:rsidR="00D646FE" w:rsidP="00AC739C" w:rsidRDefault="00D646FE" w14:paraId="33A9556F"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26DDDB7" w14:textId="77777777">
        <w:trPr>
          <w:trHeight w:val="300"/>
        </w:trPr>
        <w:tc>
          <w:tcPr>
            <w:tcW w:w="6804" w:type="dxa"/>
            <w:tcBorders>
              <w:left w:val="nil"/>
              <w:bottom w:val="nil"/>
              <w:right w:val="nil"/>
            </w:tcBorders>
            <w:noWrap/>
          </w:tcPr>
          <w:p w:rsidRPr="00700100" w:rsidR="00D646FE" w:rsidP="00AC739C" w:rsidRDefault="00D646FE" w14:paraId="52A3F46A" w14:textId="77777777">
            <w:pPr>
              <w:rPr>
                <w:rFonts w:ascii="Arial" w:hAnsi="Arial" w:eastAsia="Times New Roman" w:cs="Arial"/>
                <w:b/>
                <w:bCs/>
                <w:sz w:val="20"/>
                <w:szCs w:val="20"/>
                <w:lang w:eastAsia="en-GB"/>
              </w:rPr>
            </w:pPr>
          </w:p>
        </w:tc>
        <w:tc>
          <w:tcPr>
            <w:tcW w:w="2745" w:type="dxa"/>
            <w:tcBorders>
              <w:left w:val="nil"/>
              <w:bottom w:val="nil"/>
              <w:right w:val="nil"/>
            </w:tcBorders>
          </w:tcPr>
          <w:p w:rsidRPr="00700100" w:rsidR="00D646FE" w:rsidP="00AC739C" w:rsidRDefault="00D646FE" w14:paraId="76E46118" w14:textId="77777777">
            <w:pPr>
              <w:jc w:val="center"/>
              <w:rPr>
                <w:rFonts w:ascii="Arial" w:hAnsi="Arial" w:eastAsia="Times New Roman" w:cs="Arial"/>
                <w:b/>
                <w:bCs/>
                <w:sz w:val="20"/>
                <w:szCs w:val="20"/>
                <w:lang w:eastAsia="en-GB"/>
              </w:rPr>
            </w:pPr>
          </w:p>
        </w:tc>
      </w:tr>
      <w:tr w:rsidRPr="00700100" w:rsidR="00D646FE" w:rsidTr="00AC739C" w14:paraId="483DC830" w14:textId="77777777">
        <w:trPr>
          <w:trHeight w:val="300"/>
        </w:trPr>
        <w:tc>
          <w:tcPr>
            <w:tcW w:w="6804" w:type="dxa"/>
            <w:tcBorders>
              <w:top w:val="nil"/>
              <w:left w:val="nil"/>
              <w:right w:val="nil"/>
            </w:tcBorders>
            <w:noWrap/>
            <w:hideMark/>
          </w:tcPr>
          <w:p w:rsidRPr="00700100" w:rsidR="00D646FE" w:rsidP="00AC739C" w:rsidRDefault="00D646FE" w14:paraId="3BDF8308" w14:textId="77777777">
            <w:pPr>
              <w:rPr>
                <w:rFonts w:ascii="Arial" w:hAnsi="Arial" w:eastAsia="Times New Roman" w:cs="Arial"/>
                <w:b/>
                <w:bCs/>
                <w:sz w:val="20"/>
                <w:szCs w:val="20"/>
              </w:rPr>
            </w:pPr>
            <w:r w:rsidRPr="00700100">
              <w:rPr>
                <w:rFonts w:ascii="Arial" w:hAnsi="Arial"/>
                <w:b/>
                <w:sz w:val="20"/>
              </w:rPr>
              <w:t>Oddíl 20 – Položky vztahující se k složitosti</w:t>
            </w:r>
          </w:p>
        </w:tc>
        <w:tc>
          <w:tcPr>
            <w:tcW w:w="2745" w:type="dxa"/>
            <w:tcBorders>
              <w:top w:val="nil"/>
              <w:left w:val="nil"/>
              <w:right w:val="nil"/>
            </w:tcBorders>
            <w:hideMark/>
          </w:tcPr>
          <w:p w:rsidRPr="00700100" w:rsidR="00D646FE" w:rsidP="00AC739C" w:rsidRDefault="00D646FE" w14:paraId="08B2A3AD"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52CCFF43" w14:textId="77777777">
        <w:trPr>
          <w:trHeight w:val="300"/>
        </w:trPr>
        <w:tc>
          <w:tcPr>
            <w:tcW w:w="6804" w:type="dxa"/>
            <w:tcBorders>
              <w:left w:val="nil"/>
              <w:right w:val="nil"/>
            </w:tcBorders>
            <w:noWrap/>
            <w:hideMark/>
          </w:tcPr>
          <w:p w:rsidRPr="00700100" w:rsidR="00D646FE" w:rsidP="00AC739C" w:rsidRDefault="00D646FE" w14:paraId="0535B6F4" w14:textId="77777777">
            <w:pPr>
              <w:ind w:firstLine="200" w:firstLineChars="100"/>
              <w:rPr>
                <w:rFonts w:ascii="Arial" w:hAnsi="Arial" w:eastAsia="Times New Roman" w:cs="Arial"/>
                <w:sz w:val="20"/>
                <w:szCs w:val="20"/>
              </w:rPr>
            </w:pPr>
            <w:r w:rsidRPr="00700100">
              <w:rPr>
                <w:rFonts w:ascii="Arial" w:hAnsi="Arial"/>
                <w:sz w:val="20"/>
              </w:rPr>
              <w:t>a. Ukazatel OTC derivátů (starý ukazatel)</w:t>
            </w:r>
          </w:p>
        </w:tc>
        <w:tc>
          <w:tcPr>
            <w:tcW w:w="2745" w:type="dxa"/>
            <w:tcBorders>
              <w:left w:val="nil"/>
              <w:right w:val="nil"/>
            </w:tcBorders>
            <w:noWrap/>
            <w:hideMark/>
          </w:tcPr>
          <w:p w:rsidRPr="00700100" w:rsidR="00D646FE" w:rsidP="00AC739C" w:rsidRDefault="00D646FE" w14:paraId="78B85620" w14:textId="77777777">
            <w:pPr>
              <w:jc w:val="right"/>
              <w:rPr>
                <w:rFonts w:ascii="Arial" w:hAnsi="Arial" w:eastAsia="Times New Roman" w:cs="Arial"/>
                <w:sz w:val="20"/>
                <w:szCs w:val="20"/>
              </w:rPr>
            </w:pPr>
            <w:r w:rsidRPr="00700100">
              <w:rPr>
                <w:rFonts w:ascii="Arial" w:hAnsi="Arial"/>
                <w:sz w:val="20"/>
              </w:rPr>
              <w:t> </w:t>
            </w:r>
          </w:p>
        </w:tc>
      </w:tr>
      <w:tr w:rsidRPr="00700100" w:rsidR="00D646FE" w:rsidTr="00AC739C" w14:paraId="391CB3EF" w14:textId="77777777">
        <w:trPr>
          <w:trHeight w:val="300"/>
        </w:trPr>
        <w:tc>
          <w:tcPr>
            <w:tcW w:w="6804" w:type="dxa"/>
            <w:tcBorders>
              <w:left w:val="nil"/>
              <w:right w:val="nil"/>
            </w:tcBorders>
            <w:noWrap/>
          </w:tcPr>
          <w:p w:rsidRPr="00700100" w:rsidR="00D646FE" w:rsidP="00AC739C" w:rsidRDefault="00D646FE" w14:paraId="1D698E13" w14:textId="77777777">
            <w:pPr>
              <w:ind w:left="171" w:firstLine="28" w:firstLineChars="14"/>
              <w:rPr>
                <w:rFonts w:ascii="Arial" w:hAnsi="Arial" w:eastAsia="Times New Roman" w:cs="Arial"/>
                <w:sz w:val="20"/>
                <w:szCs w:val="20"/>
              </w:rPr>
            </w:pPr>
            <w:r w:rsidRPr="00700100">
              <w:rPr>
                <w:rFonts w:ascii="Arial" w:hAnsi="Arial"/>
                <w:sz w:val="20"/>
              </w:rPr>
              <w:t>b. Pomyslná hodnota OTC derivátů, včetně pojišťovacích dceřiných společností:</w:t>
            </w:r>
          </w:p>
        </w:tc>
        <w:tc>
          <w:tcPr>
            <w:tcW w:w="2745" w:type="dxa"/>
            <w:tcBorders>
              <w:left w:val="nil"/>
              <w:right w:val="nil"/>
            </w:tcBorders>
            <w:noWrap/>
          </w:tcPr>
          <w:p w:rsidRPr="00700100" w:rsidR="00D646FE" w:rsidP="00AC739C" w:rsidRDefault="00D646FE" w14:paraId="757C357B" w14:textId="77777777">
            <w:pPr>
              <w:jc w:val="right"/>
              <w:rPr>
                <w:rFonts w:ascii="Arial" w:hAnsi="Arial" w:eastAsia="Times New Roman" w:cs="Arial"/>
                <w:sz w:val="20"/>
                <w:szCs w:val="20"/>
                <w:lang w:eastAsia="en-GB"/>
              </w:rPr>
            </w:pPr>
          </w:p>
        </w:tc>
      </w:tr>
      <w:tr w:rsidRPr="00700100" w:rsidR="00D646FE" w:rsidTr="00AC739C" w14:paraId="199E57E0" w14:textId="77777777">
        <w:trPr>
          <w:trHeight w:val="300"/>
        </w:trPr>
        <w:tc>
          <w:tcPr>
            <w:tcW w:w="6804" w:type="dxa"/>
            <w:tcBorders>
              <w:left w:val="nil"/>
              <w:right w:val="nil"/>
            </w:tcBorders>
            <w:noWrap/>
          </w:tcPr>
          <w:p w:rsidRPr="00700100" w:rsidR="00D646FE" w:rsidP="00AC739C" w:rsidRDefault="00D646FE" w14:paraId="1D2FA23B" w14:textId="77777777">
            <w:pPr>
              <w:ind w:left="313"/>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Zúčtované prostřednictvím ústřední protistrany, kde skupina (včetně pojišťovacích dceřiných společností) vystupuje jako finanční zprostředkovatel (na straně ústřední protistrany)</w:t>
            </w:r>
          </w:p>
        </w:tc>
        <w:tc>
          <w:tcPr>
            <w:tcW w:w="2745" w:type="dxa"/>
            <w:tcBorders>
              <w:left w:val="nil"/>
              <w:right w:val="nil"/>
            </w:tcBorders>
            <w:noWrap/>
          </w:tcPr>
          <w:p w:rsidRPr="00700100" w:rsidR="00D646FE" w:rsidP="00AC739C" w:rsidRDefault="00D646FE" w14:paraId="476F7312" w14:textId="77777777">
            <w:pPr>
              <w:jc w:val="right"/>
              <w:rPr>
                <w:rFonts w:ascii="Arial" w:hAnsi="Arial" w:eastAsia="Times New Roman" w:cs="Arial"/>
                <w:sz w:val="20"/>
                <w:szCs w:val="20"/>
                <w:lang w:eastAsia="en-GB"/>
              </w:rPr>
            </w:pPr>
          </w:p>
        </w:tc>
      </w:tr>
      <w:tr w:rsidRPr="00700100" w:rsidR="00D646FE" w:rsidTr="00AC739C" w14:paraId="123E70AA" w14:textId="77777777">
        <w:trPr>
          <w:trHeight w:val="300"/>
        </w:trPr>
        <w:tc>
          <w:tcPr>
            <w:tcW w:w="6804" w:type="dxa"/>
            <w:tcBorders>
              <w:left w:val="nil"/>
              <w:right w:val="nil"/>
            </w:tcBorders>
            <w:noWrap/>
          </w:tcPr>
          <w:p w:rsidRPr="00700100" w:rsidR="00D646FE" w:rsidP="00273AA4" w:rsidRDefault="00D646FE" w14:paraId="6A9DFA26" w14:textId="77777777">
            <w:pPr>
              <w:ind w:left="313"/>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 xml:space="preserve">Zúčtované prostřednictvím ústřední protistrany, kde skupina (včetně pojišťovacích dceřiných společností) vystupuje jako finanční zprostředkovatel (na straně klienta) </w:t>
            </w:r>
          </w:p>
        </w:tc>
        <w:tc>
          <w:tcPr>
            <w:tcW w:w="2745" w:type="dxa"/>
            <w:tcBorders>
              <w:left w:val="nil"/>
              <w:right w:val="nil"/>
            </w:tcBorders>
            <w:noWrap/>
          </w:tcPr>
          <w:p w:rsidRPr="00700100" w:rsidR="00D646FE" w:rsidP="00AC739C" w:rsidRDefault="00D646FE" w14:paraId="49927279" w14:textId="77777777">
            <w:pPr>
              <w:jc w:val="right"/>
              <w:rPr>
                <w:rFonts w:ascii="Arial" w:hAnsi="Arial" w:eastAsia="Times New Roman" w:cs="Arial"/>
                <w:sz w:val="20"/>
                <w:szCs w:val="20"/>
                <w:lang w:eastAsia="en-GB"/>
              </w:rPr>
            </w:pPr>
          </w:p>
        </w:tc>
      </w:tr>
      <w:tr w:rsidRPr="00700100" w:rsidR="00D646FE" w:rsidTr="00AC739C" w14:paraId="464A05FD" w14:textId="77777777">
        <w:trPr>
          <w:trHeight w:val="300"/>
        </w:trPr>
        <w:tc>
          <w:tcPr>
            <w:tcW w:w="6804" w:type="dxa"/>
            <w:tcBorders>
              <w:left w:val="nil"/>
              <w:right w:val="nil"/>
            </w:tcBorders>
            <w:noWrap/>
          </w:tcPr>
          <w:p w:rsidRPr="00700100" w:rsidR="00D646FE" w:rsidP="00AC739C" w:rsidRDefault="00D646FE" w14:paraId="0074E208" w14:textId="77777777">
            <w:pPr>
              <w:ind w:left="313"/>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 xml:space="preserve">Zúčtované prostřednictvím ústřední protistrany, kde skupina, včetně pojišťovacích dceřiných společností, vystupuje jako zástupce </w:t>
            </w:r>
          </w:p>
        </w:tc>
        <w:tc>
          <w:tcPr>
            <w:tcW w:w="2745" w:type="dxa"/>
            <w:tcBorders>
              <w:left w:val="nil"/>
              <w:right w:val="nil"/>
            </w:tcBorders>
            <w:noWrap/>
          </w:tcPr>
          <w:p w:rsidRPr="00700100" w:rsidR="00D646FE" w:rsidP="00AC739C" w:rsidRDefault="00D646FE" w14:paraId="1F101032" w14:textId="77777777">
            <w:pPr>
              <w:jc w:val="right"/>
              <w:rPr>
                <w:rFonts w:ascii="Arial" w:hAnsi="Arial" w:eastAsia="Times New Roman" w:cs="Arial"/>
                <w:sz w:val="20"/>
                <w:szCs w:val="20"/>
                <w:lang w:eastAsia="en-GB"/>
              </w:rPr>
            </w:pPr>
          </w:p>
        </w:tc>
      </w:tr>
      <w:tr w:rsidRPr="00700100" w:rsidR="00D646FE" w:rsidTr="00AC739C" w14:paraId="6F949DD8" w14:textId="77777777">
        <w:trPr>
          <w:trHeight w:val="300"/>
        </w:trPr>
        <w:tc>
          <w:tcPr>
            <w:tcW w:w="6804" w:type="dxa"/>
            <w:tcBorders>
              <w:left w:val="nil"/>
              <w:right w:val="nil"/>
            </w:tcBorders>
            <w:noWrap/>
          </w:tcPr>
          <w:p w:rsidRPr="00700100" w:rsidR="00D646FE" w:rsidP="00AC739C" w:rsidRDefault="00D646FE" w14:paraId="20D48641" w14:textId="77777777">
            <w:pPr>
              <w:ind w:left="313" w:hanging="1"/>
              <w:rPr>
                <w:rFonts w:ascii="Arial" w:hAnsi="Arial" w:eastAsia="Times New Roman" w:cs="Arial"/>
                <w:sz w:val="20"/>
                <w:szCs w:val="20"/>
              </w:rPr>
            </w:pPr>
            <w:r w:rsidRPr="00700100">
              <w:rPr>
                <w:rFonts w:ascii="Arial" w:hAnsi="Arial"/>
                <w:sz w:val="20"/>
                <w:lang w:eastAsia="en-GB"/>
              </w:rPr>
              <w:t xml:space="preserve">(4) </w:t>
            </w:r>
            <w:r w:rsidRPr="00700100">
              <w:rPr>
                <w:rFonts w:ascii="Arial" w:hAnsi="Arial"/>
                <w:sz w:val="20"/>
              </w:rPr>
              <w:t>Zúčtované prostřednictvím ústřední protistrany, kde skupina včetně pojišťovacích dceřiných společností, obchoduje na vlastní účet</w:t>
            </w:r>
          </w:p>
        </w:tc>
        <w:tc>
          <w:tcPr>
            <w:tcW w:w="2745" w:type="dxa"/>
            <w:tcBorders>
              <w:left w:val="nil"/>
              <w:right w:val="nil"/>
            </w:tcBorders>
            <w:noWrap/>
          </w:tcPr>
          <w:p w:rsidRPr="00700100" w:rsidR="00D646FE" w:rsidP="00AC739C" w:rsidRDefault="00D646FE" w14:paraId="142F2469" w14:textId="77777777">
            <w:pPr>
              <w:jc w:val="right"/>
              <w:rPr>
                <w:rFonts w:ascii="Arial" w:hAnsi="Arial" w:eastAsia="Times New Roman" w:cs="Arial"/>
                <w:sz w:val="20"/>
                <w:szCs w:val="20"/>
                <w:lang w:eastAsia="en-GB"/>
              </w:rPr>
            </w:pPr>
          </w:p>
        </w:tc>
      </w:tr>
      <w:tr w:rsidRPr="00700100" w:rsidR="00D646FE" w:rsidTr="00AC739C" w14:paraId="7D4AACAC" w14:textId="77777777">
        <w:trPr>
          <w:trHeight w:val="300"/>
        </w:trPr>
        <w:tc>
          <w:tcPr>
            <w:tcW w:w="6804" w:type="dxa"/>
            <w:tcBorders>
              <w:left w:val="nil"/>
              <w:right w:val="nil"/>
            </w:tcBorders>
            <w:noWrap/>
          </w:tcPr>
          <w:p w:rsidRPr="00700100" w:rsidR="00D646FE" w:rsidP="00AC739C" w:rsidRDefault="00D646FE" w14:paraId="33784F2C" w14:textId="77777777">
            <w:pPr>
              <w:ind w:left="171" w:firstLine="28" w:firstLineChars="14"/>
              <w:rPr>
                <w:rFonts w:ascii="Arial" w:hAnsi="Arial" w:eastAsia="Times New Roman" w:cs="Arial"/>
                <w:sz w:val="20"/>
                <w:szCs w:val="20"/>
              </w:rPr>
            </w:pPr>
            <w:r w:rsidRPr="00700100">
              <w:rPr>
                <w:rFonts w:ascii="Arial" w:hAnsi="Arial"/>
                <w:sz w:val="20"/>
              </w:rPr>
              <w:t>c. OTC deriváty zúčtované prostřednictvím ústřední protistrany (vyloučení z přechodu na LIBOR)</w:t>
            </w:r>
          </w:p>
        </w:tc>
        <w:tc>
          <w:tcPr>
            <w:tcW w:w="2745" w:type="dxa"/>
            <w:tcBorders>
              <w:left w:val="nil"/>
              <w:right w:val="nil"/>
            </w:tcBorders>
            <w:noWrap/>
          </w:tcPr>
          <w:p w:rsidRPr="00700100" w:rsidR="00D646FE" w:rsidP="00AC739C" w:rsidRDefault="00D646FE" w14:paraId="29820D73" w14:textId="77777777">
            <w:pPr>
              <w:jc w:val="right"/>
              <w:rPr>
                <w:rFonts w:ascii="Arial" w:hAnsi="Arial" w:eastAsia="Times New Roman" w:cs="Arial"/>
                <w:sz w:val="20"/>
                <w:szCs w:val="20"/>
                <w:lang w:eastAsia="en-GB"/>
              </w:rPr>
            </w:pPr>
          </w:p>
        </w:tc>
      </w:tr>
      <w:tr w:rsidRPr="00700100" w:rsidR="00D646FE" w:rsidTr="00AC739C" w14:paraId="1841A8B5" w14:textId="77777777">
        <w:trPr>
          <w:trHeight w:val="300"/>
        </w:trPr>
        <w:tc>
          <w:tcPr>
            <w:tcW w:w="6804" w:type="dxa"/>
            <w:tcBorders>
              <w:left w:val="nil"/>
              <w:right w:val="nil"/>
            </w:tcBorders>
            <w:noWrap/>
          </w:tcPr>
          <w:p w:rsidRPr="00700100" w:rsidR="00D646FE" w:rsidP="00AC739C" w:rsidRDefault="00D646FE" w14:paraId="34CF2FA8" w14:textId="77777777">
            <w:pPr>
              <w:ind w:left="171" w:firstLine="28" w:firstLineChars="14"/>
              <w:rPr>
                <w:rFonts w:ascii="Arial" w:hAnsi="Arial" w:eastAsia="Times New Roman" w:cs="Arial"/>
                <w:sz w:val="20"/>
                <w:szCs w:val="20"/>
              </w:rPr>
            </w:pPr>
            <w:r w:rsidRPr="00700100">
              <w:rPr>
                <w:rFonts w:ascii="Arial" w:hAnsi="Arial"/>
                <w:sz w:val="20"/>
              </w:rPr>
              <w:t xml:space="preserve">d. Čtvrtletní průměrná hodnota pomyslné hodnoty OTC derivátů </w:t>
            </w:r>
          </w:p>
        </w:tc>
        <w:tc>
          <w:tcPr>
            <w:tcW w:w="2745" w:type="dxa"/>
            <w:tcBorders>
              <w:left w:val="nil"/>
              <w:right w:val="nil"/>
            </w:tcBorders>
            <w:noWrap/>
          </w:tcPr>
          <w:p w:rsidRPr="00700100" w:rsidR="00D646FE" w:rsidP="00AC739C" w:rsidRDefault="00D646FE" w14:paraId="0B640C89" w14:textId="77777777">
            <w:pPr>
              <w:jc w:val="right"/>
              <w:rPr>
                <w:rFonts w:ascii="Arial" w:hAnsi="Arial" w:eastAsia="Times New Roman" w:cs="Arial"/>
                <w:sz w:val="20"/>
                <w:szCs w:val="20"/>
                <w:lang w:eastAsia="en-GB"/>
              </w:rPr>
            </w:pPr>
          </w:p>
        </w:tc>
      </w:tr>
      <w:tr w:rsidRPr="00700100" w:rsidR="00D646FE" w:rsidTr="00AC739C" w14:paraId="2B006714" w14:textId="77777777">
        <w:trPr>
          <w:trHeight w:val="300"/>
        </w:trPr>
        <w:tc>
          <w:tcPr>
            <w:tcW w:w="6804" w:type="dxa"/>
            <w:tcBorders>
              <w:left w:val="nil"/>
              <w:right w:val="nil"/>
            </w:tcBorders>
            <w:noWrap/>
          </w:tcPr>
          <w:p w:rsidRPr="00700100" w:rsidR="00D646FE" w:rsidP="00AC739C" w:rsidRDefault="00D646FE" w14:paraId="29F1DF6D" w14:textId="77777777">
            <w:pPr>
              <w:ind w:left="171" w:firstLine="28" w:firstLineChars="14"/>
              <w:rPr>
                <w:rFonts w:ascii="Arial" w:hAnsi="Arial" w:eastAsia="Times New Roman" w:cs="Arial"/>
                <w:sz w:val="20"/>
                <w:szCs w:val="20"/>
              </w:rPr>
            </w:pPr>
            <w:r w:rsidRPr="00700100">
              <w:rPr>
                <w:rFonts w:ascii="Arial" w:hAnsi="Arial"/>
                <w:sz w:val="20"/>
              </w:rPr>
              <w:t xml:space="preserve">e. Měsíční průměrná hodnota pomyslné hodnoty OTC derivátů </w:t>
            </w:r>
          </w:p>
        </w:tc>
        <w:tc>
          <w:tcPr>
            <w:tcW w:w="2745" w:type="dxa"/>
            <w:tcBorders>
              <w:left w:val="nil"/>
              <w:right w:val="nil"/>
            </w:tcBorders>
            <w:noWrap/>
          </w:tcPr>
          <w:p w:rsidRPr="00700100" w:rsidR="00D646FE" w:rsidP="00AC739C" w:rsidRDefault="00D646FE" w14:paraId="3F1530DD" w14:textId="77777777">
            <w:pPr>
              <w:jc w:val="right"/>
              <w:rPr>
                <w:rFonts w:ascii="Arial" w:hAnsi="Arial" w:eastAsia="Times New Roman" w:cs="Arial"/>
                <w:sz w:val="20"/>
                <w:szCs w:val="20"/>
                <w:lang w:eastAsia="en-GB"/>
              </w:rPr>
            </w:pPr>
          </w:p>
        </w:tc>
      </w:tr>
      <w:tr w:rsidRPr="00700100" w:rsidR="00D646FE" w:rsidTr="00AC739C" w14:paraId="22BBE163" w14:textId="77777777">
        <w:trPr>
          <w:trHeight w:val="300"/>
        </w:trPr>
        <w:tc>
          <w:tcPr>
            <w:tcW w:w="6804" w:type="dxa"/>
            <w:tcBorders>
              <w:left w:val="nil"/>
              <w:right w:val="nil"/>
            </w:tcBorders>
            <w:noWrap/>
          </w:tcPr>
          <w:p w:rsidRPr="00700100" w:rsidR="00D646FE" w:rsidP="00AC739C" w:rsidRDefault="00D646FE" w14:paraId="497F271B" w14:textId="77777777">
            <w:pPr>
              <w:ind w:firstLine="200" w:firstLineChars="100"/>
              <w:rPr>
                <w:rFonts w:ascii="Arial" w:hAnsi="Arial" w:eastAsia="Times New Roman" w:cs="Arial"/>
                <w:sz w:val="20"/>
                <w:szCs w:val="20"/>
              </w:rPr>
            </w:pPr>
            <w:r w:rsidRPr="00700100">
              <w:rPr>
                <w:rFonts w:ascii="Arial" w:hAnsi="Arial"/>
                <w:sz w:val="20"/>
              </w:rPr>
              <w:lastRenderedPageBreak/>
              <w:t xml:space="preserve">f. Čtvrtletní průměrná hodnota obchodovaných a realizovatelných cenných papírů </w:t>
            </w:r>
          </w:p>
        </w:tc>
        <w:tc>
          <w:tcPr>
            <w:tcW w:w="2745" w:type="dxa"/>
            <w:tcBorders>
              <w:left w:val="nil"/>
              <w:right w:val="nil"/>
            </w:tcBorders>
            <w:noWrap/>
          </w:tcPr>
          <w:p w:rsidRPr="00700100" w:rsidR="00D646FE" w:rsidP="00AC739C" w:rsidRDefault="00D646FE" w14:paraId="2E0C2388" w14:textId="77777777">
            <w:pPr>
              <w:jc w:val="right"/>
              <w:rPr>
                <w:rFonts w:ascii="Arial" w:hAnsi="Arial" w:eastAsia="Times New Roman" w:cs="Arial"/>
                <w:sz w:val="20"/>
                <w:szCs w:val="20"/>
                <w:lang w:eastAsia="en-GB"/>
              </w:rPr>
            </w:pPr>
          </w:p>
        </w:tc>
      </w:tr>
      <w:tr w:rsidRPr="00700100" w:rsidR="00D646FE" w:rsidTr="00AC739C" w14:paraId="10F4B136" w14:textId="77777777">
        <w:trPr>
          <w:trHeight w:val="300"/>
        </w:trPr>
        <w:tc>
          <w:tcPr>
            <w:tcW w:w="6804" w:type="dxa"/>
            <w:tcBorders>
              <w:left w:val="nil"/>
              <w:right w:val="nil"/>
            </w:tcBorders>
            <w:noWrap/>
          </w:tcPr>
          <w:p w:rsidRPr="00700100" w:rsidR="00D646FE" w:rsidP="00AC739C" w:rsidRDefault="00D646FE" w14:paraId="1CC269A9" w14:textId="77777777">
            <w:pPr>
              <w:ind w:firstLine="200" w:firstLineChars="100"/>
              <w:rPr>
                <w:rFonts w:ascii="Arial" w:hAnsi="Arial" w:eastAsia="Times New Roman" w:cs="Arial"/>
                <w:sz w:val="20"/>
                <w:szCs w:val="20"/>
              </w:rPr>
            </w:pPr>
            <w:r w:rsidRPr="00700100">
              <w:rPr>
                <w:rFonts w:ascii="Arial" w:hAnsi="Arial"/>
                <w:sz w:val="20"/>
              </w:rPr>
              <w:t xml:space="preserve">g. Měsíční průměrná hodnota obchodovaných a realizovatelných cenných papírů </w:t>
            </w:r>
          </w:p>
        </w:tc>
        <w:tc>
          <w:tcPr>
            <w:tcW w:w="2745" w:type="dxa"/>
            <w:tcBorders>
              <w:left w:val="nil"/>
              <w:right w:val="nil"/>
            </w:tcBorders>
            <w:noWrap/>
          </w:tcPr>
          <w:p w:rsidRPr="00700100" w:rsidR="00D646FE" w:rsidP="00AC739C" w:rsidRDefault="00D646FE" w14:paraId="695C31F0" w14:textId="77777777">
            <w:pPr>
              <w:jc w:val="right"/>
              <w:rPr>
                <w:rFonts w:ascii="Arial" w:hAnsi="Arial" w:eastAsia="Times New Roman" w:cs="Arial"/>
                <w:sz w:val="20"/>
                <w:szCs w:val="20"/>
                <w:lang w:eastAsia="en-GB"/>
              </w:rPr>
            </w:pPr>
          </w:p>
        </w:tc>
      </w:tr>
      <w:tr w:rsidRPr="00700100" w:rsidR="00D646FE" w:rsidTr="00AC739C" w14:paraId="267EFDA6" w14:textId="77777777">
        <w:trPr>
          <w:trHeight w:val="300"/>
        </w:trPr>
        <w:tc>
          <w:tcPr>
            <w:tcW w:w="6804" w:type="dxa"/>
            <w:tcBorders>
              <w:left w:val="nil"/>
              <w:right w:val="nil"/>
            </w:tcBorders>
            <w:noWrap/>
          </w:tcPr>
          <w:p w:rsidRPr="00700100" w:rsidR="00D646FE" w:rsidP="00AC739C" w:rsidRDefault="00D646FE" w14:paraId="163F231C" w14:textId="77777777">
            <w:pPr>
              <w:ind w:firstLine="200" w:firstLineChars="100"/>
              <w:rPr>
                <w:rFonts w:ascii="Arial" w:hAnsi="Arial" w:eastAsia="Times New Roman" w:cs="Arial"/>
                <w:sz w:val="20"/>
                <w:szCs w:val="20"/>
              </w:rPr>
            </w:pPr>
            <w:r w:rsidRPr="00700100">
              <w:rPr>
                <w:rFonts w:ascii="Arial" w:hAnsi="Arial"/>
                <w:sz w:val="20"/>
              </w:rPr>
              <w:t>h. Ukazatel aktiv úrovně 3 (starý ukazatel)</w:t>
            </w:r>
          </w:p>
        </w:tc>
        <w:tc>
          <w:tcPr>
            <w:tcW w:w="2745" w:type="dxa"/>
            <w:tcBorders>
              <w:left w:val="nil"/>
              <w:right w:val="nil"/>
            </w:tcBorders>
            <w:noWrap/>
          </w:tcPr>
          <w:p w:rsidRPr="00700100" w:rsidR="00D646FE" w:rsidP="00AC739C" w:rsidRDefault="00D646FE" w14:paraId="0F32AF62" w14:textId="77777777">
            <w:pPr>
              <w:jc w:val="right"/>
              <w:rPr>
                <w:rFonts w:ascii="Arial" w:hAnsi="Arial" w:eastAsia="Times New Roman" w:cs="Arial"/>
                <w:sz w:val="20"/>
                <w:szCs w:val="20"/>
                <w:lang w:eastAsia="en-GB"/>
              </w:rPr>
            </w:pPr>
          </w:p>
        </w:tc>
      </w:tr>
      <w:tr w:rsidRPr="00700100" w:rsidR="00D646FE" w:rsidTr="00AC739C" w14:paraId="567F4E9E" w14:textId="77777777">
        <w:trPr>
          <w:trHeight w:val="300"/>
        </w:trPr>
        <w:tc>
          <w:tcPr>
            <w:tcW w:w="6804" w:type="dxa"/>
            <w:tcBorders>
              <w:left w:val="nil"/>
              <w:right w:val="nil"/>
            </w:tcBorders>
            <w:noWrap/>
          </w:tcPr>
          <w:p w:rsidRPr="00700100" w:rsidR="00D646FE" w:rsidP="00AC739C" w:rsidRDefault="00D646FE" w14:paraId="70D581DF" w14:textId="77777777">
            <w:pPr>
              <w:ind w:firstLine="200" w:firstLineChars="100"/>
              <w:rPr>
                <w:rFonts w:ascii="Arial" w:hAnsi="Arial" w:eastAsia="Times New Roman" w:cs="Arial"/>
                <w:sz w:val="20"/>
                <w:szCs w:val="20"/>
              </w:rPr>
            </w:pPr>
            <w:r w:rsidRPr="00700100">
              <w:rPr>
                <w:rFonts w:ascii="Arial" w:hAnsi="Arial"/>
                <w:sz w:val="20"/>
              </w:rPr>
              <w:t xml:space="preserve">i. Čtvrtletní průměrná hodnota aktiv úrovně 3 </w:t>
            </w:r>
          </w:p>
        </w:tc>
        <w:tc>
          <w:tcPr>
            <w:tcW w:w="2745" w:type="dxa"/>
            <w:tcBorders>
              <w:left w:val="nil"/>
              <w:right w:val="nil"/>
            </w:tcBorders>
            <w:noWrap/>
          </w:tcPr>
          <w:p w:rsidRPr="00700100" w:rsidR="00D646FE" w:rsidP="00AC739C" w:rsidRDefault="00D646FE" w14:paraId="49E44D89" w14:textId="77777777">
            <w:pPr>
              <w:jc w:val="right"/>
              <w:rPr>
                <w:rFonts w:ascii="Arial" w:hAnsi="Arial" w:eastAsia="Times New Roman" w:cs="Arial"/>
                <w:sz w:val="20"/>
                <w:szCs w:val="20"/>
                <w:lang w:eastAsia="en-GB"/>
              </w:rPr>
            </w:pPr>
          </w:p>
        </w:tc>
      </w:tr>
      <w:tr w:rsidRPr="00700100" w:rsidR="00D646FE" w:rsidTr="00AC739C" w14:paraId="7455C047" w14:textId="77777777">
        <w:trPr>
          <w:trHeight w:val="300"/>
        </w:trPr>
        <w:tc>
          <w:tcPr>
            <w:tcW w:w="6804" w:type="dxa"/>
            <w:tcBorders>
              <w:left w:val="nil"/>
              <w:right w:val="nil"/>
            </w:tcBorders>
            <w:noWrap/>
          </w:tcPr>
          <w:p w:rsidRPr="00700100" w:rsidR="00D646FE" w:rsidP="00AC739C" w:rsidRDefault="00D646FE" w14:paraId="6CF7F909" w14:textId="437E745D">
            <w:pPr>
              <w:ind w:firstLine="200" w:firstLineChars="100"/>
              <w:rPr>
                <w:rFonts w:ascii="Arial" w:hAnsi="Arial" w:eastAsia="Times New Roman" w:cs="Arial"/>
                <w:sz w:val="20"/>
                <w:szCs w:val="20"/>
              </w:rPr>
            </w:pPr>
            <w:r w:rsidRPr="00700100">
              <w:rPr>
                <w:rFonts w:ascii="Arial" w:hAnsi="Arial"/>
                <w:sz w:val="20"/>
              </w:rPr>
              <w:t xml:space="preserve">j. Měsíční průměrná hodnota aktiv úrovně 3 </w:t>
            </w:r>
          </w:p>
        </w:tc>
        <w:tc>
          <w:tcPr>
            <w:tcW w:w="2745" w:type="dxa"/>
            <w:tcBorders>
              <w:left w:val="nil"/>
              <w:right w:val="nil"/>
            </w:tcBorders>
            <w:noWrap/>
          </w:tcPr>
          <w:p w:rsidRPr="00700100" w:rsidR="00D646FE" w:rsidP="00AC739C" w:rsidRDefault="00D646FE" w14:paraId="0019AEDB" w14:textId="77777777">
            <w:pPr>
              <w:jc w:val="right"/>
              <w:rPr>
                <w:rFonts w:ascii="Arial" w:hAnsi="Arial" w:eastAsia="Times New Roman" w:cs="Arial"/>
                <w:sz w:val="20"/>
                <w:szCs w:val="20"/>
                <w:lang w:eastAsia="en-GB"/>
              </w:rPr>
            </w:pPr>
          </w:p>
        </w:tc>
      </w:tr>
      <w:tr w:rsidRPr="00700100" w:rsidR="00D646FE" w:rsidTr="00AC739C" w14:paraId="1352C12D" w14:textId="77777777">
        <w:trPr>
          <w:trHeight w:val="300"/>
        </w:trPr>
        <w:tc>
          <w:tcPr>
            <w:tcW w:w="6804" w:type="dxa"/>
            <w:tcBorders>
              <w:left w:val="nil"/>
              <w:right w:val="nil"/>
            </w:tcBorders>
            <w:noWrap/>
          </w:tcPr>
          <w:p w:rsidRPr="00700100" w:rsidR="00D646FE" w:rsidP="00AC739C" w:rsidRDefault="00D646FE" w14:paraId="18BE50E5" w14:textId="77777777">
            <w:pPr>
              <w:ind w:firstLine="200" w:firstLineChars="100"/>
              <w:rPr>
                <w:rFonts w:ascii="Arial" w:hAnsi="Arial" w:eastAsia="Times New Roman" w:cs="Arial"/>
                <w:sz w:val="20"/>
                <w:szCs w:val="20"/>
              </w:rPr>
            </w:pPr>
            <w:r w:rsidRPr="00700100">
              <w:rPr>
                <w:rFonts w:ascii="Arial" w:hAnsi="Arial"/>
                <w:sz w:val="20"/>
              </w:rPr>
              <w:t>k. Aktiva úrovně 2, včetně pojišťovacích dceřiných společností</w:t>
            </w:r>
          </w:p>
        </w:tc>
        <w:tc>
          <w:tcPr>
            <w:tcW w:w="2745" w:type="dxa"/>
            <w:tcBorders>
              <w:left w:val="nil"/>
              <w:right w:val="nil"/>
            </w:tcBorders>
            <w:noWrap/>
          </w:tcPr>
          <w:p w:rsidRPr="00700100" w:rsidR="00D646FE" w:rsidP="00AC739C" w:rsidRDefault="00D646FE" w14:paraId="58320E13" w14:textId="77777777">
            <w:pPr>
              <w:jc w:val="right"/>
              <w:rPr>
                <w:rFonts w:ascii="Arial" w:hAnsi="Arial" w:eastAsia="Times New Roman" w:cs="Arial"/>
                <w:sz w:val="20"/>
                <w:szCs w:val="20"/>
                <w:lang w:eastAsia="en-GB"/>
              </w:rPr>
            </w:pPr>
          </w:p>
        </w:tc>
      </w:tr>
      <w:tr w:rsidRPr="00700100" w:rsidR="00D646FE" w:rsidTr="00AC739C" w14:paraId="731DF2D4" w14:textId="77777777">
        <w:trPr>
          <w:trHeight w:val="300"/>
        </w:trPr>
        <w:tc>
          <w:tcPr>
            <w:tcW w:w="6804" w:type="dxa"/>
            <w:tcBorders>
              <w:left w:val="nil"/>
              <w:right w:val="nil"/>
            </w:tcBorders>
            <w:noWrap/>
          </w:tcPr>
          <w:p w:rsidRPr="00700100" w:rsidR="00D646FE" w:rsidP="00AC739C" w:rsidRDefault="00D646FE" w14:paraId="68C99FC1" w14:textId="77777777">
            <w:pPr>
              <w:ind w:left="454" w:hanging="141"/>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Aktiva úrovně 2, včetně pojišťovacích dceřiných společností, zúčtovaná prostřednictvím ústřední protistrany</w:t>
            </w:r>
          </w:p>
        </w:tc>
        <w:tc>
          <w:tcPr>
            <w:tcW w:w="2745" w:type="dxa"/>
            <w:tcBorders>
              <w:left w:val="nil"/>
              <w:right w:val="nil"/>
            </w:tcBorders>
            <w:noWrap/>
          </w:tcPr>
          <w:p w:rsidRPr="00700100" w:rsidR="00D646FE" w:rsidP="00AC739C" w:rsidRDefault="00D646FE" w14:paraId="1A02A919" w14:textId="77777777">
            <w:pPr>
              <w:jc w:val="right"/>
              <w:rPr>
                <w:rFonts w:ascii="Arial" w:hAnsi="Arial" w:eastAsia="Times New Roman" w:cs="Arial"/>
                <w:sz w:val="20"/>
                <w:szCs w:val="20"/>
                <w:lang w:eastAsia="en-GB"/>
              </w:rPr>
            </w:pPr>
          </w:p>
        </w:tc>
      </w:tr>
      <w:tr w:rsidRPr="00700100" w:rsidR="00D646FE" w:rsidTr="00AC739C" w14:paraId="758EF2F0" w14:textId="77777777">
        <w:trPr>
          <w:trHeight w:val="300"/>
        </w:trPr>
        <w:tc>
          <w:tcPr>
            <w:tcW w:w="6804" w:type="dxa"/>
            <w:tcBorders>
              <w:left w:val="nil"/>
              <w:right w:val="nil"/>
            </w:tcBorders>
            <w:noWrap/>
          </w:tcPr>
          <w:p w:rsidRPr="00700100" w:rsidR="00D646FE" w:rsidP="00AC739C" w:rsidRDefault="00D646FE" w14:paraId="5EF9AB8B" w14:textId="77777777">
            <w:pPr>
              <w:ind w:left="454" w:hanging="141"/>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Aktiva úrovně 2, včetně pojišťovacích dceřiných společností, vypořádaná dvoustrannou dohodou</w:t>
            </w:r>
          </w:p>
        </w:tc>
        <w:tc>
          <w:tcPr>
            <w:tcW w:w="2745" w:type="dxa"/>
            <w:tcBorders>
              <w:left w:val="nil"/>
              <w:right w:val="nil"/>
            </w:tcBorders>
            <w:noWrap/>
          </w:tcPr>
          <w:p w:rsidRPr="00700100" w:rsidR="00D646FE" w:rsidP="00AC739C" w:rsidRDefault="00D646FE" w14:paraId="2B36EF81" w14:textId="77777777">
            <w:pPr>
              <w:jc w:val="right"/>
              <w:rPr>
                <w:rFonts w:ascii="Arial" w:hAnsi="Arial" w:eastAsia="Times New Roman" w:cs="Arial"/>
                <w:sz w:val="20"/>
                <w:szCs w:val="20"/>
                <w:lang w:eastAsia="en-GB"/>
              </w:rPr>
            </w:pPr>
          </w:p>
        </w:tc>
      </w:tr>
      <w:tr w:rsidRPr="00700100" w:rsidR="00D646FE" w:rsidTr="00AC739C" w14:paraId="28F20C0B" w14:textId="77777777">
        <w:trPr>
          <w:trHeight w:val="300"/>
        </w:trPr>
        <w:tc>
          <w:tcPr>
            <w:tcW w:w="6804" w:type="dxa"/>
            <w:tcBorders>
              <w:left w:val="nil"/>
              <w:right w:val="nil"/>
            </w:tcBorders>
            <w:noWrap/>
          </w:tcPr>
          <w:p w:rsidRPr="00700100" w:rsidR="00D646FE" w:rsidP="00AC739C" w:rsidRDefault="00D646FE" w14:paraId="080AE18B" w14:textId="77777777">
            <w:pPr>
              <w:ind w:firstLine="313"/>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Jiná aktiva úrovně 2, včetně pojišťovacích dceřiných společností</w:t>
            </w:r>
          </w:p>
        </w:tc>
        <w:tc>
          <w:tcPr>
            <w:tcW w:w="2745" w:type="dxa"/>
            <w:tcBorders>
              <w:left w:val="nil"/>
              <w:right w:val="nil"/>
            </w:tcBorders>
            <w:noWrap/>
          </w:tcPr>
          <w:p w:rsidRPr="00700100" w:rsidR="00D646FE" w:rsidP="00AC739C" w:rsidRDefault="00D646FE" w14:paraId="247B4AD1" w14:textId="77777777">
            <w:pPr>
              <w:jc w:val="right"/>
              <w:rPr>
                <w:rFonts w:ascii="Arial" w:hAnsi="Arial" w:eastAsia="Times New Roman" w:cs="Arial"/>
                <w:sz w:val="20"/>
                <w:szCs w:val="20"/>
                <w:lang w:eastAsia="en-GB"/>
              </w:rPr>
            </w:pPr>
          </w:p>
        </w:tc>
      </w:tr>
      <w:tr w:rsidRPr="00700100" w:rsidR="00D646FE" w:rsidTr="00AC739C" w14:paraId="7A596BC3" w14:textId="77777777">
        <w:trPr>
          <w:trHeight w:val="300"/>
        </w:trPr>
        <w:tc>
          <w:tcPr>
            <w:tcW w:w="6804" w:type="dxa"/>
            <w:tcBorders>
              <w:left w:val="nil"/>
              <w:bottom w:val="single" w:color="auto" w:sz="4" w:space="0"/>
              <w:right w:val="nil"/>
            </w:tcBorders>
            <w:noWrap/>
          </w:tcPr>
          <w:p w:rsidRPr="00700100" w:rsidR="00D646FE" w:rsidP="00AC739C" w:rsidRDefault="00D646FE" w14:paraId="68C4CCD9" w14:textId="77777777">
            <w:pPr>
              <w:ind w:firstLine="200" w:firstLineChars="100"/>
              <w:rPr>
                <w:rFonts w:ascii="Arial" w:hAnsi="Arial" w:eastAsia="Times New Roman" w:cs="Arial"/>
                <w:sz w:val="20"/>
                <w:szCs w:val="20"/>
              </w:rPr>
            </w:pPr>
            <w:r w:rsidRPr="00700100">
              <w:rPr>
                <w:rFonts w:ascii="Arial" w:hAnsi="Arial"/>
                <w:sz w:val="20"/>
              </w:rPr>
              <w:t>l. Průměrná hodnota aktiv úrovně 2, včetně pojišťovacích dceřiných společností</w:t>
            </w:r>
          </w:p>
        </w:tc>
        <w:tc>
          <w:tcPr>
            <w:tcW w:w="2745" w:type="dxa"/>
            <w:tcBorders>
              <w:left w:val="nil"/>
              <w:bottom w:val="single" w:color="auto" w:sz="4" w:space="0"/>
              <w:right w:val="nil"/>
            </w:tcBorders>
            <w:noWrap/>
          </w:tcPr>
          <w:p w:rsidRPr="00700100" w:rsidR="00D646FE" w:rsidP="00AC739C" w:rsidRDefault="00D646FE" w14:paraId="60F38C47" w14:textId="77777777">
            <w:pPr>
              <w:jc w:val="right"/>
              <w:rPr>
                <w:rFonts w:ascii="Arial" w:hAnsi="Arial" w:eastAsia="Times New Roman" w:cs="Arial"/>
                <w:sz w:val="20"/>
                <w:szCs w:val="20"/>
                <w:lang w:eastAsia="en-GB"/>
              </w:rPr>
            </w:pPr>
          </w:p>
        </w:tc>
      </w:tr>
      <w:tr w:rsidRPr="00700100" w:rsidR="00D646FE" w:rsidTr="00AC739C" w14:paraId="1E9C5CD6" w14:textId="77777777">
        <w:trPr>
          <w:trHeight w:val="300"/>
        </w:trPr>
        <w:tc>
          <w:tcPr>
            <w:tcW w:w="6804" w:type="dxa"/>
            <w:tcBorders>
              <w:left w:val="nil"/>
              <w:bottom w:val="nil"/>
              <w:right w:val="nil"/>
            </w:tcBorders>
            <w:noWrap/>
          </w:tcPr>
          <w:p w:rsidRPr="00700100" w:rsidR="00D646FE" w:rsidP="00AC739C" w:rsidRDefault="00D646FE" w14:paraId="53880E3A"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700100" w:rsidR="00D646FE" w:rsidP="00AC739C" w:rsidRDefault="00D646FE" w14:paraId="2596A09D" w14:textId="77777777">
            <w:pPr>
              <w:jc w:val="center"/>
              <w:rPr>
                <w:rFonts w:ascii="Arial" w:hAnsi="Arial" w:eastAsia="Times New Roman" w:cs="Arial"/>
                <w:b/>
                <w:bCs/>
                <w:sz w:val="20"/>
                <w:szCs w:val="20"/>
                <w:lang w:eastAsia="en-GB"/>
              </w:rPr>
            </w:pPr>
          </w:p>
        </w:tc>
      </w:tr>
      <w:tr w:rsidRPr="00700100" w:rsidR="00D646FE" w:rsidTr="00AC739C" w14:paraId="3A280E72" w14:textId="77777777">
        <w:trPr>
          <w:trHeight w:val="300"/>
        </w:trPr>
        <w:tc>
          <w:tcPr>
            <w:tcW w:w="6804" w:type="dxa"/>
            <w:tcBorders>
              <w:top w:val="nil"/>
              <w:left w:val="nil"/>
              <w:right w:val="nil"/>
            </w:tcBorders>
            <w:noWrap/>
          </w:tcPr>
          <w:p w:rsidRPr="00700100" w:rsidR="00D646FE" w:rsidP="00AC739C" w:rsidRDefault="00D646FE" w14:paraId="6FA24140" w14:textId="77777777">
            <w:pPr>
              <w:rPr>
                <w:rFonts w:ascii="Arial" w:hAnsi="Arial" w:eastAsia="Times New Roman" w:cs="Arial"/>
                <w:sz w:val="20"/>
                <w:szCs w:val="20"/>
              </w:rPr>
            </w:pPr>
            <w:r w:rsidRPr="00700100">
              <w:rPr>
                <w:rFonts w:ascii="Arial" w:hAnsi="Arial"/>
                <w:b/>
                <w:sz w:val="20"/>
              </w:rPr>
              <w:t>Oddíl 21 – Položky činností napříč jurisdikcemi</w:t>
            </w:r>
          </w:p>
        </w:tc>
        <w:tc>
          <w:tcPr>
            <w:tcW w:w="2745" w:type="dxa"/>
            <w:tcBorders>
              <w:top w:val="nil"/>
              <w:left w:val="nil"/>
              <w:right w:val="nil"/>
            </w:tcBorders>
            <w:noWrap/>
          </w:tcPr>
          <w:p w:rsidRPr="00700100" w:rsidR="00D646FE" w:rsidP="00AC739C" w:rsidRDefault="00D646FE" w14:paraId="3EAE2757" w14:textId="77777777">
            <w:pPr>
              <w:jc w:val="center"/>
              <w:rPr>
                <w:rFonts w:ascii="Arial" w:hAnsi="Arial" w:eastAsia="Times New Roman" w:cs="Arial"/>
                <w:b/>
                <w:bCs/>
                <w:sz w:val="20"/>
                <w:szCs w:val="20"/>
              </w:rPr>
            </w:pPr>
            <w:r w:rsidRPr="00700100">
              <w:rPr>
                <w:rFonts w:ascii="Arial" w:hAnsi="Arial"/>
                <w:b/>
                <w:sz w:val="20"/>
              </w:rPr>
              <w:t>Částka</w:t>
            </w:r>
          </w:p>
        </w:tc>
      </w:tr>
      <w:tr w:rsidRPr="00700100" w:rsidR="00D646FE" w:rsidTr="00AC739C" w14:paraId="043493D5" w14:textId="77777777">
        <w:trPr>
          <w:trHeight w:val="300"/>
        </w:trPr>
        <w:tc>
          <w:tcPr>
            <w:tcW w:w="6804" w:type="dxa"/>
            <w:tcBorders>
              <w:left w:val="nil"/>
              <w:right w:val="nil"/>
            </w:tcBorders>
            <w:noWrap/>
          </w:tcPr>
          <w:p w:rsidRPr="00700100" w:rsidR="00D646FE" w:rsidP="0047263A" w:rsidRDefault="00D646FE" w14:paraId="2DBEFD16" w14:textId="77777777">
            <w:pPr>
              <w:ind w:left="171"/>
              <w:rPr>
                <w:rFonts w:ascii="Arial" w:hAnsi="Arial" w:eastAsia="Times New Roman" w:cs="Arial"/>
                <w:sz w:val="20"/>
                <w:szCs w:val="20"/>
              </w:rPr>
            </w:pPr>
            <w:r w:rsidRPr="00700100">
              <w:rPr>
                <w:rFonts w:ascii="Arial" w:hAnsi="Arial"/>
                <w:sz w:val="20"/>
              </w:rPr>
              <w:t>a. Ukazatel závazků napříč jurisdikcemi (starý ukazatel)</w:t>
            </w:r>
          </w:p>
        </w:tc>
        <w:tc>
          <w:tcPr>
            <w:tcW w:w="2745" w:type="dxa"/>
            <w:tcBorders>
              <w:left w:val="nil"/>
              <w:right w:val="nil"/>
            </w:tcBorders>
            <w:noWrap/>
          </w:tcPr>
          <w:p w:rsidRPr="00700100" w:rsidR="00D646FE" w:rsidP="00AC739C" w:rsidRDefault="00D646FE" w14:paraId="13000E62" w14:textId="77777777">
            <w:pPr>
              <w:jc w:val="right"/>
              <w:rPr>
                <w:rFonts w:ascii="Arial" w:hAnsi="Arial" w:eastAsia="Times New Roman" w:cs="Arial"/>
                <w:sz w:val="20"/>
                <w:szCs w:val="20"/>
                <w:lang w:eastAsia="en-GB"/>
              </w:rPr>
            </w:pPr>
          </w:p>
        </w:tc>
      </w:tr>
      <w:tr w:rsidRPr="00700100" w:rsidR="00D646FE" w:rsidTr="00AC739C" w14:paraId="3EB31187" w14:textId="77777777">
        <w:trPr>
          <w:trHeight w:val="300"/>
        </w:trPr>
        <w:tc>
          <w:tcPr>
            <w:tcW w:w="6804" w:type="dxa"/>
            <w:tcBorders>
              <w:left w:val="nil"/>
              <w:right w:val="nil"/>
            </w:tcBorders>
            <w:noWrap/>
          </w:tcPr>
          <w:p w:rsidRPr="00700100" w:rsidR="00D646FE" w:rsidP="00AC739C" w:rsidRDefault="00D646FE" w14:paraId="7017F7C4" w14:textId="77777777">
            <w:pPr>
              <w:ind w:left="313"/>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Zahraniční závazky (vyjma derivátů a místních závazků v místní měně)</w:t>
            </w:r>
          </w:p>
        </w:tc>
        <w:tc>
          <w:tcPr>
            <w:tcW w:w="2745" w:type="dxa"/>
            <w:tcBorders>
              <w:left w:val="nil"/>
              <w:right w:val="nil"/>
            </w:tcBorders>
            <w:noWrap/>
          </w:tcPr>
          <w:p w:rsidRPr="00700100" w:rsidR="00D646FE" w:rsidP="00AC739C" w:rsidRDefault="00D646FE" w14:paraId="62890C8B" w14:textId="77777777">
            <w:pPr>
              <w:jc w:val="right"/>
              <w:rPr>
                <w:rFonts w:ascii="Arial" w:hAnsi="Arial" w:eastAsia="Times New Roman" w:cs="Arial"/>
                <w:sz w:val="20"/>
                <w:szCs w:val="20"/>
                <w:lang w:eastAsia="en-GB"/>
              </w:rPr>
            </w:pPr>
          </w:p>
        </w:tc>
      </w:tr>
      <w:tr w:rsidRPr="00700100" w:rsidR="00D646FE" w:rsidTr="00AC739C" w14:paraId="393FB2D2" w14:textId="77777777">
        <w:trPr>
          <w:trHeight w:val="300"/>
        </w:trPr>
        <w:tc>
          <w:tcPr>
            <w:tcW w:w="6804" w:type="dxa"/>
            <w:tcBorders>
              <w:left w:val="nil"/>
              <w:right w:val="nil"/>
            </w:tcBorders>
            <w:noWrap/>
          </w:tcPr>
          <w:p w:rsidRPr="00700100" w:rsidR="00D646FE" w:rsidP="00AC739C" w:rsidRDefault="00D646FE" w14:paraId="76B44A7F" w14:textId="77777777">
            <w:pPr>
              <w:ind w:left="-2" w:leftChars="-1" w:firstLine="312" w:firstLineChars="156"/>
              <w:rPr>
                <w:rFonts w:ascii="Arial" w:hAnsi="Arial" w:eastAsia="Times New Roman" w:cs="Arial"/>
                <w:sz w:val="20"/>
                <w:szCs w:val="20"/>
              </w:rPr>
            </w:pPr>
            <w:r w:rsidRPr="00700100">
              <w:rPr>
                <w:rFonts w:ascii="Arial" w:hAnsi="Arial"/>
                <w:sz w:val="20"/>
                <w:lang w:eastAsia="en-GB"/>
              </w:rPr>
              <w:t xml:space="preserve">(2) </w:t>
            </w:r>
            <w:r w:rsidRPr="00700100">
              <w:rPr>
                <w:rFonts w:ascii="Arial" w:hAnsi="Arial"/>
                <w:sz w:val="20"/>
              </w:rPr>
              <w:t>Všechny zahraniční závazky vůči příslušným úřadům zahrnutým v položce 21.a.(1)</w:t>
            </w:r>
          </w:p>
        </w:tc>
        <w:tc>
          <w:tcPr>
            <w:tcW w:w="2745" w:type="dxa"/>
            <w:tcBorders>
              <w:left w:val="nil"/>
              <w:right w:val="nil"/>
            </w:tcBorders>
            <w:noWrap/>
          </w:tcPr>
          <w:p w:rsidRPr="00700100" w:rsidR="00D646FE" w:rsidP="00AC739C" w:rsidRDefault="00D646FE" w14:paraId="7D9ADDE6" w14:textId="77777777">
            <w:pPr>
              <w:jc w:val="right"/>
              <w:rPr>
                <w:rFonts w:ascii="Arial" w:hAnsi="Arial" w:eastAsia="Times New Roman" w:cs="Arial"/>
                <w:sz w:val="20"/>
                <w:szCs w:val="20"/>
                <w:lang w:eastAsia="en-GB"/>
              </w:rPr>
            </w:pPr>
          </w:p>
        </w:tc>
      </w:tr>
      <w:tr w:rsidRPr="00700100" w:rsidR="00D646FE" w:rsidTr="00AC739C" w14:paraId="43BDB391" w14:textId="77777777">
        <w:trPr>
          <w:trHeight w:val="300"/>
        </w:trPr>
        <w:tc>
          <w:tcPr>
            <w:tcW w:w="6804" w:type="dxa"/>
            <w:tcBorders>
              <w:left w:val="nil"/>
              <w:right w:val="nil"/>
            </w:tcBorders>
            <w:noWrap/>
          </w:tcPr>
          <w:p w:rsidRPr="00700100" w:rsidR="00D646FE" w:rsidP="00AC739C" w:rsidRDefault="00D646FE" w14:paraId="5BBBFC47" w14:textId="77777777">
            <w:pPr>
              <w:ind w:left="-2" w:leftChars="-1" w:firstLine="312" w:firstLineChars="156"/>
              <w:rPr>
                <w:rFonts w:ascii="Arial" w:hAnsi="Arial" w:eastAsia="Times New Roman" w:cs="Arial"/>
                <w:sz w:val="20"/>
                <w:szCs w:val="20"/>
              </w:rPr>
            </w:pPr>
            <w:r w:rsidRPr="00700100">
              <w:rPr>
                <w:rFonts w:ascii="Arial" w:hAnsi="Arial"/>
                <w:sz w:val="20"/>
                <w:lang w:eastAsia="en-GB"/>
              </w:rPr>
              <w:t xml:space="preserve">(3) </w:t>
            </w:r>
            <w:r w:rsidRPr="00700100">
              <w:rPr>
                <w:rFonts w:ascii="Arial" w:hAnsi="Arial"/>
                <w:sz w:val="20"/>
              </w:rPr>
              <w:t>Místní závazky v místní měně (vyjma činnosti v oblasti derivátů)</w:t>
            </w:r>
          </w:p>
        </w:tc>
        <w:tc>
          <w:tcPr>
            <w:tcW w:w="2745" w:type="dxa"/>
            <w:tcBorders>
              <w:left w:val="nil"/>
              <w:right w:val="nil"/>
            </w:tcBorders>
            <w:noWrap/>
          </w:tcPr>
          <w:p w:rsidRPr="00700100" w:rsidR="00D646FE" w:rsidP="00AC739C" w:rsidRDefault="00D646FE" w14:paraId="55CA0F67" w14:textId="77777777">
            <w:pPr>
              <w:jc w:val="right"/>
              <w:rPr>
                <w:rFonts w:ascii="Arial" w:hAnsi="Arial" w:eastAsia="Times New Roman" w:cs="Arial"/>
                <w:sz w:val="20"/>
                <w:szCs w:val="20"/>
                <w:lang w:eastAsia="en-GB"/>
              </w:rPr>
            </w:pPr>
          </w:p>
        </w:tc>
      </w:tr>
      <w:tr w:rsidRPr="00700100" w:rsidR="00D646FE" w:rsidTr="00AC739C" w14:paraId="27C7215F" w14:textId="77777777">
        <w:trPr>
          <w:trHeight w:val="300"/>
        </w:trPr>
        <w:tc>
          <w:tcPr>
            <w:tcW w:w="6804" w:type="dxa"/>
            <w:tcBorders>
              <w:left w:val="nil"/>
              <w:right w:val="nil"/>
            </w:tcBorders>
            <w:noWrap/>
          </w:tcPr>
          <w:p w:rsidRPr="00700100" w:rsidR="00D646FE" w:rsidP="00AC739C" w:rsidRDefault="00D646FE" w14:paraId="5F9E90A6" w14:textId="77777777">
            <w:pPr>
              <w:ind w:firstLine="200" w:firstLineChars="100"/>
              <w:rPr>
                <w:rFonts w:ascii="Arial" w:hAnsi="Arial" w:eastAsia="Times New Roman" w:cs="Arial"/>
                <w:sz w:val="20"/>
                <w:szCs w:val="20"/>
              </w:rPr>
            </w:pPr>
            <w:r w:rsidRPr="00700100">
              <w:rPr>
                <w:rFonts w:ascii="Arial" w:hAnsi="Arial"/>
                <w:sz w:val="20"/>
              </w:rPr>
              <w:t>b. Místní závazky v místní měně (vyjma činnosti v oblasti derivátů)</w:t>
            </w:r>
          </w:p>
        </w:tc>
        <w:tc>
          <w:tcPr>
            <w:tcW w:w="2745" w:type="dxa"/>
            <w:tcBorders>
              <w:left w:val="nil"/>
              <w:right w:val="nil"/>
            </w:tcBorders>
            <w:noWrap/>
          </w:tcPr>
          <w:p w:rsidRPr="00700100" w:rsidR="00D646FE" w:rsidP="00AC739C" w:rsidRDefault="00D646FE" w14:paraId="61201B60" w14:textId="77777777">
            <w:pPr>
              <w:jc w:val="right"/>
              <w:rPr>
                <w:rFonts w:ascii="Arial" w:hAnsi="Arial" w:eastAsia="Times New Roman" w:cs="Arial"/>
                <w:sz w:val="20"/>
                <w:szCs w:val="20"/>
                <w:lang w:eastAsia="en-GB"/>
              </w:rPr>
            </w:pPr>
          </w:p>
        </w:tc>
      </w:tr>
      <w:tr w:rsidRPr="00700100" w:rsidR="00D646FE" w:rsidTr="00AC739C" w14:paraId="1332F8C7" w14:textId="77777777">
        <w:trPr>
          <w:trHeight w:val="300"/>
        </w:trPr>
        <w:tc>
          <w:tcPr>
            <w:tcW w:w="6804" w:type="dxa"/>
            <w:tcBorders>
              <w:left w:val="nil"/>
              <w:right w:val="nil"/>
            </w:tcBorders>
            <w:noWrap/>
          </w:tcPr>
          <w:p w:rsidRPr="00700100" w:rsidR="00D646FE" w:rsidP="00AC739C" w:rsidRDefault="00D646FE" w14:paraId="1D57F7C8" w14:textId="77777777">
            <w:pPr>
              <w:ind w:left="171" w:firstLine="28" w:firstLineChars="14"/>
              <w:rPr>
                <w:rFonts w:ascii="Arial" w:hAnsi="Arial" w:eastAsia="Times New Roman" w:cs="Arial"/>
                <w:sz w:val="20"/>
                <w:szCs w:val="20"/>
              </w:rPr>
            </w:pPr>
            <w:r w:rsidRPr="00700100">
              <w:rPr>
                <w:rFonts w:ascii="Arial" w:hAnsi="Arial"/>
                <w:sz w:val="20"/>
              </w:rPr>
              <w:t>c. Místní pohledávky napříč jurisdikcemi v místní měně (vyjma činnosti v oblasti derivátů)</w:t>
            </w:r>
          </w:p>
        </w:tc>
        <w:tc>
          <w:tcPr>
            <w:tcW w:w="2745" w:type="dxa"/>
            <w:tcBorders>
              <w:left w:val="nil"/>
              <w:right w:val="nil"/>
            </w:tcBorders>
            <w:noWrap/>
          </w:tcPr>
          <w:p w:rsidRPr="00700100" w:rsidR="00D646FE" w:rsidP="00AC739C" w:rsidRDefault="00D646FE" w14:paraId="52C964F5" w14:textId="77777777">
            <w:pPr>
              <w:jc w:val="right"/>
              <w:rPr>
                <w:rFonts w:ascii="Arial" w:hAnsi="Arial" w:eastAsia="Times New Roman" w:cs="Arial"/>
                <w:sz w:val="20"/>
                <w:szCs w:val="20"/>
                <w:lang w:eastAsia="en-GB"/>
              </w:rPr>
            </w:pPr>
          </w:p>
        </w:tc>
      </w:tr>
      <w:tr w:rsidRPr="00700100" w:rsidR="00D646FE" w:rsidTr="00AC739C" w14:paraId="2447C9C2" w14:textId="77777777">
        <w:trPr>
          <w:trHeight w:val="300"/>
        </w:trPr>
        <w:tc>
          <w:tcPr>
            <w:tcW w:w="6804" w:type="dxa"/>
            <w:tcBorders>
              <w:left w:val="nil"/>
              <w:right w:val="nil"/>
            </w:tcBorders>
            <w:noWrap/>
          </w:tcPr>
          <w:p w:rsidRPr="00700100" w:rsidR="00D646FE" w:rsidP="00AC739C" w:rsidRDefault="00D646FE" w14:paraId="257EA1BE" w14:textId="77777777">
            <w:pPr>
              <w:ind w:left="171" w:firstLine="28" w:firstLineChars="14"/>
              <w:rPr>
                <w:rFonts w:ascii="Arial" w:hAnsi="Arial" w:eastAsia="Times New Roman" w:cs="Arial"/>
                <w:sz w:val="20"/>
                <w:szCs w:val="20"/>
              </w:rPr>
            </w:pPr>
            <w:r w:rsidRPr="00700100">
              <w:rPr>
                <w:rFonts w:ascii="Arial" w:hAnsi="Arial"/>
                <w:sz w:val="20"/>
              </w:rPr>
              <w:t>d. Místní pohledávky napříč jurisdikcemi v místní měně (včetně činnosti v oblasti derivátů)</w:t>
            </w:r>
          </w:p>
        </w:tc>
        <w:tc>
          <w:tcPr>
            <w:tcW w:w="2745" w:type="dxa"/>
            <w:tcBorders>
              <w:left w:val="nil"/>
              <w:right w:val="nil"/>
            </w:tcBorders>
            <w:noWrap/>
          </w:tcPr>
          <w:p w:rsidRPr="00700100" w:rsidR="00D646FE" w:rsidP="00AC739C" w:rsidRDefault="00D646FE" w14:paraId="060FB963" w14:textId="77777777">
            <w:pPr>
              <w:jc w:val="right"/>
              <w:rPr>
                <w:rFonts w:ascii="Arial" w:hAnsi="Arial" w:eastAsia="Times New Roman" w:cs="Arial"/>
                <w:sz w:val="20"/>
                <w:szCs w:val="20"/>
                <w:lang w:eastAsia="en-GB"/>
              </w:rPr>
            </w:pPr>
          </w:p>
        </w:tc>
      </w:tr>
      <w:tr w:rsidRPr="00700100" w:rsidR="00D646FE" w:rsidTr="00AC739C" w14:paraId="4D828A6D" w14:textId="77777777">
        <w:trPr>
          <w:trHeight w:val="300"/>
        </w:trPr>
        <w:tc>
          <w:tcPr>
            <w:tcW w:w="6804" w:type="dxa"/>
            <w:tcBorders>
              <w:left w:val="nil"/>
              <w:right w:val="nil"/>
            </w:tcBorders>
            <w:noWrap/>
          </w:tcPr>
          <w:p w:rsidRPr="00700100" w:rsidR="00D646FE" w:rsidP="00AC739C" w:rsidRDefault="00D646FE" w14:paraId="7113D331" w14:textId="77777777">
            <w:pPr>
              <w:ind w:left="171" w:firstLine="28" w:firstLineChars="14"/>
              <w:rPr>
                <w:rFonts w:ascii="Arial" w:hAnsi="Arial" w:eastAsia="Times New Roman" w:cs="Arial"/>
                <w:sz w:val="20"/>
                <w:szCs w:val="20"/>
              </w:rPr>
            </w:pPr>
            <w:r w:rsidRPr="00700100">
              <w:rPr>
                <w:rFonts w:ascii="Arial" w:hAnsi="Arial"/>
                <w:sz w:val="20"/>
              </w:rPr>
              <w:t>e. Celkové zahraniční pohledávky na základě konečného rizika (jednotný mechanismus pro řešení krizí se považuje za jedinou jurisdikci)</w:t>
            </w:r>
          </w:p>
        </w:tc>
        <w:tc>
          <w:tcPr>
            <w:tcW w:w="2745" w:type="dxa"/>
            <w:tcBorders>
              <w:left w:val="nil"/>
              <w:right w:val="nil"/>
            </w:tcBorders>
            <w:noWrap/>
          </w:tcPr>
          <w:p w:rsidRPr="00700100" w:rsidR="00D646FE" w:rsidP="00AC739C" w:rsidRDefault="00D646FE" w14:paraId="2099F617" w14:textId="77777777">
            <w:pPr>
              <w:jc w:val="right"/>
              <w:rPr>
                <w:rFonts w:ascii="Arial" w:hAnsi="Arial" w:eastAsia="Times New Roman" w:cs="Arial"/>
                <w:sz w:val="20"/>
                <w:szCs w:val="20"/>
                <w:lang w:eastAsia="en-GB"/>
              </w:rPr>
            </w:pPr>
          </w:p>
        </w:tc>
      </w:tr>
      <w:tr w:rsidRPr="00700100" w:rsidR="00D646FE" w:rsidTr="00AC739C" w14:paraId="1782C89B" w14:textId="77777777">
        <w:trPr>
          <w:trHeight w:val="300"/>
        </w:trPr>
        <w:tc>
          <w:tcPr>
            <w:tcW w:w="6804" w:type="dxa"/>
            <w:tcBorders>
              <w:left w:val="nil"/>
              <w:right w:val="nil"/>
            </w:tcBorders>
            <w:noWrap/>
          </w:tcPr>
          <w:p w:rsidRPr="00700100" w:rsidR="00D646FE" w:rsidP="00AC739C" w:rsidRDefault="00D646FE" w14:paraId="240548AC" w14:textId="77777777">
            <w:pPr>
              <w:ind w:left="171" w:firstLine="28" w:firstLineChars="14"/>
              <w:rPr>
                <w:rFonts w:ascii="Arial" w:hAnsi="Arial" w:eastAsia="Times New Roman" w:cs="Arial"/>
                <w:sz w:val="20"/>
                <w:szCs w:val="20"/>
              </w:rPr>
            </w:pPr>
            <w:r w:rsidRPr="00700100">
              <w:rPr>
                <w:rFonts w:ascii="Arial" w:hAnsi="Arial"/>
                <w:sz w:val="20"/>
              </w:rPr>
              <w:t>f. Zahraniční derivátové pohledávky na základě konečného rizika (jednotný mechanismus pro řešení krizí se považuje za jedinou jurisdikci)</w:t>
            </w:r>
          </w:p>
        </w:tc>
        <w:tc>
          <w:tcPr>
            <w:tcW w:w="2745" w:type="dxa"/>
            <w:tcBorders>
              <w:left w:val="nil"/>
              <w:right w:val="nil"/>
            </w:tcBorders>
            <w:noWrap/>
          </w:tcPr>
          <w:p w:rsidRPr="00700100" w:rsidR="00D646FE" w:rsidP="00AC739C" w:rsidRDefault="00D646FE" w14:paraId="79C1B67D" w14:textId="77777777">
            <w:pPr>
              <w:jc w:val="right"/>
              <w:rPr>
                <w:rFonts w:ascii="Arial" w:hAnsi="Arial" w:eastAsia="Times New Roman" w:cs="Arial"/>
                <w:sz w:val="20"/>
                <w:szCs w:val="20"/>
                <w:lang w:eastAsia="en-GB"/>
              </w:rPr>
            </w:pPr>
          </w:p>
        </w:tc>
      </w:tr>
      <w:tr w:rsidRPr="00700100" w:rsidR="00D646FE" w:rsidTr="00AC739C" w14:paraId="517A05A3" w14:textId="77777777">
        <w:trPr>
          <w:trHeight w:val="300"/>
        </w:trPr>
        <w:tc>
          <w:tcPr>
            <w:tcW w:w="6804" w:type="dxa"/>
            <w:tcBorders>
              <w:left w:val="nil"/>
              <w:right w:val="nil"/>
            </w:tcBorders>
            <w:noWrap/>
          </w:tcPr>
          <w:p w:rsidRPr="00700100" w:rsidR="00D646FE" w:rsidP="00AC739C" w:rsidRDefault="00D646FE" w14:paraId="0F56AB11" w14:textId="77777777">
            <w:pPr>
              <w:ind w:left="171" w:firstLine="28" w:firstLineChars="14"/>
              <w:rPr>
                <w:rFonts w:ascii="Arial" w:hAnsi="Arial" w:eastAsia="Times New Roman" w:cs="Arial"/>
                <w:sz w:val="20"/>
                <w:szCs w:val="20"/>
              </w:rPr>
            </w:pPr>
            <w:r w:rsidRPr="00700100">
              <w:rPr>
                <w:rFonts w:ascii="Arial" w:hAnsi="Arial"/>
                <w:sz w:val="20"/>
              </w:rPr>
              <w:t>g. Zahraniční závazky na základě bezprostředního rizika, včetně derivátů (jednotný mechanismus pro řešení krizí se považuje za jedinou jurisdikci)</w:t>
            </w:r>
          </w:p>
        </w:tc>
        <w:tc>
          <w:tcPr>
            <w:tcW w:w="2745" w:type="dxa"/>
            <w:tcBorders>
              <w:left w:val="nil"/>
              <w:right w:val="nil"/>
            </w:tcBorders>
            <w:noWrap/>
          </w:tcPr>
          <w:p w:rsidRPr="00700100" w:rsidR="00D646FE" w:rsidP="00AC739C" w:rsidRDefault="00D646FE" w14:paraId="0AED6CF7" w14:textId="77777777">
            <w:pPr>
              <w:jc w:val="right"/>
              <w:rPr>
                <w:rFonts w:ascii="Arial" w:hAnsi="Arial" w:eastAsia="Times New Roman" w:cs="Arial"/>
                <w:sz w:val="20"/>
                <w:szCs w:val="20"/>
                <w:lang w:eastAsia="en-GB"/>
              </w:rPr>
            </w:pPr>
          </w:p>
        </w:tc>
      </w:tr>
      <w:tr w:rsidRPr="00700100" w:rsidR="00D646FE" w:rsidTr="00AC739C" w14:paraId="4F947584" w14:textId="77777777">
        <w:trPr>
          <w:trHeight w:val="300"/>
        </w:trPr>
        <w:tc>
          <w:tcPr>
            <w:tcW w:w="6804" w:type="dxa"/>
            <w:tcBorders>
              <w:left w:val="nil"/>
              <w:right w:val="nil"/>
            </w:tcBorders>
            <w:noWrap/>
          </w:tcPr>
          <w:p w:rsidRPr="00700100" w:rsidR="00D646FE" w:rsidP="00AC739C" w:rsidRDefault="00D646FE" w14:paraId="51372A1C" w14:textId="77777777">
            <w:pPr>
              <w:ind w:left="171" w:firstLine="28" w:firstLineChars="14"/>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Zahraniční derivátové závazky na základě bezprostředního rizika (jednotný mechanismus pro řešení krizí se považuje za jedinou jurisdikci)</w:t>
            </w:r>
          </w:p>
        </w:tc>
        <w:tc>
          <w:tcPr>
            <w:tcW w:w="2745" w:type="dxa"/>
            <w:tcBorders>
              <w:left w:val="nil"/>
              <w:right w:val="nil"/>
            </w:tcBorders>
            <w:noWrap/>
          </w:tcPr>
          <w:p w:rsidRPr="00700100" w:rsidR="00D646FE" w:rsidP="00AC739C" w:rsidRDefault="00D646FE" w14:paraId="4C576397" w14:textId="77777777">
            <w:pPr>
              <w:jc w:val="right"/>
              <w:rPr>
                <w:rFonts w:ascii="Arial" w:hAnsi="Arial" w:eastAsia="Times New Roman" w:cs="Arial"/>
                <w:sz w:val="20"/>
                <w:szCs w:val="20"/>
                <w:lang w:eastAsia="en-GB"/>
              </w:rPr>
            </w:pPr>
          </w:p>
        </w:tc>
      </w:tr>
      <w:tr w:rsidRPr="00700100" w:rsidR="00D646FE" w:rsidTr="00AC739C" w14:paraId="12D07E6C" w14:textId="77777777">
        <w:trPr>
          <w:trHeight w:val="300"/>
        </w:trPr>
        <w:tc>
          <w:tcPr>
            <w:tcW w:w="6804" w:type="dxa"/>
            <w:tcBorders>
              <w:left w:val="nil"/>
              <w:right w:val="nil"/>
            </w:tcBorders>
            <w:noWrap/>
          </w:tcPr>
          <w:p w:rsidRPr="00700100" w:rsidR="00D646FE" w:rsidP="00AC739C" w:rsidRDefault="00D646FE" w14:paraId="0D6D24BE" w14:textId="77777777">
            <w:pPr>
              <w:ind w:firstLine="200" w:firstLineChars="100"/>
              <w:rPr>
                <w:rFonts w:ascii="Arial" w:hAnsi="Arial" w:eastAsia="Times New Roman" w:cs="Arial"/>
                <w:sz w:val="20"/>
                <w:szCs w:val="20"/>
              </w:rPr>
            </w:pPr>
            <w:r w:rsidRPr="00700100">
              <w:rPr>
                <w:rFonts w:ascii="Arial" w:hAnsi="Arial"/>
                <w:sz w:val="20"/>
              </w:rPr>
              <w:t>h. Místní pohledávky napříč jurisdikcemi v místní měně, vyjma činnosti v oblasti derivátů (jednotný mechanismus pro řešení krizí se považuje za jedinou jurisdikci)</w:t>
            </w:r>
          </w:p>
        </w:tc>
        <w:tc>
          <w:tcPr>
            <w:tcW w:w="2745" w:type="dxa"/>
            <w:tcBorders>
              <w:left w:val="nil"/>
              <w:right w:val="nil"/>
            </w:tcBorders>
            <w:noWrap/>
          </w:tcPr>
          <w:p w:rsidRPr="00700100" w:rsidR="00D646FE" w:rsidP="00AC739C" w:rsidRDefault="00D646FE" w14:paraId="2F27540F" w14:textId="77777777">
            <w:pPr>
              <w:jc w:val="right"/>
              <w:rPr>
                <w:rFonts w:ascii="Arial" w:hAnsi="Arial" w:eastAsia="Times New Roman" w:cs="Arial"/>
                <w:sz w:val="20"/>
                <w:szCs w:val="20"/>
                <w:lang w:eastAsia="en-GB"/>
              </w:rPr>
            </w:pPr>
          </w:p>
        </w:tc>
      </w:tr>
      <w:tr w:rsidRPr="00700100" w:rsidR="00D646FE" w:rsidTr="00AC739C" w14:paraId="7C4F0A81" w14:textId="77777777">
        <w:trPr>
          <w:trHeight w:val="300"/>
        </w:trPr>
        <w:tc>
          <w:tcPr>
            <w:tcW w:w="6804" w:type="dxa"/>
            <w:tcBorders>
              <w:left w:val="nil"/>
              <w:right w:val="nil"/>
            </w:tcBorders>
            <w:noWrap/>
          </w:tcPr>
          <w:p w:rsidRPr="00700100" w:rsidR="00D646FE" w:rsidP="00AC739C" w:rsidRDefault="00D646FE" w14:paraId="638EA6D6" w14:textId="77777777">
            <w:pPr>
              <w:ind w:left="171" w:firstLine="28" w:firstLineChars="14"/>
              <w:rPr>
                <w:rFonts w:ascii="Arial" w:hAnsi="Arial" w:eastAsia="Times New Roman" w:cs="Arial"/>
                <w:sz w:val="20"/>
                <w:szCs w:val="20"/>
              </w:rPr>
            </w:pPr>
            <w:r w:rsidRPr="00700100">
              <w:rPr>
                <w:rFonts w:ascii="Arial" w:hAnsi="Arial"/>
                <w:sz w:val="20"/>
              </w:rPr>
              <w:t>i. Místní pohledávky napříč jurisdikcemi v místní měně, včetně činnosti v oblasti derivátů (jednotný mechanismus pro řešení krizí se považuje za jedinou jurisdikci)</w:t>
            </w:r>
          </w:p>
        </w:tc>
        <w:tc>
          <w:tcPr>
            <w:tcW w:w="2745" w:type="dxa"/>
            <w:tcBorders>
              <w:left w:val="nil"/>
              <w:right w:val="nil"/>
            </w:tcBorders>
            <w:noWrap/>
          </w:tcPr>
          <w:p w:rsidRPr="00700100" w:rsidR="00D646FE" w:rsidP="00AC739C" w:rsidRDefault="00D646FE" w14:paraId="72A34305" w14:textId="77777777">
            <w:pPr>
              <w:jc w:val="right"/>
              <w:rPr>
                <w:rFonts w:ascii="Arial" w:hAnsi="Arial" w:eastAsia="Times New Roman" w:cs="Arial"/>
                <w:sz w:val="20"/>
                <w:szCs w:val="20"/>
                <w:lang w:eastAsia="en-GB"/>
              </w:rPr>
            </w:pPr>
          </w:p>
        </w:tc>
      </w:tr>
      <w:tr w:rsidRPr="00700100" w:rsidR="00D646FE" w:rsidTr="00AC739C" w14:paraId="1C0E24C9" w14:textId="77777777">
        <w:trPr>
          <w:trHeight w:val="300"/>
        </w:trPr>
        <w:tc>
          <w:tcPr>
            <w:tcW w:w="6804" w:type="dxa"/>
            <w:tcBorders>
              <w:left w:val="nil"/>
              <w:right w:val="nil"/>
            </w:tcBorders>
            <w:noWrap/>
          </w:tcPr>
          <w:p w:rsidRPr="00700100" w:rsidR="00D646FE" w:rsidP="00AC739C" w:rsidRDefault="00D646FE" w14:paraId="7F52E215" w14:textId="77777777">
            <w:pPr>
              <w:ind w:left="171" w:firstLine="28" w:firstLineChars="14"/>
              <w:rPr>
                <w:rFonts w:ascii="Arial" w:hAnsi="Arial" w:eastAsia="Times New Roman" w:cs="Arial"/>
                <w:sz w:val="20"/>
                <w:szCs w:val="20"/>
              </w:rPr>
            </w:pPr>
            <w:r w:rsidRPr="00700100">
              <w:rPr>
                <w:rFonts w:ascii="Arial" w:hAnsi="Arial"/>
                <w:sz w:val="20"/>
              </w:rPr>
              <w:t>j. Zahraniční závazky, vyjma derivátů a místních závazků v místní měně (jednotný mechanismus pro řešení krizí se považuje za jedinou jurisdikci)</w:t>
            </w:r>
          </w:p>
        </w:tc>
        <w:tc>
          <w:tcPr>
            <w:tcW w:w="2745" w:type="dxa"/>
            <w:tcBorders>
              <w:left w:val="nil"/>
              <w:right w:val="nil"/>
            </w:tcBorders>
            <w:noWrap/>
          </w:tcPr>
          <w:p w:rsidRPr="00700100" w:rsidR="00D646FE" w:rsidP="00AC739C" w:rsidRDefault="00D646FE" w14:paraId="29B83D23" w14:textId="77777777">
            <w:pPr>
              <w:jc w:val="right"/>
              <w:rPr>
                <w:rFonts w:ascii="Arial" w:hAnsi="Arial" w:eastAsia="Times New Roman" w:cs="Arial"/>
                <w:sz w:val="20"/>
                <w:szCs w:val="20"/>
                <w:lang w:eastAsia="en-GB"/>
              </w:rPr>
            </w:pPr>
          </w:p>
        </w:tc>
      </w:tr>
      <w:tr w:rsidRPr="00700100" w:rsidR="00D646FE" w:rsidTr="00AC739C" w14:paraId="433D2583" w14:textId="77777777">
        <w:trPr>
          <w:trHeight w:val="300"/>
        </w:trPr>
        <w:tc>
          <w:tcPr>
            <w:tcW w:w="6804" w:type="dxa"/>
            <w:tcBorders>
              <w:left w:val="nil"/>
              <w:right w:val="nil"/>
            </w:tcBorders>
            <w:noWrap/>
          </w:tcPr>
          <w:p w:rsidRPr="00700100" w:rsidR="00D646FE" w:rsidP="00AC739C" w:rsidRDefault="00D646FE" w14:paraId="65A5E7EB" w14:textId="77777777">
            <w:pPr>
              <w:ind w:left="171" w:firstLine="28" w:firstLineChars="14"/>
              <w:rPr>
                <w:rFonts w:ascii="Arial" w:hAnsi="Arial" w:eastAsia="Times New Roman" w:cs="Arial"/>
                <w:sz w:val="20"/>
                <w:szCs w:val="20"/>
              </w:rPr>
            </w:pPr>
            <w:r w:rsidRPr="00700100">
              <w:rPr>
                <w:rFonts w:ascii="Arial" w:hAnsi="Arial"/>
                <w:sz w:val="20"/>
                <w:lang w:eastAsia="en-GB"/>
              </w:rPr>
              <w:t xml:space="preserve">(1) </w:t>
            </w:r>
            <w:r w:rsidRPr="00700100">
              <w:rPr>
                <w:rFonts w:ascii="Arial" w:hAnsi="Arial"/>
                <w:sz w:val="20"/>
              </w:rPr>
              <w:t>Všechny zahraniční závazky vůči příslušným úřadům zahrnuté v položce 20.j. (jednotný mechanismus pro řešení krizí se považuje za jedinou jurisdikci)</w:t>
            </w:r>
          </w:p>
        </w:tc>
        <w:tc>
          <w:tcPr>
            <w:tcW w:w="2745" w:type="dxa"/>
            <w:tcBorders>
              <w:left w:val="nil"/>
              <w:right w:val="nil"/>
            </w:tcBorders>
            <w:noWrap/>
          </w:tcPr>
          <w:p w:rsidRPr="00700100" w:rsidR="00D646FE" w:rsidP="00AC739C" w:rsidRDefault="00D646FE" w14:paraId="28BF055A" w14:textId="77777777">
            <w:pPr>
              <w:jc w:val="right"/>
              <w:rPr>
                <w:rFonts w:ascii="Arial" w:hAnsi="Arial" w:eastAsia="Times New Roman" w:cs="Arial"/>
                <w:sz w:val="20"/>
                <w:szCs w:val="20"/>
                <w:lang w:eastAsia="en-GB"/>
              </w:rPr>
            </w:pPr>
          </w:p>
        </w:tc>
      </w:tr>
      <w:tr w:rsidRPr="00700100" w:rsidR="00D646FE" w:rsidTr="00AC739C" w14:paraId="162093CE" w14:textId="77777777">
        <w:trPr>
          <w:trHeight w:val="300"/>
        </w:trPr>
        <w:tc>
          <w:tcPr>
            <w:tcW w:w="6804" w:type="dxa"/>
            <w:tcBorders>
              <w:left w:val="nil"/>
              <w:right w:val="nil"/>
            </w:tcBorders>
            <w:noWrap/>
          </w:tcPr>
          <w:p w:rsidRPr="00700100" w:rsidR="00D646FE" w:rsidP="00AC739C" w:rsidRDefault="00D646FE" w14:paraId="1BD4E7F0" w14:textId="77777777">
            <w:pPr>
              <w:ind w:left="171" w:firstLine="28" w:firstLineChars="14"/>
              <w:rPr>
                <w:rFonts w:ascii="Arial" w:hAnsi="Arial" w:eastAsia="Times New Roman" w:cs="Arial"/>
                <w:sz w:val="20"/>
                <w:szCs w:val="20"/>
              </w:rPr>
            </w:pPr>
            <w:r w:rsidRPr="00700100">
              <w:rPr>
                <w:rFonts w:ascii="Arial" w:hAnsi="Arial"/>
                <w:sz w:val="20"/>
              </w:rPr>
              <w:lastRenderedPageBreak/>
              <w:t>k. Místní závazky v místní měně vyjma derivátů (jednotný mechanismus pro řešení krizí se považuje za jedinou jurisdikci)</w:t>
            </w:r>
          </w:p>
        </w:tc>
        <w:tc>
          <w:tcPr>
            <w:tcW w:w="2745" w:type="dxa"/>
            <w:tcBorders>
              <w:left w:val="nil"/>
              <w:right w:val="nil"/>
            </w:tcBorders>
            <w:noWrap/>
          </w:tcPr>
          <w:p w:rsidRPr="00700100" w:rsidR="00D646FE" w:rsidP="00AC739C" w:rsidRDefault="00D646FE" w14:paraId="51D29164" w14:textId="77777777">
            <w:pPr>
              <w:jc w:val="right"/>
              <w:rPr>
                <w:rFonts w:ascii="Arial" w:hAnsi="Arial" w:eastAsia="Times New Roman" w:cs="Arial"/>
                <w:sz w:val="20"/>
                <w:szCs w:val="20"/>
                <w:lang w:eastAsia="en-GB"/>
              </w:rPr>
            </w:pPr>
          </w:p>
        </w:tc>
      </w:tr>
      <w:tr w:rsidRPr="00700100" w:rsidR="00D646FE" w:rsidTr="00AC739C" w14:paraId="27E7F088" w14:textId="77777777">
        <w:trPr>
          <w:trHeight w:val="300"/>
        </w:trPr>
        <w:tc>
          <w:tcPr>
            <w:tcW w:w="6804" w:type="dxa"/>
            <w:tcBorders>
              <w:left w:val="nil"/>
              <w:right w:val="nil"/>
            </w:tcBorders>
            <w:noWrap/>
          </w:tcPr>
          <w:p w:rsidRPr="00700100" w:rsidR="00D646FE" w:rsidP="00AC739C" w:rsidRDefault="00D646FE" w14:paraId="7AD2FD94" w14:textId="77777777">
            <w:pPr>
              <w:ind w:left="171" w:firstLine="28" w:firstLineChars="14"/>
              <w:rPr>
                <w:rFonts w:ascii="Arial" w:hAnsi="Arial" w:eastAsia="Times New Roman" w:cs="Arial"/>
                <w:sz w:val="20"/>
                <w:szCs w:val="20"/>
              </w:rPr>
            </w:pPr>
            <w:r w:rsidRPr="00700100">
              <w:rPr>
                <w:rFonts w:ascii="Arial" w:hAnsi="Arial"/>
                <w:sz w:val="20"/>
              </w:rPr>
              <w:t>l. Místní závazky v místní měně včetně derivátů (jednotný mechanismus pro řešení krizí se považuje za jedinou jurisdikci)</w:t>
            </w:r>
          </w:p>
        </w:tc>
        <w:tc>
          <w:tcPr>
            <w:tcW w:w="2745" w:type="dxa"/>
            <w:tcBorders>
              <w:left w:val="nil"/>
              <w:right w:val="nil"/>
            </w:tcBorders>
            <w:noWrap/>
          </w:tcPr>
          <w:p w:rsidRPr="00700100" w:rsidR="00D646FE" w:rsidP="00AC739C" w:rsidRDefault="00D646FE" w14:paraId="0B571C5E" w14:textId="77777777">
            <w:pPr>
              <w:jc w:val="right"/>
              <w:rPr>
                <w:rFonts w:ascii="Arial" w:hAnsi="Arial" w:eastAsia="Times New Roman" w:cs="Arial"/>
                <w:sz w:val="20"/>
                <w:szCs w:val="20"/>
                <w:lang w:eastAsia="en-GB"/>
              </w:rPr>
            </w:pPr>
          </w:p>
        </w:tc>
      </w:tr>
      <w:tr w:rsidRPr="00700100" w:rsidR="00D646FE" w:rsidTr="00AC739C" w14:paraId="6834B9EF" w14:textId="77777777">
        <w:trPr>
          <w:trHeight w:val="300"/>
        </w:trPr>
        <w:tc>
          <w:tcPr>
            <w:tcW w:w="6804" w:type="dxa"/>
            <w:tcBorders>
              <w:left w:val="nil"/>
              <w:right w:val="nil"/>
            </w:tcBorders>
            <w:noWrap/>
          </w:tcPr>
          <w:p w:rsidRPr="00700100" w:rsidR="00D646FE" w:rsidP="00AC739C" w:rsidRDefault="00D646FE" w14:paraId="08035598" w14:textId="77777777">
            <w:pPr>
              <w:ind w:left="171" w:firstLine="28" w:firstLineChars="14"/>
              <w:rPr>
                <w:rFonts w:ascii="Arial" w:hAnsi="Arial" w:eastAsia="Times New Roman" w:cs="Arial"/>
                <w:sz w:val="20"/>
                <w:szCs w:val="20"/>
              </w:rPr>
            </w:pPr>
            <w:r w:rsidRPr="00700100">
              <w:rPr>
                <w:rFonts w:ascii="Arial" w:hAnsi="Arial"/>
                <w:sz w:val="20"/>
              </w:rPr>
              <w:t>m. Celkové čisté místní pozice v místní měně včetně derivátů, je-li čistá hodnota kladná</w:t>
            </w:r>
          </w:p>
        </w:tc>
        <w:tc>
          <w:tcPr>
            <w:tcW w:w="2745" w:type="dxa"/>
            <w:tcBorders>
              <w:left w:val="nil"/>
              <w:right w:val="nil"/>
            </w:tcBorders>
            <w:noWrap/>
          </w:tcPr>
          <w:p w:rsidRPr="00700100" w:rsidR="00D646FE" w:rsidP="00AC739C" w:rsidRDefault="00D646FE" w14:paraId="02F766F0" w14:textId="77777777">
            <w:pPr>
              <w:jc w:val="right"/>
              <w:rPr>
                <w:rFonts w:ascii="Arial" w:hAnsi="Arial" w:eastAsia="Times New Roman" w:cs="Arial"/>
                <w:sz w:val="20"/>
                <w:szCs w:val="20"/>
                <w:lang w:eastAsia="en-GB"/>
              </w:rPr>
            </w:pPr>
          </w:p>
        </w:tc>
      </w:tr>
      <w:tr w:rsidRPr="00700100" w:rsidR="00D646FE" w:rsidTr="00AC739C" w14:paraId="771B72A9" w14:textId="77777777">
        <w:trPr>
          <w:trHeight w:val="300"/>
        </w:trPr>
        <w:tc>
          <w:tcPr>
            <w:tcW w:w="6804" w:type="dxa"/>
            <w:tcBorders>
              <w:left w:val="nil"/>
              <w:right w:val="nil"/>
            </w:tcBorders>
            <w:noWrap/>
          </w:tcPr>
          <w:p w:rsidRPr="00700100" w:rsidR="00D646FE" w:rsidP="00AC739C" w:rsidRDefault="00D646FE" w14:paraId="49CE013C" w14:textId="77777777">
            <w:pPr>
              <w:ind w:left="171" w:firstLine="28" w:firstLineChars="14"/>
              <w:rPr>
                <w:rFonts w:ascii="Arial" w:hAnsi="Arial" w:eastAsia="Times New Roman" w:cs="Arial"/>
                <w:sz w:val="20"/>
                <w:szCs w:val="20"/>
              </w:rPr>
            </w:pPr>
            <w:r w:rsidRPr="00700100">
              <w:rPr>
                <w:rFonts w:ascii="Arial" w:hAnsi="Arial"/>
                <w:sz w:val="20"/>
              </w:rPr>
              <w:t>n. Celkové čisté místní pozice v místní měně včetně derivátů, je-li čistá hodnota záporná</w:t>
            </w:r>
          </w:p>
        </w:tc>
        <w:tc>
          <w:tcPr>
            <w:tcW w:w="2745" w:type="dxa"/>
            <w:tcBorders>
              <w:left w:val="nil"/>
              <w:right w:val="nil"/>
            </w:tcBorders>
            <w:noWrap/>
          </w:tcPr>
          <w:p w:rsidRPr="00700100" w:rsidR="00D646FE" w:rsidP="00AC739C" w:rsidRDefault="00D646FE" w14:paraId="7F122B7E" w14:textId="77777777">
            <w:pPr>
              <w:jc w:val="right"/>
              <w:rPr>
                <w:rFonts w:ascii="Arial" w:hAnsi="Arial" w:eastAsia="Times New Roman" w:cs="Arial"/>
                <w:sz w:val="20"/>
                <w:szCs w:val="20"/>
                <w:lang w:eastAsia="en-GB"/>
              </w:rPr>
            </w:pPr>
          </w:p>
        </w:tc>
      </w:tr>
      <w:tr w:rsidRPr="00700100" w:rsidR="00D646FE" w:rsidTr="00AC739C" w14:paraId="369B19B3" w14:textId="77777777">
        <w:trPr>
          <w:trHeight w:val="300"/>
        </w:trPr>
        <w:tc>
          <w:tcPr>
            <w:tcW w:w="6804" w:type="dxa"/>
            <w:tcBorders>
              <w:left w:val="nil"/>
              <w:right w:val="nil"/>
            </w:tcBorders>
            <w:noWrap/>
          </w:tcPr>
          <w:p w:rsidRPr="00700100" w:rsidR="00D646FE" w:rsidP="00AC739C" w:rsidRDefault="00D646FE" w14:paraId="730AC131" w14:textId="77777777">
            <w:pPr>
              <w:ind w:left="171" w:firstLine="28" w:firstLineChars="14"/>
              <w:rPr>
                <w:rFonts w:ascii="Arial" w:hAnsi="Arial" w:eastAsia="Times New Roman" w:cs="Arial"/>
                <w:sz w:val="20"/>
                <w:szCs w:val="20"/>
              </w:rPr>
            </w:pPr>
            <w:r w:rsidRPr="00700100">
              <w:rPr>
                <w:rFonts w:ascii="Arial" w:hAnsi="Arial"/>
                <w:sz w:val="20"/>
              </w:rPr>
              <w:t>o. Celkové čisté místní pozice v místní měně v zemích mimo jednotný mechanismus pro řešení krizí včetně derivátů, je-li čistá hodnota kladná (jednotný mechanismus pro řešení krizí se považuje za jedinou jurisdikci)</w:t>
            </w:r>
          </w:p>
        </w:tc>
        <w:tc>
          <w:tcPr>
            <w:tcW w:w="2745" w:type="dxa"/>
            <w:tcBorders>
              <w:left w:val="nil"/>
              <w:right w:val="nil"/>
            </w:tcBorders>
            <w:noWrap/>
          </w:tcPr>
          <w:p w:rsidRPr="00700100" w:rsidR="00D646FE" w:rsidP="00AC739C" w:rsidRDefault="00D646FE" w14:paraId="7EA2621E" w14:textId="77777777">
            <w:pPr>
              <w:jc w:val="right"/>
              <w:rPr>
                <w:rFonts w:ascii="Arial" w:hAnsi="Arial" w:eastAsia="Times New Roman" w:cs="Arial"/>
                <w:sz w:val="20"/>
                <w:szCs w:val="20"/>
                <w:lang w:eastAsia="en-GB"/>
              </w:rPr>
            </w:pPr>
          </w:p>
        </w:tc>
      </w:tr>
      <w:tr w:rsidRPr="00700100" w:rsidR="00D646FE" w:rsidTr="00AC739C" w14:paraId="03E7F4C6" w14:textId="77777777">
        <w:trPr>
          <w:trHeight w:val="300"/>
        </w:trPr>
        <w:tc>
          <w:tcPr>
            <w:tcW w:w="6804" w:type="dxa"/>
            <w:tcBorders>
              <w:left w:val="nil"/>
              <w:right w:val="nil"/>
            </w:tcBorders>
            <w:noWrap/>
          </w:tcPr>
          <w:p w:rsidRPr="00700100" w:rsidR="00D646FE" w:rsidP="00AC739C" w:rsidRDefault="00D646FE" w14:paraId="7735CB28" w14:textId="77777777">
            <w:pPr>
              <w:ind w:left="171" w:firstLine="28" w:firstLineChars="14"/>
              <w:rPr>
                <w:rFonts w:ascii="Arial" w:hAnsi="Arial" w:eastAsia="Times New Roman" w:cs="Arial"/>
                <w:sz w:val="20"/>
                <w:szCs w:val="20"/>
              </w:rPr>
            </w:pPr>
            <w:r w:rsidRPr="00700100">
              <w:rPr>
                <w:rFonts w:ascii="Arial" w:hAnsi="Arial"/>
                <w:sz w:val="20"/>
              </w:rPr>
              <w:t>p. Celkové čisté místní pozice v místní měně v zemích mimo jednotný mechanismus pro řešení krizí včetně derivátů, je-li čistá hodnota záporná (jednotný mechanismus pro řešení krizí se považuje za jedinou jurisdikci)</w:t>
            </w:r>
          </w:p>
        </w:tc>
        <w:tc>
          <w:tcPr>
            <w:tcW w:w="2745" w:type="dxa"/>
            <w:tcBorders>
              <w:left w:val="nil"/>
              <w:right w:val="nil"/>
            </w:tcBorders>
            <w:noWrap/>
          </w:tcPr>
          <w:p w:rsidRPr="00700100" w:rsidR="00D646FE" w:rsidP="00AC739C" w:rsidRDefault="00D646FE" w14:paraId="65BFA348" w14:textId="77777777">
            <w:pPr>
              <w:jc w:val="right"/>
              <w:rPr>
                <w:rFonts w:ascii="Arial" w:hAnsi="Arial" w:eastAsia="Times New Roman" w:cs="Arial"/>
                <w:sz w:val="20"/>
                <w:szCs w:val="20"/>
                <w:lang w:eastAsia="en-GB"/>
              </w:rPr>
            </w:pPr>
          </w:p>
        </w:tc>
      </w:tr>
      <w:tr w:rsidRPr="00700100" w:rsidR="00D646FE" w:rsidTr="00AC739C" w14:paraId="6F848068" w14:textId="77777777">
        <w:trPr>
          <w:trHeight w:val="300"/>
        </w:trPr>
        <w:tc>
          <w:tcPr>
            <w:tcW w:w="6804" w:type="dxa"/>
            <w:tcBorders>
              <w:left w:val="nil"/>
              <w:right w:val="nil"/>
            </w:tcBorders>
            <w:noWrap/>
          </w:tcPr>
          <w:p w:rsidRPr="00700100" w:rsidR="00D646FE" w:rsidP="00AC739C" w:rsidRDefault="00D646FE" w14:paraId="74A60DD1" w14:textId="77777777">
            <w:pPr>
              <w:ind w:left="171" w:firstLine="28" w:firstLineChars="14"/>
              <w:rPr>
                <w:rFonts w:ascii="Arial" w:hAnsi="Arial" w:eastAsia="Times New Roman" w:cs="Arial"/>
                <w:sz w:val="20"/>
                <w:szCs w:val="20"/>
              </w:rPr>
            </w:pPr>
            <w:r w:rsidRPr="00700100">
              <w:rPr>
                <w:rFonts w:ascii="Arial" w:hAnsi="Arial"/>
                <w:sz w:val="20"/>
              </w:rPr>
              <w:t>q. Celkové čisté místní pozice v místní měně v zemích jednotného mechanismu pro řešení krizí včetně derivátů (jednotný mechanismus pro řešení krizí se považuje za jedinou jurisdikci)</w:t>
            </w:r>
          </w:p>
        </w:tc>
        <w:tc>
          <w:tcPr>
            <w:tcW w:w="2745" w:type="dxa"/>
            <w:tcBorders>
              <w:left w:val="nil"/>
              <w:right w:val="nil"/>
            </w:tcBorders>
            <w:noWrap/>
          </w:tcPr>
          <w:p w:rsidRPr="00700100" w:rsidR="00D646FE" w:rsidP="00AC739C" w:rsidRDefault="00D646FE" w14:paraId="216D0C7B" w14:textId="77777777">
            <w:pPr>
              <w:jc w:val="right"/>
              <w:rPr>
                <w:rFonts w:ascii="Arial" w:hAnsi="Arial" w:eastAsia="Times New Roman" w:cs="Arial"/>
                <w:sz w:val="20"/>
                <w:szCs w:val="20"/>
                <w:lang w:eastAsia="en-GB"/>
              </w:rPr>
            </w:pPr>
          </w:p>
        </w:tc>
      </w:tr>
      <w:tr w:rsidRPr="00700100" w:rsidR="00D646FE" w:rsidTr="00AC739C" w14:paraId="5110207C" w14:textId="77777777">
        <w:trPr>
          <w:trHeight w:val="300"/>
        </w:trPr>
        <w:tc>
          <w:tcPr>
            <w:tcW w:w="6804" w:type="dxa"/>
            <w:tcBorders>
              <w:left w:val="nil"/>
              <w:right w:val="nil"/>
            </w:tcBorders>
            <w:noWrap/>
          </w:tcPr>
          <w:p w:rsidRPr="00700100" w:rsidR="00D646FE" w:rsidP="00AC739C" w:rsidRDefault="00D646FE" w14:paraId="493EF8B0" w14:textId="77777777">
            <w:pPr>
              <w:ind w:firstLine="200" w:firstLineChars="100"/>
              <w:rPr>
                <w:rFonts w:ascii="Arial" w:hAnsi="Arial" w:eastAsia="Times New Roman" w:cs="Arial"/>
                <w:sz w:val="20"/>
                <w:szCs w:val="20"/>
              </w:rPr>
            </w:pPr>
            <w:r w:rsidRPr="00700100">
              <w:rPr>
                <w:rFonts w:ascii="Arial" w:hAnsi="Arial"/>
                <w:sz w:val="20"/>
              </w:rPr>
              <w:t xml:space="preserve">r. Vnitropodnikové pohledávky zaúčtované zahraničními dceřinými společnostmi </w:t>
            </w:r>
          </w:p>
        </w:tc>
        <w:tc>
          <w:tcPr>
            <w:tcW w:w="2745" w:type="dxa"/>
            <w:tcBorders>
              <w:left w:val="nil"/>
              <w:right w:val="nil"/>
            </w:tcBorders>
            <w:noWrap/>
          </w:tcPr>
          <w:p w:rsidRPr="00700100" w:rsidR="00D646FE" w:rsidP="00AC739C" w:rsidRDefault="00D646FE" w14:paraId="0FD748CA" w14:textId="77777777">
            <w:pPr>
              <w:jc w:val="right"/>
              <w:rPr>
                <w:rFonts w:ascii="Arial" w:hAnsi="Arial" w:eastAsia="Times New Roman" w:cs="Arial"/>
                <w:sz w:val="20"/>
                <w:szCs w:val="20"/>
                <w:lang w:eastAsia="en-GB"/>
              </w:rPr>
            </w:pPr>
          </w:p>
        </w:tc>
      </w:tr>
      <w:tr w:rsidRPr="00700100" w:rsidR="00D646FE" w:rsidTr="00AC739C" w14:paraId="5A002EE2" w14:textId="77777777">
        <w:trPr>
          <w:trHeight w:val="300"/>
        </w:trPr>
        <w:tc>
          <w:tcPr>
            <w:tcW w:w="6804" w:type="dxa"/>
            <w:tcBorders>
              <w:left w:val="nil"/>
              <w:right w:val="nil"/>
            </w:tcBorders>
            <w:noWrap/>
          </w:tcPr>
          <w:p w:rsidRPr="00700100" w:rsidR="00D646FE" w:rsidP="00AC739C" w:rsidRDefault="00D646FE" w14:paraId="72BB0A3D" w14:textId="77777777">
            <w:pPr>
              <w:ind w:firstLine="200" w:firstLineChars="100"/>
              <w:rPr>
                <w:rFonts w:ascii="Arial" w:hAnsi="Arial" w:eastAsia="Times New Roman" w:cs="Arial"/>
                <w:sz w:val="20"/>
                <w:szCs w:val="20"/>
              </w:rPr>
            </w:pPr>
            <w:r w:rsidRPr="00700100">
              <w:rPr>
                <w:rFonts w:ascii="Arial" w:hAnsi="Arial"/>
                <w:sz w:val="20"/>
              </w:rPr>
              <w:t xml:space="preserve">s. Vnitropodnikové pohledávky zaúčtované zahraničními pobočkami </w:t>
            </w:r>
          </w:p>
        </w:tc>
        <w:tc>
          <w:tcPr>
            <w:tcW w:w="2745" w:type="dxa"/>
            <w:tcBorders>
              <w:left w:val="nil"/>
              <w:right w:val="nil"/>
            </w:tcBorders>
            <w:noWrap/>
          </w:tcPr>
          <w:p w:rsidRPr="00700100" w:rsidR="00D646FE" w:rsidP="00AC739C" w:rsidRDefault="00D646FE" w14:paraId="0C84B429" w14:textId="77777777">
            <w:pPr>
              <w:jc w:val="right"/>
              <w:rPr>
                <w:rFonts w:ascii="Arial" w:hAnsi="Arial" w:eastAsia="Times New Roman" w:cs="Arial"/>
                <w:sz w:val="20"/>
                <w:szCs w:val="20"/>
                <w:lang w:eastAsia="en-GB"/>
              </w:rPr>
            </w:pPr>
          </w:p>
        </w:tc>
      </w:tr>
      <w:tr w:rsidRPr="00700100" w:rsidR="00D646FE" w:rsidTr="00AC739C" w14:paraId="2BFD3CF6" w14:textId="77777777">
        <w:trPr>
          <w:trHeight w:val="300"/>
        </w:trPr>
        <w:tc>
          <w:tcPr>
            <w:tcW w:w="6804" w:type="dxa"/>
            <w:tcBorders>
              <w:left w:val="nil"/>
              <w:right w:val="nil"/>
            </w:tcBorders>
            <w:noWrap/>
          </w:tcPr>
          <w:p w:rsidRPr="00700100" w:rsidR="00D646FE" w:rsidP="00AC739C" w:rsidRDefault="00D646FE" w14:paraId="54137176" w14:textId="77777777">
            <w:pPr>
              <w:ind w:firstLine="200" w:firstLineChars="100"/>
              <w:rPr>
                <w:rFonts w:ascii="Arial" w:hAnsi="Arial" w:eastAsia="Times New Roman" w:cs="Arial"/>
                <w:sz w:val="20"/>
                <w:szCs w:val="20"/>
              </w:rPr>
            </w:pPr>
            <w:r w:rsidRPr="00700100">
              <w:rPr>
                <w:rFonts w:ascii="Arial" w:hAnsi="Arial"/>
                <w:sz w:val="20"/>
              </w:rPr>
              <w:t>t. Vnitropodnikové závazky zaúčtované zahraničními dceřinými společnostmi</w:t>
            </w:r>
          </w:p>
        </w:tc>
        <w:tc>
          <w:tcPr>
            <w:tcW w:w="2745" w:type="dxa"/>
            <w:tcBorders>
              <w:left w:val="nil"/>
              <w:right w:val="nil"/>
            </w:tcBorders>
            <w:noWrap/>
          </w:tcPr>
          <w:p w:rsidRPr="00700100" w:rsidR="00D646FE" w:rsidP="00AC739C" w:rsidRDefault="00D646FE" w14:paraId="08F4A226" w14:textId="77777777">
            <w:pPr>
              <w:jc w:val="right"/>
              <w:rPr>
                <w:rFonts w:ascii="Arial" w:hAnsi="Arial" w:eastAsia="Times New Roman" w:cs="Arial"/>
                <w:sz w:val="20"/>
                <w:szCs w:val="20"/>
                <w:lang w:eastAsia="en-GB"/>
              </w:rPr>
            </w:pPr>
          </w:p>
        </w:tc>
      </w:tr>
      <w:tr w:rsidRPr="00700100" w:rsidR="00D646FE" w:rsidTr="00AC739C" w14:paraId="2DAA01B9" w14:textId="77777777">
        <w:trPr>
          <w:trHeight w:val="300"/>
        </w:trPr>
        <w:tc>
          <w:tcPr>
            <w:tcW w:w="6804" w:type="dxa"/>
            <w:tcBorders>
              <w:left w:val="nil"/>
              <w:right w:val="nil"/>
            </w:tcBorders>
            <w:noWrap/>
          </w:tcPr>
          <w:p w:rsidRPr="00700100" w:rsidR="00D646FE" w:rsidP="00AC739C" w:rsidRDefault="00D646FE" w14:paraId="2D1862D7" w14:textId="77777777">
            <w:pPr>
              <w:ind w:firstLine="200" w:firstLineChars="100"/>
              <w:rPr>
                <w:rFonts w:ascii="Arial" w:hAnsi="Arial" w:eastAsia="Times New Roman" w:cs="Arial"/>
                <w:sz w:val="20"/>
                <w:szCs w:val="20"/>
              </w:rPr>
            </w:pPr>
            <w:r w:rsidRPr="00700100">
              <w:rPr>
                <w:rFonts w:ascii="Arial" w:hAnsi="Arial"/>
                <w:sz w:val="20"/>
              </w:rPr>
              <w:t xml:space="preserve">u. Vnitropodnikové závazky zaúčtované zahraničními pobočkami </w:t>
            </w:r>
          </w:p>
        </w:tc>
        <w:tc>
          <w:tcPr>
            <w:tcW w:w="2745" w:type="dxa"/>
            <w:tcBorders>
              <w:left w:val="nil"/>
              <w:right w:val="nil"/>
            </w:tcBorders>
            <w:noWrap/>
          </w:tcPr>
          <w:p w:rsidRPr="00700100" w:rsidR="00D646FE" w:rsidP="00AC739C" w:rsidRDefault="00D646FE" w14:paraId="1B9491CC" w14:textId="77777777">
            <w:pPr>
              <w:jc w:val="right"/>
              <w:rPr>
                <w:rFonts w:ascii="Arial" w:hAnsi="Arial" w:eastAsia="Times New Roman" w:cs="Arial"/>
                <w:sz w:val="20"/>
                <w:szCs w:val="20"/>
                <w:lang w:eastAsia="en-GB"/>
              </w:rPr>
            </w:pPr>
          </w:p>
        </w:tc>
      </w:tr>
      <w:tr w:rsidRPr="00700100" w:rsidR="00D646FE" w:rsidTr="00AC739C" w14:paraId="13DD7191" w14:textId="77777777">
        <w:trPr>
          <w:trHeight w:val="300"/>
        </w:trPr>
        <w:tc>
          <w:tcPr>
            <w:tcW w:w="6804" w:type="dxa"/>
            <w:tcBorders>
              <w:left w:val="nil"/>
              <w:right w:val="nil"/>
            </w:tcBorders>
            <w:noWrap/>
          </w:tcPr>
          <w:p w:rsidRPr="00700100" w:rsidR="00D646FE" w:rsidP="00AC739C" w:rsidRDefault="00D646FE" w14:paraId="6E10DC0A" w14:textId="77777777">
            <w:pPr>
              <w:ind w:firstLine="200" w:firstLineChars="100"/>
              <w:rPr>
                <w:rFonts w:ascii="Arial" w:hAnsi="Arial" w:eastAsia="Times New Roman" w:cs="Arial"/>
                <w:sz w:val="20"/>
                <w:szCs w:val="20"/>
              </w:rPr>
            </w:pPr>
            <w:r w:rsidRPr="00700100">
              <w:rPr>
                <w:rFonts w:ascii="Arial" w:hAnsi="Arial"/>
                <w:sz w:val="20"/>
              </w:rPr>
              <w:t xml:space="preserve">v. Čtvrtletní průměrná hodnota pohledávek napříč jurisdikcemi </w:t>
            </w:r>
          </w:p>
        </w:tc>
        <w:tc>
          <w:tcPr>
            <w:tcW w:w="2745" w:type="dxa"/>
            <w:tcBorders>
              <w:left w:val="nil"/>
              <w:right w:val="nil"/>
            </w:tcBorders>
            <w:noWrap/>
          </w:tcPr>
          <w:p w:rsidRPr="00700100" w:rsidR="00D646FE" w:rsidP="00AC739C" w:rsidRDefault="00D646FE" w14:paraId="17D65090" w14:textId="77777777">
            <w:pPr>
              <w:jc w:val="right"/>
              <w:rPr>
                <w:rFonts w:ascii="Arial" w:hAnsi="Arial" w:eastAsia="Times New Roman" w:cs="Arial"/>
                <w:sz w:val="20"/>
                <w:szCs w:val="20"/>
                <w:lang w:eastAsia="en-GB"/>
              </w:rPr>
            </w:pPr>
          </w:p>
        </w:tc>
      </w:tr>
      <w:tr w:rsidRPr="00700100" w:rsidR="00D646FE" w:rsidTr="00AC739C" w14:paraId="681F884C" w14:textId="77777777">
        <w:trPr>
          <w:trHeight w:val="300"/>
        </w:trPr>
        <w:tc>
          <w:tcPr>
            <w:tcW w:w="6804" w:type="dxa"/>
            <w:tcBorders>
              <w:left w:val="nil"/>
              <w:right w:val="nil"/>
            </w:tcBorders>
            <w:noWrap/>
          </w:tcPr>
          <w:p w:rsidRPr="00700100" w:rsidR="00D646FE" w:rsidP="00AC739C" w:rsidRDefault="00D646FE" w14:paraId="315A8591" w14:textId="77777777">
            <w:pPr>
              <w:ind w:firstLine="200" w:firstLineChars="100"/>
              <w:rPr>
                <w:rFonts w:ascii="Arial" w:hAnsi="Arial" w:eastAsia="Times New Roman" w:cs="Arial"/>
                <w:sz w:val="20"/>
                <w:szCs w:val="20"/>
              </w:rPr>
            </w:pPr>
            <w:r w:rsidRPr="00700100">
              <w:rPr>
                <w:rFonts w:ascii="Arial" w:hAnsi="Arial"/>
                <w:sz w:val="20"/>
              </w:rPr>
              <w:t xml:space="preserve">w. Měsíční průměrná hodnota pohledávek napříč jurisdikcemi </w:t>
            </w:r>
          </w:p>
        </w:tc>
        <w:tc>
          <w:tcPr>
            <w:tcW w:w="2745" w:type="dxa"/>
            <w:tcBorders>
              <w:left w:val="nil"/>
              <w:right w:val="nil"/>
            </w:tcBorders>
            <w:noWrap/>
          </w:tcPr>
          <w:p w:rsidRPr="00700100" w:rsidR="00D646FE" w:rsidP="00AC739C" w:rsidRDefault="00D646FE" w14:paraId="78C2E6DC" w14:textId="77777777">
            <w:pPr>
              <w:jc w:val="right"/>
              <w:rPr>
                <w:rFonts w:ascii="Arial" w:hAnsi="Arial" w:eastAsia="Times New Roman" w:cs="Arial"/>
                <w:sz w:val="20"/>
                <w:szCs w:val="20"/>
                <w:lang w:eastAsia="en-GB"/>
              </w:rPr>
            </w:pPr>
          </w:p>
        </w:tc>
      </w:tr>
      <w:tr w:rsidRPr="00700100" w:rsidR="00D646FE" w:rsidTr="00AC739C" w14:paraId="6B98F01A" w14:textId="77777777">
        <w:trPr>
          <w:trHeight w:val="300"/>
        </w:trPr>
        <w:tc>
          <w:tcPr>
            <w:tcW w:w="6804" w:type="dxa"/>
            <w:tcBorders>
              <w:left w:val="nil"/>
              <w:right w:val="nil"/>
            </w:tcBorders>
            <w:noWrap/>
          </w:tcPr>
          <w:p w:rsidRPr="00700100" w:rsidR="00D646FE" w:rsidP="00AC739C" w:rsidRDefault="00D646FE" w14:paraId="1CBCA78D" w14:textId="77777777">
            <w:pPr>
              <w:ind w:firstLine="200" w:firstLineChars="100"/>
              <w:rPr>
                <w:rFonts w:ascii="Arial" w:hAnsi="Arial" w:eastAsia="Times New Roman" w:cs="Arial"/>
                <w:sz w:val="20"/>
                <w:szCs w:val="20"/>
              </w:rPr>
            </w:pPr>
            <w:r w:rsidRPr="00700100">
              <w:rPr>
                <w:rFonts w:ascii="Arial" w:hAnsi="Arial"/>
                <w:sz w:val="20"/>
              </w:rPr>
              <w:t xml:space="preserve">x. Čtvrtletní průměrná hodnota závazků napříč jurisdikcemi </w:t>
            </w:r>
          </w:p>
        </w:tc>
        <w:tc>
          <w:tcPr>
            <w:tcW w:w="2745" w:type="dxa"/>
            <w:tcBorders>
              <w:left w:val="nil"/>
              <w:right w:val="nil"/>
            </w:tcBorders>
            <w:noWrap/>
          </w:tcPr>
          <w:p w:rsidRPr="00700100" w:rsidR="00D646FE" w:rsidP="00AC739C" w:rsidRDefault="00D646FE" w14:paraId="0C747AD5" w14:textId="77777777">
            <w:pPr>
              <w:jc w:val="right"/>
              <w:rPr>
                <w:rFonts w:ascii="Arial" w:hAnsi="Arial" w:eastAsia="Times New Roman" w:cs="Arial"/>
                <w:sz w:val="20"/>
                <w:szCs w:val="20"/>
                <w:lang w:eastAsia="en-GB"/>
              </w:rPr>
            </w:pPr>
          </w:p>
        </w:tc>
      </w:tr>
      <w:tr w:rsidRPr="00700100" w:rsidR="00D646FE" w:rsidTr="00AC739C" w14:paraId="13DAE5DA" w14:textId="77777777">
        <w:trPr>
          <w:trHeight w:val="300"/>
        </w:trPr>
        <w:tc>
          <w:tcPr>
            <w:tcW w:w="6804" w:type="dxa"/>
            <w:tcBorders>
              <w:left w:val="nil"/>
              <w:bottom w:val="single" w:color="auto" w:sz="4" w:space="0"/>
              <w:right w:val="nil"/>
            </w:tcBorders>
            <w:noWrap/>
          </w:tcPr>
          <w:p w:rsidRPr="00700100" w:rsidR="00D646FE" w:rsidP="00AC739C" w:rsidRDefault="00D646FE" w14:paraId="65401486" w14:textId="77777777">
            <w:pPr>
              <w:ind w:firstLine="200" w:firstLineChars="100"/>
              <w:rPr>
                <w:rFonts w:ascii="Arial" w:hAnsi="Arial" w:eastAsia="Times New Roman" w:cs="Arial"/>
                <w:sz w:val="20"/>
                <w:szCs w:val="20"/>
              </w:rPr>
            </w:pPr>
            <w:r w:rsidRPr="00700100">
              <w:rPr>
                <w:rFonts w:ascii="Arial" w:hAnsi="Arial"/>
                <w:sz w:val="20"/>
              </w:rPr>
              <w:t xml:space="preserve">y. Měsíční průměrná hodnota závazků napříč jurisdikcemi </w:t>
            </w:r>
          </w:p>
        </w:tc>
        <w:tc>
          <w:tcPr>
            <w:tcW w:w="2745" w:type="dxa"/>
            <w:tcBorders>
              <w:left w:val="nil"/>
              <w:bottom w:val="single" w:color="auto" w:sz="4" w:space="0"/>
              <w:right w:val="nil"/>
            </w:tcBorders>
            <w:noWrap/>
          </w:tcPr>
          <w:p w:rsidRPr="00700100" w:rsidR="00D646FE" w:rsidP="00AC739C" w:rsidRDefault="00D646FE" w14:paraId="666034EA" w14:textId="77777777">
            <w:pPr>
              <w:jc w:val="right"/>
              <w:rPr>
                <w:rFonts w:ascii="Arial" w:hAnsi="Arial" w:eastAsia="Times New Roman" w:cs="Arial"/>
                <w:sz w:val="20"/>
                <w:szCs w:val="20"/>
                <w:lang w:eastAsia="en-GB"/>
              </w:rPr>
            </w:pPr>
          </w:p>
        </w:tc>
      </w:tr>
      <w:tr w:rsidRPr="00700100" w:rsidR="00D646FE" w:rsidTr="00AC739C" w14:paraId="486BFC16" w14:textId="77777777">
        <w:trPr>
          <w:trHeight w:val="300"/>
        </w:trPr>
        <w:tc>
          <w:tcPr>
            <w:tcW w:w="6804" w:type="dxa"/>
            <w:tcBorders>
              <w:left w:val="nil"/>
              <w:bottom w:val="nil"/>
              <w:right w:val="nil"/>
            </w:tcBorders>
            <w:noWrap/>
          </w:tcPr>
          <w:p w:rsidRPr="00700100" w:rsidR="00D646FE" w:rsidP="00AC739C" w:rsidRDefault="00D646FE" w14:paraId="4FB0A4CD" w14:textId="77777777">
            <w:pPr>
              <w:rPr>
                <w:rFonts w:ascii="Arial" w:hAnsi="Arial" w:eastAsia="Times New Roman" w:cs="Arial"/>
                <w:b/>
                <w:bCs/>
                <w:sz w:val="20"/>
                <w:szCs w:val="20"/>
                <w:lang w:eastAsia="en-GB"/>
              </w:rPr>
            </w:pPr>
          </w:p>
        </w:tc>
        <w:tc>
          <w:tcPr>
            <w:tcW w:w="2745" w:type="dxa"/>
            <w:tcBorders>
              <w:left w:val="nil"/>
              <w:bottom w:val="nil"/>
              <w:right w:val="nil"/>
            </w:tcBorders>
            <w:noWrap/>
          </w:tcPr>
          <w:p w:rsidRPr="00700100" w:rsidR="00D646FE" w:rsidP="00AC739C" w:rsidRDefault="00D646FE" w14:paraId="46AF26B0" w14:textId="77777777">
            <w:pPr>
              <w:jc w:val="right"/>
              <w:rPr>
                <w:rFonts w:ascii="Arial" w:hAnsi="Arial" w:eastAsia="Times New Roman" w:cs="Arial"/>
                <w:sz w:val="20"/>
                <w:szCs w:val="20"/>
                <w:lang w:eastAsia="en-GB"/>
              </w:rPr>
            </w:pPr>
          </w:p>
        </w:tc>
      </w:tr>
      <w:tr w:rsidRPr="00700100" w:rsidR="00D646FE" w:rsidTr="00AC739C" w14:paraId="60E0FAEE" w14:textId="77777777">
        <w:trPr>
          <w:trHeight w:val="300"/>
        </w:trPr>
        <w:tc>
          <w:tcPr>
            <w:tcW w:w="6804" w:type="dxa"/>
            <w:tcBorders>
              <w:top w:val="nil"/>
              <w:left w:val="nil"/>
              <w:right w:val="nil"/>
            </w:tcBorders>
            <w:noWrap/>
          </w:tcPr>
          <w:p w:rsidRPr="00700100" w:rsidR="00D646FE" w:rsidP="00AC739C" w:rsidRDefault="00D646FE" w14:paraId="71B2C323" w14:textId="77777777">
            <w:pPr>
              <w:rPr>
                <w:rFonts w:ascii="Arial" w:hAnsi="Arial" w:eastAsia="Times New Roman" w:cs="Arial"/>
                <w:sz w:val="20"/>
                <w:szCs w:val="20"/>
              </w:rPr>
            </w:pPr>
            <w:r w:rsidRPr="00700100">
              <w:rPr>
                <w:rFonts w:ascii="Arial" w:hAnsi="Arial"/>
                <w:b/>
                <w:sz w:val="20"/>
              </w:rPr>
              <w:t>Oddíl 22 – Přidružené ukazatele</w:t>
            </w:r>
          </w:p>
        </w:tc>
        <w:tc>
          <w:tcPr>
            <w:tcW w:w="2745" w:type="dxa"/>
            <w:tcBorders>
              <w:top w:val="nil"/>
              <w:left w:val="nil"/>
              <w:right w:val="nil"/>
            </w:tcBorders>
            <w:noWrap/>
          </w:tcPr>
          <w:p w:rsidRPr="00700100" w:rsidR="00D646FE" w:rsidP="00AC739C" w:rsidRDefault="00D646FE" w14:paraId="71F50C2C" w14:textId="77777777">
            <w:pPr>
              <w:jc w:val="right"/>
              <w:rPr>
                <w:rFonts w:ascii="Arial" w:hAnsi="Arial" w:eastAsia="Times New Roman" w:cs="Arial"/>
                <w:sz w:val="20"/>
                <w:szCs w:val="20"/>
                <w:lang w:eastAsia="en-GB"/>
              </w:rPr>
            </w:pPr>
          </w:p>
        </w:tc>
      </w:tr>
      <w:tr w:rsidRPr="00700100" w:rsidR="00D646FE" w:rsidTr="00AC739C" w14:paraId="14021CAE" w14:textId="77777777">
        <w:trPr>
          <w:trHeight w:val="300"/>
        </w:trPr>
        <w:tc>
          <w:tcPr>
            <w:tcW w:w="6804" w:type="dxa"/>
            <w:tcBorders>
              <w:left w:val="nil"/>
              <w:right w:val="nil"/>
            </w:tcBorders>
            <w:noWrap/>
          </w:tcPr>
          <w:p w:rsidRPr="00700100" w:rsidR="00D646FE" w:rsidP="00AC739C" w:rsidRDefault="00D646FE" w14:paraId="32075B8C" w14:textId="77777777">
            <w:pPr>
              <w:ind w:firstLine="200" w:firstLineChars="100"/>
              <w:rPr>
                <w:rFonts w:ascii="Arial" w:hAnsi="Arial" w:eastAsia="Times New Roman" w:cs="Arial"/>
                <w:sz w:val="20"/>
                <w:szCs w:val="20"/>
              </w:rPr>
            </w:pPr>
            <w:r w:rsidRPr="00700100">
              <w:rPr>
                <w:rFonts w:ascii="Arial" w:hAnsi="Arial"/>
                <w:sz w:val="20"/>
              </w:rPr>
              <w:t>a. Čistý zahraniční příjem (jednotný mechanismus pro řešení krizí se považuje za jedinou jurisdikci)</w:t>
            </w:r>
          </w:p>
        </w:tc>
        <w:tc>
          <w:tcPr>
            <w:tcW w:w="2745" w:type="dxa"/>
            <w:tcBorders>
              <w:left w:val="nil"/>
              <w:right w:val="nil"/>
            </w:tcBorders>
            <w:noWrap/>
          </w:tcPr>
          <w:p w:rsidRPr="00700100" w:rsidR="00D646FE" w:rsidP="00AC739C" w:rsidRDefault="00D646FE" w14:paraId="5F4FD097" w14:textId="77777777">
            <w:pPr>
              <w:jc w:val="right"/>
              <w:rPr>
                <w:rFonts w:ascii="Arial" w:hAnsi="Arial" w:eastAsia="Times New Roman" w:cs="Arial"/>
                <w:sz w:val="20"/>
                <w:szCs w:val="20"/>
                <w:lang w:eastAsia="en-GB"/>
              </w:rPr>
            </w:pPr>
          </w:p>
        </w:tc>
      </w:tr>
      <w:tr w:rsidRPr="00700100" w:rsidR="00D646FE" w:rsidTr="00AC739C" w14:paraId="12D3B1BE" w14:textId="77777777">
        <w:trPr>
          <w:trHeight w:val="300"/>
        </w:trPr>
        <w:tc>
          <w:tcPr>
            <w:tcW w:w="6804" w:type="dxa"/>
            <w:tcBorders>
              <w:left w:val="nil"/>
              <w:bottom w:val="single" w:color="auto" w:sz="4" w:space="0"/>
              <w:right w:val="nil"/>
            </w:tcBorders>
            <w:noWrap/>
          </w:tcPr>
          <w:p w:rsidRPr="00700100" w:rsidR="00D646FE" w:rsidP="00AC739C" w:rsidRDefault="00D646FE" w14:paraId="3013014D" w14:textId="77777777">
            <w:pPr>
              <w:ind w:firstLine="200" w:firstLineChars="100"/>
              <w:rPr>
                <w:rFonts w:ascii="Arial" w:hAnsi="Arial" w:eastAsia="Times New Roman" w:cs="Arial"/>
                <w:sz w:val="20"/>
                <w:szCs w:val="20"/>
              </w:rPr>
            </w:pPr>
            <w:r w:rsidRPr="00700100">
              <w:rPr>
                <w:rFonts w:ascii="Arial" w:hAnsi="Arial"/>
                <w:sz w:val="20"/>
              </w:rPr>
              <w:t>b. Počet jurisdikcí (jednotný mechanismus pro řešení krizí se považuje za jedinou jurisdikci)</w:t>
            </w:r>
          </w:p>
        </w:tc>
        <w:tc>
          <w:tcPr>
            <w:tcW w:w="2745" w:type="dxa"/>
            <w:tcBorders>
              <w:left w:val="nil"/>
              <w:right w:val="nil"/>
            </w:tcBorders>
            <w:noWrap/>
          </w:tcPr>
          <w:p w:rsidRPr="00700100" w:rsidR="00D646FE" w:rsidP="00AC739C" w:rsidRDefault="00D646FE" w14:paraId="6425A264" w14:textId="77777777">
            <w:pPr>
              <w:jc w:val="right"/>
              <w:rPr>
                <w:rFonts w:ascii="Arial" w:hAnsi="Arial" w:eastAsia="Times New Roman" w:cs="Arial"/>
                <w:sz w:val="20"/>
                <w:szCs w:val="20"/>
                <w:lang w:eastAsia="en-GB"/>
              </w:rPr>
            </w:pPr>
          </w:p>
        </w:tc>
      </w:tr>
      <w:tr w:rsidRPr="00700100" w:rsidR="00D646FE" w:rsidTr="00AC739C" w14:paraId="12A4D8B3" w14:textId="77777777">
        <w:trPr>
          <w:trHeight w:val="300"/>
        </w:trPr>
        <w:tc>
          <w:tcPr>
            <w:tcW w:w="6804" w:type="dxa"/>
            <w:tcBorders>
              <w:left w:val="nil"/>
              <w:bottom w:val="nil"/>
              <w:right w:val="nil"/>
            </w:tcBorders>
            <w:noWrap/>
          </w:tcPr>
          <w:p w:rsidRPr="00700100" w:rsidR="00D646FE" w:rsidP="00AC739C" w:rsidRDefault="00D646FE" w14:paraId="5E569093" w14:textId="77777777">
            <w:pPr>
              <w:ind w:firstLine="200" w:firstLineChars="100"/>
              <w:rPr>
                <w:rFonts w:ascii="Arial" w:hAnsi="Arial" w:eastAsia="Times New Roman" w:cs="Arial"/>
                <w:sz w:val="20"/>
                <w:szCs w:val="20"/>
                <w:lang w:eastAsia="en-GB"/>
              </w:rPr>
            </w:pPr>
          </w:p>
        </w:tc>
        <w:tc>
          <w:tcPr>
            <w:tcW w:w="2745" w:type="dxa"/>
            <w:tcBorders>
              <w:left w:val="nil"/>
              <w:bottom w:val="nil"/>
              <w:right w:val="nil"/>
            </w:tcBorders>
            <w:noWrap/>
          </w:tcPr>
          <w:p w:rsidRPr="00700100" w:rsidR="00D646FE" w:rsidP="00AC739C" w:rsidRDefault="00D646FE" w14:paraId="39F54D57" w14:textId="77777777">
            <w:pPr>
              <w:jc w:val="right"/>
              <w:rPr>
                <w:rFonts w:ascii="Arial" w:hAnsi="Arial" w:eastAsia="Times New Roman" w:cs="Arial"/>
                <w:sz w:val="20"/>
                <w:szCs w:val="20"/>
                <w:lang w:eastAsia="en-GB"/>
              </w:rPr>
            </w:pPr>
          </w:p>
        </w:tc>
      </w:tr>
      <w:tr w:rsidRPr="00700100" w:rsidR="00D646FE" w:rsidTr="00AC739C" w14:paraId="64ACEFB0" w14:textId="77777777">
        <w:trPr>
          <w:trHeight w:val="300"/>
        </w:trPr>
        <w:tc>
          <w:tcPr>
            <w:tcW w:w="6804" w:type="dxa"/>
            <w:tcBorders>
              <w:top w:val="nil"/>
              <w:left w:val="nil"/>
              <w:bottom w:val="nil"/>
              <w:right w:val="nil"/>
            </w:tcBorders>
            <w:noWrap/>
          </w:tcPr>
          <w:p w:rsidRPr="00700100" w:rsidR="00D646FE" w:rsidP="00AC739C" w:rsidRDefault="00D646FE" w14:paraId="591A198D" w14:textId="77777777">
            <w:pPr>
              <w:ind w:firstLine="221" w:firstLineChars="100"/>
              <w:rPr>
                <w:rFonts w:ascii="Arial" w:hAnsi="Arial" w:eastAsia="Times New Roman" w:cs="Arial"/>
                <w:sz w:val="20"/>
                <w:szCs w:val="20"/>
              </w:rPr>
            </w:pPr>
            <w:r w:rsidRPr="00700100">
              <w:rPr>
                <w:rFonts w:asciiTheme="majorHAnsi" w:hAnsiTheme="majorHAnsi"/>
                <w:b/>
                <w:i/>
                <w:caps/>
              </w:rPr>
              <w:t>Kontrolní shrnutí</w:t>
            </w:r>
          </w:p>
        </w:tc>
        <w:tc>
          <w:tcPr>
            <w:tcW w:w="2745" w:type="dxa"/>
            <w:tcBorders>
              <w:top w:val="nil"/>
              <w:left w:val="nil"/>
              <w:bottom w:val="nil"/>
              <w:right w:val="nil"/>
            </w:tcBorders>
            <w:noWrap/>
          </w:tcPr>
          <w:p w:rsidRPr="00700100" w:rsidR="00D646FE" w:rsidP="00AC739C" w:rsidRDefault="00D646FE" w14:paraId="59531DD9" w14:textId="77777777">
            <w:pPr>
              <w:jc w:val="right"/>
              <w:rPr>
                <w:rFonts w:ascii="Arial" w:hAnsi="Arial" w:eastAsia="Times New Roman" w:cs="Arial"/>
                <w:sz w:val="20"/>
                <w:szCs w:val="20"/>
                <w:lang w:eastAsia="en-GB"/>
              </w:rPr>
            </w:pPr>
          </w:p>
        </w:tc>
      </w:tr>
      <w:tr w:rsidRPr="00700100" w:rsidR="00D646FE" w:rsidTr="00AC739C" w14:paraId="4635A7A8" w14:textId="77777777">
        <w:trPr>
          <w:trHeight w:val="300"/>
        </w:trPr>
        <w:tc>
          <w:tcPr>
            <w:tcW w:w="6804" w:type="dxa"/>
            <w:tcBorders>
              <w:top w:val="nil"/>
              <w:left w:val="nil"/>
              <w:bottom w:val="single" w:color="auto" w:sz="4" w:space="0"/>
              <w:right w:val="nil"/>
            </w:tcBorders>
            <w:noWrap/>
          </w:tcPr>
          <w:p w:rsidRPr="00700100" w:rsidR="00D646FE" w:rsidP="00AC739C" w:rsidRDefault="00D646FE" w14:paraId="59741551" w14:textId="77777777">
            <w:pPr>
              <w:ind w:firstLine="200" w:firstLineChars="100"/>
              <w:rPr>
                <w:rFonts w:ascii="Arial" w:hAnsi="Arial" w:eastAsia="Times New Roman" w:cs="Arial"/>
                <w:sz w:val="20"/>
                <w:szCs w:val="20"/>
                <w:lang w:eastAsia="en-GB"/>
              </w:rPr>
            </w:pPr>
          </w:p>
        </w:tc>
        <w:tc>
          <w:tcPr>
            <w:tcW w:w="2745" w:type="dxa"/>
            <w:tcBorders>
              <w:top w:val="nil"/>
              <w:left w:val="nil"/>
              <w:right w:val="nil"/>
            </w:tcBorders>
            <w:noWrap/>
          </w:tcPr>
          <w:p w:rsidRPr="00700100" w:rsidR="00D646FE" w:rsidP="00AC739C" w:rsidRDefault="00D646FE" w14:paraId="5562B138" w14:textId="77777777">
            <w:pPr>
              <w:jc w:val="right"/>
              <w:rPr>
                <w:rFonts w:ascii="Arial" w:hAnsi="Arial" w:eastAsia="Times New Roman" w:cs="Arial"/>
                <w:sz w:val="20"/>
                <w:szCs w:val="20"/>
                <w:lang w:eastAsia="en-GB"/>
              </w:rPr>
            </w:pPr>
          </w:p>
        </w:tc>
      </w:tr>
      <w:tr w:rsidRPr="00700100" w:rsidR="00D646FE" w:rsidTr="00AC739C" w14:paraId="5AF9B891" w14:textId="77777777">
        <w:trPr>
          <w:trHeight w:val="300"/>
        </w:trPr>
        <w:tc>
          <w:tcPr>
            <w:tcW w:w="6804" w:type="dxa"/>
            <w:tcBorders>
              <w:left w:val="nil"/>
              <w:bottom w:val="single" w:color="auto" w:sz="4" w:space="0"/>
              <w:right w:val="nil"/>
            </w:tcBorders>
            <w:noWrap/>
          </w:tcPr>
          <w:p w:rsidRPr="00700100" w:rsidR="00D646FE" w:rsidP="00AC739C" w:rsidRDefault="00D646FE" w14:paraId="136DAA9B" w14:textId="77777777">
            <w:pPr>
              <w:rPr>
                <w:rFonts w:ascii="Arial" w:hAnsi="Arial" w:eastAsia="Times New Roman" w:cs="Arial"/>
                <w:sz w:val="20"/>
                <w:szCs w:val="20"/>
              </w:rPr>
            </w:pPr>
            <w:r w:rsidRPr="00700100">
              <w:rPr>
                <w:b/>
              </w:rPr>
              <w:t>Oddíl 23 – Hodnoty ukazatelů (revidovaná metodika)</w:t>
            </w:r>
          </w:p>
        </w:tc>
        <w:tc>
          <w:tcPr>
            <w:tcW w:w="2745" w:type="dxa"/>
            <w:tcBorders>
              <w:left w:val="nil"/>
              <w:right w:val="nil"/>
            </w:tcBorders>
            <w:noWrap/>
          </w:tcPr>
          <w:p w:rsidRPr="00700100" w:rsidR="00D646FE" w:rsidP="00AC739C" w:rsidRDefault="00D646FE" w14:paraId="7136B63A" w14:textId="77777777">
            <w:pPr>
              <w:jc w:val="center"/>
              <w:rPr>
                <w:rFonts w:ascii="Arial" w:hAnsi="Arial" w:eastAsia="Times New Roman" w:cs="Arial"/>
                <w:sz w:val="20"/>
                <w:szCs w:val="20"/>
              </w:rPr>
            </w:pPr>
            <w:r w:rsidRPr="00700100">
              <w:rPr>
                <w:b/>
              </w:rPr>
              <w:t>Hodnota ukazatele ve vykazovací měně</w:t>
            </w:r>
          </w:p>
        </w:tc>
      </w:tr>
      <w:tr w:rsidRPr="00700100" w:rsidR="00D646FE" w:rsidTr="00AC739C" w14:paraId="7E5C0A87" w14:textId="77777777">
        <w:trPr>
          <w:trHeight w:val="300"/>
        </w:trPr>
        <w:tc>
          <w:tcPr>
            <w:tcW w:w="6804" w:type="dxa"/>
            <w:tcBorders>
              <w:left w:val="nil"/>
              <w:bottom w:val="single" w:color="auto" w:sz="4" w:space="0"/>
              <w:right w:val="nil"/>
            </w:tcBorders>
            <w:noWrap/>
          </w:tcPr>
          <w:p w:rsidRPr="00700100" w:rsidR="00D646FE" w:rsidP="00AC739C" w:rsidRDefault="00D646FE" w14:paraId="392A894A" w14:textId="77777777">
            <w:pPr>
              <w:ind w:left="171" w:firstLine="48" w:firstLineChars="22"/>
              <w:rPr>
                <w:rFonts w:ascii="Arial" w:hAnsi="Arial" w:eastAsia="Times New Roman" w:cs="Arial"/>
                <w:sz w:val="20"/>
                <w:szCs w:val="20"/>
              </w:rPr>
            </w:pPr>
            <w:r w:rsidRPr="00700100">
              <w:t>a. Oddíl 2 – Ukazatel expozic celkem, včetně pojišťovacích dceřiných společností</w:t>
            </w:r>
          </w:p>
        </w:tc>
        <w:tc>
          <w:tcPr>
            <w:tcW w:w="2745" w:type="dxa"/>
            <w:tcBorders>
              <w:left w:val="nil"/>
              <w:right w:val="nil"/>
            </w:tcBorders>
            <w:noWrap/>
          </w:tcPr>
          <w:p w:rsidRPr="00700100" w:rsidR="00D646FE" w:rsidP="00AC739C" w:rsidRDefault="00D646FE" w14:paraId="2FE1A3F7" w14:textId="77777777">
            <w:pPr>
              <w:jc w:val="right"/>
              <w:rPr>
                <w:rFonts w:ascii="Arial" w:hAnsi="Arial" w:eastAsia="Times New Roman" w:cs="Arial"/>
                <w:sz w:val="20"/>
                <w:szCs w:val="20"/>
                <w:lang w:eastAsia="en-GB"/>
              </w:rPr>
            </w:pPr>
          </w:p>
        </w:tc>
      </w:tr>
      <w:tr w:rsidRPr="00700100" w:rsidR="00D646FE" w:rsidTr="00AC739C" w14:paraId="506FB748" w14:textId="77777777">
        <w:trPr>
          <w:trHeight w:val="300"/>
        </w:trPr>
        <w:tc>
          <w:tcPr>
            <w:tcW w:w="6804" w:type="dxa"/>
            <w:tcBorders>
              <w:left w:val="nil"/>
              <w:bottom w:val="single" w:color="auto" w:sz="4" w:space="0"/>
              <w:right w:val="nil"/>
            </w:tcBorders>
            <w:noWrap/>
          </w:tcPr>
          <w:p w:rsidRPr="00700100" w:rsidR="00D646FE" w:rsidP="00AC739C" w:rsidRDefault="00D646FE" w14:paraId="2C0CC80B" w14:textId="77777777">
            <w:pPr>
              <w:ind w:left="171" w:firstLine="48" w:firstLineChars="22"/>
              <w:rPr>
                <w:rFonts w:ascii="Arial" w:hAnsi="Arial" w:eastAsia="Times New Roman" w:cs="Arial"/>
                <w:sz w:val="20"/>
                <w:szCs w:val="20"/>
              </w:rPr>
            </w:pPr>
            <w:r w:rsidRPr="00700100">
              <w:t>b. Oddíl 3 – Ukazatel aktiv v rámci finančního systému, včetně pojišťovacích dceřiných společností</w:t>
            </w:r>
          </w:p>
        </w:tc>
        <w:tc>
          <w:tcPr>
            <w:tcW w:w="2745" w:type="dxa"/>
            <w:tcBorders>
              <w:left w:val="nil"/>
              <w:right w:val="nil"/>
            </w:tcBorders>
            <w:noWrap/>
          </w:tcPr>
          <w:p w:rsidRPr="00700100" w:rsidR="00D646FE" w:rsidP="00AC739C" w:rsidRDefault="00D646FE" w14:paraId="01631029" w14:textId="77777777">
            <w:pPr>
              <w:jc w:val="right"/>
              <w:rPr>
                <w:rFonts w:ascii="Arial" w:hAnsi="Arial" w:eastAsia="Times New Roman" w:cs="Arial"/>
                <w:sz w:val="20"/>
                <w:szCs w:val="20"/>
                <w:lang w:eastAsia="en-GB"/>
              </w:rPr>
            </w:pPr>
          </w:p>
        </w:tc>
      </w:tr>
      <w:tr w:rsidRPr="00700100" w:rsidR="00D646FE" w:rsidTr="00AC739C" w14:paraId="703CE204" w14:textId="77777777">
        <w:trPr>
          <w:trHeight w:val="300"/>
        </w:trPr>
        <w:tc>
          <w:tcPr>
            <w:tcW w:w="6804" w:type="dxa"/>
            <w:tcBorders>
              <w:left w:val="nil"/>
              <w:bottom w:val="single" w:color="auto" w:sz="4" w:space="0"/>
              <w:right w:val="nil"/>
            </w:tcBorders>
            <w:noWrap/>
          </w:tcPr>
          <w:p w:rsidRPr="00700100" w:rsidR="00D646FE" w:rsidP="00AC739C" w:rsidRDefault="00D646FE" w14:paraId="68D71C72" w14:textId="77777777">
            <w:pPr>
              <w:ind w:left="171" w:firstLine="48" w:firstLineChars="22"/>
              <w:rPr>
                <w:rFonts w:ascii="Arial" w:hAnsi="Arial" w:eastAsia="Times New Roman" w:cs="Arial"/>
                <w:sz w:val="20"/>
                <w:szCs w:val="20"/>
              </w:rPr>
            </w:pPr>
            <w:r w:rsidRPr="00700100">
              <w:t>c. Oddíl 4 – Ukazatel závazků v rámci finančního systému, včetně pojišťovacích dceřiných společností</w:t>
            </w:r>
          </w:p>
        </w:tc>
        <w:tc>
          <w:tcPr>
            <w:tcW w:w="2745" w:type="dxa"/>
            <w:tcBorders>
              <w:left w:val="nil"/>
              <w:right w:val="nil"/>
            </w:tcBorders>
            <w:noWrap/>
          </w:tcPr>
          <w:p w:rsidRPr="00700100" w:rsidR="00D646FE" w:rsidP="00AC739C" w:rsidRDefault="00D646FE" w14:paraId="1F6B3E2C" w14:textId="77777777">
            <w:pPr>
              <w:jc w:val="right"/>
              <w:rPr>
                <w:rFonts w:ascii="Arial" w:hAnsi="Arial" w:eastAsia="Times New Roman" w:cs="Arial"/>
                <w:sz w:val="20"/>
                <w:szCs w:val="20"/>
                <w:lang w:eastAsia="en-GB"/>
              </w:rPr>
            </w:pPr>
          </w:p>
        </w:tc>
      </w:tr>
      <w:tr w:rsidRPr="00700100" w:rsidR="00D646FE" w:rsidTr="00AC739C" w14:paraId="10279F97" w14:textId="77777777">
        <w:trPr>
          <w:trHeight w:val="300"/>
        </w:trPr>
        <w:tc>
          <w:tcPr>
            <w:tcW w:w="6804" w:type="dxa"/>
            <w:tcBorders>
              <w:left w:val="nil"/>
              <w:bottom w:val="single" w:color="auto" w:sz="4" w:space="0"/>
              <w:right w:val="nil"/>
            </w:tcBorders>
            <w:noWrap/>
          </w:tcPr>
          <w:p w:rsidRPr="00700100" w:rsidR="00D646FE" w:rsidP="00AC739C" w:rsidRDefault="00D646FE" w14:paraId="6AB7B0F5" w14:textId="77777777">
            <w:pPr>
              <w:ind w:left="171" w:firstLine="48" w:firstLineChars="22"/>
              <w:rPr>
                <w:rFonts w:ascii="Arial" w:hAnsi="Arial" w:eastAsia="Times New Roman" w:cs="Arial"/>
                <w:sz w:val="20"/>
                <w:szCs w:val="20"/>
              </w:rPr>
            </w:pPr>
            <w:r w:rsidRPr="00700100">
              <w:t>d. Oddíl 5 – Ukazatel nezaplacených cenných papírů, včetně pojišťovacích dceřiných společností</w:t>
            </w:r>
          </w:p>
        </w:tc>
        <w:tc>
          <w:tcPr>
            <w:tcW w:w="2745" w:type="dxa"/>
            <w:tcBorders>
              <w:left w:val="nil"/>
              <w:right w:val="nil"/>
            </w:tcBorders>
            <w:noWrap/>
          </w:tcPr>
          <w:p w:rsidRPr="00700100" w:rsidR="00D646FE" w:rsidP="00AC739C" w:rsidRDefault="00D646FE" w14:paraId="240C8A70" w14:textId="77777777">
            <w:pPr>
              <w:jc w:val="right"/>
              <w:rPr>
                <w:rFonts w:ascii="Arial" w:hAnsi="Arial" w:eastAsia="Times New Roman" w:cs="Arial"/>
                <w:sz w:val="20"/>
                <w:szCs w:val="20"/>
                <w:lang w:eastAsia="en-GB"/>
              </w:rPr>
            </w:pPr>
          </w:p>
        </w:tc>
      </w:tr>
      <w:tr w:rsidRPr="00700100" w:rsidR="00D646FE" w:rsidTr="00AC739C" w14:paraId="2DCC1646" w14:textId="77777777">
        <w:trPr>
          <w:trHeight w:val="300"/>
        </w:trPr>
        <w:tc>
          <w:tcPr>
            <w:tcW w:w="6804" w:type="dxa"/>
            <w:tcBorders>
              <w:left w:val="nil"/>
              <w:bottom w:val="single" w:color="auto" w:sz="4" w:space="0"/>
              <w:right w:val="nil"/>
            </w:tcBorders>
            <w:noWrap/>
          </w:tcPr>
          <w:p w:rsidRPr="00700100" w:rsidR="00D646FE" w:rsidP="00AC739C" w:rsidRDefault="00D646FE" w14:paraId="5B222079" w14:textId="77777777">
            <w:pPr>
              <w:ind w:firstLine="220" w:firstLineChars="100"/>
              <w:rPr>
                <w:rFonts w:ascii="Arial" w:hAnsi="Arial" w:eastAsia="Times New Roman" w:cs="Arial"/>
                <w:sz w:val="20"/>
                <w:szCs w:val="20"/>
              </w:rPr>
            </w:pPr>
            <w:r w:rsidRPr="00700100">
              <w:t>e. Oddíl 6 – Ukazatel platební činnosti</w:t>
            </w:r>
          </w:p>
        </w:tc>
        <w:tc>
          <w:tcPr>
            <w:tcW w:w="2745" w:type="dxa"/>
            <w:tcBorders>
              <w:left w:val="nil"/>
              <w:right w:val="nil"/>
            </w:tcBorders>
            <w:noWrap/>
          </w:tcPr>
          <w:p w:rsidRPr="00700100" w:rsidR="00D646FE" w:rsidP="00AC739C" w:rsidRDefault="00D646FE" w14:paraId="474499C6" w14:textId="77777777">
            <w:pPr>
              <w:jc w:val="right"/>
              <w:rPr>
                <w:rFonts w:ascii="Arial" w:hAnsi="Arial" w:eastAsia="Times New Roman" w:cs="Arial"/>
                <w:sz w:val="20"/>
                <w:szCs w:val="20"/>
                <w:lang w:eastAsia="en-GB"/>
              </w:rPr>
            </w:pPr>
          </w:p>
        </w:tc>
      </w:tr>
      <w:tr w:rsidRPr="00700100" w:rsidR="00D646FE" w:rsidTr="00AC739C" w14:paraId="368FDD48" w14:textId="77777777">
        <w:trPr>
          <w:trHeight w:val="300"/>
        </w:trPr>
        <w:tc>
          <w:tcPr>
            <w:tcW w:w="6804" w:type="dxa"/>
            <w:tcBorders>
              <w:left w:val="nil"/>
              <w:bottom w:val="single" w:color="auto" w:sz="4" w:space="0"/>
              <w:right w:val="nil"/>
            </w:tcBorders>
            <w:noWrap/>
          </w:tcPr>
          <w:p w:rsidRPr="00700100" w:rsidR="00D646FE" w:rsidP="00AC739C" w:rsidRDefault="00D646FE" w14:paraId="097F5100" w14:textId="77777777">
            <w:pPr>
              <w:ind w:firstLine="220" w:firstLineChars="100"/>
              <w:rPr>
                <w:rFonts w:ascii="Arial" w:hAnsi="Arial" w:eastAsia="Times New Roman" w:cs="Arial"/>
                <w:sz w:val="20"/>
                <w:szCs w:val="20"/>
              </w:rPr>
            </w:pPr>
            <w:r w:rsidRPr="00700100">
              <w:lastRenderedPageBreak/>
              <w:t>f. Oddíl 7 – Ukazatel aktiv v úschově</w:t>
            </w:r>
          </w:p>
        </w:tc>
        <w:tc>
          <w:tcPr>
            <w:tcW w:w="2745" w:type="dxa"/>
            <w:tcBorders>
              <w:left w:val="nil"/>
              <w:right w:val="nil"/>
            </w:tcBorders>
            <w:noWrap/>
          </w:tcPr>
          <w:p w:rsidRPr="00700100" w:rsidR="00D646FE" w:rsidP="00AC739C" w:rsidRDefault="00D646FE" w14:paraId="7453311B" w14:textId="77777777">
            <w:pPr>
              <w:jc w:val="right"/>
              <w:rPr>
                <w:rFonts w:ascii="Arial" w:hAnsi="Arial" w:eastAsia="Times New Roman" w:cs="Arial"/>
                <w:sz w:val="20"/>
                <w:szCs w:val="20"/>
                <w:lang w:eastAsia="en-GB"/>
              </w:rPr>
            </w:pPr>
          </w:p>
        </w:tc>
      </w:tr>
      <w:tr w:rsidRPr="00700100" w:rsidR="00D646FE" w:rsidTr="00AC739C" w14:paraId="05FDAC38" w14:textId="77777777">
        <w:trPr>
          <w:trHeight w:val="300"/>
        </w:trPr>
        <w:tc>
          <w:tcPr>
            <w:tcW w:w="6804" w:type="dxa"/>
            <w:tcBorders>
              <w:left w:val="nil"/>
              <w:bottom w:val="single" w:color="auto" w:sz="4" w:space="0"/>
              <w:right w:val="nil"/>
            </w:tcBorders>
            <w:noWrap/>
          </w:tcPr>
          <w:p w:rsidRPr="00700100" w:rsidR="00D646FE" w:rsidP="00AC739C" w:rsidRDefault="00D646FE" w14:paraId="4828F264" w14:textId="77777777">
            <w:pPr>
              <w:ind w:firstLine="220" w:firstLineChars="100"/>
              <w:rPr>
                <w:rFonts w:ascii="Arial" w:hAnsi="Arial" w:eastAsia="Times New Roman" w:cs="Arial"/>
                <w:sz w:val="20"/>
                <w:szCs w:val="20"/>
              </w:rPr>
            </w:pPr>
            <w:r w:rsidRPr="00700100">
              <w:t>g. Oddíl 8 – Ukazatel činnosti upisování</w:t>
            </w:r>
          </w:p>
        </w:tc>
        <w:tc>
          <w:tcPr>
            <w:tcW w:w="2745" w:type="dxa"/>
            <w:tcBorders>
              <w:left w:val="nil"/>
              <w:right w:val="nil"/>
            </w:tcBorders>
            <w:noWrap/>
          </w:tcPr>
          <w:p w:rsidRPr="00700100" w:rsidR="00D646FE" w:rsidP="00AC739C" w:rsidRDefault="00D646FE" w14:paraId="65E7BAFF" w14:textId="77777777">
            <w:pPr>
              <w:jc w:val="right"/>
              <w:rPr>
                <w:rFonts w:ascii="Arial" w:hAnsi="Arial" w:eastAsia="Times New Roman" w:cs="Arial"/>
                <w:sz w:val="20"/>
                <w:szCs w:val="20"/>
                <w:lang w:eastAsia="en-GB"/>
              </w:rPr>
            </w:pPr>
          </w:p>
        </w:tc>
      </w:tr>
      <w:tr w:rsidRPr="00700100" w:rsidR="00D646FE" w:rsidTr="00AC739C" w14:paraId="6A5F726A" w14:textId="77777777">
        <w:trPr>
          <w:trHeight w:val="300"/>
        </w:trPr>
        <w:tc>
          <w:tcPr>
            <w:tcW w:w="6804" w:type="dxa"/>
            <w:tcBorders>
              <w:left w:val="nil"/>
              <w:bottom w:val="single" w:color="auto" w:sz="4" w:space="0"/>
              <w:right w:val="nil"/>
            </w:tcBorders>
            <w:noWrap/>
          </w:tcPr>
          <w:p w:rsidRPr="00700100" w:rsidR="00D646FE" w:rsidP="00AC739C" w:rsidRDefault="00D646FE" w14:paraId="6FC4A32D" w14:textId="77777777">
            <w:pPr>
              <w:ind w:firstLine="220" w:firstLineChars="100"/>
              <w:rPr>
                <w:rFonts w:ascii="Arial" w:hAnsi="Arial" w:eastAsia="Times New Roman" w:cs="Arial"/>
                <w:sz w:val="20"/>
                <w:szCs w:val="20"/>
              </w:rPr>
            </w:pPr>
            <w:r w:rsidRPr="00700100">
              <w:t>h. Oddíl 9.c – Dílčí ukazatel pro objem obchodů s pevným výnosem</w:t>
            </w:r>
          </w:p>
        </w:tc>
        <w:tc>
          <w:tcPr>
            <w:tcW w:w="2745" w:type="dxa"/>
            <w:tcBorders>
              <w:left w:val="nil"/>
              <w:right w:val="nil"/>
            </w:tcBorders>
            <w:noWrap/>
          </w:tcPr>
          <w:p w:rsidRPr="00700100" w:rsidR="00D646FE" w:rsidP="00AC739C" w:rsidRDefault="00D646FE" w14:paraId="65B4F672" w14:textId="77777777">
            <w:pPr>
              <w:jc w:val="right"/>
              <w:rPr>
                <w:rFonts w:ascii="Arial" w:hAnsi="Arial" w:eastAsia="Times New Roman" w:cs="Arial"/>
                <w:sz w:val="20"/>
                <w:szCs w:val="20"/>
                <w:lang w:eastAsia="en-GB"/>
              </w:rPr>
            </w:pPr>
          </w:p>
        </w:tc>
      </w:tr>
      <w:tr w:rsidRPr="00700100" w:rsidR="00D646FE" w:rsidTr="00AC739C" w14:paraId="7AD2EA70" w14:textId="77777777">
        <w:trPr>
          <w:trHeight w:val="300"/>
        </w:trPr>
        <w:tc>
          <w:tcPr>
            <w:tcW w:w="6804" w:type="dxa"/>
            <w:tcBorders>
              <w:left w:val="nil"/>
              <w:bottom w:val="single" w:color="auto" w:sz="4" w:space="0"/>
              <w:right w:val="nil"/>
            </w:tcBorders>
            <w:noWrap/>
          </w:tcPr>
          <w:p w:rsidRPr="00700100" w:rsidR="00D646FE" w:rsidP="00AC739C" w:rsidRDefault="00D646FE" w14:paraId="6AB54823" w14:textId="77777777">
            <w:pPr>
              <w:ind w:left="171" w:firstLine="77" w:firstLineChars="35"/>
              <w:rPr>
                <w:rFonts w:ascii="Arial" w:hAnsi="Arial" w:eastAsia="Times New Roman" w:cs="Arial"/>
                <w:sz w:val="20"/>
                <w:szCs w:val="20"/>
              </w:rPr>
            </w:pPr>
            <w:r w:rsidRPr="00700100">
              <w:t>i. Oddíl 9.f – Dílčí ukazatel pro objem obchodů s akciemi a ostatními cennými papíry</w:t>
            </w:r>
          </w:p>
        </w:tc>
        <w:tc>
          <w:tcPr>
            <w:tcW w:w="2745" w:type="dxa"/>
            <w:tcBorders>
              <w:left w:val="nil"/>
              <w:right w:val="nil"/>
            </w:tcBorders>
            <w:noWrap/>
          </w:tcPr>
          <w:p w:rsidRPr="00700100" w:rsidR="00D646FE" w:rsidP="00AC739C" w:rsidRDefault="00D646FE" w14:paraId="479D5BAE" w14:textId="77777777">
            <w:pPr>
              <w:jc w:val="right"/>
              <w:rPr>
                <w:rFonts w:ascii="Arial" w:hAnsi="Arial" w:eastAsia="Times New Roman" w:cs="Arial"/>
                <w:sz w:val="20"/>
                <w:szCs w:val="20"/>
                <w:lang w:eastAsia="en-GB"/>
              </w:rPr>
            </w:pPr>
          </w:p>
        </w:tc>
      </w:tr>
      <w:tr w:rsidRPr="00700100" w:rsidR="00D646FE" w:rsidTr="00AC739C" w14:paraId="64E29013" w14:textId="77777777">
        <w:trPr>
          <w:trHeight w:val="300"/>
        </w:trPr>
        <w:tc>
          <w:tcPr>
            <w:tcW w:w="6804" w:type="dxa"/>
            <w:tcBorders>
              <w:left w:val="nil"/>
              <w:bottom w:val="single" w:color="auto" w:sz="4" w:space="0"/>
              <w:right w:val="nil"/>
            </w:tcBorders>
            <w:noWrap/>
          </w:tcPr>
          <w:p w:rsidRPr="00700100" w:rsidR="00D646FE" w:rsidP="00AC739C" w:rsidRDefault="00D646FE" w14:paraId="0878CECA" w14:textId="77777777">
            <w:pPr>
              <w:ind w:left="171" w:firstLine="77" w:firstLineChars="35"/>
              <w:rPr>
                <w:rFonts w:ascii="Arial" w:hAnsi="Arial" w:eastAsia="Times New Roman" w:cs="Arial"/>
                <w:sz w:val="20"/>
                <w:szCs w:val="20"/>
              </w:rPr>
            </w:pPr>
            <w:r w:rsidRPr="00700100">
              <w:t>j. Oddíl 10 – Ukazatel OTC derivátů, včetně pojišťovacích dceřiných společností</w:t>
            </w:r>
          </w:p>
        </w:tc>
        <w:tc>
          <w:tcPr>
            <w:tcW w:w="2745" w:type="dxa"/>
            <w:tcBorders>
              <w:left w:val="nil"/>
              <w:right w:val="nil"/>
            </w:tcBorders>
            <w:noWrap/>
          </w:tcPr>
          <w:p w:rsidRPr="00700100" w:rsidR="00D646FE" w:rsidP="00AC739C" w:rsidRDefault="00D646FE" w14:paraId="1DA1D7DA" w14:textId="77777777">
            <w:pPr>
              <w:jc w:val="right"/>
              <w:rPr>
                <w:rFonts w:ascii="Arial" w:hAnsi="Arial" w:eastAsia="Times New Roman" w:cs="Arial"/>
                <w:sz w:val="20"/>
                <w:szCs w:val="20"/>
                <w:lang w:eastAsia="en-GB"/>
              </w:rPr>
            </w:pPr>
          </w:p>
        </w:tc>
      </w:tr>
      <w:tr w:rsidRPr="00700100" w:rsidR="00D646FE" w:rsidTr="00AC739C" w14:paraId="708DA896" w14:textId="77777777">
        <w:trPr>
          <w:trHeight w:val="300"/>
        </w:trPr>
        <w:tc>
          <w:tcPr>
            <w:tcW w:w="6804" w:type="dxa"/>
            <w:tcBorders>
              <w:left w:val="nil"/>
              <w:bottom w:val="single" w:color="auto" w:sz="4" w:space="0"/>
              <w:right w:val="nil"/>
            </w:tcBorders>
            <w:noWrap/>
          </w:tcPr>
          <w:p w:rsidRPr="00700100" w:rsidR="00D646FE" w:rsidP="00AC739C" w:rsidRDefault="00D646FE" w14:paraId="62BE067C" w14:textId="77777777">
            <w:pPr>
              <w:ind w:firstLine="220" w:firstLineChars="100"/>
              <w:rPr>
                <w:rFonts w:ascii="Arial" w:hAnsi="Arial" w:eastAsia="Times New Roman" w:cs="Arial"/>
                <w:sz w:val="20"/>
                <w:szCs w:val="20"/>
              </w:rPr>
            </w:pPr>
            <w:r w:rsidRPr="00700100">
              <w:t>k. Oddíl 11 – Ukazatel cenných papírů k obchodování a realizovatelných</w:t>
            </w:r>
          </w:p>
        </w:tc>
        <w:tc>
          <w:tcPr>
            <w:tcW w:w="2745" w:type="dxa"/>
            <w:tcBorders>
              <w:left w:val="nil"/>
              <w:right w:val="nil"/>
            </w:tcBorders>
            <w:noWrap/>
          </w:tcPr>
          <w:p w:rsidRPr="00700100" w:rsidR="00D646FE" w:rsidP="00AC739C" w:rsidRDefault="00D646FE" w14:paraId="2F0BBE3B" w14:textId="77777777">
            <w:pPr>
              <w:jc w:val="right"/>
              <w:rPr>
                <w:rFonts w:ascii="Arial" w:hAnsi="Arial" w:eastAsia="Times New Roman" w:cs="Arial"/>
                <w:sz w:val="20"/>
                <w:szCs w:val="20"/>
                <w:lang w:eastAsia="en-GB"/>
              </w:rPr>
            </w:pPr>
          </w:p>
        </w:tc>
      </w:tr>
      <w:tr w:rsidRPr="00700100" w:rsidR="00D646FE" w:rsidTr="00AC739C" w14:paraId="106AD7F8" w14:textId="77777777">
        <w:trPr>
          <w:trHeight w:val="300"/>
        </w:trPr>
        <w:tc>
          <w:tcPr>
            <w:tcW w:w="6804" w:type="dxa"/>
            <w:tcBorders>
              <w:left w:val="nil"/>
              <w:bottom w:val="single" w:color="auto" w:sz="4" w:space="0"/>
              <w:right w:val="nil"/>
            </w:tcBorders>
            <w:noWrap/>
          </w:tcPr>
          <w:p w:rsidRPr="00700100" w:rsidR="00D646FE" w:rsidP="00AC739C" w:rsidRDefault="00D646FE" w14:paraId="05896374" w14:textId="77777777">
            <w:pPr>
              <w:ind w:firstLine="220" w:firstLineChars="100"/>
              <w:rPr>
                <w:rFonts w:ascii="Arial" w:hAnsi="Arial" w:eastAsia="Times New Roman" w:cs="Arial"/>
                <w:sz w:val="20"/>
                <w:szCs w:val="20"/>
              </w:rPr>
            </w:pPr>
            <w:r w:rsidRPr="00700100">
              <w:t>l. Oddíl 12 – Ukazatel aktiv úrovně 3, včetně pojišťovacích dceřiných společností</w:t>
            </w:r>
          </w:p>
        </w:tc>
        <w:tc>
          <w:tcPr>
            <w:tcW w:w="2745" w:type="dxa"/>
            <w:tcBorders>
              <w:left w:val="nil"/>
              <w:right w:val="nil"/>
            </w:tcBorders>
            <w:noWrap/>
          </w:tcPr>
          <w:p w:rsidRPr="00700100" w:rsidR="00D646FE" w:rsidP="00AC739C" w:rsidRDefault="00D646FE" w14:paraId="02B90E6B" w14:textId="77777777">
            <w:pPr>
              <w:jc w:val="right"/>
              <w:rPr>
                <w:rFonts w:ascii="Arial" w:hAnsi="Arial" w:eastAsia="Times New Roman" w:cs="Arial"/>
                <w:sz w:val="20"/>
                <w:szCs w:val="20"/>
                <w:lang w:eastAsia="en-GB"/>
              </w:rPr>
            </w:pPr>
          </w:p>
        </w:tc>
      </w:tr>
      <w:tr w:rsidRPr="00700100" w:rsidR="00D646FE" w:rsidTr="00AC739C" w14:paraId="22C1D6EB" w14:textId="77777777">
        <w:trPr>
          <w:trHeight w:val="300"/>
        </w:trPr>
        <w:tc>
          <w:tcPr>
            <w:tcW w:w="6804" w:type="dxa"/>
            <w:tcBorders>
              <w:left w:val="nil"/>
              <w:bottom w:val="single" w:color="auto" w:sz="4" w:space="0"/>
              <w:right w:val="nil"/>
            </w:tcBorders>
            <w:noWrap/>
          </w:tcPr>
          <w:p w:rsidRPr="00700100" w:rsidR="00D646FE" w:rsidP="00AC739C" w:rsidRDefault="00D646FE" w14:paraId="6DEC084E" w14:textId="77777777">
            <w:pPr>
              <w:ind w:firstLine="220" w:firstLineChars="100"/>
              <w:rPr>
                <w:rFonts w:ascii="Arial" w:hAnsi="Arial" w:eastAsia="Times New Roman" w:cs="Arial"/>
                <w:sz w:val="20"/>
                <w:szCs w:val="20"/>
              </w:rPr>
            </w:pPr>
            <w:r w:rsidRPr="00700100">
              <w:t>m. Oddíl 13 – Ukazatel pohledávek napříč jurisdikcemi</w:t>
            </w:r>
          </w:p>
        </w:tc>
        <w:tc>
          <w:tcPr>
            <w:tcW w:w="2745" w:type="dxa"/>
            <w:tcBorders>
              <w:left w:val="nil"/>
              <w:right w:val="nil"/>
            </w:tcBorders>
            <w:noWrap/>
          </w:tcPr>
          <w:p w:rsidRPr="00700100" w:rsidR="00D646FE" w:rsidP="00AC739C" w:rsidRDefault="00D646FE" w14:paraId="1307868F" w14:textId="77777777">
            <w:pPr>
              <w:jc w:val="right"/>
              <w:rPr>
                <w:rFonts w:ascii="Arial" w:hAnsi="Arial" w:eastAsia="Times New Roman" w:cs="Arial"/>
                <w:sz w:val="20"/>
                <w:szCs w:val="20"/>
                <w:lang w:eastAsia="en-GB"/>
              </w:rPr>
            </w:pPr>
          </w:p>
        </w:tc>
      </w:tr>
      <w:tr w:rsidRPr="00700100" w:rsidR="00D646FE" w:rsidTr="00AC739C" w14:paraId="4AA9C502" w14:textId="77777777">
        <w:trPr>
          <w:trHeight w:val="300"/>
        </w:trPr>
        <w:tc>
          <w:tcPr>
            <w:tcW w:w="6804" w:type="dxa"/>
            <w:tcBorders>
              <w:left w:val="nil"/>
              <w:bottom w:val="single" w:color="auto" w:sz="4" w:space="0"/>
              <w:right w:val="nil"/>
            </w:tcBorders>
            <w:noWrap/>
          </w:tcPr>
          <w:p w:rsidRPr="00700100" w:rsidR="00D646FE" w:rsidP="00AC739C" w:rsidRDefault="00D646FE" w14:paraId="015ECD57" w14:textId="77777777">
            <w:pPr>
              <w:ind w:firstLine="220" w:firstLineChars="100"/>
              <w:rPr>
                <w:rFonts w:ascii="Arial" w:hAnsi="Arial" w:eastAsia="Times New Roman" w:cs="Arial"/>
                <w:sz w:val="20"/>
                <w:szCs w:val="20"/>
              </w:rPr>
            </w:pPr>
            <w:r w:rsidRPr="00700100">
              <w:t>n. Oddíl 14 – Ukazatel závazků napříč jurisdikcemi</w:t>
            </w:r>
          </w:p>
        </w:tc>
        <w:tc>
          <w:tcPr>
            <w:tcW w:w="2745" w:type="dxa"/>
            <w:tcBorders>
              <w:left w:val="nil"/>
              <w:right w:val="nil"/>
            </w:tcBorders>
            <w:noWrap/>
          </w:tcPr>
          <w:p w:rsidRPr="00700100" w:rsidR="00D646FE" w:rsidP="00AC739C" w:rsidRDefault="00D646FE" w14:paraId="2CF83F86" w14:textId="77777777">
            <w:pPr>
              <w:jc w:val="right"/>
              <w:rPr>
                <w:rFonts w:ascii="Arial" w:hAnsi="Arial" w:eastAsia="Times New Roman" w:cs="Arial"/>
                <w:sz w:val="20"/>
                <w:szCs w:val="20"/>
                <w:lang w:eastAsia="en-GB"/>
              </w:rPr>
            </w:pPr>
          </w:p>
        </w:tc>
      </w:tr>
      <w:tr w:rsidRPr="00700100" w:rsidR="00D646FE" w:rsidTr="00AC739C" w14:paraId="5C3ED7A3" w14:textId="77777777">
        <w:trPr>
          <w:trHeight w:val="300"/>
        </w:trPr>
        <w:tc>
          <w:tcPr>
            <w:tcW w:w="6804" w:type="dxa"/>
            <w:tcBorders>
              <w:left w:val="nil"/>
              <w:bottom w:val="single" w:color="auto" w:sz="4" w:space="0"/>
              <w:right w:val="nil"/>
            </w:tcBorders>
            <w:noWrap/>
          </w:tcPr>
          <w:p w:rsidRPr="00700100" w:rsidR="00D646FE" w:rsidP="00AC739C" w:rsidRDefault="00D646FE" w14:paraId="6DF7AE16" w14:textId="77777777">
            <w:pPr>
              <w:ind w:firstLine="220" w:firstLineChars="100"/>
              <w:rPr>
                <w:rFonts w:ascii="Arial" w:hAnsi="Arial" w:eastAsia="Times New Roman" w:cs="Arial"/>
                <w:sz w:val="20"/>
                <w:szCs w:val="20"/>
              </w:rPr>
            </w:pPr>
            <w:r w:rsidRPr="00700100">
              <w:t>o. Ostatní oddíly</w:t>
            </w:r>
          </w:p>
        </w:tc>
        <w:tc>
          <w:tcPr>
            <w:tcW w:w="2745" w:type="dxa"/>
            <w:tcBorders>
              <w:left w:val="nil"/>
              <w:right w:val="nil"/>
            </w:tcBorders>
            <w:noWrap/>
          </w:tcPr>
          <w:p w:rsidRPr="00700100" w:rsidR="00D646FE" w:rsidP="00AC739C" w:rsidRDefault="00D646FE" w14:paraId="51DE67BE" w14:textId="77777777">
            <w:pPr>
              <w:jc w:val="right"/>
              <w:rPr>
                <w:rFonts w:ascii="Arial" w:hAnsi="Arial" w:eastAsia="Times New Roman" w:cs="Arial"/>
                <w:sz w:val="20"/>
                <w:szCs w:val="20"/>
                <w:lang w:eastAsia="en-GB"/>
              </w:rPr>
            </w:pPr>
          </w:p>
        </w:tc>
      </w:tr>
      <w:tr w:rsidRPr="00700100" w:rsidR="00D646FE" w:rsidTr="00AC739C" w14:paraId="6F6E5EBE" w14:textId="77777777">
        <w:trPr>
          <w:trHeight w:val="300"/>
        </w:trPr>
        <w:tc>
          <w:tcPr>
            <w:tcW w:w="6804" w:type="dxa"/>
            <w:tcBorders>
              <w:left w:val="nil"/>
              <w:bottom w:val="single" w:color="auto" w:sz="4" w:space="0"/>
              <w:right w:val="nil"/>
            </w:tcBorders>
            <w:noWrap/>
          </w:tcPr>
          <w:p w:rsidRPr="00700100" w:rsidR="00D646FE" w:rsidP="00AC739C" w:rsidRDefault="00D646FE" w14:paraId="71E36C77" w14:textId="77777777">
            <w:pPr>
              <w:ind w:firstLine="220" w:firstLineChars="100"/>
              <w:rPr>
                <w:rFonts w:ascii="Arial" w:hAnsi="Arial" w:eastAsia="Times New Roman" w:cs="Arial"/>
                <w:sz w:val="20"/>
                <w:szCs w:val="20"/>
              </w:rPr>
            </w:pPr>
            <w:r w:rsidRPr="00700100">
              <w:t>(1) Položka 1.a – Obecné informace poskytnuté orgánem dohledu</w:t>
            </w:r>
          </w:p>
        </w:tc>
        <w:tc>
          <w:tcPr>
            <w:tcW w:w="2745" w:type="dxa"/>
            <w:tcBorders>
              <w:left w:val="nil"/>
              <w:right w:val="nil"/>
            </w:tcBorders>
            <w:noWrap/>
          </w:tcPr>
          <w:p w:rsidRPr="00700100" w:rsidR="00D646FE" w:rsidP="00AC739C" w:rsidRDefault="00D646FE" w14:paraId="3CC512C8" w14:textId="77777777">
            <w:pPr>
              <w:jc w:val="right"/>
              <w:rPr>
                <w:rFonts w:ascii="Arial" w:hAnsi="Arial" w:eastAsia="Times New Roman" w:cs="Arial"/>
                <w:sz w:val="20"/>
                <w:szCs w:val="20"/>
                <w:lang w:eastAsia="en-GB"/>
              </w:rPr>
            </w:pPr>
          </w:p>
        </w:tc>
      </w:tr>
      <w:tr w:rsidRPr="00700100" w:rsidR="00D646FE" w:rsidTr="00AC739C" w14:paraId="4F36A83D" w14:textId="77777777">
        <w:trPr>
          <w:trHeight w:val="300"/>
        </w:trPr>
        <w:tc>
          <w:tcPr>
            <w:tcW w:w="6804" w:type="dxa"/>
            <w:tcBorders>
              <w:left w:val="nil"/>
              <w:bottom w:val="single" w:color="auto" w:sz="4" w:space="0"/>
              <w:right w:val="nil"/>
            </w:tcBorders>
            <w:noWrap/>
          </w:tcPr>
          <w:p w:rsidRPr="00700100" w:rsidR="00D646FE" w:rsidP="00AC739C" w:rsidRDefault="00D646FE" w14:paraId="783581ED" w14:textId="77777777">
            <w:pPr>
              <w:ind w:firstLine="220" w:firstLineChars="100"/>
              <w:rPr>
                <w:rFonts w:ascii="Arial" w:hAnsi="Arial" w:eastAsia="Times New Roman" w:cs="Arial"/>
                <w:sz w:val="20"/>
                <w:szCs w:val="20"/>
              </w:rPr>
            </w:pPr>
            <w:r w:rsidRPr="00700100">
              <w:t>(2) Položka 1.b – Obecné informace poskytnuté vykazující institucí</w:t>
            </w:r>
          </w:p>
        </w:tc>
        <w:tc>
          <w:tcPr>
            <w:tcW w:w="2745" w:type="dxa"/>
            <w:tcBorders>
              <w:left w:val="nil"/>
              <w:right w:val="nil"/>
            </w:tcBorders>
            <w:noWrap/>
          </w:tcPr>
          <w:p w:rsidRPr="00700100" w:rsidR="00D646FE" w:rsidP="00AC739C" w:rsidRDefault="00D646FE" w14:paraId="37C6584F" w14:textId="77777777">
            <w:pPr>
              <w:jc w:val="right"/>
              <w:rPr>
                <w:rFonts w:ascii="Arial" w:hAnsi="Arial" w:eastAsia="Times New Roman" w:cs="Arial"/>
                <w:sz w:val="20"/>
                <w:szCs w:val="20"/>
                <w:lang w:eastAsia="en-GB"/>
              </w:rPr>
            </w:pPr>
          </w:p>
        </w:tc>
      </w:tr>
      <w:tr w:rsidRPr="00700100" w:rsidR="00D646FE" w:rsidTr="00AC739C" w14:paraId="6A77158F" w14:textId="77777777">
        <w:trPr>
          <w:trHeight w:val="300"/>
        </w:trPr>
        <w:tc>
          <w:tcPr>
            <w:tcW w:w="6804" w:type="dxa"/>
            <w:tcBorders>
              <w:left w:val="nil"/>
              <w:bottom w:val="single" w:color="auto" w:sz="4" w:space="0"/>
              <w:right w:val="nil"/>
            </w:tcBorders>
            <w:noWrap/>
          </w:tcPr>
          <w:p w:rsidRPr="00700100" w:rsidR="00D646FE" w:rsidP="00AC739C" w:rsidRDefault="00D646FE" w14:paraId="7EE10852" w14:textId="77777777">
            <w:pPr>
              <w:ind w:firstLine="220" w:firstLineChars="100"/>
              <w:rPr>
                <w:rFonts w:ascii="Arial" w:hAnsi="Arial" w:eastAsia="Times New Roman" w:cs="Arial"/>
                <w:sz w:val="20"/>
                <w:szCs w:val="20"/>
              </w:rPr>
            </w:pPr>
            <w:r w:rsidRPr="00700100">
              <w:t>(3) Oddíl 15 – Přidružené ukazatele</w:t>
            </w:r>
          </w:p>
        </w:tc>
        <w:tc>
          <w:tcPr>
            <w:tcW w:w="2745" w:type="dxa"/>
            <w:tcBorders>
              <w:left w:val="nil"/>
              <w:right w:val="nil"/>
            </w:tcBorders>
            <w:noWrap/>
          </w:tcPr>
          <w:p w:rsidRPr="00700100" w:rsidR="00D646FE" w:rsidP="00AC739C" w:rsidRDefault="00D646FE" w14:paraId="1A091BAA" w14:textId="77777777">
            <w:pPr>
              <w:jc w:val="right"/>
              <w:rPr>
                <w:rFonts w:ascii="Arial" w:hAnsi="Arial" w:eastAsia="Times New Roman" w:cs="Arial"/>
                <w:sz w:val="20"/>
                <w:szCs w:val="20"/>
                <w:lang w:eastAsia="en-GB"/>
              </w:rPr>
            </w:pPr>
          </w:p>
        </w:tc>
      </w:tr>
      <w:tr w:rsidRPr="00700100" w:rsidR="00D646FE" w:rsidTr="00AC739C" w14:paraId="6FC4ED61" w14:textId="77777777">
        <w:trPr>
          <w:trHeight w:val="300"/>
        </w:trPr>
        <w:tc>
          <w:tcPr>
            <w:tcW w:w="6804" w:type="dxa"/>
            <w:tcBorders>
              <w:left w:val="nil"/>
              <w:bottom w:val="single" w:color="auto" w:sz="4" w:space="0"/>
              <w:right w:val="nil"/>
            </w:tcBorders>
            <w:noWrap/>
          </w:tcPr>
          <w:p w:rsidRPr="00700100" w:rsidR="00D646FE" w:rsidP="00AC739C" w:rsidRDefault="00D646FE" w14:paraId="7582EFC1" w14:textId="77777777">
            <w:pPr>
              <w:ind w:firstLine="220" w:firstLineChars="100"/>
              <w:rPr>
                <w:rFonts w:ascii="Arial" w:hAnsi="Arial" w:eastAsia="Times New Roman" w:cs="Arial"/>
                <w:sz w:val="20"/>
                <w:szCs w:val="20"/>
              </w:rPr>
            </w:pPr>
            <w:r w:rsidRPr="00700100">
              <w:t>(4) Oddíl 16 – Přidružené položky</w:t>
            </w:r>
          </w:p>
        </w:tc>
        <w:tc>
          <w:tcPr>
            <w:tcW w:w="2745" w:type="dxa"/>
            <w:tcBorders>
              <w:left w:val="nil"/>
              <w:right w:val="nil"/>
            </w:tcBorders>
            <w:noWrap/>
          </w:tcPr>
          <w:p w:rsidRPr="00700100" w:rsidR="00D646FE" w:rsidP="00AC739C" w:rsidRDefault="00D646FE" w14:paraId="3B34B307" w14:textId="77777777">
            <w:pPr>
              <w:jc w:val="right"/>
              <w:rPr>
                <w:rFonts w:ascii="Arial" w:hAnsi="Arial" w:eastAsia="Times New Roman" w:cs="Arial"/>
                <w:sz w:val="20"/>
                <w:szCs w:val="20"/>
                <w:lang w:eastAsia="en-GB"/>
              </w:rPr>
            </w:pPr>
          </w:p>
        </w:tc>
      </w:tr>
      <w:tr w:rsidRPr="00700100" w:rsidR="00D646FE" w:rsidTr="00AC739C" w14:paraId="1E462E55" w14:textId="77777777">
        <w:trPr>
          <w:trHeight w:val="300"/>
        </w:trPr>
        <w:tc>
          <w:tcPr>
            <w:tcW w:w="6804" w:type="dxa"/>
            <w:tcBorders>
              <w:left w:val="nil"/>
              <w:bottom w:val="single" w:color="auto" w:sz="4" w:space="0"/>
              <w:right w:val="nil"/>
            </w:tcBorders>
            <w:noWrap/>
          </w:tcPr>
          <w:p w:rsidRPr="00700100" w:rsidR="00D646FE" w:rsidP="00AC739C" w:rsidRDefault="00D646FE" w14:paraId="70D39A45" w14:textId="77777777">
            <w:pPr>
              <w:ind w:firstLine="220" w:firstLineChars="100"/>
              <w:rPr>
                <w:rFonts w:ascii="Arial" w:hAnsi="Arial" w:eastAsia="Times New Roman" w:cs="Arial"/>
                <w:sz w:val="20"/>
                <w:szCs w:val="20"/>
              </w:rPr>
            </w:pPr>
            <w:r w:rsidRPr="00700100">
              <w:t>(5) Oddíl 17 – Položky vztahující se k velikosti</w:t>
            </w:r>
          </w:p>
        </w:tc>
        <w:tc>
          <w:tcPr>
            <w:tcW w:w="2745" w:type="dxa"/>
            <w:tcBorders>
              <w:left w:val="nil"/>
              <w:right w:val="nil"/>
            </w:tcBorders>
            <w:noWrap/>
          </w:tcPr>
          <w:p w:rsidRPr="00700100" w:rsidR="00D646FE" w:rsidP="00AC739C" w:rsidRDefault="00D646FE" w14:paraId="00D248F9" w14:textId="77777777">
            <w:pPr>
              <w:jc w:val="right"/>
              <w:rPr>
                <w:rFonts w:ascii="Arial" w:hAnsi="Arial" w:eastAsia="Times New Roman" w:cs="Arial"/>
                <w:sz w:val="20"/>
                <w:szCs w:val="20"/>
                <w:lang w:eastAsia="en-GB"/>
              </w:rPr>
            </w:pPr>
          </w:p>
        </w:tc>
      </w:tr>
      <w:tr w:rsidRPr="00700100" w:rsidR="00D646FE" w:rsidTr="00AC739C" w14:paraId="151F11E8" w14:textId="77777777">
        <w:trPr>
          <w:trHeight w:val="300"/>
        </w:trPr>
        <w:tc>
          <w:tcPr>
            <w:tcW w:w="6804" w:type="dxa"/>
            <w:tcBorders>
              <w:left w:val="nil"/>
              <w:bottom w:val="single" w:color="auto" w:sz="4" w:space="0"/>
              <w:right w:val="nil"/>
            </w:tcBorders>
            <w:noWrap/>
          </w:tcPr>
          <w:p w:rsidRPr="00700100" w:rsidR="00D646FE" w:rsidP="00AC739C" w:rsidRDefault="00D646FE" w14:paraId="056C3D5D" w14:textId="77777777">
            <w:pPr>
              <w:ind w:firstLine="220" w:firstLineChars="100"/>
              <w:rPr>
                <w:rFonts w:ascii="Arial" w:hAnsi="Arial" w:eastAsia="Times New Roman" w:cs="Arial"/>
                <w:sz w:val="20"/>
                <w:szCs w:val="20"/>
              </w:rPr>
            </w:pPr>
            <w:r w:rsidRPr="00700100">
              <w:t>(6) Oddíl 18 – Položky vztahující se k propojení</w:t>
            </w:r>
          </w:p>
        </w:tc>
        <w:tc>
          <w:tcPr>
            <w:tcW w:w="2745" w:type="dxa"/>
            <w:tcBorders>
              <w:left w:val="nil"/>
              <w:right w:val="nil"/>
            </w:tcBorders>
            <w:noWrap/>
          </w:tcPr>
          <w:p w:rsidRPr="00700100" w:rsidR="00D646FE" w:rsidP="00AC739C" w:rsidRDefault="00D646FE" w14:paraId="247AC688" w14:textId="77777777">
            <w:pPr>
              <w:jc w:val="right"/>
              <w:rPr>
                <w:rFonts w:ascii="Arial" w:hAnsi="Arial" w:eastAsia="Times New Roman" w:cs="Arial"/>
                <w:sz w:val="20"/>
                <w:szCs w:val="20"/>
                <w:lang w:eastAsia="en-GB"/>
              </w:rPr>
            </w:pPr>
          </w:p>
        </w:tc>
      </w:tr>
      <w:tr w:rsidRPr="00700100" w:rsidR="00D646FE" w:rsidTr="00AC739C" w14:paraId="4793AAA2" w14:textId="77777777">
        <w:trPr>
          <w:trHeight w:val="300"/>
        </w:trPr>
        <w:tc>
          <w:tcPr>
            <w:tcW w:w="6804" w:type="dxa"/>
            <w:tcBorders>
              <w:left w:val="nil"/>
              <w:bottom w:val="single" w:color="auto" w:sz="4" w:space="0"/>
              <w:right w:val="nil"/>
            </w:tcBorders>
            <w:noWrap/>
          </w:tcPr>
          <w:p w:rsidRPr="00700100" w:rsidR="00D646FE" w:rsidP="00AC739C" w:rsidRDefault="00D646FE" w14:paraId="63FEBFD7" w14:textId="77777777">
            <w:pPr>
              <w:ind w:firstLine="220" w:firstLineChars="100"/>
              <w:rPr>
                <w:rFonts w:ascii="Arial" w:hAnsi="Arial" w:eastAsia="Times New Roman" w:cs="Arial"/>
                <w:sz w:val="20"/>
                <w:szCs w:val="20"/>
              </w:rPr>
            </w:pPr>
            <w:r w:rsidRPr="00700100">
              <w:t>(7) Oddíl 19 – Položky vztahující se k nahraditelnosti / finanční infrastruktuře Položky</w:t>
            </w:r>
          </w:p>
        </w:tc>
        <w:tc>
          <w:tcPr>
            <w:tcW w:w="2745" w:type="dxa"/>
            <w:tcBorders>
              <w:left w:val="nil"/>
              <w:right w:val="nil"/>
            </w:tcBorders>
            <w:noWrap/>
          </w:tcPr>
          <w:p w:rsidRPr="00700100" w:rsidR="00D646FE" w:rsidP="00AC739C" w:rsidRDefault="00D646FE" w14:paraId="3F129966" w14:textId="77777777">
            <w:pPr>
              <w:jc w:val="right"/>
              <w:rPr>
                <w:rFonts w:ascii="Arial" w:hAnsi="Arial" w:eastAsia="Times New Roman" w:cs="Arial"/>
                <w:sz w:val="20"/>
                <w:szCs w:val="20"/>
                <w:lang w:eastAsia="en-GB"/>
              </w:rPr>
            </w:pPr>
          </w:p>
        </w:tc>
      </w:tr>
      <w:tr w:rsidRPr="00700100" w:rsidR="00D646FE" w:rsidTr="00AC739C" w14:paraId="29B6472F" w14:textId="77777777">
        <w:trPr>
          <w:trHeight w:val="300"/>
        </w:trPr>
        <w:tc>
          <w:tcPr>
            <w:tcW w:w="6804" w:type="dxa"/>
            <w:tcBorders>
              <w:left w:val="nil"/>
              <w:bottom w:val="single" w:color="auto" w:sz="4" w:space="0"/>
              <w:right w:val="nil"/>
            </w:tcBorders>
            <w:noWrap/>
          </w:tcPr>
          <w:p w:rsidRPr="00700100" w:rsidR="00D646FE" w:rsidP="00AC739C" w:rsidRDefault="00D646FE" w14:paraId="0705D4C2" w14:textId="77777777">
            <w:pPr>
              <w:ind w:firstLine="220" w:firstLineChars="100"/>
              <w:rPr>
                <w:rFonts w:ascii="Arial" w:hAnsi="Arial" w:eastAsia="Times New Roman" w:cs="Arial"/>
                <w:sz w:val="20"/>
                <w:szCs w:val="20"/>
              </w:rPr>
            </w:pPr>
            <w:r w:rsidRPr="00700100">
              <w:t>(8) Oddíl 20 – Položky vztahující se k složitosti</w:t>
            </w:r>
          </w:p>
        </w:tc>
        <w:tc>
          <w:tcPr>
            <w:tcW w:w="2745" w:type="dxa"/>
            <w:tcBorders>
              <w:left w:val="nil"/>
              <w:right w:val="nil"/>
            </w:tcBorders>
            <w:noWrap/>
          </w:tcPr>
          <w:p w:rsidRPr="00700100" w:rsidR="00D646FE" w:rsidP="00AC739C" w:rsidRDefault="00D646FE" w14:paraId="05BFCA08" w14:textId="77777777">
            <w:pPr>
              <w:jc w:val="right"/>
              <w:rPr>
                <w:rFonts w:ascii="Arial" w:hAnsi="Arial" w:eastAsia="Times New Roman" w:cs="Arial"/>
                <w:sz w:val="20"/>
                <w:szCs w:val="20"/>
                <w:lang w:eastAsia="en-GB"/>
              </w:rPr>
            </w:pPr>
          </w:p>
        </w:tc>
      </w:tr>
      <w:tr w:rsidRPr="00700100" w:rsidR="00D646FE" w:rsidTr="00AC739C" w14:paraId="1B4A3246" w14:textId="77777777">
        <w:trPr>
          <w:trHeight w:val="300"/>
        </w:trPr>
        <w:tc>
          <w:tcPr>
            <w:tcW w:w="6804" w:type="dxa"/>
            <w:tcBorders>
              <w:left w:val="nil"/>
              <w:bottom w:val="single" w:color="auto" w:sz="4" w:space="0"/>
              <w:right w:val="nil"/>
            </w:tcBorders>
            <w:noWrap/>
          </w:tcPr>
          <w:p w:rsidRPr="00700100" w:rsidR="00D646FE" w:rsidP="00AC739C" w:rsidRDefault="00D646FE" w14:paraId="50D5AB58" w14:textId="77777777">
            <w:pPr>
              <w:ind w:firstLine="220" w:firstLineChars="100"/>
              <w:rPr>
                <w:rFonts w:ascii="Arial" w:hAnsi="Arial" w:eastAsia="Times New Roman" w:cs="Arial"/>
                <w:sz w:val="20"/>
                <w:szCs w:val="20"/>
              </w:rPr>
            </w:pPr>
            <w:r w:rsidRPr="00700100">
              <w:t>(9) Oddíl 21 – Položky činností napříč jurisdikcemi</w:t>
            </w:r>
          </w:p>
        </w:tc>
        <w:tc>
          <w:tcPr>
            <w:tcW w:w="2745" w:type="dxa"/>
            <w:tcBorders>
              <w:left w:val="nil"/>
              <w:right w:val="nil"/>
            </w:tcBorders>
            <w:noWrap/>
          </w:tcPr>
          <w:p w:rsidRPr="00700100" w:rsidR="00D646FE" w:rsidP="00AC739C" w:rsidRDefault="00D646FE" w14:paraId="301B1D92" w14:textId="77777777">
            <w:pPr>
              <w:jc w:val="right"/>
              <w:rPr>
                <w:rFonts w:ascii="Arial" w:hAnsi="Arial" w:eastAsia="Times New Roman" w:cs="Arial"/>
                <w:sz w:val="20"/>
                <w:szCs w:val="20"/>
                <w:lang w:eastAsia="en-GB"/>
              </w:rPr>
            </w:pPr>
          </w:p>
        </w:tc>
      </w:tr>
      <w:tr w:rsidRPr="00700100" w:rsidR="00D646FE" w:rsidTr="00AC739C" w14:paraId="5B0DB758" w14:textId="77777777">
        <w:trPr>
          <w:trHeight w:val="300"/>
        </w:trPr>
        <w:tc>
          <w:tcPr>
            <w:tcW w:w="6804" w:type="dxa"/>
            <w:tcBorders>
              <w:left w:val="nil"/>
              <w:bottom w:val="single" w:color="auto" w:sz="4" w:space="0"/>
              <w:right w:val="nil"/>
            </w:tcBorders>
            <w:noWrap/>
          </w:tcPr>
          <w:p w:rsidRPr="00700100" w:rsidR="00D646FE" w:rsidP="00AC739C" w:rsidRDefault="00D646FE" w14:paraId="08775ECE" w14:textId="77777777">
            <w:pPr>
              <w:ind w:firstLine="220" w:firstLineChars="100"/>
              <w:rPr>
                <w:rFonts w:ascii="Arial" w:hAnsi="Arial" w:eastAsia="Times New Roman" w:cs="Arial"/>
                <w:sz w:val="20"/>
                <w:szCs w:val="20"/>
              </w:rPr>
            </w:pPr>
            <w:r w:rsidRPr="00700100">
              <w:t>(10) Oddíl 22 – Přidružené ukazatele</w:t>
            </w:r>
          </w:p>
        </w:tc>
        <w:tc>
          <w:tcPr>
            <w:tcW w:w="2745" w:type="dxa"/>
            <w:tcBorders>
              <w:left w:val="nil"/>
              <w:right w:val="nil"/>
            </w:tcBorders>
            <w:noWrap/>
          </w:tcPr>
          <w:p w:rsidRPr="00700100" w:rsidR="00D646FE" w:rsidP="00AC739C" w:rsidRDefault="00D646FE" w14:paraId="667CC13A" w14:textId="77777777">
            <w:pPr>
              <w:jc w:val="right"/>
              <w:rPr>
                <w:rFonts w:ascii="Arial" w:hAnsi="Arial" w:eastAsia="Times New Roman" w:cs="Arial"/>
                <w:sz w:val="20"/>
                <w:szCs w:val="20"/>
                <w:lang w:eastAsia="en-GB"/>
              </w:rPr>
            </w:pPr>
          </w:p>
        </w:tc>
      </w:tr>
      <w:tr w:rsidRPr="00700100" w:rsidR="00D646FE" w:rsidTr="00AC739C" w14:paraId="411314EC" w14:textId="77777777">
        <w:trPr>
          <w:trHeight w:val="300"/>
        </w:trPr>
        <w:tc>
          <w:tcPr>
            <w:tcW w:w="6804" w:type="dxa"/>
            <w:tcBorders>
              <w:left w:val="nil"/>
              <w:bottom w:val="single" w:color="auto" w:sz="4" w:space="0"/>
              <w:right w:val="nil"/>
            </w:tcBorders>
            <w:noWrap/>
          </w:tcPr>
          <w:p w:rsidRPr="00700100" w:rsidR="00D646FE" w:rsidP="00AC739C" w:rsidRDefault="00D646FE" w14:paraId="383F8CAD" w14:textId="77777777">
            <w:pPr>
              <w:rPr>
                <w:b/>
                <w:bCs/>
              </w:rPr>
            </w:pPr>
          </w:p>
        </w:tc>
        <w:tc>
          <w:tcPr>
            <w:tcW w:w="2745" w:type="dxa"/>
            <w:tcBorders>
              <w:left w:val="nil"/>
              <w:right w:val="nil"/>
            </w:tcBorders>
            <w:noWrap/>
          </w:tcPr>
          <w:p w:rsidRPr="00700100" w:rsidR="00D646FE" w:rsidP="00AC739C" w:rsidRDefault="00D646FE" w14:paraId="79049D4A" w14:textId="77777777">
            <w:pPr>
              <w:jc w:val="center"/>
              <w:rPr>
                <w:b/>
                <w:bCs/>
              </w:rPr>
            </w:pPr>
          </w:p>
        </w:tc>
      </w:tr>
      <w:tr w:rsidRPr="00700100" w:rsidR="00D646FE" w:rsidTr="00AC739C" w14:paraId="77E23199" w14:textId="77777777">
        <w:trPr>
          <w:trHeight w:val="300"/>
        </w:trPr>
        <w:tc>
          <w:tcPr>
            <w:tcW w:w="6804" w:type="dxa"/>
            <w:tcBorders>
              <w:left w:val="nil"/>
              <w:bottom w:val="single" w:color="auto" w:sz="4" w:space="0"/>
              <w:right w:val="nil"/>
            </w:tcBorders>
            <w:noWrap/>
          </w:tcPr>
          <w:p w:rsidRPr="00700100" w:rsidR="00D646FE" w:rsidP="00AC739C" w:rsidRDefault="00D646FE" w14:paraId="14167116" w14:textId="77777777">
            <w:pPr>
              <w:rPr>
                <w:rFonts w:ascii="Arial" w:hAnsi="Arial" w:eastAsia="Times New Roman" w:cs="Arial"/>
                <w:sz w:val="20"/>
                <w:szCs w:val="20"/>
              </w:rPr>
            </w:pPr>
            <w:r w:rsidRPr="00700100">
              <w:rPr>
                <w:b/>
              </w:rPr>
              <w:t>Oddíl 24 – Hodnoty ukazatelů (stará metodika)</w:t>
            </w:r>
          </w:p>
        </w:tc>
        <w:tc>
          <w:tcPr>
            <w:tcW w:w="2745" w:type="dxa"/>
            <w:tcBorders>
              <w:left w:val="nil"/>
              <w:right w:val="nil"/>
            </w:tcBorders>
            <w:noWrap/>
          </w:tcPr>
          <w:p w:rsidRPr="00700100" w:rsidR="00D646FE" w:rsidP="00AC739C" w:rsidRDefault="00D646FE" w14:paraId="3BFD1A2E" w14:textId="77777777">
            <w:pPr>
              <w:jc w:val="center"/>
              <w:rPr>
                <w:rFonts w:ascii="Arial" w:hAnsi="Arial" w:eastAsia="Times New Roman" w:cs="Arial"/>
                <w:sz w:val="20"/>
                <w:szCs w:val="20"/>
              </w:rPr>
            </w:pPr>
            <w:r w:rsidRPr="00700100">
              <w:rPr>
                <w:b/>
              </w:rPr>
              <w:t>Hodnota ukazatele ve vykazovací měně</w:t>
            </w:r>
          </w:p>
        </w:tc>
      </w:tr>
      <w:tr w:rsidRPr="00700100" w:rsidR="00D646FE" w:rsidTr="00AC739C" w14:paraId="31E9B932" w14:textId="77777777">
        <w:trPr>
          <w:trHeight w:val="300"/>
        </w:trPr>
        <w:tc>
          <w:tcPr>
            <w:tcW w:w="6804" w:type="dxa"/>
            <w:tcBorders>
              <w:left w:val="nil"/>
              <w:bottom w:val="single" w:color="auto" w:sz="4" w:space="0"/>
              <w:right w:val="nil"/>
            </w:tcBorders>
            <w:noWrap/>
          </w:tcPr>
          <w:p w:rsidRPr="00700100" w:rsidR="00D646FE" w:rsidP="00AC739C" w:rsidRDefault="00D646FE" w14:paraId="3B95A116" w14:textId="77777777">
            <w:pPr>
              <w:ind w:firstLine="220" w:firstLineChars="100"/>
              <w:rPr>
                <w:rFonts w:ascii="Arial" w:hAnsi="Arial" w:eastAsia="Times New Roman" w:cs="Arial"/>
                <w:sz w:val="20"/>
                <w:szCs w:val="20"/>
              </w:rPr>
            </w:pPr>
            <w:r w:rsidRPr="00700100">
              <w:t>a. Oddíl 2 – Ukazatel expozic celkem</w:t>
            </w:r>
          </w:p>
        </w:tc>
        <w:tc>
          <w:tcPr>
            <w:tcW w:w="2745" w:type="dxa"/>
            <w:tcBorders>
              <w:left w:val="nil"/>
              <w:right w:val="nil"/>
            </w:tcBorders>
            <w:noWrap/>
          </w:tcPr>
          <w:p w:rsidRPr="00700100" w:rsidR="00D646FE" w:rsidP="00AC739C" w:rsidRDefault="00D646FE" w14:paraId="76518F0C" w14:textId="77777777">
            <w:pPr>
              <w:jc w:val="right"/>
              <w:rPr>
                <w:rFonts w:ascii="Arial" w:hAnsi="Arial" w:eastAsia="Times New Roman" w:cs="Arial"/>
                <w:sz w:val="20"/>
                <w:szCs w:val="20"/>
                <w:lang w:eastAsia="en-GB"/>
              </w:rPr>
            </w:pPr>
          </w:p>
        </w:tc>
      </w:tr>
      <w:tr w:rsidRPr="00700100" w:rsidR="00D646FE" w:rsidTr="00AC739C" w14:paraId="554CAC1C" w14:textId="77777777">
        <w:trPr>
          <w:trHeight w:val="300"/>
        </w:trPr>
        <w:tc>
          <w:tcPr>
            <w:tcW w:w="6804" w:type="dxa"/>
            <w:tcBorders>
              <w:left w:val="nil"/>
              <w:bottom w:val="single" w:color="auto" w:sz="4" w:space="0"/>
              <w:right w:val="nil"/>
            </w:tcBorders>
            <w:noWrap/>
          </w:tcPr>
          <w:p w:rsidRPr="00700100" w:rsidR="00D646FE" w:rsidP="00AC739C" w:rsidRDefault="00D646FE" w14:paraId="6E727420" w14:textId="77777777">
            <w:pPr>
              <w:ind w:firstLine="220" w:firstLineChars="100"/>
              <w:rPr>
                <w:rFonts w:ascii="Arial" w:hAnsi="Arial" w:eastAsia="Times New Roman" w:cs="Arial"/>
                <w:sz w:val="20"/>
                <w:szCs w:val="20"/>
              </w:rPr>
            </w:pPr>
            <w:r w:rsidRPr="00700100">
              <w:t>b. Oddíl 18 – Ukazatel aktiv v rámci finančního systému</w:t>
            </w:r>
          </w:p>
        </w:tc>
        <w:tc>
          <w:tcPr>
            <w:tcW w:w="2745" w:type="dxa"/>
            <w:tcBorders>
              <w:left w:val="nil"/>
              <w:right w:val="nil"/>
            </w:tcBorders>
            <w:noWrap/>
          </w:tcPr>
          <w:p w:rsidRPr="00700100" w:rsidR="00D646FE" w:rsidP="00AC739C" w:rsidRDefault="00D646FE" w14:paraId="37DDDBF9" w14:textId="77777777">
            <w:pPr>
              <w:jc w:val="right"/>
              <w:rPr>
                <w:rFonts w:ascii="Arial" w:hAnsi="Arial" w:eastAsia="Times New Roman" w:cs="Arial"/>
                <w:sz w:val="20"/>
                <w:szCs w:val="20"/>
                <w:lang w:eastAsia="en-GB"/>
              </w:rPr>
            </w:pPr>
          </w:p>
        </w:tc>
      </w:tr>
      <w:tr w:rsidRPr="00700100" w:rsidR="00D646FE" w:rsidTr="00AC739C" w14:paraId="769D1678" w14:textId="77777777">
        <w:trPr>
          <w:trHeight w:val="300"/>
        </w:trPr>
        <w:tc>
          <w:tcPr>
            <w:tcW w:w="6804" w:type="dxa"/>
            <w:tcBorders>
              <w:left w:val="nil"/>
              <w:bottom w:val="single" w:color="auto" w:sz="4" w:space="0"/>
              <w:right w:val="nil"/>
            </w:tcBorders>
            <w:noWrap/>
          </w:tcPr>
          <w:p w:rsidRPr="00700100" w:rsidR="00D646FE" w:rsidP="00AC739C" w:rsidRDefault="00D646FE" w14:paraId="7973810A" w14:textId="77777777">
            <w:pPr>
              <w:ind w:firstLine="220" w:firstLineChars="100"/>
              <w:rPr>
                <w:rFonts w:ascii="Arial" w:hAnsi="Arial" w:eastAsia="Times New Roman" w:cs="Arial"/>
                <w:sz w:val="20"/>
                <w:szCs w:val="20"/>
              </w:rPr>
            </w:pPr>
            <w:r w:rsidRPr="00700100">
              <w:t>c. Oddíl 18 – Ukazatel závazků v rámci finančního systému</w:t>
            </w:r>
          </w:p>
        </w:tc>
        <w:tc>
          <w:tcPr>
            <w:tcW w:w="2745" w:type="dxa"/>
            <w:tcBorders>
              <w:left w:val="nil"/>
              <w:right w:val="nil"/>
            </w:tcBorders>
            <w:noWrap/>
          </w:tcPr>
          <w:p w:rsidRPr="00700100" w:rsidR="00D646FE" w:rsidP="00AC739C" w:rsidRDefault="00D646FE" w14:paraId="5F2A58CA" w14:textId="77777777">
            <w:pPr>
              <w:jc w:val="right"/>
              <w:rPr>
                <w:rFonts w:ascii="Arial" w:hAnsi="Arial" w:eastAsia="Times New Roman" w:cs="Arial"/>
                <w:sz w:val="20"/>
                <w:szCs w:val="20"/>
                <w:lang w:eastAsia="en-GB"/>
              </w:rPr>
            </w:pPr>
          </w:p>
        </w:tc>
      </w:tr>
      <w:tr w:rsidRPr="00700100" w:rsidR="00D646FE" w:rsidTr="00AC739C" w14:paraId="106315B0" w14:textId="77777777">
        <w:trPr>
          <w:trHeight w:val="300"/>
        </w:trPr>
        <w:tc>
          <w:tcPr>
            <w:tcW w:w="6804" w:type="dxa"/>
            <w:tcBorders>
              <w:left w:val="nil"/>
              <w:bottom w:val="single" w:color="auto" w:sz="4" w:space="0"/>
              <w:right w:val="nil"/>
            </w:tcBorders>
            <w:noWrap/>
          </w:tcPr>
          <w:p w:rsidRPr="00700100" w:rsidR="00D646FE" w:rsidP="00AC739C" w:rsidRDefault="00D646FE" w14:paraId="0373F8AD" w14:textId="77777777">
            <w:pPr>
              <w:ind w:firstLine="220" w:firstLineChars="100"/>
              <w:rPr>
                <w:rFonts w:ascii="Arial" w:hAnsi="Arial" w:eastAsia="Times New Roman" w:cs="Arial"/>
                <w:sz w:val="20"/>
                <w:szCs w:val="20"/>
              </w:rPr>
            </w:pPr>
            <w:r w:rsidRPr="00700100">
              <w:t>d. Oddíl 18 – Ukazatel nezaplacených cenných papírů</w:t>
            </w:r>
          </w:p>
        </w:tc>
        <w:tc>
          <w:tcPr>
            <w:tcW w:w="2745" w:type="dxa"/>
            <w:tcBorders>
              <w:left w:val="nil"/>
              <w:right w:val="nil"/>
            </w:tcBorders>
            <w:noWrap/>
          </w:tcPr>
          <w:p w:rsidRPr="00700100" w:rsidR="00D646FE" w:rsidP="00AC739C" w:rsidRDefault="00D646FE" w14:paraId="1317BAB9" w14:textId="77777777">
            <w:pPr>
              <w:jc w:val="right"/>
              <w:rPr>
                <w:rFonts w:ascii="Arial" w:hAnsi="Arial" w:eastAsia="Times New Roman" w:cs="Arial"/>
                <w:sz w:val="20"/>
                <w:szCs w:val="20"/>
                <w:lang w:eastAsia="en-GB"/>
              </w:rPr>
            </w:pPr>
          </w:p>
        </w:tc>
      </w:tr>
      <w:tr w:rsidRPr="00700100" w:rsidR="00D646FE" w:rsidTr="00AC739C" w14:paraId="11D61B45" w14:textId="77777777">
        <w:trPr>
          <w:trHeight w:val="300"/>
        </w:trPr>
        <w:tc>
          <w:tcPr>
            <w:tcW w:w="6804" w:type="dxa"/>
            <w:tcBorders>
              <w:left w:val="nil"/>
              <w:bottom w:val="single" w:color="auto" w:sz="4" w:space="0"/>
              <w:right w:val="nil"/>
            </w:tcBorders>
            <w:noWrap/>
          </w:tcPr>
          <w:p w:rsidRPr="00700100" w:rsidR="00D646FE" w:rsidP="00AC739C" w:rsidRDefault="00D646FE" w14:paraId="4443C98B" w14:textId="77777777">
            <w:pPr>
              <w:ind w:firstLine="220" w:firstLineChars="100"/>
              <w:rPr>
                <w:rFonts w:ascii="Arial" w:hAnsi="Arial" w:eastAsia="Times New Roman" w:cs="Arial"/>
                <w:sz w:val="20"/>
                <w:szCs w:val="20"/>
              </w:rPr>
            </w:pPr>
            <w:r w:rsidRPr="00700100">
              <w:t>e. Oddíl 6 – Ukazatel platební činnosti</w:t>
            </w:r>
          </w:p>
        </w:tc>
        <w:tc>
          <w:tcPr>
            <w:tcW w:w="2745" w:type="dxa"/>
            <w:tcBorders>
              <w:left w:val="nil"/>
              <w:right w:val="nil"/>
            </w:tcBorders>
            <w:noWrap/>
          </w:tcPr>
          <w:p w:rsidRPr="00700100" w:rsidR="00D646FE" w:rsidP="00AC739C" w:rsidRDefault="00D646FE" w14:paraId="7797B3B5" w14:textId="77777777">
            <w:pPr>
              <w:jc w:val="right"/>
              <w:rPr>
                <w:rFonts w:ascii="Arial" w:hAnsi="Arial" w:eastAsia="Times New Roman" w:cs="Arial"/>
                <w:sz w:val="20"/>
                <w:szCs w:val="20"/>
                <w:lang w:eastAsia="en-GB"/>
              </w:rPr>
            </w:pPr>
          </w:p>
        </w:tc>
      </w:tr>
      <w:tr w:rsidRPr="00700100" w:rsidR="00D646FE" w:rsidTr="00AC739C" w14:paraId="017FF0A6" w14:textId="77777777">
        <w:trPr>
          <w:trHeight w:val="300"/>
        </w:trPr>
        <w:tc>
          <w:tcPr>
            <w:tcW w:w="6804" w:type="dxa"/>
            <w:tcBorders>
              <w:left w:val="nil"/>
              <w:bottom w:val="single" w:color="auto" w:sz="4" w:space="0"/>
              <w:right w:val="nil"/>
            </w:tcBorders>
            <w:noWrap/>
          </w:tcPr>
          <w:p w:rsidRPr="00700100" w:rsidR="00D646FE" w:rsidP="00AC739C" w:rsidRDefault="00D646FE" w14:paraId="5DE0EAED" w14:textId="77777777">
            <w:pPr>
              <w:ind w:firstLine="220" w:firstLineChars="100"/>
              <w:rPr>
                <w:rFonts w:ascii="Arial" w:hAnsi="Arial" w:eastAsia="Times New Roman" w:cs="Arial"/>
                <w:sz w:val="20"/>
                <w:szCs w:val="20"/>
              </w:rPr>
            </w:pPr>
            <w:r w:rsidRPr="00700100">
              <w:t>f. Oddíl 7 – Ukazatel aktiv v úschově</w:t>
            </w:r>
          </w:p>
        </w:tc>
        <w:tc>
          <w:tcPr>
            <w:tcW w:w="2745" w:type="dxa"/>
            <w:tcBorders>
              <w:left w:val="nil"/>
              <w:right w:val="nil"/>
            </w:tcBorders>
            <w:noWrap/>
          </w:tcPr>
          <w:p w:rsidRPr="00700100" w:rsidR="00D646FE" w:rsidP="00AC739C" w:rsidRDefault="00D646FE" w14:paraId="18A15D2B" w14:textId="77777777">
            <w:pPr>
              <w:jc w:val="right"/>
              <w:rPr>
                <w:rFonts w:ascii="Arial" w:hAnsi="Arial" w:eastAsia="Times New Roman" w:cs="Arial"/>
                <w:sz w:val="20"/>
                <w:szCs w:val="20"/>
                <w:lang w:eastAsia="en-GB"/>
              </w:rPr>
            </w:pPr>
          </w:p>
        </w:tc>
      </w:tr>
      <w:tr w:rsidRPr="00700100" w:rsidR="00D646FE" w:rsidTr="00AC739C" w14:paraId="2A6E1C7C" w14:textId="77777777">
        <w:trPr>
          <w:trHeight w:val="300"/>
        </w:trPr>
        <w:tc>
          <w:tcPr>
            <w:tcW w:w="6804" w:type="dxa"/>
            <w:tcBorders>
              <w:left w:val="nil"/>
              <w:bottom w:val="single" w:color="auto" w:sz="4" w:space="0"/>
              <w:right w:val="nil"/>
            </w:tcBorders>
            <w:noWrap/>
          </w:tcPr>
          <w:p w:rsidRPr="00700100" w:rsidR="00D646FE" w:rsidP="00AC739C" w:rsidRDefault="00D646FE" w14:paraId="243FC25C" w14:textId="77777777">
            <w:pPr>
              <w:ind w:firstLine="220" w:firstLineChars="100"/>
              <w:rPr>
                <w:rFonts w:ascii="Arial" w:hAnsi="Arial" w:eastAsia="Times New Roman" w:cs="Arial"/>
                <w:sz w:val="20"/>
                <w:szCs w:val="20"/>
              </w:rPr>
            </w:pPr>
            <w:r w:rsidRPr="00700100">
              <w:t>g. Oddíl 8 – Ukazatel činnosti upisování</w:t>
            </w:r>
          </w:p>
        </w:tc>
        <w:tc>
          <w:tcPr>
            <w:tcW w:w="2745" w:type="dxa"/>
            <w:tcBorders>
              <w:left w:val="nil"/>
              <w:right w:val="nil"/>
            </w:tcBorders>
            <w:noWrap/>
          </w:tcPr>
          <w:p w:rsidRPr="00700100" w:rsidR="00D646FE" w:rsidP="00AC739C" w:rsidRDefault="00D646FE" w14:paraId="3D1003C9" w14:textId="77777777">
            <w:pPr>
              <w:jc w:val="right"/>
              <w:rPr>
                <w:rFonts w:ascii="Arial" w:hAnsi="Arial" w:eastAsia="Times New Roman" w:cs="Arial"/>
                <w:sz w:val="20"/>
                <w:szCs w:val="20"/>
                <w:lang w:eastAsia="en-GB"/>
              </w:rPr>
            </w:pPr>
          </w:p>
        </w:tc>
      </w:tr>
      <w:tr w:rsidRPr="00700100" w:rsidR="00D646FE" w:rsidTr="00AC739C" w14:paraId="3DA3001E" w14:textId="77777777">
        <w:trPr>
          <w:trHeight w:val="300"/>
        </w:trPr>
        <w:tc>
          <w:tcPr>
            <w:tcW w:w="6804" w:type="dxa"/>
            <w:tcBorders>
              <w:left w:val="nil"/>
              <w:bottom w:val="single" w:color="auto" w:sz="4" w:space="0"/>
              <w:right w:val="nil"/>
            </w:tcBorders>
            <w:noWrap/>
          </w:tcPr>
          <w:p w:rsidRPr="00700100" w:rsidR="00D646FE" w:rsidP="00AC739C" w:rsidRDefault="00D646FE" w14:paraId="5D4796C3" w14:textId="77777777">
            <w:pPr>
              <w:ind w:firstLine="220" w:firstLineChars="100"/>
              <w:rPr>
                <w:rFonts w:ascii="Arial" w:hAnsi="Arial" w:eastAsia="Times New Roman" w:cs="Arial"/>
                <w:sz w:val="20"/>
                <w:szCs w:val="20"/>
              </w:rPr>
            </w:pPr>
            <w:r w:rsidRPr="00700100">
              <w:t>h. Oddíl 20 – Ukazatel OTC derivátů</w:t>
            </w:r>
          </w:p>
        </w:tc>
        <w:tc>
          <w:tcPr>
            <w:tcW w:w="2745" w:type="dxa"/>
            <w:tcBorders>
              <w:left w:val="nil"/>
              <w:right w:val="nil"/>
            </w:tcBorders>
            <w:noWrap/>
          </w:tcPr>
          <w:p w:rsidRPr="00700100" w:rsidR="00D646FE" w:rsidP="00AC739C" w:rsidRDefault="00D646FE" w14:paraId="1E6FAF41" w14:textId="77777777">
            <w:pPr>
              <w:jc w:val="right"/>
              <w:rPr>
                <w:rFonts w:ascii="Arial" w:hAnsi="Arial" w:eastAsia="Times New Roman" w:cs="Arial"/>
                <w:sz w:val="20"/>
                <w:szCs w:val="20"/>
                <w:lang w:eastAsia="en-GB"/>
              </w:rPr>
            </w:pPr>
          </w:p>
        </w:tc>
      </w:tr>
      <w:tr w:rsidRPr="00700100" w:rsidR="00D646FE" w:rsidTr="00AC739C" w14:paraId="29B6AD4E" w14:textId="77777777">
        <w:trPr>
          <w:trHeight w:val="300"/>
        </w:trPr>
        <w:tc>
          <w:tcPr>
            <w:tcW w:w="6804" w:type="dxa"/>
            <w:tcBorders>
              <w:left w:val="nil"/>
              <w:bottom w:val="single" w:color="auto" w:sz="4" w:space="0"/>
              <w:right w:val="nil"/>
            </w:tcBorders>
            <w:noWrap/>
          </w:tcPr>
          <w:p w:rsidRPr="00700100" w:rsidR="00D646FE" w:rsidP="00AC739C" w:rsidRDefault="00D646FE" w14:paraId="31485EE2" w14:textId="77777777">
            <w:pPr>
              <w:ind w:firstLine="220" w:firstLineChars="100"/>
              <w:rPr>
                <w:rFonts w:ascii="Arial" w:hAnsi="Arial" w:eastAsia="Times New Roman" w:cs="Arial"/>
                <w:sz w:val="20"/>
                <w:szCs w:val="20"/>
              </w:rPr>
            </w:pPr>
            <w:r w:rsidRPr="00700100">
              <w:t>i. Oddíl 11 – Ukazatel cenných papírů k obchodování a realizovatelných</w:t>
            </w:r>
          </w:p>
        </w:tc>
        <w:tc>
          <w:tcPr>
            <w:tcW w:w="2745" w:type="dxa"/>
            <w:tcBorders>
              <w:left w:val="nil"/>
              <w:right w:val="nil"/>
            </w:tcBorders>
            <w:noWrap/>
          </w:tcPr>
          <w:p w:rsidRPr="00700100" w:rsidR="00D646FE" w:rsidP="00AC739C" w:rsidRDefault="00D646FE" w14:paraId="406CD1BA" w14:textId="77777777">
            <w:pPr>
              <w:jc w:val="right"/>
              <w:rPr>
                <w:rFonts w:ascii="Arial" w:hAnsi="Arial" w:eastAsia="Times New Roman" w:cs="Arial"/>
                <w:sz w:val="20"/>
                <w:szCs w:val="20"/>
                <w:lang w:eastAsia="en-GB"/>
              </w:rPr>
            </w:pPr>
          </w:p>
        </w:tc>
      </w:tr>
      <w:tr w:rsidRPr="00700100" w:rsidR="00D646FE" w:rsidTr="00AC739C" w14:paraId="1CB8564F" w14:textId="77777777">
        <w:trPr>
          <w:trHeight w:val="300"/>
        </w:trPr>
        <w:tc>
          <w:tcPr>
            <w:tcW w:w="6804" w:type="dxa"/>
            <w:tcBorders>
              <w:left w:val="nil"/>
              <w:bottom w:val="single" w:color="auto" w:sz="4" w:space="0"/>
              <w:right w:val="nil"/>
            </w:tcBorders>
            <w:noWrap/>
          </w:tcPr>
          <w:p w:rsidRPr="00700100" w:rsidR="00D646FE" w:rsidP="00AC739C" w:rsidRDefault="00D646FE" w14:paraId="60234FEB" w14:textId="77777777">
            <w:pPr>
              <w:ind w:firstLine="220" w:firstLineChars="100"/>
              <w:rPr>
                <w:rFonts w:ascii="Arial" w:hAnsi="Arial" w:eastAsia="Times New Roman" w:cs="Arial"/>
                <w:sz w:val="20"/>
                <w:szCs w:val="20"/>
              </w:rPr>
            </w:pPr>
            <w:r w:rsidRPr="00700100">
              <w:t>j. Oddíl 20 – Ukazatel aktiv úrovně 3</w:t>
            </w:r>
          </w:p>
        </w:tc>
        <w:tc>
          <w:tcPr>
            <w:tcW w:w="2745" w:type="dxa"/>
            <w:tcBorders>
              <w:left w:val="nil"/>
              <w:right w:val="nil"/>
            </w:tcBorders>
            <w:noWrap/>
          </w:tcPr>
          <w:p w:rsidRPr="00700100" w:rsidR="00D646FE" w:rsidP="00AC739C" w:rsidRDefault="00D646FE" w14:paraId="45BDC842" w14:textId="77777777">
            <w:pPr>
              <w:jc w:val="right"/>
              <w:rPr>
                <w:rFonts w:ascii="Arial" w:hAnsi="Arial" w:eastAsia="Times New Roman" w:cs="Arial"/>
                <w:sz w:val="20"/>
                <w:szCs w:val="20"/>
                <w:lang w:eastAsia="en-GB"/>
              </w:rPr>
            </w:pPr>
          </w:p>
        </w:tc>
      </w:tr>
      <w:tr w:rsidRPr="00700100" w:rsidR="00D646FE" w:rsidTr="00AC739C" w14:paraId="01E0A6B7" w14:textId="77777777">
        <w:trPr>
          <w:trHeight w:val="300"/>
        </w:trPr>
        <w:tc>
          <w:tcPr>
            <w:tcW w:w="6804" w:type="dxa"/>
            <w:tcBorders>
              <w:left w:val="nil"/>
              <w:bottom w:val="single" w:color="auto" w:sz="4" w:space="0"/>
              <w:right w:val="nil"/>
            </w:tcBorders>
            <w:noWrap/>
          </w:tcPr>
          <w:p w:rsidRPr="00700100" w:rsidR="00D646FE" w:rsidP="00AC739C" w:rsidRDefault="00D646FE" w14:paraId="66D3CF5E" w14:textId="77777777">
            <w:pPr>
              <w:ind w:firstLine="220" w:firstLineChars="100"/>
              <w:rPr>
                <w:rFonts w:ascii="Arial" w:hAnsi="Arial" w:eastAsia="Times New Roman" w:cs="Arial"/>
                <w:sz w:val="20"/>
                <w:szCs w:val="20"/>
              </w:rPr>
            </w:pPr>
            <w:r w:rsidRPr="00700100">
              <w:t>k. Oddíl 13 – Ukazatel pohledávek napříč jurisdikcemi</w:t>
            </w:r>
          </w:p>
        </w:tc>
        <w:tc>
          <w:tcPr>
            <w:tcW w:w="2745" w:type="dxa"/>
            <w:tcBorders>
              <w:left w:val="nil"/>
              <w:right w:val="nil"/>
            </w:tcBorders>
            <w:noWrap/>
          </w:tcPr>
          <w:p w:rsidRPr="00700100" w:rsidR="00D646FE" w:rsidP="00AC739C" w:rsidRDefault="00D646FE" w14:paraId="66C72B9A" w14:textId="77777777">
            <w:pPr>
              <w:jc w:val="right"/>
              <w:rPr>
                <w:rFonts w:ascii="Arial" w:hAnsi="Arial" w:eastAsia="Times New Roman" w:cs="Arial"/>
                <w:sz w:val="20"/>
                <w:szCs w:val="20"/>
                <w:lang w:eastAsia="en-GB"/>
              </w:rPr>
            </w:pPr>
          </w:p>
        </w:tc>
      </w:tr>
      <w:tr w:rsidRPr="00700100" w:rsidR="00D646FE" w:rsidTr="00AC739C" w14:paraId="385C80B0" w14:textId="77777777">
        <w:trPr>
          <w:trHeight w:val="300"/>
        </w:trPr>
        <w:tc>
          <w:tcPr>
            <w:tcW w:w="6804" w:type="dxa"/>
            <w:tcBorders>
              <w:left w:val="nil"/>
              <w:bottom w:val="single" w:color="auto" w:sz="4" w:space="0"/>
              <w:right w:val="nil"/>
            </w:tcBorders>
            <w:noWrap/>
          </w:tcPr>
          <w:p w:rsidRPr="00700100" w:rsidR="00D646FE" w:rsidP="00AC739C" w:rsidRDefault="00D646FE" w14:paraId="22685FF2" w14:textId="77777777">
            <w:pPr>
              <w:ind w:firstLine="220" w:firstLineChars="100"/>
              <w:rPr>
                <w:rFonts w:ascii="Arial" w:hAnsi="Arial" w:eastAsia="Times New Roman" w:cs="Arial"/>
                <w:sz w:val="20"/>
                <w:szCs w:val="20"/>
              </w:rPr>
            </w:pPr>
            <w:r w:rsidRPr="00700100">
              <w:t>l. Oddíl 21 – Ukazatel závazků napříč jurisdikcemi</w:t>
            </w:r>
          </w:p>
        </w:tc>
        <w:tc>
          <w:tcPr>
            <w:tcW w:w="2745" w:type="dxa"/>
            <w:tcBorders>
              <w:left w:val="nil"/>
              <w:right w:val="nil"/>
            </w:tcBorders>
            <w:noWrap/>
          </w:tcPr>
          <w:p w:rsidRPr="00700100" w:rsidR="00D646FE" w:rsidP="00AC739C" w:rsidRDefault="00D646FE" w14:paraId="193599DD" w14:textId="77777777">
            <w:pPr>
              <w:jc w:val="right"/>
              <w:rPr>
                <w:rFonts w:ascii="Arial" w:hAnsi="Arial" w:eastAsia="Times New Roman" w:cs="Arial"/>
                <w:sz w:val="20"/>
                <w:szCs w:val="20"/>
                <w:lang w:eastAsia="en-GB"/>
              </w:rPr>
            </w:pPr>
          </w:p>
        </w:tc>
      </w:tr>
    </w:tbl>
    <w:p w:rsidR="00D646FE" w:rsidP="0047263A" w:rsidRDefault="00D646FE" w14:paraId="6948D785" w14:textId="77777777">
      <w:pPr>
        <w:widowControl w:val="0"/>
        <w:tabs>
          <w:tab w:val="left" w:pos="525"/>
        </w:tabs>
        <w:autoSpaceDE w:val="0"/>
        <w:autoSpaceDN w:val="0"/>
        <w:spacing w:before="240" w:after="120" w:line="276" w:lineRule="auto"/>
        <w:jc w:val="both"/>
        <w:rPr>
          <w:b/>
          <w:sz w:val="28"/>
        </w:rPr>
      </w:pPr>
    </w:p>
    <w:bookmarkEnd w:id="9"/>
    <w:bookmarkEnd w:id="8"/>
    <w:bookmarkEnd w:id="7"/>
    <w:bookmarkEnd w:id="6"/>
    <w:bookmarkEnd w:id="5"/>
    <w:bookmarkEnd w:id="4"/>
    <w:bookmarkEnd w:id="3"/>
    <w:bookmarkEnd w:id="2"/>
    <w:bookmarkEnd w:id="1"/>
    <w:bookmarkEnd w:id="0"/>
    <w:sectPr w:rsidR="00D646FE" w:rsidSect="000F33D3">
      <w:pgSz w:w="11900" w:h="16840"/>
      <w:pgMar w:top="2268"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6D02" w14:textId="77777777" w:rsidR="000303D7" w:rsidRDefault="000303D7" w:rsidP="00A00E34">
      <w:r>
        <w:separator/>
      </w:r>
    </w:p>
    <w:p w14:paraId="5D34EE2B" w14:textId="77777777" w:rsidR="000303D7" w:rsidRDefault="000303D7"/>
  </w:endnote>
  <w:endnote w:type="continuationSeparator" w:id="0">
    <w:p w14:paraId="26F42A96" w14:textId="77777777" w:rsidR="000303D7" w:rsidRDefault="000303D7" w:rsidP="00A00E34">
      <w:r>
        <w:continuationSeparator/>
      </w:r>
    </w:p>
    <w:p w14:paraId="00128973" w14:textId="77777777" w:rsidR="000303D7" w:rsidRDefault="0003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17667F" w:rsidRDefault="002215B5" w14:paraId="142C28E2" w14:textId="77777777">
    <w:pPr>
      <w:pStyle w:val="Footer"/>
      <w:rPr>
        <w:rStyle w:val="PageNumber"/>
        <w:noProof/>
      </w:rPr>
    </w:pPr>
    <w:r>
      <w:rPr>
        <w:rStyle w:val="PageNumber"/>
      </w:rPr>
      <w:fldChar w:fldCharType="begin"/>
    </w:r>
    <w:r>
      <w:rPr>
        <w:rStyle w:val="PageNumber"/>
      </w:rPr>
      <w:instrText xml:space="preserve">PAGE  </w:instrText>
    </w:r>
    <w:r>
      <w:rPr>
        <w:rStyle w:val="PageNumber"/>
      </w:rPr>
      <w:fldChar w:fldCharType="end"/>
    </w:r>
  </w:p>
  <w:p w:rsidR="002215B5" w:rsidP="00610305" w:rsidRDefault="002215B5" w14:paraId="7D2916CD" w14:textId="77777777">
    <w:pPr>
      <w:pStyle w:val="Footer"/>
      <w:ind w:right="360"/>
      <w:rPr>
        <w:noProof/>
      </w:rPr>
    </w:pPr>
  </w:p>
</w:ftr>
</file>

<file path=word/footer2.xml><?xml version="1.0" encoding="utf-8"?>
<w:ftr xmlns:a="http://schemas.openxmlformats.org/drawingml/2006/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018" w:rsidP="0017667F" w:rsidRDefault="006C7018" w14:paraId="5498FD01" w14:textId="77777777">
    <w:pPr>
      <w:pStyle w:val="Footer"/>
      <w:rPr>
        <w:rStyle w:val="PageNumber"/>
      </w:rPr>
    </w:pPr>
  </w:p>
  <w:p w:rsidRPr="00DB2E78" w:rsidR="002215B5" w:rsidP="006C7018" w:rsidRDefault="002215B5" w14:paraId="7C3A9832" w14:textId="0C0FC8DA">
    <w:pPr>
      <w:pStyle w:val="Footer"/>
      <w:jc w:val="right"/>
      <w:rPr>
        <w:rStyle w:val="PageNumber"/>
        <w:noProof/>
      </w:rPr>
    </w:pPr>
    <w:r w:rsidRPr="00DB2E78">
      <w:rPr>
        <w:rStyle w:val="PageNumber"/>
      </w:rPr>
      <w:fldChar w:fldCharType="begin"/>
    </w:r>
    <w:r w:rsidRPr="00DB2E78">
      <w:rPr>
        <w:rStyle w:val="PageNumber"/>
      </w:rPr>
      <w:instrText xml:space="preserve">PAGE  </w:instrText>
    </w:r>
    <w:r w:rsidRPr="00DB2E78">
      <w:rPr>
        <w:rStyle w:val="PageNumber"/>
      </w:rPr>
      <w:fldChar w:fldCharType="separate"/>
    </w:r>
    <w:r w:rsidR="007A748F">
      <w:rPr>
        <w:rStyle w:val="PageNumber"/>
        <w:noProof/>
      </w:rPr>
      <w:t>16</w:t>
    </w:r>
    <w:r w:rsidRPr="00DB2E78">
      <w:rPr>
        <w:rStyle w:val="PageNumber"/>
      </w:rPr>
      <w:fldChar w:fldCharType="end"/>
    </w:r>
  </w:p>
  <w:p w:rsidRPr="00DB2E78" w:rsidR="002215B5" w:rsidP="00610305" w:rsidRDefault="002215B5" w14:paraId="6EEDA3DB" w14:textId="77777777">
    <w:pPr>
      <w:pStyle w:val="Footer"/>
      <w:ind w:right="360"/>
      <w:rPr>
        <w:noProof/>
      </w:rPr>
    </w:pPr>
    <w:r w:rsidRPr="00DB2E78">
      <w:rPr>
        <w:noProof/>
        <w:lang w:val="en-GB" w:eastAsia="en-GB"/>
      </w:rPr>
      <mc:AlternateContent>
        <mc:Choice Requires="wps">
          <w:drawing>
            <wp:anchor distT="4294967295" distB="4294967295" distL="114300" distR="114300" simplePos="0" relativeHeight="251657728" behindDoc="1" locked="1" layoutInCell="1" allowOverlap="1" wp14:editId="3F913CE5" wp14:anchorId="127A96D1">
              <wp:simplePos x="0" y="0"/>
              <wp:positionH relativeFrom="column">
                <wp:posOffset>5080</wp:posOffset>
              </wp:positionH>
              <wp:positionV relativeFrom="bottomMargin">
                <wp:posOffset>0</wp:posOffset>
              </wp:positionV>
              <wp:extent cx="572389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margin" o:spid="_x0000_s1026" strokecolor="#2f5773 [3204]"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" from=".4pt,0" to="451.1pt,0" w14:anchorId="4048DD42">
              <o:lock v:ext="edit" shapetype="f"/>
              <w10:wrap anchory="margin"/>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2E78" w:rsidRDefault="00DB2E78" w14:paraId="4A80324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303C" w14:textId="77777777" w:rsidR="000303D7" w:rsidRPr="00DB5E8F" w:rsidRDefault="000303D7">
      <w:pPr>
        <w:rPr>
          <w:sz w:val="12"/>
          <w:szCs w:val="12"/>
        </w:rPr>
      </w:pPr>
      <w:r w:rsidRPr="00DB5E8F">
        <w:rPr>
          <w:sz w:val="12"/>
          <w:szCs w:val="12"/>
        </w:rPr>
        <w:separator/>
      </w:r>
    </w:p>
  </w:footnote>
  <w:footnote w:type="continuationSeparator" w:id="0">
    <w:p w14:paraId="590E01D1" w14:textId="77777777" w:rsidR="000303D7" w:rsidRDefault="000303D7" w:rsidP="00A00E34">
      <w:r>
        <w:continuationSeparator/>
      </w:r>
    </w:p>
    <w:p w14:paraId="09688698" w14:textId="77777777" w:rsidR="000303D7" w:rsidRDefault="000303D7"/>
  </w:footnote>
  <w:footnote w:type="continuationNotice" w:id="1">
    <w:p w14:paraId="4622A3EF" w14:textId="77777777" w:rsidR="000303D7" w:rsidRDefault="000303D7"/>
  </w:footnote>
  <w:footnote w:id="2">
    <w:p w14:paraId="2B9C6101" w14:textId="2B4968B2" w:rsidR="002215B5" w:rsidRPr="00DB2E78" w:rsidRDefault="002215B5" w:rsidP="00C92B4B">
      <w:pPr>
        <w:pStyle w:val="FootnoteText"/>
        <w:rPr>
          <w:rFonts w:ascii="Calibri" w:hAnsi="Calibri" w:cs="Calibri"/>
        </w:rPr>
      </w:pPr>
      <w:r w:rsidRPr="00DB2E78">
        <w:rPr>
          <w:rStyle w:val="FootnoteReference"/>
          <w:rFonts w:ascii="Calibri" w:hAnsi="Calibri" w:cs="Calibri"/>
          <w:sz w:val="18"/>
        </w:rPr>
        <w:footnoteRef/>
      </w:r>
      <w:r w:rsidRPr="00DB2E78">
        <w:rPr>
          <w:rFonts w:ascii="Calibri" w:hAnsi="Calibri"/>
        </w:rPr>
        <w:t>Nařízení Evropského parlamentu a Rady (EU) č. 1093/2010 ze dne 24. listopadu 2010 o zřízení Evropského orgánu dohledu (Evropského orgánu pro bankovnictví), o změně rozhodnutí č. 716/2009/ES a o zrušení rozhodnutí Komise 2009/78/ES (Úř. věst. L 331 15.12.2010, s. 12).</w:t>
      </w:r>
    </w:p>
  </w:footnote>
  <w:footnote w:id="3">
    <w:p w14:paraId="4A5F4E09" w14:textId="7ED50F50" w:rsidR="00962DC4" w:rsidRPr="00700100" w:rsidRDefault="00962DC4" w:rsidP="00962DC4">
      <w:pPr>
        <w:pStyle w:val="FootnoteText"/>
      </w:pPr>
      <w:r w:rsidRPr="00700100">
        <w:rPr>
          <w:rStyle w:val="FootnoteReference"/>
          <w:lang w:val="en-GB"/>
        </w:rPr>
        <w:footnoteRef/>
      </w:r>
      <w:r w:rsidRPr="00825614">
        <w:rPr>
          <w:rFonts w:ascii="Calibri" w:eastAsia="Calibri" w:hAnsi="Calibri" w:cs="Calibri"/>
          <w:sz w:val="20"/>
          <w:szCs w:val="20"/>
        </w:rPr>
        <w:t>https://www.eba.europa.eu/risk-analysis-and-data/global-systemically-important-institutions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RDefault="002215B5" w14:paraId="41B1516F" w14:textId="12C57839">
    <w:pPr>
      <w:rPr>
        <w:noProof/>
      </w:rPr>
    </w:pPr>
    <w:r>
      <w:ptab w:alignment="center" w:relativeTo="margin" w:leader="none"/>
    </w:r>
    <w:r>
      <w:ptab w:alignment="right" w:relativeTo="margin" w:leader="none"/>
    </w:r>
  </w:p>
  <w:p w:rsidR="002215B5" w:rsidRDefault="002215B5" w14:paraId="4A8DE438" w14:textId="77777777">
    <w:pPr>
      <w:rPr>
        <w:noProof/>
      </w:rPr>
    </w:pPr>
  </w:p>
</w:hdr>
</file>

<file path=word/header2.xml><?xml version="1.0" encoding="utf-8"?>
<w:hdr xmlns:a="http://schemas.openxmlformats.org/drawingml/2006/main" xmlns:pic="http://schemas.openxmlformats.org/drawingml/2006/picture" xmlns:a14="http://schemas.microsoft.com/office/drawing/2010/main" xmlns:arto="http://schemas.microsoft.com/office/word/2006/arto"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2E78" w:rsidR="002215B5" w:rsidP="002215B5" w:rsidRDefault="002215B5" w14:paraId="233A6472" w14:textId="42F4713B">
    <w:pPr>
      <w:pStyle w:val="Runningtitle"/>
      <w:rPr>
        <w:noProof/>
      </w:rPr>
    </w:pPr>
    <w:r w:rsidRPr="00DB2E78">
      <w:rPr>
        <w:noProof/>
        <w:lang w:val="en-GB" w:eastAsia="en-GB"/>
      </w:rPr>
      <w:drawing>
        <wp:anchor distT="0" distB="0" distL="114300" distR="114300" simplePos="0" relativeHeight="251671040" behindDoc="0" locked="0" layoutInCell="1" allowOverlap="1" wp14:editId="234C082C" wp14:anchorId="427C9B91">
          <wp:simplePos x="0" y="0"/>
          <wp:positionH relativeFrom="column">
            <wp:posOffset>4739392</wp:posOffset>
          </wp:positionH>
          <wp:positionV relativeFrom="page">
            <wp:posOffset>450215</wp:posOffset>
          </wp:positionV>
          <wp:extent cx="1207770" cy="447675"/>
          <wp:effectExtent l="0" t="0" r="0" b="952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r w:rsidRPr="00DB2E78">
      <w:t>ZÁVĚREČNÁ zpráva k obecným pokynům orgánu EBA k upřesnění a zveřejňování</w:t>
    </w:r>
  </w:p>
  <w:p w:rsidRPr="00DB2E78" w:rsidR="002215B5" w:rsidP="002215B5" w:rsidRDefault="002215B5" w14:paraId="122C2463" w14:textId="77777777">
    <w:pPr>
      <w:pStyle w:val="Runningtitle"/>
      <w:rPr>
        <w:noProof/>
      </w:rPr>
    </w:pPr>
    <w:r w:rsidRPr="00DB2E78">
      <w:t>ukazatelů systémového významu</w:t>
    </w:r>
  </w:p>
  <w:p w:rsidRPr="00DB2E78" w:rsidR="002215B5" w:rsidP="002215B5" w:rsidRDefault="002215B5" w14:paraId="750CEC09" w14:textId="5D2D20C5">
    <w:pPr>
      <w:pStyle w:val="Header"/>
      <w:rPr>
        <w:noProof/>
      </w:rPr>
    </w:pPr>
  </w:p>
</w:hdr>
</file>

<file path=word/header3.xml><?xml version="1.0" encoding="utf-8"?>
<w:hdr xmlns:a="http://schemas.openxmlformats.org/drawingml/2006/main" xmlns:pic="http://schemas.openxmlformats.org/drawingml/2006/picture" xmlns:a14="http://schemas.microsoft.com/office/drawing/2010/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5B5" w:rsidP="00E677EF" w:rsidRDefault="002215B5" w14:paraId="6E4DF7C2" w14:textId="77777777">
    <w:pPr>
      <w:pStyle w:val="Runningtitle"/>
      <w:rPr>
        <w:noProof/>
      </w:rPr>
    </w:pPr>
    <w:r>
      <w:t>sem přijde nadpis ve stylu running title</w:t>
    </w:r>
    <w:r>
      <w:rPr>
        <w:noProof/>
        <w:lang w:val="en-GB" w:eastAsia="en-GB"/>
      </w:rPr>
      <w:drawing>
        <wp:anchor distT="0" distB="0" distL="114300" distR="114300" simplePos="0" relativeHeight="251653632" behindDoc="1" locked="1" layoutInCell="1" allowOverlap="0" wp14:editId="569AD1BD" wp14:anchorId="6E65E8A4">
          <wp:simplePos x="0" y="0"/>
          <wp:positionH relativeFrom="page">
            <wp:posOffset>4702175</wp:posOffset>
          </wp:positionH>
          <wp:positionV relativeFrom="page">
            <wp:posOffset>450215</wp:posOffset>
          </wp:positionV>
          <wp:extent cx="1941830" cy="719455"/>
          <wp:effectExtent l="0" t="0" r="0" b="0"/>
          <wp:wrapNone/>
          <wp:docPr id="12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2270F"/>
    <w:multiLevelType w:val="hybridMultilevel"/>
    <w:tmpl w:val="5B16EA34"/>
    <w:lvl w:ilvl="0" w:tplc="D50E11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15453EDA"/>
    <w:multiLevelType w:val="hybridMultilevel"/>
    <w:tmpl w:val="315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15:restartNumberingAfterBreak="0">
    <w:nsid w:val="1B180EB8"/>
    <w:multiLevelType w:val="singleLevel"/>
    <w:tmpl w:val="CB4A6434"/>
    <w:lvl w:ilvl="0">
      <w:start w:val="1"/>
      <w:numFmt w:val="decimal"/>
      <w:lvlRestart w:val="0"/>
      <w:lvlText w:val="(%1)"/>
      <w:lvlJc w:val="left"/>
      <w:pPr>
        <w:tabs>
          <w:tab w:val="num" w:pos="709"/>
        </w:tabs>
        <w:ind w:left="709" w:hanging="709"/>
      </w:pPr>
    </w:lvl>
  </w:abstractNum>
  <w:abstractNum w:abstractNumId="8" w15:restartNumberingAfterBreak="0">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1503BE3"/>
    <w:multiLevelType w:val="hybridMultilevel"/>
    <w:tmpl w:val="5DC8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F008E"/>
    <w:multiLevelType w:val="hybridMultilevel"/>
    <w:tmpl w:val="0CEAE5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A9A15F4"/>
    <w:multiLevelType w:val="hybridMultilevel"/>
    <w:tmpl w:val="44B2CE44"/>
    <w:lvl w:ilvl="0" w:tplc="67FA7E1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4"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5DEC"/>
    <w:multiLevelType w:val="hybridMultilevel"/>
    <w:tmpl w:val="BC245978"/>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684A36"/>
    <w:multiLevelType w:val="hybridMultilevel"/>
    <w:tmpl w:val="35BCEB82"/>
    <w:lvl w:ilvl="0" w:tplc="770A29DE">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904CD"/>
    <w:multiLevelType w:val="hybridMultilevel"/>
    <w:tmpl w:val="7842D9F2"/>
    <w:lvl w:ilvl="0" w:tplc="14AC8834">
      <w:start w:val="1"/>
      <w:numFmt w:val="decimal"/>
      <w:lvlText w:val="%1."/>
      <w:lvlJc w:val="left"/>
      <w:pPr>
        <w:ind w:left="720" w:hanging="360"/>
      </w:pPr>
      <w:rPr>
        <w:rFonts w:hint="default"/>
      </w:rPr>
    </w:lvl>
    <w:lvl w:ilvl="1" w:tplc="CE0E9A62">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D57BB"/>
    <w:multiLevelType w:val="multilevel"/>
    <w:tmpl w:val="201419E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5B6DB2"/>
    <w:multiLevelType w:val="hybridMultilevel"/>
    <w:tmpl w:val="38F22D3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5"/>
  </w:num>
  <w:num w:numId="5">
    <w:abstractNumId w:val="22"/>
  </w:num>
  <w:num w:numId="6">
    <w:abstractNumId w:val="1"/>
  </w:num>
  <w:num w:numId="7">
    <w:abstractNumId w:val="21"/>
  </w:num>
  <w:num w:numId="8">
    <w:abstractNumId w:val="19"/>
  </w:num>
  <w:num w:numId="9">
    <w:abstractNumId w:val="19"/>
    <w:lvlOverride w:ilvl="0">
      <w:startOverride w:val="1"/>
    </w:lvlOverride>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0"/>
  </w:num>
  <w:num w:numId="16">
    <w:abstractNumId w:val="4"/>
  </w:num>
  <w:num w:numId="17">
    <w:abstractNumId w:val="11"/>
  </w:num>
  <w:num w:numId="18">
    <w:abstractNumId w:val="23"/>
  </w:num>
  <w:num w:numId="19">
    <w:abstractNumId w:val="6"/>
  </w:num>
  <w:num w:numId="20">
    <w:abstractNumId w:val="8"/>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4"/>
  </w:num>
  <w:num w:numId="29">
    <w:abstractNumId w:val="13"/>
  </w:num>
  <w:num w:numId="30">
    <w:abstractNumId w:val="7"/>
  </w:num>
  <w:num w:numId="31">
    <w:abstractNumId w:val="9"/>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5"/>
  </w:num>
  <w:num w:numId="38">
    <w:abstractNumId w:val="17"/>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3"/>
  </w:num>
  <w:num w:numId="47">
    <w:abstractNumId w:val="12"/>
  </w:num>
  <w:num w:numId="48">
    <w:abstractNumId w:val="20"/>
  </w:num>
  <w:num w:numId="49">
    <w:abstractNumId w:val="21"/>
  </w:num>
  <w:num w:numId="5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873"/>
    <w:rsid w:val="00002BCF"/>
    <w:rsid w:val="00003F50"/>
    <w:rsid w:val="0001213D"/>
    <w:rsid w:val="00013281"/>
    <w:rsid w:val="00021E10"/>
    <w:rsid w:val="000231B7"/>
    <w:rsid w:val="00027CA0"/>
    <w:rsid w:val="000303D7"/>
    <w:rsid w:val="00030D65"/>
    <w:rsid w:val="00040129"/>
    <w:rsid w:val="00051823"/>
    <w:rsid w:val="00060F40"/>
    <w:rsid w:val="00062830"/>
    <w:rsid w:val="0007574B"/>
    <w:rsid w:val="000774B3"/>
    <w:rsid w:val="000843CD"/>
    <w:rsid w:val="00085F23"/>
    <w:rsid w:val="00087EEC"/>
    <w:rsid w:val="000A1C81"/>
    <w:rsid w:val="000A3851"/>
    <w:rsid w:val="000A5345"/>
    <w:rsid w:val="000B1645"/>
    <w:rsid w:val="000B2614"/>
    <w:rsid w:val="000C2B79"/>
    <w:rsid w:val="000C5A8A"/>
    <w:rsid w:val="000C7FD8"/>
    <w:rsid w:val="000D7A44"/>
    <w:rsid w:val="000E0C27"/>
    <w:rsid w:val="000E6D15"/>
    <w:rsid w:val="000F33D3"/>
    <w:rsid w:val="000F3C24"/>
    <w:rsid w:val="000F607B"/>
    <w:rsid w:val="000F6495"/>
    <w:rsid w:val="000F6FD8"/>
    <w:rsid w:val="001061FA"/>
    <w:rsid w:val="00112BF2"/>
    <w:rsid w:val="0011517F"/>
    <w:rsid w:val="00117062"/>
    <w:rsid w:val="0012173D"/>
    <w:rsid w:val="00121BB0"/>
    <w:rsid w:val="0012686C"/>
    <w:rsid w:val="0013090C"/>
    <w:rsid w:val="00131C5D"/>
    <w:rsid w:val="00132059"/>
    <w:rsid w:val="00132F74"/>
    <w:rsid w:val="0014310A"/>
    <w:rsid w:val="00143427"/>
    <w:rsid w:val="00145D24"/>
    <w:rsid w:val="00145E0A"/>
    <w:rsid w:val="00152832"/>
    <w:rsid w:val="001600FC"/>
    <w:rsid w:val="00160815"/>
    <w:rsid w:val="00172007"/>
    <w:rsid w:val="0017446F"/>
    <w:rsid w:val="0017667F"/>
    <w:rsid w:val="00177CB9"/>
    <w:rsid w:val="001834D4"/>
    <w:rsid w:val="00192287"/>
    <w:rsid w:val="00197E14"/>
    <w:rsid w:val="001A016C"/>
    <w:rsid w:val="001A2A81"/>
    <w:rsid w:val="001A32D5"/>
    <w:rsid w:val="001A47D0"/>
    <w:rsid w:val="001A5BD4"/>
    <w:rsid w:val="001A70A8"/>
    <w:rsid w:val="001B2C0D"/>
    <w:rsid w:val="001B3341"/>
    <w:rsid w:val="001B6017"/>
    <w:rsid w:val="001B7A0B"/>
    <w:rsid w:val="001B7EB3"/>
    <w:rsid w:val="001C1FD9"/>
    <w:rsid w:val="001C5BC2"/>
    <w:rsid w:val="001D0179"/>
    <w:rsid w:val="001E0B2E"/>
    <w:rsid w:val="001E1188"/>
    <w:rsid w:val="001E3599"/>
    <w:rsid w:val="001F1CB9"/>
    <w:rsid w:val="001F7501"/>
    <w:rsid w:val="00205878"/>
    <w:rsid w:val="00213D7B"/>
    <w:rsid w:val="00214DEC"/>
    <w:rsid w:val="00215B80"/>
    <w:rsid w:val="002215B5"/>
    <w:rsid w:val="00224761"/>
    <w:rsid w:val="00224A3F"/>
    <w:rsid w:val="00224D96"/>
    <w:rsid w:val="002306C7"/>
    <w:rsid w:val="00231819"/>
    <w:rsid w:val="002351E9"/>
    <w:rsid w:val="00236329"/>
    <w:rsid w:val="00241BD8"/>
    <w:rsid w:val="002422FB"/>
    <w:rsid w:val="002434B0"/>
    <w:rsid w:val="00254CA9"/>
    <w:rsid w:val="0026681D"/>
    <w:rsid w:val="00267452"/>
    <w:rsid w:val="00273421"/>
    <w:rsid w:val="00273AA4"/>
    <w:rsid w:val="0027418E"/>
    <w:rsid w:val="00290DA3"/>
    <w:rsid w:val="002A3A19"/>
    <w:rsid w:val="002A6F7C"/>
    <w:rsid w:val="002B19D7"/>
    <w:rsid w:val="002C06C1"/>
    <w:rsid w:val="002C0DCF"/>
    <w:rsid w:val="002C1673"/>
    <w:rsid w:val="002C2703"/>
    <w:rsid w:val="002D1867"/>
    <w:rsid w:val="002F2009"/>
    <w:rsid w:val="002F2269"/>
    <w:rsid w:val="00300924"/>
    <w:rsid w:val="003025A8"/>
    <w:rsid w:val="003129B6"/>
    <w:rsid w:val="00314D6E"/>
    <w:rsid w:val="00315AB3"/>
    <w:rsid w:val="00320E57"/>
    <w:rsid w:val="003221EF"/>
    <w:rsid w:val="00322C23"/>
    <w:rsid w:val="003248A2"/>
    <w:rsid w:val="00352A51"/>
    <w:rsid w:val="0035477B"/>
    <w:rsid w:val="00355E53"/>
    <w:rsid w:val="003604AA"/>
    <w:rsid w:val="00362309"/>
    <w:rsid w:val="00363390"/>
    <w:rsid w:val="0036783B"/>
    <w:rsid w:val="00370D44"/>
    <w:rsid w:val="00372BEC"/>
    <w:rsid w:val="00392385"/>
    <w:rsid w:val="003953B5"/>
    <w:rsid w:val="003A2221"/>
    <w:rsid w:val="003C34A3"/>
    <w:rsid w:val="003C3DE8"/>
    <w:rsid w:val="003D7A72"/>
    <w:rsid w:val="003E318D"/>
    <w:rsid w:val="003F3AA3"/>
    <w:rsid w:val="00412567"/>
    <w:rsid w:val="004172D1"/>
    <w:rsid w:val="00424530"/>
    <w:rsid w:val="0043577F"/>
    <w:rsid w:val="0043675A"/>
    <w:rsid w:val="00441F85"/>
    <w:rsid w:val="00446D76"/>
    <w:rsid w:val="00452CF3"/>
    <w:rsid w:val="0045301B"/>
    <w:rsid w:val="00454B24"/>
    <w:rsid w:val="00455E0E"/>
    <w:rsid w:val="004637D3"/>
    <w:rsid w:val="004719B4"/>
    <w:rsid w:val="00471CA1"/>
    <w:rsid w:val="00471CCE"/>
    <w:rsid w:val="0047263A"/>
    <w:rsid w:val="00481AC4"/>
    <w:rsid w:val="00482FB6"/>
    <w:rsid w:val="00490251"/>
    <w:rsid w:val="004955E7"/>
    <w:rsid w:val="004A5D8B"/>
    <w:rsid w:val="004A76C6"/>
    <w:rsid w:val="004B2FC0"/>
    <w:rsid w:val="004B7784"/>
    <w:rsid w:val="004C1B19"/>
    <w:rsid w:val="004C6392"/>
    <w:rsid w:val="004D3523"/>
    <w:rsid w:val="004D7668"/>
    <w:rsid w:val="004E405B"/>
    <w:rsid w:val="004F0AB6"/>
    <w:rsid w:val="004F63DB"/>
    <w:rsid w:val="005037F2"/>
    <w:rsid w:val="00505C64"/>
    <w:rsid w:val="005105EF"/>
    <w:rsid w:val="0051571A"/>
    <w:rsid w:val="00522627"/>
    <w:rsid w:val="00523895"/>
    <w:rsid w:val="00526B39"/>
    <w:rsid w:val="00532EBE"/>
    <w:rsid w:val="005410AB"/>
    <w:rsid w:val="00543A44"/>
    <w:rsid w:val="005574DA"/>
    <w:rsid w:val="00565691"/>
    <w:rsid w:val="005706A6"/>
    <w:rsid w:val="00571BB6"/>
    <w:rsid w:val="00574B26"/>
    <w:rsid w:val="00575BA7"/>
    <w:rsid w:val="00582AA7"/>
    <w:rsid w:val="0058477C"/>
    <w:rsid w:val="0058568F"/>
    <w:rsid w:val="00590360"/>
    <w:rsid w:val="005A11A7"/>
    <w:rsid w:val="005A6911"/>
    <w:rsid w:val="005B3658"/>
    <w:rsid w:val="005B5C09"/>
    <w:rsid w:val="005C3DFF"/>
    <w:rsid w:val="005C498B"/>
    <w:rsid w:val="005D033E"/>
    <w:rsid w:val="005D4005"/>
    <w:rsid w:val="005D40D1"/>
    <w:rsid w:val="005D6612"/>
    <w:rsid w:val="005E167D"/>
    <w:rsid w:val="00600024"/>
    <w:rsid w:val="00600065"/>
    <w:rsid w:val="006017FA"/>
    <w:rsid w:val="006059B2"/>
    <w:rsid w:val="00610305"/>
    <w:rsid w:val="00610419"/>
    <w:rsid w:val="00611DDB"/>
    <w:rsid w:val="00612C7B"/>
    <w:rsid w:val="006209BD"/>
    <w:rsid w:val="006224C1"/>
    <w:rsid w:val="006241B4"/>
    <w:rsid w:val="006269B7"/>
    <w:rsid w:val="006307A5"/>
    <w:rsid w:val="006336C8"/>
    <w:rsid w:val="00633DC7"/>
    <w:rsid w:val="00636E1D"/>
    <w:rsid w:val="00641A7A"/>
    <w:rsid w:val="00645495"/>
    <w:rsid w:val="00655112"/>
    <w:rsid w:val="00663B0A"/>
    <w:rsid w:val="006641F8"/>
    <w:rsid w:val="0066422C"/>
    <w:rsid w:val="006676B6"/>
    <w:rsid w:val="00670254"/>
    <w:rsid w:val="00675E42"/>
    <w:rsid w:val="00683BFB"/>
    <w:rsid w:val="006915A4"/>
    <w:rsid w:val="00692AB7"/>
    <w:rsid w:val="00692AD8"/>
    <w:rsid w:val="006973AC"/>
    <w:rsid w:val="006C186D"/>
    <w:rsid w:val="006C6D8E"/>
    <w:rsid w:val="006C7018"/>
    <w:rsid w:val="006D4C7C"/>
    <w:rsid w:val="006D7393"/>
    <w:rsid w:val="006E0D7A"/>
    <w:rsid w:val="006E3CE5"/>
    <w:rsid w:val="006E55E1"/>
    <w:rsid w:val="006F2E13"/>
    <w:rsid w:val="006F445D"/>
    <w:rsid w:val="006F72C6"/>
    <w:rsid w:val="006F7529"/>
    <w:rsid w:val="00703E4E"/>
    <w:rsid w:val="007071C6"/>
    <w:rsid w:val="00711E1C"/>
    <w:rsid w:val="00721D07"/>
    <w:rsid w:val="00721FBA"/>
    <w:rsid w:val="00723921"/>
    <w:rsid w:val="00730352"/>
    <w:rsid w:val="00731463"/>
    <w:rsid w:val="0073336B"/>
    <w:rsid w:val="00734CF5"/>
    <w:rsid w:val="007373D2"/>
    <w:rsid w:val="00740F65"/>
    <w:rsid w:val="00742839"/>
    <w:rsid w:val="00755505"/>
    <w:rsid w:val="0076316D"/>
    <w:rsid w:val="00771BCE"/>
    <w:rsid w:val="00772993"/>
    <w:rsid w:val="007815FB"/>
    <w:rsid w:val="00781A37"/>
    <w:rsid w:val="00781D80"/>
    <w:rsid w:val="00782422"/>
    <w:rsid w:val="007850AB"/>
    <w:rsid w:val="00791EAE"/>
    <w:rsid w:val="007A0054"/>
    <w:rsid w:val="007A44A6"/>
    <w:rsid w:val="007A5353"/>
    <w:rsid w:val="007A748F"/>
    <w:rsid w:val="007B3D63"/>
    <w:rsid w:val="007B6077"/>
    <w:rsid w:val="007B69D6"/>
    <w:rsid w:val="007B793D"/>
    <w:rsid w:val="007C08B0"/>
    <w:rsid w:val="007C3A00"/>
    <w:rsid w:val="007C55D0"/>
    <w:rsid w:val="007D2626"/>
    <w:rsid w:val="007F5092"/>
    <w:rsid w:val="007F6B00"/>
    <w:rsid w:val="007F7895"/>
    <w:rsid w:val="00804A88"/>
    <w:rsid w:val="00813BAC"/>
    <w:rsid w:val="00813CD4"/>
    <w:rsid w:val="00817C42"/>
    <w:rsid w:val="00821B9D"/>
    <w:rsid w:val="00825614"/>
    <w:rsid w:val="0084468C"/>
    <w:rsid w:val="008552A0"/>
    <w:rsid w:val="008651AA"/>
    <w:rsid w:val="00865492"/>
    <w:rsid w:val="00865A3C"/>
    <w:rsid w:val="00867CB4"/>
    <w:rsid w:val="008708AB"/>
    <w:rsid w:val="00870A33"/>
    <w:rsid w:val="00871962"/>
    <w:rsid w:val="008725EC"/>
    <w:rsid w:val="00874ED5"/>
    <w:rsid w:val="008A4100"/>
    <w:rsid w:val="008A7288"/>
    <w:rsid w:val="008B6155"/>
    <w:rsid w:val="008C1A94"/>
    <w:rsid w:val="008C567C"/>
    <w:rsid w:val="008C5B82"/>
    <w:rsid w:val="008E297F"/>
    <w:rsid w:val="008F3908"/>
    <w:rsid w:val="009014B6"/>
    <w:rsid w:val="009041D9"/>
    <w:rsid w:val="00907439"/>
    <w:rsid w:val="00907D57"/>
    <w:rsid w:val="00911860"/>
    <w:rsid w:val="0091231C"/>
    <w:rsid w:val="00912882"/>
    <w:rsid w:val="00912895"/>
    <w:rsid w:val="00913422"/>
    <w:rsid w:val="009210DE"/>
    <w:rsid w:val="009257BE"/>
    <w:rsid w:val="00943B87"/>
    <w:rsid w:val="00944AD8"/>
    <w:rsid w:val="009549FF"/>
    <w:rsid w:val="00954FC6"/>
    <w:rsid w:val="0096160F"/>
    <w:rsid w:val="00962DC4"/>
    <w:rsid w:val="009642A9"/>
    <w:rsid w:val="00965B80"/>
    <w:rsid w:val="009730FB"/>
    <w:rsid w:val="00976A15"/>
    <w:rsid w:val="00980519"/>
    <w:rsid w:val="009846C5"/>
    <w:rsid w:val="0099008B"/>
    <w:rsid w:val="00993B1E"/>
    <w:rsid w:val="00993BAA"/>
    <w:rsid w:val="00994F87"/>
    <w:rsid w:val="009A1966"/>
    <w:rsid w:val="009A294D"/>
    <w:rsid w:val="009A5AF6"/>
    <w:rsid w:val="009B7C11"/>
    <w:rsid w:val="009C12C9"/>
    <w:rsid w:val="009C1CE7"/>
    <w:rsid w:val="009D55F7"/>
    <w:rsid w:val="009E300F"/>
    <w:rsid w:val="009E38A2"/>
    <w:rsid w:val="009E697F"/>
    <w:rsid w:val="009E76BE"/>
    <w:rsid w:val="009E79BF"/>
    <w:rsid w:val="009F12DA"/>
    <w:rsid w:val="009F3FE6"/>
    <w:rsid w:val="009F53AF"/>
    <w:rsid w:val="00A00E34"/>
    <w:rsid w:val="00A02BBA"/>
    <w:rsid w:val="00A062C7"/>
    <w:rsid w:val="00A10257"/>
    <w:rsid w:val="00A13558"/>
    <w:rsid w:val="00A14332"/>
    <w:rsid w:val="00A2290D"/>
    <w:rsid w:val="00A23608"/>
    <w:rsid w:val="00A23D22"/>
    <w:rsid w:val="00A25403"/>
    <w:rsid w:val="00A27B9D"/>
    <w:rsid w:val="00A27D88"/>
    <w:rsid w:val="00A304D0"/>
    <w:rsid w:val="00A41338"/>
    <w:rsid w:val="00A4361D"/>
    <w:rsid w:val="00A44695"/>
    <w:rsid w:val="00A4607D"/>
    <w:rsid w:val="00A527B0"/>
    <w:rsid w:val="00A53EC9"/>
    <w:rsid w:val="00A725D6"/>
    <w:rsid w:val="00A72C7D"/>
    <w:rsid w:val="00A81586"/>
    <w:rsid w:val="00A92440"/>
    <w:rsid w:val="00AA435E"/>
    <w:rsid w:val="00AA796D"/>
    <w:rsid w:val="00AB104D"/>
    <w:rsid w:val="00AB21B0"/>
    <w:rsid w:val="00AB2476"/>
    <w:rsid w:val="00AB4B80"/>
    <w:rsid w:val="00AC2312"/>
    <w:rsid w:val="00AD0C73"/>
    <w:rsid w:val="00AD3179"/>
    <w:rsid w:val="00AE1A2D"/>
    <w:rsid w:val="00AE5347"/>
    <w:rsid w:val="00AE55F6"/>
    <w:rsid w:val="00AE56DB"/>
    <w:rsid w:val="00AF0781"/>
    <w:rsid w:val="00AF0E92"/>
    <w:rsid w:val="00AF21F6"/>
    <w:rsid w:val="00AF2BCB"/>
    <w:rsid w:val="00AF4C86"/>
    <w:rsid w:val="00B025DB"/>
    <w:rsid w:val="00B13C87"/>
    <w:rsid w:val="00B1710D"/>
    <w:rsid w:val="00B2771A"/>
    <w:rsid w:val="00B32510"/>
    <w:rsid w:val="00B33222"/>
    <w:rsid w:val="00B3595C"/>
    <w:rsid w:val="00B36D5E"/>
    <w:rsid w:val="00B43E07"/>
    <w:rsid w:val="00B51926"/>
    <w:rsid w:val="00B51BB3"/>
    <w:rsid w:val="00B526A8"/>
    <w:rsid w:val="00B55FAB"/>
    <w:rsid w:val="00B56F17"/>
    <w:rsid w:val="00B6734E"/>
    <w:rsid w:val="00B76198"/>
    <w:rsid w:val="00B77DC8"/>
    <w:rsid w:val="00B77F65"/>
    <w:rsid w:val="00B82515"/>
    <w:rsid w:val="00B83D9D"/>
    <w:rsid w:val="00B84529"/>
    <w:rsid w:val="00B954E5"/>
    <w:rsid w:val="00B96F7F"/>
    <w:rsid w:val="00BB2111"/>
    <w:rsid w:val="00BB6030"/>
    <w:rsid w:val="00BC1D4B"/>
    <w:rsid w:val="00BC3450"/>
    <w:rsid w:val="00BC7FD2"/>
    <w:rsid w:val="00BD1538"/>
    <w:rsid w:val="00BD1DD9"/>
    <w:rsid w:val="00BE2989"/>
    <w:rsid w:val="00BF4906"/>
    <w:rsid w:val="00BF4EC0"/>
    <w:rsid w:val="00BF78EE"/>
    <w:rsid w:val="00C03AE7"/>
    <w:rsid w:val="00C05D9D"/>
    <w:rsid w:val="00C12FA8"/>
    <w:rsid w:val="00C35592"/>
    <w:rsid w:val="00C356AF"/>
    <w:rsid w:val="00C41927"/>
    <w:rsid w:val="00C439D6"/>
    <w:rsid w:val="00C43FD9"/>
    <w:rsid w:val="00C44EB2"/>
    <w:rsid w:val="00C47E8F"/>
    <w:rsid w:val="00C57BC4"/>
    <w:rsid w:val="00C60915"/>
    <w:rsid w:val="00C60EEB"/>
    <w:rsid w:val="00C64E27"/>
    <w:rsid w:val="00C84497"/>
    <w:rsid w:val="00C91A9F"/>
    <w:rsid w:val="00C92B4B"/>
    <w:rsid w:val="00C95F54"/>
    <w:rsid w:val="00C964B8"/>
    <w:rsid w:val="00CA1DF9"/>
    <w:rsid w:val="00CB6121"/>
    <w:rsid w:val="00CB6EBB"/>
    <w:rsid w:val="00CD4AF7"/>
    <w:rsid w:val="00CE3517"/>
    <w:rsid w:val="00CE3F04"/>
    <w:rsid w:val="00CF15C6"/>
    <w:rsid w:val="00D01670"/>
    <w:rsid w:val="00D0474C"/>
    <w:rsid w:val="00D05C26"/>
    <w:rsid w:val="00D062AC"/>
    <w:rsid w:val="00D152E7"/>
    <w:rsid w:val="00D21F91"/>
    <w:rsid w:val="00D251D0"/>
    <w:rsid w:val="00D3796C"/>
    <w:rsid w:val="00D43C43"/>
    <w:rsid w:val="00D44360"/>
    <w:rsid w:val="00D53948"/>
    <w:rsid w:val="00D549B9"/>
    <w:rsid w:val="00D557EE"/>
    <w:rsid w:val="00D56058"/>
    <w:rsid w:val="00D57F4B"/>
    <w:rsid w:val="00D646FE"/>
    <w:rsid w:val="00D656AD"/>
    <w:rsid w:val="00D6692C"/>
    <w:rsid w:val="00D76E91"/>
    <w:rsid w:val="00D823B5"/>
    <w:rsid w:val="00D849AA"/>
    <w:rsid w:val="00D872D1"/>
    <w:rsid w:val="00D873F3"/>
    <w:rsid w:val="00D90F63"/>
    <w:rsid w:val="00DA6122"/>
    <w:rsid w:val="00DB2E78"/>
    <w:rsid w:val="00DB4809"/>
    <w:rsid w:val="00DB5E8F"/>
    <w:rsid w:val="00DC3E99"/>
    <w:rsid w:val="00DC5214"/>
    <w:rsid w:val="00DC7C3E"/>
    <w:rsid w:val="00DD247B"/>
    <w:rsid w:val="00DE0FE1"/>
    <w:rsid w:val="00DE30E0"/>
    <w:rsid w:val="00DE46D0"/>
    <w:rsid w:val="00E21FC7"/>
    <w:rsid w:val="00E22BCE"/>
    <w:rsid w:val="00E255BF"/>
    <w:rsid w:val="00E2590B"/>
    <w:rsid w:val="00E26355"/>
    <w:rsid w:val="00E326FF"/>
    <w:rsid w:val="00E337DC"/>
    <w:rsid w:val="00E35F55"/>
    <w:rsid w:val="00E361B0"/>
    <w:rsid w:val="00E410F0"/>
    <w:rsid w:val="00E5738D"/>
    <w:rsid w:val="00E5771C"/>
    <w:rsid w:val="00E62DB8"/>
    <w:rsid w:val="00E677EF"/>
    <w:rsid w:val="00E859DF"/>
    <w:rsid w:val="00E87041"/>
    <w:rsid w:val="00E90EDD"/>
    <w:rsid w:val="00E94506"/>
    <w:rsid w:val="00E95201"/>
    <w:rsid w:val="00EA13B4"/>
    <w:rsid w:val="00EA16F3"/>
    <w:rsid w:val="00EA1807"/>
    <w:rsid w:val="00EA4947"/>
    <w:rsid w:val="00EC0C41"/>
    <w:rsid w:val="00EC11F0"/>
    <w:rsid w:val="00EC1594"/>
    <w:rsid w:val="00ED2521"/>
    <w:rsid w:val="00ED2FB9"/>
    <w:rsid w:val="00ED41FD"/>
    <w:rsid w:val="00ED4A40"/>
    <w:rsid w:val="00ED675F"/>
    <w:rsid w:val="00EE456B"/>
    <w:rsid w:val="00EF35BF"/>
    <w:rsid w:val="00F00C37"/>
    <w:rsid w:val="00F00C8E"/>
    <w:rsid w:val="00F01EA6"/>
    <w:rsid w:val="00F02D51"/>
    <w:rsid w:val="00F033B6"/>
    <w:rsid w:val="00F034AC"/>
    <w:rsid w:val="00F160D2"/>
    <w:rsid w:val="00F221AB"/>
    <w:rsid w:val="00F23DC0"/>
    <w:rsid w:val="00F311CD"/>
    <w:rsid w:val="00F3669D"/>
    <w:rsid w:val="00F42F3F"/>
    <w:rsid w:val="00F4748D"/>
    <w:rsid w:val="00F56DC4"/>
    <w:rsid w:val="00F60C16"/>
    <w:rsid w:val="00F612B3"/>
    <w:rsid w:val="00F647A3"/>
    <w:rsid w:val="00F653FF"/>
    <w:rsid w:val="00F7064A"/>
    <w:rsid w:val="00F720FF"/>
    <w:rsid w:val="00F747AD"/>
    <w:rsid w:val="00F764A1"/>
    <w:rsid w:val="00F86AD4"/>
    <w:rsid w:val="00F87FF5"/>
    <w:rsid w:val="00F9329F"/>
    <w:rsid w:val="00F942CA"/>
    <w:rsid w:val="00F9452C"/>
    <w:rsid w:val="00FA459D"/>
    <w:rsid w:val="00FB28E1"/>
    <w:rsid w:val="00FB43F9"/>
    <w:rsid w:val="00FB7206"/>
    <w:rsid w:val="00FC1255"/>
    <w:rsid w:val="00FC1D72"/>
    <w:rsid w:val="00FE0C92"/>
    <w:rsid w:val="00FE0E60"/>
    <w:rsid w:val="00FE1239"/>
    <w:rsid w:val="00FE438F"/>
    <w:rsid w:val="00FE5577"/>
    <w:rsid w:val="00FF0C19"/>
    <w:rsid w:val="00FF34C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6184604"/>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215B80"/>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qFormat/>
    <w:rsid w:val="00C92B4B"/>
    <w:pPr>
      <w:spacing w:before="80" w:after="0" w:line="200" w:lineRule="exact"/>
    </w:pPr>
    <w:rPr>
      <w:rFonts w:ascii="Times New Roman" w:hAnsi="Times New Roman" w:cs="Times New Roman"/>
      <w:sz w:val="18"/>
      <w:szCs w:val="18"/>
    </w:rPr>
  </w:style>
  <w:style w:type="character" w:customStyle="1" w:styleId="FootnoteTextChar">
    <w:name w:val="Footnote Text Char"/>
    <w:basedOn w:val="DefaultParagraphFont"/>
    <w:link w:val="FootnoteText"/>
    <w:rsid w:val="00C92B4B"/>
    <w:rPr>
      <w:rFonts w:ascii="Times New Roman" w:hAnsi="Times New Roman" w:cs="Times New Roman"/>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cs-CZ"/>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semiHidden/>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29"/>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basedOn w:val="Normal"/>
    <w:uiPriority w:val="1"/>
    <w:qFormat/>
    <w:rsid w:val="009F12DA"/>
    <w:pPr>
      <w:ind w:left="720"/>
    </w:pPr>
    <w:rPr>
      <w:rFonts w:ascii="Calibri" w:eastAsia="Calibri" w:hAnsi="Calibri" w:cs="Times New Roman"/>
      <w:szCs w:val="22"/>
    </w:rPr>
  </w:style>
  <w:style w:type="character" w:styleId="CommentReference">
    <w:name w:val="annotation reference"/>
    <w:basedOn w:val="DefaultParagraphFont"/>
    <w:uiPriority w:val="99"/>
    <w:semiHidden/>
    <w:unhideWhenUsed/>
    <w:rsid w:val="006336C8"/>
    <w:rPr>
      <w:sz w:val="16"/>
      <w:szCs w:val="16"/>
    </w:rPr>
  </w:style>
  <w:style w:type="paragraph" w:styleId="CommentText">
    <w:name w:val="annotation text"/>
    <w:basedOn w:val="Normal"/>
    <w:link w:val="CommentTextChar"/>
    <w:uiPriority w:val="99"/>
    <w:unhideWhenUsed/>
    <w:rsid w:val="006336C8"/>
    <w:rPr>
      <w:sz w:val="20"/>
      <w:szCs w:val="20"/>
    </w:rPr>
  </w:style>
  <w:style w:type="character" w:customStyle="1" w:styleId="CommentTextChar">
    <w:name w:val="Comment Text Char"/>
    <w:basedOn w:val="DefaultParagraphFont"/>
    <w:link w:val="CommentText"/>
    <w:uiPriority w:val="99"/>
    <w:rsid w:val="006336C8"/>
    <w:rPr>
      <w:sz w:val="20"/>
      <w:szCs w:val="20"/>
      <w:lang w:val="cs-CZ"/>
    </w:rPr>
  </w:style>
  <w:style w:type="paragraph" w:styleId="CommentSubject">
    <w:name w:val="annotation subject"/>
    <w:basedOn w:val="CommentText"/>
    <w:next w:val="CommentText"/>
    <w:link w:val="CommentSubjectChar"/>
    <w:uiPriority w:val="99"/>
    <w:semiHidden/>
    <w:unhideWhenUsed/>
    <w:rsid w:val="00944AD8"/>
    <w:rPr>
      <w:b/>
      <w:bCs/>
    </w:rPr>
  </w:style>
  <w:style w:type="character" w:customStyle="1" w:styleId="CommentSubjectChar">
    <w:name w:val="Comment Subject Char"/>
    <w:basedOn w:val="CommentTextChar"/>
    <w:link w:val="CommentSubject"/>
    <w:uiPriority w:val="99"/>
    <w:semiHidden/>
    <w:rsid w:val="00944AD8"/>
    <w:rPr>
      <w:b/>
      <w:bCs/>
      <w:sz w:val="20"/>
      <w:szCs w:val="20"/>
      <w:lang w:val="cs-CZ"/>
    </w:rPr>
  </w:style>
  <w:style w:type="paragraph" w:styleId="Revision">
    <w:name w:val="Revision"/>
    <w:hidden/>
    <w:uiPriority w:val="99"/>
    <w:semiHidden/>
    <w:rsid w:val="00944AD8"/>
    <w:rPr>
      <w:sz w:val="22"/>
    </w:rPr>
  </w:style>
  <w:style w:type="paragraph" w:customStyle="1" w:styleId="Text1">
    <w:name w:val="Text 1"/>
    <w:basedOn w:val="Normal"/>
    <w:rsid w:val="00454B24"/>
    <w:pPr>
      <w:spacing w:before="120" w:after="120"/>
      <w:ind w:left="850"/>
      <w:jc w:val="both"/>
    </w:pPr>
    <w:rPr>
      <w:rFonts w:ascii="Times New Roman" w:eastAsia="Calibri" w:hAnsi="Times New Roman" w:cs="Times New Roman"/>
      <w:sz w:val="24"/>
      <w:szCs w:val="20"/>
      <w:lang w:eastAsia="en-GB"/>
    </w:rPr>
  </w:style>
  <w:style w:type="paragraph" w:customStyle="1" w:styleId="TableParagraph">
    <w:name w:val="Table Paragraph"/>
    <w:basedOn w:val="Normal"/>
    <w:uiPriority w:val="1"/>
    <w:qFormat/>
    <w:rsid w:val="00723921"/>
    <w:pPr>
      <w:widowControl w:val="0"/>
      <w:autoSpaceDE w:val="0"/>
      <w:autoSpaceDN w:val="0"/>
    </w:pPr>
    <w:rPr>
      <w:rFonts w:ascii="Calibri" w:eastAsia="Calibri" w:hAnsi="Calibri" w:cs="Calibri"/>
      <w:szCs w:val="22"/>
      <w:lang w:eastAsia="en-GB" w:bidi="en-GB"/>
    </w:rPr>
  </w:style>
  <w:style w:type="table" w:customStyle="1" w:styleId="TableGrid1">
    <w:name w:val="Table Grid1"/>
    <w:basedOn w:val="TableNormal"/>
    <w:next w:val="TableGrid"/>
    <w:uiPriority w:val="39"/>
    <w:rsid w:val="00D646FE"/>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5614"/>
    <w:pPr>
      <w:widowControl w:val="0"/>
      <w:autoSpaceDE w:val="0"/>
      <w:autoSpaceDN w:val="0"/>
    </w:pPr>
    <w:rPr>
      <w:rFonts w:ascii="Calibri" w:eastAsia="Calibri" w:hAnsi="Calibri" w:cs="Calibri"/>
      <w:szCs w:val="22"/>
      <w:lang w:val="en-US"/>
    </w:rPr>
  </w:style>
  <w:style w:type="character" w:customStyle="1" w:styleId="BodyTextChar">
    <w:name w:val="Body Text Char"/>
    <w:basedOn w:val="DefaultParagraphFont"/>
    <w:link w:val="BodyText"/>
    <w:uiPriority w:val="1"/>
    <w:rsid w:val="00825614"/>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825">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49382086">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509710013">
      <w:bodyDiv w:val="1"/>
      <w:marLeft w:val="0"/>
      <w:marRight w:val="0"/>
      <w:marTop w:val="0"/>
      <w:marBottom w:val="0"/>
      <w:divBdr>
        <w:top w:val="none" w:sz="0" w:space="0" w:color="auto"/>
        <w:left w:val="none" w:sz="0" w:space="0" w:color="auto"/>
        <w:bottom w:val="none" w:sz="0" w:space="0" w:color="auto"/>
        <w:right w:val="none" w:sz="0" w:space="0" w:color="auto"/>
      </w:divBdr>
    </w:div>
    <w:div w:id="2018773254">
      <w:bodyDiv w:val="1"/>
      <w:marLeft w:val="0"/>
      <w:marRight w:val="0"/>
      <w:marTop w:val="0"/>
      <w:marBottom w:val="0"/>
      <w:divBdr>
        <w:top w:val="none" w:sz="0" w:space="0" w:color="auto"/>
        <w:left w:val="none" w:sz="0" w:space="0" w:color="auto"/>
        <w:bottom w:val="none" w:sz="0" w:space="0" w:color="auto"/>
        <w:right w:val="none" w:sz="0" w:space="0" w:color="auto"/>
      </w:divBdr>
    </w:div>
    <w:div w:id="2037929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A3E3-D78E-4131-BEF9-F2D8E4C7A2D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52</ap:TotalTime>
  <ap:Pages>16</ap:Pages>
  <ap:Words>3465</ap:Words>
  <ap:Characters>21917</ap:Characters>
  <ap:Application>Microsoft Office Word</ap:Application>
  <ap:DocSecurity>0</ap:DocSecurity>
  <ap:Lines>182</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Company>CDT</ap:Company>
  <ap:LinksUpToDate>false</ap:LinksUpToDate>
  <ap:CharactersWithSpaces>25332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creator>CDT</dc:creator>
  <lastModifiedBy>CDT</lastModifiedBy>
  <revision>34</revision>
  <lastPrinted>2020-11-04T10:23:00.0000000Z</lastPrinted>
  <dcterms:created xsi:type="dcterms:W3CDTF">2020-11-04T10:04:00.0000000Z</dcterms:created>
  <dcterms:modified xsi:type="dcterms:W3CDTF">2024-04-22T07:46:00.0000000Z</dcterms:modified>
</coreProperties>
</file>