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203161" w:rsidRDefault="00111C0D" w:rsidP="00111C0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6B31577E-4A66-45B1-BAF3-E7A5B2E4B003" style="width:455.25pt;height:414pt">
            <v:imagedata r:id="rId8" o:title=""/>
          </v:shape>
        </w:pict>
      </w:r>
    </w:p>
    <w:p w:rsidR="003C122C" w:rsidRPr="00203161" w:rsidRDefault="003C122C">
      <w:pPr>
        <w:rPr>
          <w:noProof/>
        </w:rPr>
        <w:sectPr w:rsidR="003C122C" w:rsidRPr="00203161" w:rsidSect="00111C0D">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203161" w:rsidRDefault="00203161" w:rsidP="00203161">
      <w:pPr>
        <w:pStyle w:val="Typedudocument"/>
        <w:rPr>
          <w:noProof/>
        </w:rPr>
      </w:pPr>
      <w:bookmarkStart w:id="0" w:name="_GoBack"/>
      <w:bookmarkEnd w:id="0"/>
      <w:r w:rsidRPr="00203161">
        <w:rPr>
          <w:noProof/>
        </w:rPr>
        <w:lastRenderedPageBreak/>
        <w:t>KOMISIJOS ĮGYVENDINIMO REGLAMENTAS (ES) …/...</w:t>
      </w:r>
    </w:p>
    <w:p w:rsidR="003C122C" w:rsidRPr="00203161" w:rsidRDefault="00780B86" w:rsidP="00203161">
      <w:pPr>
        <w:pStyle w:val="Datedadoption"/>
        <w:rPr>
          <w:noProof/>
        </w:rPr>
      </w:pPr>
      <w:r>
        <w:t>2022 11 30</w:t>
      </w:r>
    </w:p>
    <w:p w:rsidR="003C122C" w:rsidRPr="00203161" w:rsidRDefault="00203161" w:rsidP="00203161">
      <w:pPr>
        <w:pStyle w:val="Titreobjet"/>
        <w:rPr>
          <w:noProof/>
        </w:rPr>
      </w:pPr>
      <w:r w:rsidRPr="00203161">
        <w:rPr>
          <w:noProof/>
        </w:rPr>
        <w:t xml:space="preserve">kuriuo dėl informacijos apie aplinkosauginę, socialinę ir valdymo riziką atskleidimo iš dalies keičiami Įgyvendinimo reglamente (ES) 2021/637 nustatyti techniniai įgyvendinimo standartai </w:t>
      </w:r>
      <w:r w:rsidRPr="00203161">
        <w:rPr>
          <w:noProof/>
        </w:rPr>
        <w:br/>
      </w:r>
    </w:p>
    <w:p w:rsidR="003C122C" w:rsidRPr="00203161" w:rsidRDefault="00203161" w:rsidP="00203161">
      <w:pPr>
        <w:pStyle w:val="IntrtEEE"/>
        <w:rPr>
          <w:noProof/>
        </w:rPr>
      </w:pPr>
      <w:r w:rsidRPr="00203161">
        <w:rPr>
          <w:noProof/>
        </w:rPr>
        <w:t>(Tekstas svarbus EEE)</w:t>
      </w:r>
    </w:p>
    <w:p w:rsidR="003C122C" w:rsidRPr="00203161" w:rsidRDefault="003C122C" w:rsidP="004E1EF9">
      <w:pPr>
        <w:pStyle w:val="Institutionquiagit"/>
        <w:rPr>
          <w:noProof/>
        </w:rPr>
      </w:pPr>
      <w:r w:rsidRPr="00203161">
        <w:rPr>
          <w:noProof/>
        </w:rPr>
        <w:t>EUROPOS KOMISIJA,</w:t>
      </w:r>
    </w:p>
    <w:p w:rsidR="003C122C" w:rsidRPr="00203161" w:rsidRDefault="003C122C" w:rsidP="003C122C">
      <w:pPr>
        <w:rPr>
          <w:noProof/>
          <w:color w:val="000000"/>
        </w:rPr>
      </w:pPr>
      <w:r w:rsidRPr="00203161">
        <w:rPr>
          <w:noProof/>
          <w:color w:val="000000"/>
        </w:rPr>
        <w:t>atsižvelgdama į Sutartį dėl Europos Sąjungos veikimo,</w:t>
      </w:r>
    </w:p>
    <w:p w:rsidR="003C122C" w:rsidRPr="00203161" w:rsidRDefault="003C122C" w:rsidP="003C122C">
      <w:pPr>
        <w:rPr>
          <w:noProof/>
          <w:color w:val="000000"/>
        </w:rPr>
      </w:pPr>
      <w:r w:rsidRPr="00203161">
        <w:rPr>
          <w:noProof/>
          <w:color w:val="000000"/>
        </w:rPr>
        <w:t>atsižvelgdama į 2013 m. birželio 26 d. Europos Parlamento ir Tarybos reglamentą (ES) Nr. 575/2013 dėl riziką ribojančių reikalavimų kredito įstaigoms, kuriuo iš dalies keičiamas Reglamentas (ES) Nr. 648/2012</w:t>
      </w:r>
      <w:r w:rsidRPr="00203161">
        <w:rPr>
          <w:rStyle w:val="FootnoteReference"/>
          <w:noProof/>
        </w:rPr>
        <w:footnoteReference w:id="1"/>
      </w:r>
      <w:r w:rsidRPr="00203161">
        <w:rPr>
          <w:noProof/>
          <w:color w:val="000000"/>
        </w:rPr>
        <w:t>, ypač į jo 434a straipsnį,</w:t>
      </w:r>
    </w:p>
    <w:p w:rsidR="003C122C" w:rsidRPr="00203161" w:rsidRDefault="003C122C" w:rsidP="004E1EF9">
      <w:pPr>
        <w:rPr>
          <w:noProof/>
        </w:rPr>
      </w:pPr>
      <w:r w:rsidRPr="00203161">
        <w:rPr>
          <w:noProof/>
        </w:rPr>
        <w:t>kadangi:</w:t>
      </w:r>
    </w:p>
    <w:p w:rsidR="00410340" w:rsidRPr="00203161" w:rsidRDefault="007D2A7E" w:rsidP="007D2A7E">
      <w:pPr>
        <w:pStyle w:val="ManualConsidrant"/>
        <w:rPr>
          <w:noProof/>
          <w:color w:val="000000"/>
        </w:rPr>
      </w:pPr>
      <w:r w:rsidRPr="007D2A7E">
        <w:t>(1)</w:t>
      </w:r>
      <w:r w:rsidRPr="007D2A7E">
        <w:tab/>
      </w:r>
      <w:r w:rsidR="007067A9" w:rsidRPr="00203161">
        <w:rPr>
          <w:noProof/>
        </w:rPr>
        <w:t>Komisijos įgyvendinimo reglamentu (ES) 2021/637</w:t>
      </w:r>
      <w:r w:rsidR="007067A9" w:rsidRPr="00203161">
        <w:rPr>
          <w:rStyle w:val="FootnoteReference"/>
          <w:noProof/>
        </w:rPr>
        <w:footnoteReference w:id="2"/>
      </w:r>
      <w:r w:rsidR="007067A9" w:rsidRPr="00203161">
        <w:rPr>
          <w:noProof/>
        </w:rPr>
        <w:t xml:space="preserve"> nustatyti vienodi informacijos atskleidimo formatai ir susiję nurodymai dėl informacijos atskleidimo pagal Reglamento (ES) Nr. 575/2013 II ir III antraštines dalis. Reglamentas (ES) Nr. 575/2013 buvo iš dalies pakeistas Reglamentu (ES) 2019/876</w:t>
      </w:r>
      <w:r w:rsidR="007067A9" w:rsidRPr="00203161">
        <w:rPr>
          <w:rStyle w:val="FootnoteReference"/>
          <w:noProof/>
        </w:rPr>
        <w:footnoteReference w:id="3"/>
      </w:r>
      <w:r w:rsidR="007067A9" w:rsidRPr="00203161">
        <w:rPr>
          <w:noProof/>
        </w:rPr>
        <w:t xml:space="preserve">, </w:t>
      </w:r>
      <w:r w:rsidR="007067A9" w:rsidRPr="00203161">
        <w:rPr>
          <w:i/>
          <w:noProof/>
        </w:rPr>
        <w:t>inter alia</w:t>
      </w:r>
      <w:r w:rsidR="007067A9" w:rsidRPr="00203161">
        <w:rPr>
          <w:noProof/>
        </w:rPr>
        <w:t>, į jį įtrauktas naujas 449a straipsnis. Tame straipsnyje reikalaujama, kad didelės įstaigos, išleidusios vertybinius popierius, kuriais leista prekiauti bet kurios valstybės narės reguliuojamoje rinkoje, nuo 2022 m. birželio 28 d. atskleistų informaciją apie aplinkosauginę, socialinę ir valdymo (ASV) riziką, įskaitant fizinę riziką ir pertvarkos riziką. Tas Reglamento (ES) Nr. 575/2013 pakeitimas turėtų būti atspindėtas Komisijos įgyvendinimo reglamente (ES) 2021/637, kuriame, be esamų vienodų informacijos atskleidimo formatų ir susijusių nurodymų, papildomai turėtų būti nustatyti vienodi informacijos apie ASV riziką atskleidimo formatai ir susiję atskleidimo nurodymai;</w:t>
      </w:r>
    </w:p>
    <w:p w:rsidR="00410340" w:rsidRPr="00203161" w:rsidRDefault="007D2A7E" w:rsidP="007D2A7E">
      <w:pPr>
        <w:pStyle w:val="ManualConsidrant"/>
        <w:rPr>
          <w:noProof/>
        </w:rPr>
      </w:pPr>
      <w:r w:rsidRPr="007D2A7E">
        <w:t>(2)</w:t>
      </w:r>
      <w:r w:rsidRPr="007D2A7E">
        <w:tab/>
      </w:r>
      <w:r w:rsidR="00410340" w:rsidRPr="00203161">
        <w:rPr>
          <w:noProof/>
        </w:rPr>
        <w:t>nustatant vienodus informacijos atskleidimo formatus reikėtų atsižvelgti į visą atskleistinos informacijos reikšmingumą. Tai reiškia, kad įstaigų atskleidžiama informacija turėtų apimti, viena vertus, ASV veiksnių finansinį poveikį įstaigų ekonominei ir finansinei veiklai (išorės poveikis įstaigai) ir, kita vertus, ASV veiksnius, kuriuos gali sukelti pačių įstaigų veikla ir kurie, darydami poveikį įstaigų suinteresuotiesiems subjektams, savo ruožtu tampa finansiškai reikšmingi (įstaigos poveikis išorei). Todėl informacijai atskleisti naudojamose lentelėse ir šablonuose turėtų būti pateikiama pakankamai išsami ir palyginama informacija apie ASV riziką, kad tos informacijos naudotojai galėtų įvertinti įstaigų rizikos profilį;</w:t>
      </w:r>
    </w:p>
    <w:p w:rsidR="00410340" w:rsidRPr="00203161" w:rsidRDefault="007D2A7E" w:rsidP="007D2A7E">
      <w:pPr>
        <w:pStyle w:val="ManualConsidrant"/>
        <w:rPr>
          <w:noProof/>
        </w:rPr>
      </w:pPr>
      <w:r w:rsidRPr="007D2A7E">
        <w:t>(3)</w:t>
      </w:r>
      <w:r w:rsidRPr="007D2A7E">
        <w:tab/>
      </w:r>
      <w:r w:rsidR="00A525E2" w:rsidRPr="00203161">
        <w:rPr>
          <w:noProof/>
        </w:rPr>
        <w:t>būtina užtikrinti suderinamumą ir nuoseklumą su kitais ASV rizikos srities Sąjungos teisės aktais. Todėl informacijos apie ASV riziką atskleidimo taisyklėse turėtų būti atsižvelgiama į tuose Sąjungos teisės aktuose nustatytus kriterijus, klasifikaciją ir apibrėžtis. Tose taisyklėse visų pirma turėtų būti atsižvelgiama į aplinkos atžvilgiu tvarios ekonominės veiklos nustatymo ir klasifikavimo kriterijus, nustatytus Europos Parlamento ir Tarybos reglamente (ES) 2020/852</w:t>
      </w:r>
      <w:r w:rsidR="00A525E2" w:rsidRPr="00203161">
        <w:rPr>
          <w:rStyle w:val="FootnoteReference"/>
          <w:noProof/>
        </w:rPr>
        <w:footnoteReference w:id="4"/>
      </w:r>
      <w:r w:rsidR="00A525E2" w:rsidRPr="00203161">
        <w:rPr>
          <w:noProof/>
        </w:rPr>
        <w:t xml:space="preserve"> ir Komisijos deleguotajame reglamente (ES) 2020/1818</w:t>
      </w:r>
      <w:r w:rsidR="00A525E2" w:rsidRPr="00203161">
        <w:rPr>
          <w:rStyle w:val="FootnoteReference"/>
          <w:noProof/>
        </w:rPr>
        <w:footnoteReference w:id="5"/>
      </w:r>
      <w:r w:rsidR="00A525E2" w:rsidRPr="00203161">
        <w:rPr>
          <w:noProof/>
        </w:rPr>
        <w:t>. Atskleidžiant informaciją apie įstaigų nekilnojamojo turto portfelio energinį naudingumą, reikėtų atsižvelgti į Europos Parlamento ir Tarybos direktyvos 2010/31/ES</w:t>
      </w:r>
      <w:r w:rsidR="00A525E2" w:rsidRPr="00203161">
        <w:rPr>
          <w:rStyle w:val="FootnoteReference"/>
          <w:noProof/>
        </w:rPr>
        <w:footnoteReference w:id="6"/>
      </w:r>
      <w:r w:rsidR="00A525E2" w:rsidRPr="00203161">
        <w:rPr>
          <w:noProof/>
        </w:rPr>
        <w:t xml:space="preserve"> 2 straipsnio 12 punkte apibrėžtame energinio naudingumo sertifikate nurodytą informaciją;</w:t>
      </w:r>
    </w:p>
    <w:p w:rsidR="00135CD4" w:rsidRPr="00203161" w:rsidRDefault="007D2A7E" w:rsidP="007D2A7E">
      <w:pPr>
        <w:pStyle w:val="ManualConsidrant"/>
        <w:rPr>
          <w:noProof/>
        </w:rPr>
      </w:pPr>
      <w:r w:rsidRPr="007D2A7E">
        <w:t>(4)</w:t>
      </w:r>
      <w:r w:rsidRPr="007D2A7E">
        <w:tab/>
      </w:r>
      <w:r w:rsidR="00135CD4" w:rsidRPr="00203161">
        <w:rPr>
          <w:noProof/>
        </w:rPr>
        <w:t>Europos Parlamento ir Tarybos direktyvos 2013/34/ES</w:t>
      </w:r>
      <w:r w:rsidR="00135CD4" w:rsidRPr="00203161">
        <w:rPr>
          <w:rStyle w:val="FootnoteReference"/>
          <w:noProof/>
        </w:rPr>
        <w:footnoteReference w:id="7"/>
      </w:r>
      <w:r w:rsidR="00135CD4" w:rsidRPr="00203161">
        <w:rPr>
          <w:noProof/>
        </w:rPr>
        <w:t xml:space="preserve"> 19a ir 29a straipsniuose reikalaujama, kad tam tikros didelės įmonės, kurios yra viešojo intereso įmonės arba viešojo intereso įmonės, kurios yra didžiosios grupės patronuojančiosios įmonės, į atitinkamai savo vadovybės pranešimą arba konsoliduotąjį vadovybės pranešimą įtrauktų informaciją apie savo veiklos poveikį aplinkos, socialiniams ir su personalu susijusiems reikalams, taip pat pagarbos žmogaus teisėms, kovos su korupcija ir kyšininkavimu klausimams. Tačiau kitoms įmonėms ši pareiga netaikoma. Todėl įmonės, kurioms Direktyvos 2013/34/ES 19a ir 29a straipsniai netaikomi, tokios informacijos atskleisti neprivalo ir gali būti nepajėgios įstaigoms pateikti tokios informacijos. Todėl galima tik tikėtis, kad įmonės, kurios yra įstaigų sandorio šalys, tą informaciją ir duomenis pateiks savanoriškai. Vis dėlto tikslinga toms įmonėms pateikti nurodymus, kaip apskaičiuoti, kokią procentinę dalį sudaro pozicijos veiklos, kuri yra Reglamento (ES) 2020/852 3 straipsnyje nurodyta aplinkos atžvilgiu tvari ekonominė veikla, atžvilgiu, kad tą informaciją ir tuos duomenis būtų galima pateikti standartizuotu ir palyginamu formatu. Jei ta informacija ir duomenys savanoriškai nepateikiami, įstaigos turėtų galėti kriterijus atitinkančios taksonominės veiklos pozicijų procentinę dalį apskaičiuoti naudodamos įverčius arba pakaitinius duomenis;</w:t>
      </w:r>
    </w:p>
    <w:p w:rsidR="00921483" w:rsidRPr="00203161" w:rsidRDefault="007D2A7E" w:rsidP="007D2A7E">
      <w:pPr>
        <w:pStyle w:val="ManualConsidrant"/>
        <w:rPr>
          <w:noProof/>
        </w:rPr>
      </w:pPr>
      <w:r w:rsidRPr="007D2A7E">
        <w:t>(5)</w:t>
      </w:r>
      <w:r w:rsidRPr="007D2A7E">
        <w:tab/>
      </w:r>
      <w:r w:rsidR="00A97285" w:rsidRPr="00203161">
        <w:rPr>
          <w:noProof/>
        </w:rPr>
        <w:t>Reglamento (ES) Nr. 575/2013 449a straipsnyje reikalaujama, kad informacija apie ASV riziką būtų atskleidžiama nuo 2022 m. birželio 28 d.: pirmaisiais metais – vieną kartą per metus, o vėliau – du kartus per metus. Dėl šių priežasčių pirmoji metinė informacijos atskleidimo ataskaitinė data turėtų būti 2022 m. gruodžio 31 d.;</w:t>
      </w:r>
    </w:p>
    <w:p w:rsidR="00ED20D7" w:rsidRPr="00203161" w:rsidRDefault="007D2A7E" w:rsidP="007D2A7E">
      <w:pPr>
        <w:pStyle w:val="ManualConsidrant"/>
        <w:rPr>
          <w:noProof/>
        </w:rPr>
      </w:pPr>
      <w:r w:rsidRPr="007D2A7E">
        <w:t>(6)</w:t>
      </w:r>
      <w:r w:rsidRPr="007D2A7E">
        <w:tab/>
      </w:r>
      <w:r w:rsidR="00410340" w:rsidRPr="00203161">
        <w:rPr>
          <w:noProof/>
        </w:rPr>
        <w:t xml:space="preserve">šis reglamentas grindžiamas techninių įgyvendinimo standartų projektais, kuriuos Komisijai pateikė Europos bankininkystės institucija; </w:t>
      </w:r>
    </w:p>
    <w:p w:rsidR="00410340" w:rsidRPr="00203161" w:rsidRDefault="007D2A7E" w:rsidP="007D2A7E">
      <w:pPr>
        <w:pStyle w:val="ManualConsidrant"/>
        <w:rPr>
          <w:noProof/>
        </w:rPr>
      </w:pPr>
      <w:r w:rsidRPr="007D2A7E">
        <w:t>(7)</w:t>
      </w:r>
      <w:r w:rsidRPr="007D2A7E">
        <w:tab/>
      </w:r>
      <w:r w:rsidR="00ED20D7" w:rsidRPr="00203161">
        <w:rPr>
          <w:noProof/>
        </w:rPr>
        <w:t>Europos bankininkystės institucija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w:t>
      </w:r>
      <w:r w:rsidR="00ED20D7" w:rsidRPr="00203161">
        <w:rPr>
          <w:rStyle w:val="FootnoteReference"/>
          <w:noProof/>
        </w:rPr>
        <w:footnoteReference w:id="8"/>
      </w:r>
      <w:r w:rsidR="00ED20D7" w:rsidRPr="00203161">
        <w:rPr>
          <w:noProof/>
        </w:rPr>
        <w:t xml:space="preserve"> 37 straipsnį, pateikti rekomendacijų;</w:t>
      </w:r>
    </w:p>
    <w:p w:rsidR="00410340" w:rsidRPr="00203161" w:rsidRDefault="007D2A7E" w:rsidP="007D2A7E">
      <w:pPr>
        <w:pStyle w:val="ManualConsidrant"/>
        <w:rPr>
          <w:noProof/>
        </w:rPr>
      </w:pPr>
      <w:r w:rsidRPr="007D2A7E">
        <w:t>(8)</w:t>
      </w:r>
      <w:r w:rsidRPr="007D2A7E">
        <w:tab/>
      </w:r>
      <w:r w:rsidR="00410340" w:rsidRPr="00203161">
        <w:rPr>
          <w:noProof/>
        </w:rPr>
        <w:t>todėl Įgyvendinimo reglamentas (ES) 2021/637 turėtų būti atitinkamai iš dalies pakeistas,</w:t>
      </w:r>
    </w:p>
    <w:p w:rsidR="003C122C" w:rsidRPr="00203161" w:rsidRDefault="003C122C" w:rsidP="004E1EF9">
      <w:pPr>
        <w:pStyle w:val="Formuledadoption"/>
        <w:rPr>
          <w:noProof/>
          <w:szCs w:val="24"/>
        </w:rPr>
      </w:pPr>
      <w:r w:rsidRPr="00203161">
        <w:rPr>
          <w:noProof/>
        </w:rPr>
        <w:t>PRIĖMĖ ŠĮ REGLAMENTĄ:</w:t>
      </w:r>
    </w:p>
    <w:p w:rsidR="003C122C" w:rsidRPr="00203161" w:rsidRDefault="003C122C" w:rsidP="004E1EF9">
      <w:pPr>
        <w:pStyle w:val="Titrearticle"/>
        <w:rPr>
          <w:noProof/>
          <w:szCs w:val="24"/>
        </w:rPr>
      </w:pPr>
      <w:r w:rsidRPr="00203161">
        <w:rPr>
          <w:noProof/>
        </w:rPr>
        <w:t>1 straipsnis</w:t>
      </w:r>
    </w:p>
    <w:p w:rsidR="007F4F83" w:rsidRPr="00203161" w:rsidRDefault="007F4F83" w:rsidP="00D00193">
      <w:pPr>
        <w:pStyle w:val="Titrearticle"/>
        <w:spacing w:before="120"/>
        <w:rPr>
          <w:b/>
          <w:i w:val="0"/>
          <w:noProof/>
          <w:szCs w:val="24"/>
        </w:rPr>
      </w:pPr>
      <w:r w:rsidRPr="00203161">
        <w:rPr>
          <w:b/>
          <w:i w:val="0"/>
          <w:noProof/>
        </w:rPr>
        <w:t>Įgyvendinimo reglamento (ES) 2021/637 pakeitimai</w:t>
      </w:r>
    </w:p>
    <w:p w:rsidR="007F4F83" w:rsidRPr="00203161" w:rsidRDefault="007F4F83" w:rsidP="007F4F83">
      <w:pPr>
        <w:pStyle w:val="Titrearticle"/>
        <w:jc w:val="left"/>
        <w:rPr>
          <w:rFonts w:eastAsiaTheme="minorEastAsia"/>
          <w:i w:val="0"/>
          <w:noProof/>
          <w:szCs w:val="24"/>
        </w:rPr>
      </w:pPr>
      <w:r w:rsidRPr="00203161">
        <w:rPr>
          <w:i w:val="0"/>
          <w:noProof/>
        </w:rPr>
        <w:t>Įgyvendinimo reglamentas (ES) 2021/637 iš dalies keičiamas taip:</w:t>
      </w:r>
    </w:p>
    <w:p w:rsidR="007F4F83" w:rsidRPr="00203161" w:rsidRDefault="007D2A7E" w:rsidP="007D2A7E">
      <w:pPr>
        <w:pStyle w:val="Point0"/>
        <w:rPr>
          <w:noProof/>
        </w:rPr>
      </w:pPr>
      <w:r w:rsidRPr="007D2A7E">
        <w:t>(1)</w:t>
      </w:r>
      <w:r w:rsidRPr="007D2A7E">
        <w:tab/>
      </w:r>
      <w:r w:rsidR="007F4F83" w:rsidRPr="00203161">
        <w:rPr>
          <w:noProof/>
        </w:rPr>
        <w:t>įterpiamas 18a straipsnis:</w:t>
      </w:r>
    </w:p>
    <w:p w:rsidR="007F4F83" w:rsidRPr="00203161" w:rsidRDefault="006542E5" w:rsidP="004046D9">
      <w:pPr>
        <w:pStyle w:val="Titrearticle"/>
        <w:spacing w:before="120"/>
        <w:ind w:left="567" w:right="568"/>
        <w:rPr>
          <w:noProof/>
        </w:rPr>
      </w:pPr>
      <w:r w:rsidRPr="00203161">
        <w:rPr>
          <w:noProof/>
        </w:rPr>
        <w:t>„18a straipsnis</w:t>
      </w:r>
    </w:p>
    <w:p w:rsidR="007F4F83" w:rsidRPr="00203161" w:rsidRDefault="007F4F83" w:rsidP="004046D9">
      <w:pPr>
        <w:pStyle w:val="Titrearticle"/>
        <w:spacing w:before="120"/>
        <w:ind w:left="567" w:right="568"/>
        <w:rPr>
          <w:b/>
          <w:i w:val="0"/>
          <w:noProof/>
        </w:rPr>
      </w:pPr>
      <w:r w:rsidRPr="00203161">
        <w:rPr>
          <w:b/>
          <w:i w:val="0"/>
          <w:noProof/>
        </w:rPr>
        <w:t>Aplinkosauginės, socialinės ir valdymo rizikos (ASV rizikos) atskleidimas</w:t>
      </w:r>
    </w:p>
    <w:p w:rsidR="007F4F83" w:rsidRPr="00203161" w:rsidRDefault="007D2A7E" w:rsidP="007D2A7E">
      <w:pPr>
        <w:pStyle w:val="ManualNumPar1"/>
        <w:rPr>
          <w:noProof/>
        </w:rPr>
      </w:pPr>
      <w:r w:rsidRPr="007D2A7E">
        <w:t>1.</w:t>
      </w:r>
      <w:r w:rsidRPr="007D2A7E">
        <w:tab/>
      </w:r>
      <w:r w:rsidR="007F4F83" w:rsidRPr="00203161">
        <w:rPr>
          <w:noProof/>
        </w:rPr>
        <w:t>Įstaigos Reglamento (ES) Nr. 575/2013 449a straipsnyje nurodytą informaciją atskleidžia taip:</w:t>
      </w:r>
    </w:p>
    <w:p w:rsidR="002D1236" w:rsidRPr="00203161" w:rsidRDefault="007D2A7E" w:rsidP="007D2A7E">
      <w:pPr>
        <w:pStyle w:val="Point1"/>
        <w:rPr>
          <w:noProof/>
        </w:rPr>
      </w:pPr>
      <w:r w:rsidRPr="007D2A7E">
        <w:t>(a)</w:t>
      </w:r>
      <w:r w:rsidRPr="007D2A7E">
        <w:tab/>
      </w:r>
      <w:r w:rsidR="002D1236" w:rsidRPr="00203161">
        <w:rPr>
          <w:noProof/>
        </w:rPr>
        <w:t>kokybinė informacija apie aplinkosauginę, socialinę ir valdymo riziką atskleidžiama naudojant šio reglamento XXXIX priedo 1, 2 ir 3 lenteles ir laikantis šio reglamento XL priede pateiktų nurodymų;</w:t>
      </w:r>
    </w:p>
    <w:p w:rsidR="002D1236" w:rsidRPr="00203161" w:rsidRDefault="007D2A7E" w:rsidP="007D2A7E">
      <w:pPr>
        <w:pStyle w:val="Point1"/>
        <w:rPr>
          <w:noProof/>
        </w:rPr>
      </w:pPr>
      <w:r w:rsidRPr="007D2A7E">
        <w:t>(b)</w:t>
      </w:r>
      <w:r w:rsidRPr="007D2A7E">
        <w:tab/>
      </w:r>
      <w:r w:rsidR="002D1236" w:rsidRPr="00203161">
        <w:rPr>
          <w:noProof/>
        </w:rPr>
        <w:t>kiekybinė informacija apie pertvarkos, susijusios su klimato kaita, riziką atskleidžiama naudojant šio reglamento XXXIX priedo 1–4 šablonus ir laikantis šio reglamento XL priede pateiktų nurodymų;</w:t>
      </w:r>
    </w:p>
    <w:p w:rsidR="002D1236" w:rsidRPr="00203161" w:rsidRDefault="007D2A7E" w:rsidP="007D2A7E">
      <w:pPr>
        <w:pStyle w:val="Point1"/>
        <w:rPr>
          <w:noProof/>
        </w:rPr>
      </w:pPr>
      <w:r w:rsidRPr="007D2A7E">
        <w:t>(c)</w:t>
      </w:r>
      <w:r w:rsidRPr="007D2A7E">
        <w:tab/>
      </w:r>
      <w:r w:rsidR="002D1236" w:rsidRPr="00203161">
        <w:rPr>
          <w:noProof/>
        </w:rPr>
        <w:t>kiekybinė informacija apie fizinę riziką, susijusią su klimato kaita, atskleidžiama naudojant šio reglamento XXXIX priedo 5 šabloną ir laikantis šio reglamento XL priede pateiktų nurodymų;</w:t>
      </w:r>
    </w:p>
    <w:p w:rsidR="002D1236" w:rsidRPr="00203161" w:rsidRDefault="007D2A7E" w:rsidP="007D2A7E">
      <w:pPr>
        <w:pStyle w:val="Point1"/>
        <w:rPr>
          <w:noProof/>
        </w:rPr>
      </w:pPr>
      <w:r w:rsidRPr="007D2A7E">
        <w:t>(d)</w:t>
      </w:r>
      <w:r w:rsidRPr="007D2A7E">
        <w:tab/>
      </w:r>
      <w:r w:rsidR="002D1236" w:rsidRPr="00203161">
        <w:rPr>
          <w:noProof/>
        </w:rPr>
        <w:t xml:space="preserve">kiekybinė informacija apie klimato kaitos švelninimo veiksmus, susijusius su ekonomine veikla, kuri laikoma tvaria aplinkos atžvilgiu pagal Europos Parlamento ir Tarybos reglamento (ES) 2020/852*1 3 straipsnį, sandorio šalių, kurioms taikomi Europos Parlamento ir Tarybos direktyvos 2013/34/ES*2 19a arba 29a straipsniai, atžvilgiu, taip pat </w:t>
      </w:r>
      <w:bookmarkStart w:id="1" w:name="_Hlk92470586"/>
      <w:r w:rsidR="002D1236" w:rsidRPr="00203161">
        <w:rPr>
          <w:noProof/>
        </w:rPr>
        <w:t>namų ūkių ir vietos valdžios institucijų</w:t>
      </w:r>
      <w:bookmarkEnd w:id="1"/>
      <w:r w:rsidR="002D1236" w:rsidRPr="00203161">
        <w:rPr>
          <w:noProof/>
        </w:rPr>
        <w:t>, nurodytų Komisijos įgyvendinimo reglamento (ES) 2021/451*3 V priedo 1 dalies 42 punkto b papunktyje, atžvilgiu atskleidžiama naudojant šio reglamento XXXIX priedo 6, 7 ir 8 šablonus ir laikantis šio reglamento XL priede pateiktų nurodymų;</w:t>
      </w:r>
    </w:p>
    <w:p w:rsidR="00995098" w:rsidRPr="00203161" w:rsidRDefault="007D2A7E" w:rsidP="007D2A7E">
      <w:pPr>
        <w:pStyle w:val="Point1"/>
        <w:rPr>
          <w:noProof/>
        </w:rPr>
      </w:pPr>
      <w:r w:rsidRPr="007D2A7E">
        <w:t>(e)</w:t>
      </w:r>
      <w:r w:rsidRPr="007D2A7E">
        <w:tab/>
      </w:r>
      <w:r w:rsidR="00995098" w:rsidRPr="00203161">
        <w:rPr>
          <w:noProof/>
        </w:rPr>
        <w:t>kiekybinė informacija apie kitus klimato kaitos švelninimo veiksmus ir su klimato kaita susijusios rizikos pozicijas, kurie nelaikomi aplinkos atžvilgiu tvaria ekonomine veikla pagal Reglamento (ES) 2020/852 3 straipsnį, bet padeda sandorio šalims pertvarkos arba prisitaikymo procese siekti klimato kaitos švelninimo ir prisitaikymo prie jos tikslų, atskleidžiama naudojant šio reglamento XXXIX priedo 10 šabloną ir laikantis šio reglamento XL priede pateiktų nurodymų.</w:t>
      </w:r>
    </w:p>
    <w:p w:rsidR="008D2E23" w:rsidRPr="00203161" w:rsidRDefault="007D2A7E" w:rsidP="007D2A7E">
      <w:pPr>
        <w:pStyle w:val="ManualNumPar1"/>
        <w:rPr>
          <w:noProof/>
        </w:rPr>
      </w:pPr>
      <w:r w:rsidRPr="007D2A7E">
        <w:t>2.</w:t>
      </w:r>
      <w:r w:rsidRPr="007D2A7E">
        <w:tab/>
      </w:r>
      <w:r w:rsidR="000941B5" w:rsidRPr="00203161">
        <w:rPr>
          <w:noProof/>
        </w:rPr>
        <w:t xml:space="preserve">Įstaigos gali nuspręsti kiekybinę informaciją apie klimato kaitos švelninimo veiksmus ir su klimato kaita susijusios rizikos pozicijas, susijusius su ekonomine veikla, kuri pagal Reglamento (ES) 2020/852 3 straipsnį laikoma aplinkos atžvilgiu tvaria, sandorio šalių, </w:t>
      </w:r>
      <w:bookmarkStart w:id="2" w:name="_Hlk92470606"/>
      <w:r w:rsidR="000941B5" w:rsidRPr="00203161">
        <w:rPr>
          <w:noProof/>
        </w:rPr>
        <w:t>kurios yra ne finansų bendrovės</w:t>
      </w:r>
      <w:bookmarkEnd w:id="2"/>
      <w:r w:rsidR="000941B5" w:rsidRPr="00203161">
        <w:rPr>
          <w:noProof/>
        </w:rPr>
        <w:t>, nurodytos Įgyvendinimo reglamento (ES) 2021/451 V priedo 1 dalies 42 punkto e papunktyje, ir kurioms netaikomos Direktyvos 2013/34/ES 19a arba 29a straipsnyje nustatytos informacijos atskleidimo prievolės bei Komisijos įgyvendinimo reglamente (ES) 2021/2178</w:t>
      </w:r>
      <w:r w:rsidR="000941B5" w:rsidRPr="00203161">
        <w:rPr>
          <w:noProof/>
          <w:vertAlign w:val="superscript"/>
        </w:rPr>
        <w:t>*4</w:t>
      </w:r>
      <w:r w:rsidR="000941B5" w:rsidRPr="00203161">
        <w:rPr>
          <w:noProof/>
        </w:rPr>
        <w:t xml:space="preserve"> nustatytos informacijos atskleidimo prievolės, atžvilgiu atskleisti naudodamos šio reglamento XXXIX priedo 9 šabloną ir laikydamosi šio reglamento XL priede pateiktų nurodymų. </w:t>
      </w:r>
    </w:p>
    <w:p w:rsidR="002D1236" w:rsidRPr="00203161" w:rsidRDefault="002D1236" w:rsidP="00353D88">
      <w:pPr>
        <w:pStyle w:val="Text1"/>
        <w:rPr>
          <w:noProof/>
        </w:rPr>
      </w:pPr>
      <w:r w:rsidRPr="00203161">
        <w:rPr>
          <w:noProof/>
        </w:rPr>
        <w:t>Apskaičiuodamos su Reglamento (ES) 2020/852 3 straipsnyje nustatytus reikalavimus atitinkančia veikla susijusių pozicijų (kriterijus atitinkančios taksonominės veiklos pozicijų) procentinę dalį tų sandorio šalių atžvilgiu, įstaigos:</w:t>
      </w:r>
    </w:p>
    <w:p w:rsidR="00D23734" w:rsidRPr="00203161" w:rsidRDefault="007D2A7E" w:rsidP="007D2A7E">
      <w:pPr>
        <w:pStyle w:val="Point1"/>
        <w:rPr>
          <w:noProof/>
        </w:rPr>
      </w:pPr>
      <w:r w:rsidRPr="007D2A7E">
        <w:t>(a)</w:t>
      </w:r>
      <w:r w:rsidRPr="007D2A7E">
        <w:tab/>
      </w:r>
      <w:r w:rsidR="008E7D06" w:rsidRPr="00203161">
        <w:rPr>
          <w:noProof/>
        </w:rPr>
        <w:t>gali, jei turi, naudoti informaciją, joms savanoriškai ir dvišaliu pagrindu suteiktą per paskolos išdavimo procesą, taip pat reguliarios kredito peržiūros ir stebėsenos procesus;</w:t>
      </w:r>
    </w:p>
    <w:p w:rsidR="00D23734" w:rsidRPr="00203161" w:rsidRDefault="007D2A7E" w:rsidP="007D2A7E">
      <w:pPr>
        <w:pStyle w:val="Point1"/>
        <w:rPr>
          <w:noProof/>
        </w:rPr>
      </w:pPr>
      <w:r w:rsidRPr="007D2A7E">
        <w:t>(b)</w:t>
      </w:r>
      <w:r w:rsidRPr="007D2A7E">
        <w:tab/>
      </w:r>
      <w:r w:rsidR="00B25755" w:rsidRPr="00203161">
        <w:rPr>
          <w:noProof/>
        </w:rPr>
        <w:t>jei sandorio šalis negali arba nenori pateikti atitinkamų duomenų dvišaliu pagrindu, įstaigos gali naudoti vidaus įverčius ir pakaitinius duomenis ir prie šablono pridedamame aiškinamajame rašte paaiškinti, kokie vidaus įverčiai ir pakaitiniai duomenys naudoti ir kokiu mastu;</w:t>
      </w:r>
    </w:p>
    <w:p w:rsidR="002D1236" w:rsidRPr="00203161" w:rsidRDefault="007D2A7E" w:rsidP="007D2A7E">
      <w:pPr>
        <w:pStyle w:val="Point1"/>
        <w:rPr>
          <w:noProof/>
        </w:rPr>
      </w:pPr>
      <w:r w:rsidRPr="007D2A7E">
        <w:t>(c)</w:t>
      </w:r>
      <w:r w:rsidRPr="007D2A7E">
        <w:tab/>
      </w:r>
      <w:r w:rsidR="00D23734" w:rsidRPr="00203161">
        <w:rPr>
          <w:noProof/>
        </w:rPr>
        <w:t>jei įstaigos negali dvišaliu pagrindu surinkti atitinkamos informacijos arba negali naudoti vidaus įverčių ir pakaitinių duomenų, arba negali tos informacijos surinkti arba tų įverčių ir pakaitinių duomenų naudoti taip, kad nesukeltų per didelės naštos sau ir savo sandorio šalims, jos gali prie šablono pridedamame aiškinamajame rašte paaiškinti, kodėl to neįmanoma padaryti.</w:t>
      </w:r>
    </w:p>
    <w:p w:rsidR="00320B78" w:rsidRPr="00203161" w:rsidRDefault="00320B78" w:rsidP="00353D88">
      <w:pPr>
        <w:pStyle w:val="Text1"/>
        <w:rPr>
          <w:noProof/>
        </w:rPr>
      </w:pPr>
      <w:r w:rsidRPr="00203161">
        <w:rPr>
          <w:noProof/>
        </w:rPr>
        <w:t>Taikydamos a punktą, įstaigos informuoja savo sandorio šalis, kad tokios informacijos teikimas yra savanoriškas.</w:t>
      </w:r>
    </w:p>
    <w:p w:rsidR="007F4F83" w:rsidRPr="00203161" w:rsidRDefault="007D2A7E" w:rsidP="007D2A7E">
      <w:pPr>
        <w:pStyle w:val="ManualNumPar1"/>
        <w:rPr>
          <w:noProof/>
        </w:rPr>
      </w:pPr>
      <w:r w:rsidRPr="007D2A7E">
        <w:t>3.</w:t>
      </w:r>
      <w:r w:rsidRPr="007D2A7E">
        <w:tab/>
      </w:r>
      <w:r w:rsidR="006B71ED" w:rsidRPr="00203161">
        <w:rPr>
          <w:noProof/>
        </w:rPr>
        <w:t>Jei šio reglamento XL priede pateiktuose nurodymuose nenurodyta kitaip, nuo 2022 m. gruodžio 31 d. įstaigos Reglamento (ES) Nr. 575/2013 449a straipsnyje nurodytą informaciją atskleidžia šiomis datomis:</w:t>
      </w:r>
    </w:p>
    <w:p w:rsidR="007F4F83" w:rsidRPr="00203161" w:rsidRDefault="007D2A7E" w:rsidP="007D2A7E">
      <w:pPr>
        <w:pStyle w:val="Point1"/>
        <w:rPr>
          <w:noProof/>
        </w:rPr>
      </w:pPr>
      <w:r w:rsidRPr="007D2A7E">
        <w:t>(a)</w:t>
      </w:r>
      <w:r w:rsidRPr="007D2A7E">
        <w:tab/>
      </w:r>
      <w:r w:rsidR="007F4F83" w:rsidRPr="00203161">
        <w:rPr>
          <w:noProof/>
        </w:rPr>
        <w:t>jei informacija atskleidžiama kasmet – gruodžio 31 d.,</w:t>
      </w:r>
    </w:p>
    <w:p w:rsidR="00D01D57" w:rsidRPr="00203161" w:rsidRDefault="007D2A7E" w:rsidP="007D2A7E">
      <w:pPr>
        <w:pStyle w:val="Point1"/>
        <w:rPr>
          <w:noProof/>
        </w:rPr>
      </w:pPr>
      <w:r w:rsidRPr="007D2A7E">
        <w:t>(b)</w:t>
      </w:r>
      <w:r w:rsidRPr="007D2A7E">
        <w:tab/>
      </w:r>
      <w:r w:rsidR="007F4F83" w:rsidRPr="00203161">
        <w:rPr>
          <w:noProof/>
        </w:rPr>
        <w:t>jei informacija atskleidžiama du kartus per metus – kiekvienų metų birželio 30 d. ir gruodžio 31 d.</w:t>
      </w:r>
    </w:p>
    <w:p w:rsidR="00086FAB" w:rsidRPr="00203161" w:rsidRDefault="001904B5" w:rsidP="0087679B">
      <w:pPr>
        <w:pStyle w:val="Text2"/>
        <w:rPr>
          <w:noProof/>
        </w:rPr>
      </w:pPr>
      <w:r w:rsidRPr="00203161">
        <w:rPr>
          <w:noProof/>
        </w:rPr>
        <w:tab/>
        <w:t>___________</w:t>
      </w:r>
    </w:p>
    <w:p w:rsidR="00086FAB" w:rsidRPr="00203161" w:rsidRDefault="00086FAB" w:rsidP="0087679B">
      <w:pPr>
        <w:pStyle w:val="Text3"/>
        <w:rPr>
          <w:noProof/>
          <w:sz w:val="20"/>
          <w:szCs w:val="20"/>
        </w:rPr>
      </w:pPr>
      <w:r w:rsidRPr="00203161">
        <w:rPr>
          <w:noProof/>
          <w:sz w:val="20"/>
          <w:vertAlign w:val="superscript"/>
        </w:rPr>
        <w:t>*1</w:t>
      </w:r>
      <w:r w:rsidRPr="00203161">
        <w:rPr>
          <w:noProof/>
        </w:rPr>
        <w:tab/>
      </w:r>
      <w:r w:rsidRPr="00203161">
        <w:rPr>
          <w:noProof/>
          <w:sz w:val="20"/>
        </w:rPr>
        <w:t>2020 m. birželio 18 d. Europos Parlamento ir Tarybos reglamentas (ES) 2020/852 dėl sistemos tvariam investavimui palengvinti sukūrimo, kuriuo iš dalies keičiamas Reglamentas (ES) 2019/2088 (OL L 198, 2020 6 22, p. 13).</w:t>
      </w:r>
    </w:p>
    <w:p w:rsidR="00086FAB" w:rsidRPr="00203161" w:rsidRDefault="00086FAB" w:rsidP="004F6722">
      <w:pPr>
        <w:pStyle w:val="Text3"/>
        <w:rPr>
          <w:noProof/>
          <w:sz w:val="20"/>
          <w:szCs w:val="20"/>
        </w:rPr>
      </w:pPr>
      <w:r w:rsidRPr="00203161">
        <w:rPr>
          <w:noProof/>
          <w:sz w:val="20"/>
          <w:vertAlign w:val="superscript"/>
        </w:rPr>
        <w:t>*2</w:t>
      </w:r>
      <w:r w:rsidRPr="00203161">
        <w:rPr>
          <w:noProof/>
        </w:rPr>
        <w:tab/>
      </w:r>
      <w:r w:rsidRPr="00203161">
        <w:rPr>
          <w:noProof/>
          <w:sz w:val="20"/>
        </w:rPr>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p w:rsidR="00086FAB" w:rsidRPr="00203161" w:rsidRDefault="00086FAB" w:rsidP="0087679B">
      <w:pPr>
        <w:pStyle w:val="Text3"/>
        <w:rPr>
          <w:noProof/>
          <w:sz w:val="20"/>
          <w:szCs w:val="20"/>
        </w:rPr>
      </w:pPr>
      <w:r w:rsidRPr="00203161">
        <w:rPr>
          <w:noProof/>
          <w:sz w:val="20"/>
          <w:vertAlign w:val="superscript"/>
        </w:rPr>
        <w:t>*3</w:t>
      </w:r>
      <w:r w:rsidRPr="00203161">
        <w:rPr>
          <w:noProof/>
        </w:rPr>
        <w:tab/>
      </w:r>
      <w:r w:rsidRPr="00203161">
        <w:rPr>
          <w:noProof/>
          <w:sz w:val="20"/>
        </w:rPr>
        <w:t>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 (OL L 97, 2021 3 19, p. 1).</w:t>
      </w:r>
    </w:p>
    <w:p w:rsidR="00086FAB" w:rsidRPr="00203161" w:rsidRDefault="00086FAB" w:rsidP="0087679B">
      <w:pPr>
        <w:pStyle w:val="Text3"/>
        <w:rPr>
          <w:noProof/>
          <w:sz w:val="20"/>
          <w:szCs w:val="20"/>
        </w:rPr>
      </w:pPr>
      <w:r w:rsidRPr="00203161">
        <w:rPr>
          <w:noProof/>
          <w:sz w:val="20"/>
          <w:vertAlign w:val="superscript"/>
        </w:rPr>
        <w:t>*4</w:t>
      </w:r>
      <w:r w:rsidRPr="00203161">
        <w:rPr>
          <w:noProof/>
        </w:rPr>
        <w:tab/>
      </w:r>
      <w:r w:rsidRPr="00203161">
        <w:rPr>
          <w:noProof/>
          <w:sz w:val="20"/>
        </w:rPr>
        <w:t>2021 m. liepos 6 d. Komisijos deleguotasis reglamentas (ES) 2021/2178, kuriuo Europos Parlamento ir Tarybos reglamentas (ES) 2020/852 papildomas nustatant įmonių, kurioms taikomas Direktyvos 2013/34/ES 19a arba 29a straipsnis, atskleistinos informacijos apie aplinkos atžvilgiu tvarią veiklą turinį bei pateikimą ir nustatant metodiką, taikytiną vykdant tą informacijos atskleidimo prievolę, (OL L 443, 2021 12 10, p. 9).“;</w:t>
      </w:r>
    </w:p>
    <w:p w:rsidR="007F4F83" w:rsidRPr="00203161" w:rsidRDefault="007D2A7E" w:rsidP="007D2A7E">
      <w:pPr>
        <w:pStyle w:val="Point0"/>
        <w:rPr>
          <w:noProof/>
        </w:rPr>
      </w:pPr>
      <w:r w:rsidRPr="007D2A7E">
        <w:t>(2)</w:t>
      </w:r>
      <w:r w:rsidRPr="007D2A7E">
        <w:tab/>
      </w:r>
      <w:r w:rsidR="00921483" w:rsidRPr="00203161">
        <w:rPr>
          <w:noProof/>
        </w:rPr>
        <w:t xml:space="preserve">šio reglamento I priede pateikiamas tekstas pridedamas kaip XXXIX priedas; </w:t>
      </w:r>
    </w:p>
    <w:p w:rsidR="007F4F83" w:rsidRPr="00203161" w:rsidRDefault="007D2A7E" w:rsidP="007D2A7E">
      <w:pPr>
        <w:pStyle w:val="Point0"/>
        <w:rPr>
          <w:noProof/>
        </w:rPr>
      </w:pPr>
      <w:r w:rsidRPr="007D2A7E">
        <w:t>(3)</w:t>
      </w:r>
      <w:r w:rsidRPr="007D2A7E">
        <w:tab/>
      </w:r>
      <w:r w:rsidR="00921483" w:rsidRPr="00203161">
        <w:rPr>
          <w:noProof/>
        </w:rPr>
        <w:t>šio reglamento II priede pateikiamas tekstas pridedamas kaip XL priedas.</w:t>
      </w:r>
    </w:p>
    <w:p w:rsidR="007F4F83" w:rsidRPr="00203161" w:rsidRDefault="007F4F83" w:rsidP="004046D9">
      <w:pPr>
        <w:pStyle w:val="Titrearticle"/>
        <w:rPr>
          <w:noProof/>
          <w:szCs w:val="24"/>
        </w:rPr>
      </w:pPr>
      <w:r w:rsidRPr="00203161">
        <w:rPr>
          <w:noProof/>
        </w:rPr>
        <w:t>2 straipsnis</w:t>
      </w:r>
    </w:p>
    <w:p w:rsidR="007F4F83" w:rsidRPr="00203161" w:rsidRDefault="007F4F83" w:rsidP="007F4F83">
      <w:pPr>
        <w:pStyle w:val="Titrearticle"/>
        <w:spacing w:before="120"/>
        <w:rPr>
          <w:b/>
          <w:i w:val="0"/>
          <w:noProof/>
          <w:szCs w:val="24"/>
        </w:rPr>
      </w:pPr>
      <w:r w:rsidRPr="00203161">
        <w:rPr>
          <w:b/>
          <w:i w:val="0"/>
          <w:noProof/>
        </w:rPr>
        <w:t>Įsigaliojimas</w:t>
      </w:r>
    </w:p>
    <w:p w:rsidR="007F4F83" w:rsidRPr="00203161" w:rsidRDefault="007F4F83" w:rsidP="007F4F83">
      <w:pPr>
        <w:rPr>
          <w:noProof/>
          <w:color w:val="000000" w:themeColor="text1"/>
          <w:szCs w:val="24"/>
        </w:rPr>
      </w:pPr>
      <w:r w:rsidRPr="00203161">
        <w:rPr>
          <w:noProof/>
        </w:rPr>
        <w:t xml:space="preserve">Šis reglamentas įsigalioja dvidešimtą dieną po jo paskelbimo </w:t>
      </w:r>
      <w:r w:rsidRPr="00203161">
        <w:rPr>
          <w:i/>
          <w:noProof/>
          <w:color w:val="000000" w:themeColor="text1"/>
        </w:rPr>
        <w:t>Europos Sąjungos oficialiajame leidinyje</w:t>
      </w:r>
      <w:r w:rsidRPr="00203161">
        <w:rPr>
          <w:noProof/>
          <w:color w:val="000000" w:themeColor="text1"/>
        </w:rPr>
        <w:t xml:space="preserve">. </w:t>
      </w:r>
    </w:p>
    <w:p w:rsidR="007F4F83" w:rsidRPr="00203161" w:rsidRDefault="007F4F83" w:rsidP="007F4F83">
      <w:pPr>
        <w:pStyle w:val="Applicationdirecte"/>
        <w:rPr>
          <w:noProof/>
          <w:color w:val="000000"/>
          <w:szCs w:val="24"/>
        </w:rPr>
      </w:pPr>
      <w:r w:rsidRPr="00203161">
        <w:rPr>
          <w:noProof/>
          <w:color w:val="000000"/>
        </w:rPr>
        <w:t>Šis reglamentas privalomas visas ir tiesiogiai taikomas visose valstybėse narėse.</w:t>
      </w:r>
    </w:p>
    <w:p w:rsidR="003C122C" w:rsidRPr="00203161" w:rsidRDefault="00525FC9" w:rsidP="00D45FCE">
      <w:pPr>
        <w:pStyle w:val="Fait"/>
        <w:rPr>
          <w:noProof/>
        </w:rPr>
      </w:pPr>
      <w:r w:rsidRPr="00525FC9">
        <w:t>Priimta Briuselyje 2022 11 30</w:t>
      </w:r>
    </w:p>
    <w:p w:rsidR="003C122C" w:rsidRPr="00203161" w:rsidRDefault="003C122C" w:rsidP="00D45FCE">
      <w:pPr>
        <w:pStyle w:val="Institutionquisigne"/>
        <w:rPr>
          <w:noProof/>
          <w:szCs w:val="24"/>
        </w:rPr>
      </w:pPr>
      <w:r w:rsidRPr="00203161">
        <w:rPr>
          <w:noProof/>
        </w:rPr>
        <w:tab/>
        <w:t>Komisijos vardu</w:t>
      </w:r>
    </w:p>
    <w:p w:rsidR="00C32BCD" w:rsidRPr="00203161" w:rsidRDefault="00ED0870" w:rsidP="00D45FCE">
      <w:pPr>
        <w:pStyle w:val="Personnequisigne"/>
        <w:keepNext/>
        <w:rPr>
          <w:noProof/>
          <w:szCs w:val="24"/>
        </w:rPr>
      </w:pPr>
      <w:r>
        <w:tab/>
        <w:t>Pirmininkė</w:t>
      </w:r>
      <w:r>
        <w:br/>
      </w:r>
      <w:r>
        <w:tab/>
        <w:t>Ursula VON DER LEYEN</w:t>
      </w:r>
    </w:p>
    <w:p w:rsidR="00C32BCD" w:rsidRPr="00203161" w:rsidRDefault="00C32BCD" w:rsidP="00C32BCD">
      <w:pPr>
        <w:pStyle w:val="Personnequisigne"/>
        <w:rPr>
          <w:noProof/>
          <w:szCs w:val="24"/>
        </w:rPr>
      </w:pPr>
    </w:p>
    <w:sectPr w:rsidR="00C32BCD" w:rsidRPr="00203161" w:rsidSect="00111C0D">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161" w:rsidRPr="00111C0D" w:rsidRDefault="00111C0D" w:rsidP="00111C0D">
    <w:pPr>
      <w:pStyle w:val="Footer"/>
      <w:rPr>
        <w:rFonts w:ascii="Arial" w:hAnsi="Arial" w:cs="Arial"/>
        <w:b/>
        <w:sz w:val="48"/>
      </w:rPr>
    </w:pPr>
    <w:r w:rsidRPr="00111C0D">
      <w:rPr>
        <w:rFonts w:ascii="Arial" w:hAnsi="Arial" w:cs="Arial"/>
        <w:b/>
        <w:sz w:val="48"/>
      </w:rPr>
      <w:t>LT</w:t>
    </w:r>
    <w:r w:rsidRPr="00111C0D">
      <w:rPr>
        <w:rFonts w:ascii="Arial" w:hAnsi="Arial" w:cs="Arial"/>
        <w:b/>
        <w:sz w:val="48"/>
      </w:rPr>
      <w:tab/>
    </w:r>
    <w:r w:rsidRPr="00111C0D">
      <w:rPr>
        <w:rFonts w:ascii="Arial" w:hAnsi="Arial" w:cs="Arial"/>
        <w:b/>
        <w:sz w:val="48"/>
      </w:rPr>
      <w:tab/>
    </w:r>
    <w:r w:rsidRPr="00111C0D">
      <w:tab/>
    </w:r>
    <w:r w:rsidRPr="00111C0D">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Footer"/>
      <w:rPr>
        <w:rFonts w:ascii="Arial" w:hAnsi="Arial" w:cs="Arial"/>
        <w:b/>
        <w:sz w:val="48"/>
      </w:rPr>
    </w:pPr>
    <w:r w:rsidRPr="00111C0D">
      <w:rPr>
        <w:rFonts w:ascii="Arial" w:hAnsi="Arial" w:cs="Arial"/>
        <w:b/>
        <w:sz w:val="48"/>
      </w:rPr>
      <w:t>LT</w:t>
    </w:r>
    <w:r w:rsidRPr="00111C0D">
      <w:rPr>
        <w:rFonts w:ascii="Arial" w:hAnsi="Arial" w:cs="Arial"/>
        <w:b/>
        <w:sz w:val="48"/>
      </w:rPr>
      <w:tab/>
    </w:r>
    <w:r>
      <w:fldChar w:fldCharType="begin"/>
    </w:r>
    <w:r>
      <w:instrText xml:space="preserve"> PAGE  \* MERGEFORMAT </w:instrText>
    </w:r>
    <w:r>
      <w:fldChar w:fldCharType="separate"/>
    </w:r>
    <w:r w:rsidR="00D45FCE">
      <w:rPr>
        <w:noProof/>
      </w:rPr>
      <w:t>5</w:t>
    </w:r>
    <w:r>
      <w:fldChar w:fldCharType="end"/>
    </w:r>
    <w:r>
      <w:tab/>
    </w:r>
    <w:r w:rsidRPr="00111C0D">
      <w:tab/>
    </w:r>
    <w:r w:rsidRPr="00111C0D">
      <w:rPr>
        <w:rFonts w:ascii="Arial" w:hAnsi="Arial" w:cs="Arial"/>
        <w:b/>
        <w:sz w:val="48"/>
      </w:rPr>
      <w:t>LT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OL L 176, 2013 6 27, p. 1.</w:t>
      </w:r>
    </w:p>
  </w:footnote>
  <w:footnote w:id="2">
    <w:p w:rsidR="007067A9" w:rsidRPr="00FC42BE" w:rsidRDefault="007067A9" w:rsidP="007067A9">
      <w:pPr>
        <w:pStyle w:val="FootnoteText"/>
      </w:pPr>
      <w:r>
        <w:rPr>
          <w:rStyle w:val="FootnoteReference"/>
        </w:rPr>
        <w:footnoteRef/>
      </w:r>
      <w:r>
        <w:tab/>
        <w:t>2021 m. kovo 15 d. Komisijos įgyvendinimo reglamentas (ES) 2021/637, kuriuo nustatomi įstaigų informacijos, nurodytos Europos Parlamento ir Tarybos reglamento (ES) Nr. 575/2013 aštuntos dalies II ir III antraštinėse dalyse, viešo atskleidimo techniniai įgyvendinimo standartai ir panaikinami Komisijos įgyvendinimo reglamentas (ES) Nr. 1423/2013, Komisijos deleguotasis reglamentas (ES) 2015/1555, Komisijos įgyvendinimo reglamentas (ES) 2016/200 ir Komisijos deleguotasis reglamentas (ES) 2017/2295 (OL L 136, 2021 4 21, p. 1).</w:t>
      </w:r>
    </w:p>
  </w:footnote>
  <w:footnote w:id="3">
    <w:p w:rsidR="007067A9" w:rsidRPr="007067A9" w:rsidRDefault="007067A9" w:rsidP="007067A9">
      <w:pPr>
        <w:pStyle w:val="FootnoteText"/>
      </w:pPr>
      <w:r>
        <w:rPr>
          <w:rStyle w:val="FootnoteReference"/>
        </w:rPr>
        <w:footnoteRef/>
      </w:r>
      <w:r>
        <w:tab/>
        <w:t>2019 m. gegužės 20 d. Europos Parlamento ir Tarybos reglamentas (ES) 2019/876, kuriuo iš dalies keičiamos Reglamento (ES) Nr. 575/2013 nuostatos, susijusios su sverto koeficientu, grynojo pastovaus finansavimo rodikliu, nuosavų lėšų ir tinkamų įsipareigojimų reikalavimais, sandorio šalies kredito rizika, rinkos rizika, pagrindinių sandorio šalių pozicijomis, kolektyvinio investavimo subjektų pozicijomis, didelėmis pozicijomis, ataskaitų teikimo ir informacijos atskleidimo reikalavimais, ir Reglamentas (ES) Nr. 648/2012 (OL L 150, 2019 6 7, p. 1).</w:t>
      </w:r>
    </w:p>
  </w:footnote>
  <w:footnote w:id="4">
    <w:p w:rsidR="00410340" w:rsidRPr="007067A9" w:rsidRDefault="00410340" w:rsidP="008B3E83">
      <w:pPr>
        <w:pStyle w:val="FootnoteText"/>
      </w:pPr>
      <w:r>
        <w:rPr>
          <w:rStyle w:val="FootnoteReference"/>
        </w:rPr>
        <w:footnoteRef/>
      </w:r>
      <w:r>
        <w:tab/>
        <w:t xml:space="preserve">2020 m. birželio 18 d. Europos Parlamento ir Tarybos reglamentas (ES) 2020/852 dėl sistemos tvariam investavimui palengvinti sukūrimo, kuriuo iš dalies keičiamas Reglamentas (ES) 2019/2088 </w:t>
      </w:r>
      <w:r>
        <w:rPr>
          <w:rStyle w:val="Emphasis"/>
          <w:i w:val="0"/>
        </w:rPr>
        <w:t>(OL L 198, 2020 6 22, p. 13).</w:t>
      </w:r>
    </w:p>
  </w:footnote>
  <w:footnote w:id="5">
    <w:p w:rsidR="00410340" w:rsidRPr="007067A9" w:rsidRDefault="00410340" w:rsidP="008B3E83">
      <w:pPr>
        <w:pStyle w:val="FootnoteText"/>
        <w:rPr>
          <w:i/>
        </w:rPr>
      </w:pPr>
      <w:r>
        <w:rPr>
          <w:rStyle w:val="FootnoteReference"/>
        </w:rPr>
        <w:footnoteRef/>
      </w:r>
      <w:r>
        <w:tab/>
        <w:t>2020 m. liepos 17 d. Komisijos deleguotasis reglamentas (ES) 2020/1818, kuriuo Europos Parlamento ir Tarybos reglamentas (ES) 2016/1011 papildomas ES prisitaikymo prie klimato kaitos lyginamųjų indeksų ir ES su Paryžiaus susitarimu suderintų lyginamųjų indeksų minimaliaisiais standartais (</w:t>
      </w:r>
      <w:r>
        <w:rPr>
          <w:rStyle w:val="Emphasis"/>
          <w:i w:val="0"/>
        </w:rPr>
        <w:t>OL L 406, 2020 12 3, p. 17).</w:t>
      </w:r>
    </w:p>
  </w:footnote>
  <w:footnote w:id="6">
    <w:p w:rsidR="00410340" w:rsidRPr="007067A9" w:rsidRDefault="00410340" w:rsidP="008B3E83">
      <w:pPr>
        <w:pStyle w:val="FootnoteText"/>
        <w:rPr>
          <w:color w:val="444444"/>
        </w:rPr>
      </w:pPr>
      <w:r>
        <w:rPr>
          <w:rStyle w:val="FootnoteReference"/>
        </w:rPr>
        <w:footnoteRef/>
      </w:r>
      <w:r>
        <w:tab/>
        <w:t>2010 m. gegužės 19 d. Europos Parlamento ir Tarybos direktyva 2010/31/ES dėl pastatų energinio naudingumo (</w:t>
      </w:r>
      <w:r>
        <w:rPr>
          <w:rStyle w:val="Emphasis"/>
          <w:i w:val="0"/>
        </w:rPr>
        <w:t>OL L 153, 2010 6 18, p. 13).</w:t>
      </w:r>
    </w:p>
  </w:footnote>
  <w:footnote w:id="7">
    <w:p w:rsidR="00135CD4" w:rsidRPr="00135CD4" w:rsidRDefault="00135CD4" w:rsidP="00135CD4">
      <w:pPr>
        <w:pStyle w:val="FootnoteText"/>
      </w:pPr>
      <w:r>
        <w:rPr>
          <w:rStyle w:val="FootnoteReference"/>
        </w:rPr>
        <w:footnoteRef/>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8">
    <w:p w:rsidR="00410340" w:rsidRPr="007067A9" w:rsidRDefault="00410340" w:rsidP="00410340">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C0D" w:rsidRPr="00111C0D" w:rsidRDefault="00111C0D" w:rsidP="00111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32"/>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B31577E-4A66-45B1-BAF3-E7A5B2E4B003"/>
    <w:docVar w:name="LW_COVERPAGE_TYPE" w:val="1"/>
    <w:docVar w:name="LW_CROSSREFERENCE" w:val="&lt;UNUSED&gt;"/>
    <w:docVar w:name="LW_DATE.ADOPT.CP" w:val="2022 11 30"/>
    <w:docVar w:name="LW_DATE.ADOPT.CP_DATEFORMAT" w:val="%DATE%"/>
    <w:docVar w:name="LW_DATE.ADOPT.CP_ISODATE" w:val="2022-11-30"/>
    <w:docVar w:name="LW_DocType" w:val="COM"/>
    <w:docVar w:name="LW_EMISSION" w:val="2022 11 30"/>
    <w:docVar w:name="LW_EMISSION_ISODATE" w:val="2022-11-30"/>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dėl informacijos apie aplinkosauginę, socialinę ir valdymo riziką atskleidimo iš dalies keičiami Įgyvendinimo reglamente (ES) 2021/637 nustatyti techniniai įgyvendinimo standartai _x000b_"/>
    <w:docVar w:name="LW_TYPE.DOC.CP" w:val="KOMISIJOS ĮGYVENDINIMO REGLAMENTAS (ES) …/..."/>
    <w:docVar w:name="LwApiVersions" w:val="LW4CoDe 1.23.2.0; LW 8.0, Build 20211117"/>
  </w:docVars>
  <w:rsids>
    <w:rsidRoot w:val="003C122C"/>
    <w:rsid w:val="000057BA"/>
    <w:rsid w:val="00012369"/>
    <w:rsid w:val="00013965"/>
    <w:rsid w:val="00014B2C"/>
    <w:rsid w:val="000163E0"/>
    <w:rsid w:val="00022FD2"/>
    <w:rsid w:val="00024AB1"/>
    <w:rsid w:val="000337EA"/>
    <w:rsid w:val="0003598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1C0D"/>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03161"/>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A2256"/>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25FC9"/>
    <w:rsid w:val="00530E44"/>
    <w:rsid w:val="00541DBA"/>
    <w:rsid w:val="00543602"/>
    <w:rsid w:val="00547071"/>
    <w:rsid w:val="005635C6"/>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51B"/>
    <w:rsid w:val="007117D9"/>
    <w:rsid w:val="00713F5B"/>
    <w:rsid w:val="00715E6A"/>
    <w:rsid w:val="0071695E"/>
    <w:rsid w:val="00720FE7"/>
    <w:rsid w:val="00723CCB"/>
    <w:rsid w:val="00732259"/>
    <w:rsid w:val="00732CCA"/>
    <w:rsid w:val="00737997"/>
    <w:rsid w:val="007438A8"/>
    <w:rsid w:val="00756CA3"/>
    <w:rsid w:val="00763A70"/>
    <w:rsid w:val="00780B86"/>
    <w:rsid w:val="00782B92"/>
    <w:rsid w:val="00785CE7"/>
    <w:rsid w:val="00792229"/>
    <w:rsid w:val="007C06F6"/>
    <w:rsid w:val="007C1792"/>
    <w:rsid w:val="007C6A9F"/>
    <w:rsid w:val="007D0388"/>
    <w:rsid w:val="007D2A7E"/>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C7E58"/>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650EE"/>
    <w:rsid w:val="00A87925"/>
    <w:rsid w:val="00A97285"/>
    <w:rsid w:val="00AA5C69"/>
    <w:rsid w:val="00AA6403"/>
    <w:rsid w:val="00AA6D36"/>
    <w:rsid w:val="00AA7317"/>
    <w:rsid w:val="00AD2CD3"/>
    <w:rsid w:val="00AE332F"/>
    <w:rsid w:val="00AE60C7"/>
    <w:rsid w:val="00AF4467"/>
    <w:rsid w:val="00B00A6D"/>
    <w:rsid w:val="00B05870"/>
    <w:rsid w:val="00B137D8"/>
    <w:rsid w:val="00B25755"/>
    <w:rsid w:val="00B37F85"/>
    <w:rsid w:val="00B45C88"/>
    <w:rsid w:val="00B555F4"/>
    <w:rsid w:val="00B667EA"/>
    <w:rsid w:val="00B71864"/>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2229"/>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45FCE"/>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0870"/>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lt-LT"/>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lt-LT"/>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lt-LT"/>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111C0D"/>
    <w:pPr>
      <w:tabs>
        <w:tab w:val="center" w:pos="4535"/>
        <w:tab w:val="right" w:pos="9071"/>
      </w:tabs>
      <w:spacing w:before="0"/>
    </w:pPr>
  </w:style>
  <w:style w:type="character" w:customStyle="1" w:styleId="HeaderChar">
    <w:name w:val="Header Char"/>
    <w:basedOn w:val="DefaultParagraphFont"/>
    <w:link w:val="Header"/>
    <w:uiPriority w:val="99"/>
    <w:rsid w:val="00111C0D"/>
    <w:rPr>
      <w:rFonts w:ascii="Times New Roman" w:hAnsi="Times New Roman" w:cs="Times New Roman"/>
      <w:sz w:val="24"/>
      <w:lang w:val="lt-LT"/>
    </w:rPr>
  </w:style>
  <w:style w:type="paragraph" w:styleId="Footer">
    <w:name w:val="footer"/>
    <w:basedOn w:val="Normal"/>
    <w:link w:val="FooterChar"/>
    <w:uiPriority w:val="99"/>
    <w:unhideWhenUsed/>
    <w:rsid w:val="00111C0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11C0D"/>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11C0D"/>
    <w:pPr>
      <w:tabs>
        <w:tab w:val="center" w:pos="7285"/>
        <w:tab w:val="right" w:pos="14003"/>
      </w:tabs>
      <w:spacing w:before="0"/>
    </w:pPr>
  </w:style>
  <w:style w:type="paragraph" w:customStyle="1" w:styleId="FooterLandscape">
    <w:name w:val="FooterLandscape"/>
    <w:basedOn w:val="Normal"/>
    <w:rsid w:val="00111C0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11C0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11C0D"/>
    <w:pPr>
      <w:spacing w:before="0"/>
      <w:jc w:val="right"/>
    </w:pPr>
    <w:rPr>
      <w:sz w:val="28"/>
    </w:rPr>
  </w:style>
  <w:style w:type="paragraph" w:customStyle="1" w:styleId="FooterSensitivity">
    <w:name w:val="Footer Sensitivity"/>
    <w:basedOn w:val="Normal"/>
    <w:rsid w:val="00111C0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5C3CF-BAFC-4097-821D-892B31AD9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8</TotalTime>
  <Pages>6</Pages>
  <Words>1493</Words>
  <Characters>10130</Characters>
  <Application>Microsoft Office Word</Application>
  <DocSecurity>0</DocSecurity>
  <Lines>174</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47</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