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16" w:rsidRPr="00587ED2" w:rsidRDefault="00AC5D3E" w:rsidP="00AC5D3E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alt="4CA622A2-38AC-4972-BFBD-6ABAB0BFE489" style="width:455.25pt;height:414pt">
            <v:imagedata r:id="rId8" o:title=""/>
          </v:shape>
        </w:pict>
      </w:r>
    </w:p>
    <w:p w:rsidR="003C122C" w:rsidRPr="00587ED2" w:rsidRDefault="003C122C">
      <w:pPr>
        <w:rPr>
          <w:noProof/>
        </w:rPr>
        <w:sectPr w:rsidR="003C122C" w:rsidRPr="00587ED2" w:rsidSect="00AC5D3E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3C122C" w:rsidRPr="00587ED2" w:rsidRDefault="00587ED2" w:rsidP="00587ED2">
      <w:pPr>
        <w:pStyle w:val="Typedudocument"/>
        <w:rPr>
          <w:noProof/>
        </w:rPr>
      </w:pPr>
      <w:bookmarkStart w:id="0" w:name="_GoBack"/>
      <w:bookmarkEnd w:id="0"/>
      <w:r w:rsidRPr="00587ED2">
        <w:rPr>
          <w:noProof/>
        </w:rPr>
        <w:lastRenderedPageBreak/>
        <w:t>PROVÁDĚCÍ NAŘÍZENÍ KOMISE (EU) …/...</w:t>
      </w:r>
    </w:p>
    <w:p w:rsidR="003C122C" w:rsidRPr="00587ED2" w:rsidRDefault="00E82837" w:rsidP="00587ED2">
      <w:pPr>
        <w:pStyle w:val="Datedadoption"/>
        <w:rPr>
          <w:noProof/>
        </w:rPr>
      </w:pPr>
      <w:r>
        <w:t>ze dne 30.11.2022</w:t>
      </w:r>
    </w:p>
    <w:p w:rsidR="003C122C" w:rsidRPr="00587ED2" w:rsidRDefault="00587ED2" w:rsidP="00587ED2">
      <w:pPr>
        <w:pStyle w:val="Titreobjet"/>
        <w:rPr>
          <w:noProof/>
        </w:rPr>
      </w:pPr>
      <w:r w:rsidRPr="00587ED2">
        <w:rPr>
          <w:noProof/>
        </w:rPr>
        <w:t xml:space="preserve">kterým se mění prováděcí technické normy stanovené prováděcím nařízením (EU) 2021/637, pokud jde o zpřístupňování informací o environmentálních, sociálních a správních rizicích </w:t>
      </w:r>
      <w:r w:rsidRPr="00587ED2">
        <w:rPr>
          <w:noProof/>
        </w:rPr>
        <w:br/>
      </w:r>
    </w:p>
    <w:p w:rsidR="003C122C" w:rsidRPr="00587ED2" w:rsidRDefault="00587ED2" w:rsidP="00587ED2">
      <w:pPr>
        <w:pStyle w:val="IntrtEEE"/>
        <w:rPr>
          <w:noProof/>
        </w:rPr>
      </w:pPr>
      <w:r w:rsidRPr="00587ED2">
        <w:rPr>
          <w:noProof/>
        </w:rPr>
        <w:t>(Text s významem pro EHP)</w:t>
      </w:r>
    </w:p>
    <w:p w:rsidR="003C122C" w:rsidRPr="00587ED2" w:rsidRDefault="003C122C" w:rsidP="004E1EF9">
      <w:pPr>
        <w:pStyle w:val="Institutionquiagit"/>
        <w:rPr>
          <w:noProof/>
        </w:rPr>
      </w:pPr>
      <w:r w:rsidRPr="00587ED2">
        <w:rPr>
          <w:noProof/>
        </w:rPr>
        <w:t>EVROPSKÁ KOMISE,</w:t>
      </w:r>
    </w:p>
    <w:p w:rsidR="003C122C" w:rsidRPr="00587ED2" w:rsidRDefault="003C122C" w:rsidP="003C122C">
      <w:pPr>
        <w:rPr>
          <w:noProof/>
          <w:color w:val="000000"/>
        </w:rPr>
      </w:pPr>
      <w:r w:rsidRPr="00587ED2">
        <w:rPr>
          <w:noProof/>
          <w:color w:val="000000"/>
        </w:rPr>
        <w:t>s ohledem na Smlouvu o fungování Evropské unie,</w:t>
      </w:r>
    </w:p>
    <w:p w:rsidR="003C122C" w:rsidRPr="00587ED2" w:rsidRDefault="003C122C" w:rsidP="003C122C">
      <w:pPr>
        <w:rPr>
          <w:noProof/>
          <w:color w:val="000000"/>
        </w:rPr>
      </w:pPr>
      <w:r w:rsidRPr="00587ED2">
        <w:rPr>
          <w:noProof/>
          <w:color w:val="000000"/>
        </w:rPr>
        <w:t>s ohledem na nařízení Evropského parlamentu a Rady (EU) č. 575/2013 ze dne 26. června 2013 o obezřetnostních požadavcích na úvěrové instituce a o změně nařízení (EU) č. 648/2012</w:t>
      </w:r>
      <w:r w:rsidRPr="00587ED2">
        <w:rPr>
          <w:rStyle w:val="FootnoteReference"/>
          <w:noProof/>
        </w:rPr>
        <w:footnoteReference w:id="1"/>
      </w:r>
      <w:r w:rsidRPr="00587ED2">
        <w:rPr>
          <w:noProof/>
          <w:color w:val="000000"/>
        </w:rPr>
        <w:t>, a zejména na článek 434a uvedeného nařízení,</w:t>
      </w:r>
    </w:p>
    <w:p w:rsidR="003C122C" w:rsidRPr="00587ED2" w:rsidRDefault="003C122C" w:rsidP="004E1EF9">
      <w:pPr>
        <w:rPr>
          <w:noProof/>
        </w:rPr>
      </w:pPr>
      <w:r w:rsidRPr="00587ED2">
        <w:rPr>
          <w:noProof/>
        </w:rPr>
        <w:t>vzhledem k těmto důvodům:</w:t>
      </w:r>
    </w:p>
    <w:p w:rsidR="00410340" w:rsidRPr="00587ED2" w:rsidRDefault="00E4592D" w:rsidP="00E4592D">
      <w:pPr>
        <w:pStyle w:val="ManualConsidrant"/>
        <w:rPr>
          <w:noProof/>
          <w:color w:val="000000"/>
        </w:rPr>
      </w:pPr>
      <w:r w:rsidRPr="00E4592D">
        <w:t>(1)</w:t>
      </w:r>
      <w:r w:rsidRPr="00E4592D">
        <w:tab/>
      </w:r>
      <w:r w:rsidR="007067A9" w:rsidRPr="00587ED2">
        <w:rPr>
          <w:noProof/>
        </w:rPr>
        <w:t>Prováděcí nařízení Komise (EU) 2021/637</w:t>
      </w:r>
      <w:r w:rsidR="007067A9" w:rsidRPr="00587ED2">
        <w:rPr>
          <w:rStyle w:val="FootnoteReference"/>
          <w:noProof/>
        </w:rPr>
        <w:footnoteReference w:id="2"/>
      </w:r>
      <w:r w:rsidR="007067A9" w:rsidRPr="00587ED2">
        <w:rPr>
          <w:noProof/>
        </w:rPr>
        <w:t xml:space="preserve"> upřesňuje jednotné formáty pro zpřístupňování informací a související pokyny pro zpřístupňování informací požadované podle hlav II a III nařízení (EU) č. 575/2013. Nařízení (EU) č. 575/2013 bylo změněno nařízením (EU) 2019/876</w:t>
      </w:r>
      <w:r w:rsidR="007067A9" w:rsidRPr="00587ED2">
        <w:rPr>
          <w:rStyle w:val="FootnoteReference"/>
          <w:noProof/>
        </w:rPr>
        <w:footnoteReference w:id="3"/>
      </w:r>
      <w:r w:rsidR="007067A9" w:rsidRPr="00587ED2">
        <w:rPr>
          <w:noProof/>
        </w:rPr>
        <w:t xml:space="preserve"> mimo jiné s cílem vložit nový článek 449a. Uvedený článek požaduje, aby velké instituce, které vydaly cenné papíry, jež jsou přijaty k obchodování na regulovaném trhu kteréhokoli členského státu, zpřístupňovaly ode dne 28. června 2022 informace o environmentálních, sociálních a správních rizicích (dále jen „rizicích ESG“), včetně fyzických rizik a rizik přechodu. Uvedená změna nařízení (EU) č. 575/2013 by se měla odrazit v prováděcím nařízení Komise (EU) 2021/637, které by navíc ke stávajícím jednotným formátům pro zpřístupňování informací a souvisejícím pokynům mělo stanovit také jednotné formáty a související pokyny pro zpřístupňování informací o rizicích ESG.</w:t>
      </w:r>
    </w:p>
    <w:p w:rsidR="00410340" w:rsidRPr="00587ED2" w:rsidRDefault="00E4592D" w:rsidP="00E4592D">
      <w:pPr>
        <w:pStyle w:val="ManualConsidrant"/>
        <w:rPr>
          <w:noProof/>
        </w:rPr>
      </w:pPr>
      <w:r w:rsidRPr="00E4592D">
        <w:t>(2)</w:t>
      </w:r>
      <w:r w:rsidRPr="00E4592D">
        <w:tab/>
      </w:r>
      <w:r w:rsidR="00410340" w:rsidRPr="00587ED2">
        <w:rPr>
          <w:noProof/>
        </w:rPr>
        <w:t>Při stanovování jednotných formátů pro zpřístupňování informací je třeba vzít v úvahu úplnou významnost informací, které mají být zpřístupněny. To znamená, že zpřístupňování informací institucemi by mělo zahrnovat jednak finanční dopad environmentálních, sociálních a správních faktorů na hospodářské a finanční činnosti institucí (hledisko „zvenčí dovnitř“), jednak environmentální, sociální a správní faktory, které mohou být vyvolány vlastní činností institucí a které se naopak stávají finančně významnými, když ovlivňují zúčastněné strany institucí (hledisko „zvnitřku ven“). Tabulky a šablony používané pro tato zpřístupnění informací by tudíž měly podávat dostatečně komplexní a srovnatelné informace o rizicích ESG, a měly by tak uživatelům těchto informací umožnit posouzení rizikového profilu institucí.</w:t>
      </w:r>
    </w:p>
    <w:p w:rsidR="00410340" w:rsidRPr="00587ED2" w:rsidRDefault="00E4592D" w:rsidP="00E4592D">
      <w:pPr>
        <w:pStyle w:val="ManualConsidrant"/>
        <w:rPr>
          <w:noProof/>
        </w:rPr>
      </w:pPr>
      <w:r w:rsidRPr="00E4592D">
        <w:t>(3)</w:t>
      </w:r>
      <w:r w:rsidRPr="00E4592D">
        <w:tab/>
      </w:r>
      <w:r w:rsidR="00A525E2" w:rsidRPr="00587ED2">
        <w:rPr>
          <w:noProof/>
        </w:rPr>
        <w:t>Je nezbytné zajistit soudržnost a soulad s jinými právními předpisy Unie v oblasti rizik ESG. Pravidla zpřístupňování informací o rizicích ESG by tudíž měla zohledňovat kritéria, klasifikace a definice stanovené v uvedených právních předpisech Unie. Uvedená pravidla by měla zejména brát v úvahu kritéria pro identifikaci a klasifikaci environmentálně udržitelných hospodářských činností stanovená nařízením Evropského parlamentu a Rady (EU) 2020/852</w:t>
      </w:r>
      <w:r w:rsidR="00A525E2" w:rsidRPr="00587ED2">
        <w:rPr>
          <w:rStyle w:val="FootnoteReference"/>
          <w:noProof/>
        </w:rPr>
        <w:footnoteReference w:id="4"/>
      </w:r>
      <w:r w:rsidR="00A525E2" w:rsidRPr="00587ED2">
        <w:rPr>
          <w:noProof/>
        </w:rPr>
        <w:t xml:space="preserve"> a nařízením Komise v přenesené pravomoci (EU) 2020/1818</w:t>
      </w:r>
      <w:r w:rsidR="00A525E2" w:rsidRPr="00587ED2">
        <w:rPr>
          <w:rStyle w:val="FootnoteReference"/>
          <w:noProof/>
        </w:rPr>
        <w:footnoteReference w:id="5"/>
      </w:r>
      <w:r w:rsidR="00A525E2" w:rsidRPr="00587ED2">
        <w:rPr>
          <w:noProof/>
        </w:rPr>
        <w:t>. Pokud jde o zpřístupňování informací o energetické náročnosti portfolia nemovitostí institucí, měly by být brány v úvahu informace uvedené v certifikátu energetické náročnosti ve smyslu čl. 2 bodu 12 směrnice Evropského parlamentu a Rady 2010/31/EU</w:t>
      </w:r>
      <w:r w:rsidR="00A525E2" w:rsidRPr="00587ED2">
        <w:rPr>
          <w:rStyle w:val="FootnoteReference"/>
          <w:noProof/>
        </w:rPr>
        <w:footnoteReference w:id="6"/>
      </w:r>
      <w:r w:rsidR="00A525E2" w:rsidRPr="00587ED2">
        <w:rPr>
          <w:noProof/>
        </w:rPr>
        <w:t>.</w:t>
      </w:r>
    </w:p>
    <w:p w:rsidR="00135CD4" w:rsidRPr="00587ED2" w:rsidRDefault="00E4592D" w:rsidP="00E4592D">
      <w:pPr>
        <w:pStyle w:val="ManualConsidrant"/>
        <w:rPr>
          <w:noProof/>
        </w:rPr>
      </w:pPr>
      <w:r w:rsidRPr="00E4592D">
        <w:t>(4)</w:t>
      </w:r>
      <w:r w:rsidRPr="00E4592D">
        <w:tab/>
      </w:r>
      <w:r w:rsidR="00135CD4" w:rsidRPr="00587ED2">
        <w:rPr>
          <w:noProof/>
        </w:rPr>
        <w:t>Články 19a a 29a směrnice Evropského parlamentu a Rady 2013/34/EU</w:t>
      </w:r>
      <w:r w:rsidR="00135CD4" w:rsidRPr="00587ED2">
        <w:rPr>
          <w:rStyle w:val="FootnoteReference"/>
          <w:noProof/>
        </w:rPr>
        <w:footnoteReference w:id="7"/>
      </w:r>
      <w:r w:rsidR="00135CD4" w:rsidRPr="00587ED2">
        <w:rPr>
          <w:noProof/>
        </w:rPr>
        <w:t xml:space="preserve"> požadují, aby určité velké podniky, které jsou subjekty veřejného zájmu, nebo subjekty veřejného zájmu, které jsou mateřskými podniky velké skupiny, zahrnuly do zprávy vedení podniku nebo konsolidované zprávy vedení podniku informace o dopadech jejich činnosti na environmentální, sociální a zaměstnanecké otázky, dodržování lidských práv, boj proti korupci a úplatkářství. Tato povinnost se však nevztahuje na jiné podniky. V důsledku toho podniky, které nejsou předmětem článků 19a a 29a směrnice 2013/34/EU, nemusí takové informace zpřístupňovat a nemusí být schopny poskytovat institucím takové informace. U těchto podniků, které jsou protistranami institucí, lze tak pouze očekávat, že tyto informace a údaje poskytnou dobrovolně. Nicméně je vhodné poskytnout těmto podnikům pokyny k výpočtu procentního podílu expozic činnostem, které jsou environmentálně udržitelnými hospodářskými činnostmi podle článku 3 nařízení (EU) 2020/852, aby tyto informace a údaje mohly být předkládány ve standardizovaném a srovnatelném formátu. Nejsou-li tyto informace a tyto údaje poskytovány dobrovolně, měly by být instituce schopny vypočítat procentní podíl expozic v souladu s taxonomií pomocí odhadů nebo zástupných ukazatelů.</w:t>
      </w:r>
    </w:p>
    <w:p w:rsidR="00921483" w:rsidRPr="00587ED2" w:rsidRDefault="00E4592D" w:rsidP="00E4592D">
      <w:pPr>
        <w:pStyle w:val="ManualConsidrant"/>
        <w:rPr>
          <w:noProof/>
        </w:rPr>
      </w:pPr>
      <w:r w:rsidRPr="00E4592D">
        <w:t>(5)</w:t>
      </w:r>
      <w:r w:rsidRPr="00E4592D">
        <w:tab/>
      </w:r>
      <w:r w:rsidR="00A97285" w:rsidRPr="00587ED2">
        <w:rPr>
          <w:noProof/>
        </w:rPr>
        <w:t>Podle článku 449a nařízení (EU) č. 575/2013 musí být informace o rizicích ESG zpřístupňovány ode dne 28. června 2022, jednou ročně za první rok a poté dvakrát ročně. Z těchto důvodů by mělo být první roční referenční datum pro zpřístupnění informací stanoveno na 31. prosince 2022.</w:t>
      </w:r>
    </w:p>
    <w:p w:rsidR="00ED20D7" w:rsidRPr="00587ED2" w:rsidRDefault="00E4592D" w:rsidP="00E4592D">
      <w:pPr>
        <w:pStyle w:val="ManualConsidrant"/>
        <w:rPr>
          <w:noProof/>
        </w:rPr>
      </w:pPr>
      <w:r w:rsidRPr="00E4592D">
        <w:t>(6)</w:t>
      </w:r>
      <w:r w:rsidRPr="00E4592D">
        <w:tab/>
      </w:r>
      <w:r w:rsidR="00410340" w:rsidRPr="00587ED2">
        <w:rPr>
          <w:noProof/>
        </w:rPr>
        <w:t xml:space="preserve">Toto nařízení vychází z návrhu prováděcích technických norem, které Komisi předložil Evropský orgán pro bankovnictví. </w:t>
      </w:r>
    </w:p>
    <w:p w:rsidR="00410340" w:rsidRPr="00587ED2" w:rsidRDefault="00E4592D" w:rsidP="00E4592D">
      <w:pPr>
        <w:pStyle w:val="ManualConsidrant"/>
        <w:rPr>
          <w:noProof/>
        </w:rPr>
      </w:pPr>
      <w:r w:rsidRPr="00E4592D">
        <w:t>(7)</w:t>
      </w:r>
      <w:r w:rsidRPr="00E4592D">
        <w:tab/>
      </w:r>
      <w:r w:rsidR="00ED20D7" w:rsidRPr="00587ED2">
        <w:rPr>
          <w:noProof/>
        </w:rPr>
        <w:t>O návrzích prováděcích technických norem, z nichž toto nařízení vychází, uskutečnil Evropský orgán pro bankovnictví otevřené veřejné konzultace, analyzoval potenciální související náklady a přínosy a požádal o radu skupinu subjektů působících v bankovnictví zřízenou podle článku 37 nařízení Evropského parlamentu a Rady (EU) č. 1093/2010</w:t>
      </w:r>
      <w:r w:rsidR="00ED20D7" w:rsidRPr="00587ED2">
        <w:rPr>
          <w:rStyle w:val="FootnoteReference"/>
          <w:noProof/>
        </w:rPr>
        <w:footnoteReference w:id="8"/>
      </w:r>
      <w:r w:rsidR="00ED20D7" w:rsidRPr="00587ED2">
        <w:rPr>
          <w:noProof/>
        </w:rPr>
        <w:t>.</w:t>
      </w:r>
    </w:p>
    <w:p w:rsidR="00410340" w:rsidRPr="00587ED2" w:rsidRDefault="00E4592D" w:rsidP="00E4592D">
      <w:pPr>
        <w:pStyle w:val="ManualConsidrant"/>
        <w:rPr>
          <w:noProof/>
        </w:rPr>
      </w:pPr>
      <w:r w:rsidRPr="00E4592D">
        <w:t>(8)</w:t>
      </w:r>
      <w:r w:rsidRPr="00E4592D">
        <w:tab/>
      </w:r>
      <w:r w:rsidR="00410340" w:rsidRPr="00587ED2">
        <w:rPr>
          <w:noProof/>
        </w:rPr>
        <w:t xml:space="preserve">Prováděcí nařízení (EU) </w:t>
      </w:r>
      <w:r w:rsidR="00410340" w:rsidRPr="00587ED2">
        <w:rPr>
          <w:noProof/>
          <w:sz w:val="22"/>
        </w:rPr>
        <w:t>2021/637</w:t>
      </w:r>
      <w:r w:rsidR="00410340" w:rsidRPr="00587ED2">
        <w:rPr>
          <w:noProof/>
        </w:rPr>
        <w:t xml:space="preserve"> by proto mělo být odpovídajícím způsobem změněno,</w:t>
      </w:r>
    </w:p>
    <w:p w:rsidR="003C122C" w:rsidRPr="00587ED2" w:rsidRDefault="003C122C" w:rsidP="004E1EF9">
      <w:pPr>
        <w:pStyle w:val="Formuledadoption"/>
        <w:rPr>
          <w:noProof/>
          <w:szCs w:val="24"/>
        </w:rPr>
      </w:pPr>
      <w:r w:rsidRPr="00587ED2">
        <w:rPr>
          <w:noProof/>
        </w:rPr>
        <w:t>PŘIJALA TOTO NAŘÍZENÍ:</w:t>
      </w:r>
    </w:p>
    <w:p w:rsidR="003C122C" w:rsidRPr="00587ED2" w:rsidRDefault="003C122C" w:rsidP="004E1EF9">
      <w:pPr>
        <w:pStyle w:val="Titrearticle"/>
        <w:rPr>
          <w:noProof/>
          <w:szCs w:val="24"/>
        </w:rPr>
      </w:pPr>
      <w:r w:rsidRPr="00587ED2">
        <w:rPr>
          <w:noProof/>
        </w:rPr>
        <w:t>Článek 1</w:t>
      </w:r>
    </w:p>
    <w:p w:rsidR="007F4F83" w:rsidRPr="00587ED2" w:rsidRDefault="007F4F83" w:rsidP="00D00193">
      <w:pPr>
        <w:pStyle w:val="Titrearticle"/>
        <w:spacing w:before="120"/>
        <w:rPr>
          <w:b/>
          <w:i w:val="0"/>
          <w:noProof/>
          <w:szCs w:val="24"/>
        </w:rPr>
      </w:pPr>
      <w:r w:rsidRPr="00587ED2">
        <w:rPr>
          <w:b/>
          <w:i w:val="0"/>
          <w:noProof/>
        </w:rPr>
        <w:t>Změny prováděcího nařízení (EU) 2021/637</w:t>
      </w:r>
    </w:p>
    <w:p w:rsidR="007F4F83" w:rsidRPr="00587ED2" w:rsidRDefault="007F4F83" w:rsidP="007F4F83">
      <w:pPr>
        <w:pStyle w:val="Titrearticle"/>
        <w:jc w:val="left"/>
        <w:rPr>
          <w:rFonts w:eastAsiaTheme="minorEastAsia"/>
          <w:i w:val="0"/>
          <w:noProof/>
          <w:szCs w:val="24"/>
        </w:rPr>
      </w:pPr>
      <w:r w:rsidRPr="00587ED2">
        <w:rPr>
          <w:i w:val="0"/>
          <w:noProof/>
        </w:rPr>
        <w:t>Prováděcí nařízení (EU) 2021/637 se mění takto:</w:t>
      </w:r>
    </w:p>
    <w:p w:rsidR="007F4F83" w:rsidRPr="00587ED2" w:rsidRDefault="00DF0EAD" w:rsidP="00DF0EAD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7F4F83" w:rsidRPr="00587ED2">
        <w:rPr>
          <w:noProof/>
        </w:rPr>
        <w:t>Vkládá se nový článek 18a, který zní:</w:t>
      </w:r>
    </w:p>
    <w:p w:rsidR="007F4F83" w:rsidRPr="00587ED2" w:rsidRDefault="006542E5" w:rsidP="004046D9">
      <w:pPr>
        <w:pStyle w:val="Titrearticle"/>
        <w:spacing w:before="120"/>
        <w:ind w:left="567" w:right="568"/>
        <w:rPr>
          <w:noProof/>
        </w:rPr>
      </w:pPr>
      <w:r w:rsidRPr="00587ED2">
        <w:rPr>
          <w:noProof/>
        </w:rPr>
        <w:t>„Článek 18a</w:t>
      </w:r>
    </w:p>
    <w:p w:rsidR="007F4F83" w:rsidRPr="00587ED2" w:rsidRDefault="007F4F83" w:rsidP="004046D9">
      <w:pPr>
        <w:pStyle w:val="Titrearticle"/>
        <w:spacing w:before="120"/>
        <w:ind w:left="567" w:right="568"/>
        <w:rPr>
          <w:b/>
          <w:i w:val="0"/>
          <w:noProof/>
        </w:rPr>
      </w:pPr>
      <w:r w:rsidRPr="00587ED2">
        <w:rPr>
          <w:b/>
          <w:i w:val="0"/>
          <w:noProof/>
        </w:rPr>
        <w:t>Zpřístupňování informací o environmentálních, sociálních a správních rizicích (rizicích ESG)</w:t>
      </w:r>
    </w:p>
    <w:p w:rsidR="007F4F83" w:rsidRPr="00587ED2" w:rsidRDefault="00E4592D" w:rsidP="00E4592D">
      <w:pPr>
        <w:pStyle w:val="ManualNumPar1"/>
        <w:rPr>
          <w:noProof/>
        </w:rPr>
      </w:pPr>
      <w:r w:rsidRPr="00E4592D">
        <w:t>1.</w:t>
      </w:r>
      <w:r w:rsidRPr="00E4592D">
        <w:tab/>
      </w:r>
      <w:r w:rsidR="007F4F83" w:rsidRPr="00587ED2">
        <w:rPr>
          <w:noProof/>
        </w:rPr>
        <w:t>Instituce zpřístupňují informace uvedené v článku 449a nařízení (EU) č. 575/2013 takto:</w:t>
      </w:r>
    </w:p>
    <w:p w:rsidR="002D1236" w:rsidRPr="00587ED2" w:rsidRDefault="00DF0EAD" w:rsidP="00DF0EAD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2D1236" w:rsidRPr="00587ED2">
        <w:rPr>
          <w:noProof/>
        </w:rPr>
        <w:t>kvalitativní informace o environmentálních, sociálních a správních rizicích za použití tabulek 1, 2 a 3 obsažených v příloze XXXIX tohoto nařízení a podle pokynů stanovených v příloze XL tohoto nařízení;</w:t>
      </w:r>
    </w:p>
    <w:p w:rsidR="002D1236" w:rsidRPr="00587ED2" w:rsidRDefault="00DF0EAD" w:rsidP="00DF0EAD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2D1236" w:rsidRPr="00587ED2">
        <w:rPr>
          <w:noProof/>
        </w:rPr>
        <w:t>kvantitativní informace o riziku přechodu v souvislosti se změnou klimatu za použití šablon 1 až 4 obsažených v příloze XXXIX tohoto nařízení a podle pokynů stanovených v příloze XL tohoto nařízení;</w:t>
      </w:r>
    </w:p>
    <w:p w:rsidR="002D1236" w:rsidRPr="00587ED2" w:rsidRDefault="00DF0EAD" w:rsidP="00DF0EAD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2D1236" w:rsidRPr="00587ED2">
        <w:rPr>
          <w:noProof/>
        </w:rPr>
        <w:t>kvantitativní informace o fyzických rizicích v souvislosti se změnou klimatu za použití šablony 5 obsažené v příloze XXXIX tohoto nařízení a podle pokynů stanovených v příloze XL tohoto nařízení;</w:t>
      </w:r>
    </w:p>
    <w:p w:rsidR="002D1236" w:rsidRPr="00587ED2" w:rsidRDefault="00DF0EAD" w:rsidP="00DF0EAD">
      <w:pPr>
        <w:pStyle w:val="Point1"/>
        <w:rPr>
          <w:noProof/>
        </w:rPr>
      </w:pPr>
      <w:r>
        <w:rPr>
          <w:noProof/>
        </w:rPr>
        <w:t>d)</w:t>
      </w:r>
      <w:r>
        <w:rPr>
          <w:noProof/>
        </w:rPr>
        <w:tab/>
      </w:r>
      <w:r w:rsidR="002D1236" w:rsidRPr="00587ED2">
        <w:rPr>
          <w:noProof/>
        </w:rPr>
        <w:t xml:space="preserve">kvantitativní informace o zmírňujících opatřeních spojených s hospodářskými činnostmi, které se podle článku 3 nařízení Evropského parlamentu a Rady (EU) 2020/852*1 kvalifikují jako environmentálně udržitelné, vůči těm protistranám, na které se vztahují články 19a nebo 29a směrnice Evropského parlamentu a Rady 2013/34/EU *2, </w:t>
      </w:r>
      <w:bookmarkStart w:id="1" w:name="_Hlk92470586"/>
      <w:r w:rsidR="002D1236" w:rsidRPr="00587ED2">
        <w:rPr>
          <w:noProof/>
        </w:rPr>
        <w:t>vůči domácnostem a vůči místním vládám</w:t>
      </w:r>
      <w:bookmarkEnd w:id="1"/>
      <w:r w:rsidR="002D1236" w:rsidRPr="00587ED2">
        <w:rPr>
          <w:noProof/>
        </w:rPr>
        <w:t xml:space="preserve"> uvedeným v části 1 bodu 42 písm. b) přílohy V prováděcího nařízení Komise (EU) 2021/451*3, za použití šablon 6, 7 a 8 obsažených v příloze XXXIX tohoto nařízení a podle pokynů stanovených v příloze XL tohoto nařízení;</w:t>
      </w:r>
    </w:p>
    <w:p w:rsidR="00995098" w:rsidRPr="00587ED2" w:rsidRDefault="00DF0EAD" w:rsidP="00DF0EAD">
      <w:pPr>
        <w:pStyle w:val="Point1"/>
        <w:rPr>
          <w:noProof/>
        </w:rPr>
      </w:pPr>
      <w:r>
        <w:rPr>
          <w:noProof/>
        </w:rPr>
        <w:t>e)</w:t>
      </w:r>
      <w:r>
        <w:rPr>
          <w:noProof/>
        </w:rPr>
        <w:tab/>
      </w:r>
      <w:r w:rsidR="00995098" w:rsidRPr="00587ED2">
        <w:rPr>
          <w:noProof/>
        </w:rPr>
        <w:t>kvantitativní informace o dalších zmírňujících opatřeních a expozicích rizikům souvisejícím se změnou klimatu, které se nekvalifikují jako environmentálně udržitelné hospodářské činnosti podle článku 3 nařízení (EU) 2020/852, ale podporují protistrany v procesu přechodu nebo přizpůsobování se pro cíle zmírňování změny klimatu a přizpůsobování se této změně, a to za použití šablony 10 obsažené v příloze XXXIX tohoto nařízení a podle pokynů stanovených v příloze XL tohoto nařízení.</w:t>
      </w:r>
    </w:p>
    <w:p w:rsidR="008D2E23" w:rsidRPr="00587ED2" w:rsidRDefault="00E4592D" w:rsidP="00E4592D">
      <w:pPr>
        <w:pStyle w:val="ManualNumPar1"/>
        <w:rPr>
          <w:noProof/>
        </w:rPr>
      </w:pPr>
      <w:r w:rsidRPr="00E4592D">
        <w:t>2.</w:t>
      </w:r>
      <w:r w:rsidRPr="00E4592D">
        <w:tab/>
      </w:r>
      <w:r w:rsidR="000941B5" w:rsidRPr="00587ED2">
        <w:rPr>
          <w:noProof/>
        </w:rPr>
        <w:t xml:space="preserve">Instituce se mohou rozhodnout, že zveřejní kvantitativní informace o zmírňujících opatřeních a expozicích rizikům souvisejícím se změnou klimatu a spojeným s hospodářskými činnostmi, které se kvalifikují jako environmentálně udržitelné podle článku 3 nařízení (EU) 2020/852, vůči protistranám, </w:t>
      </w:r>
      <w:bookmarkStart w:id="2" w:name="_Hlk92470606"/>
      <w:r w:rsidR="000941B5" w:rsidRPr="00587ED2">
        <w:rPr>
          <w:noProof/>
        </w:rPr>
        <w:t>které jsou nefinančními podniky</w:t>
      </w:r>
      <w:bookmarkEnd w:id="2"/>
      <w:r w:rsidR="000941B5" w:rsidRPr="00587ED2">
        <w:rPr>
          <w:noProof/>
        </w:rPr>
        <w:t xml:space="preserve"> podle části 1 bodu 42 písm. e) přílohy V prováděcího nařízení (EU) 2021/451, na které se nevztahují povinnosti týkající se zpřístupňování informací stanovené v článcích 19a nebo 29a směrnice 2013/34/EU a na které se nevztahují povinnosti týkající se zpřístupňování informací stanovené v prováděcím nařízení Komise (EU) 2021/2178</w:t>
      </w:r>
      <w:r w:rsidR="000941B5" w:rsidRPr="00587ED2">
        <w:rPr>
          <w:noProof/>
          <w:vertAlign w:val="superscript"/>
        </w:rPr>
        <w:t>*4</w:t>
      </w:r>
      <w:r w:rsidR="000941B5" w:rsidRPr="00587ED2">
        <w:rPr>
          <w:noProof/>
        </w:rPr>
        <w:t xml:space="preserve">, za použití šablony 9 obsažené v příloze XXXIX tohoto nařízení a podle pokynů stanovených v příloze XL tohoto nařízení. </w:t>
      </w:r>
    </w:p>
    <w:p w:rsidR="002D1236" w:rsidRPr="00587ED2" w:rsidRDefault="002D1236" w:rsidP="00353D88">
      <w:pPr>
        <w:pStyle w:val="Text1"/>
        <w:rPr>
          <w:noProof/>
        </w:rPr>
      </w:pPr>
      <w:r w:rsidRPr="00587ED2">
        <w:rPr>
          <w:noProof/>
        </w:rPr>
        <w:t>Pro účely výpočtu procentního podílu expozic činnostem, které splňují požadavky stanovené v článku 3 nařízení (EU) 2020/852 (expozice v souladu s taxonomií), vůči těmto protistranám mohou instituce:</w:t>
      </w:r>
    </w:p>
    <w:p w:rsidR="00D23734" w:rsidRPr="00587ED2" w:rsidRDefault="00DF0EAD" w:rsidP="00DF0EAD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8E7D06" w:rsidRPr="00587ED2">
        <w:rPr>
          <w:noProof/>
        </w:rPr>
        <w:t>použít případně dostupné informace získané od jejich protistran na dobrovolném a dvoustranném základě prostřednictvím procesů poskytování úvěrů a pravidelného přezkumu a sledování úvěrů;</w:t>
      </w:r>
    </w:p>
    <w:p w:rsidR="00D23734" w:rsidRPr="00587ED2" w:rsidRDefault="00DF0EAD" w:rsidP="00DF0EAD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B25755" w:rsidRPr="00587ED2">
        <w:rPr>
          <w:noProof/>
        </w:rPr>
        <w:t>v případě, že protistrana není schopna nebo ochotna poskytnout příslušné údaje na dvoustranném základě, použít interní odhady a zástupné ukazatele a v komentáři připojeném k šabloně vysvětlit, v jakém rozsahu byly tyto interní odhady a zástupné ukazatele použity a které interní odhady a zástupné ukazatele byly použity;</w:t>
      </w:r>
    </w:p>
    <w:p w:rsidR="002D1236" w:rsidRPr="00587ED2" w:rsidRDefault="00DF0EAD" w:rsidP="00DF0EAD">
      <w:pPr>
        <w:pStyle w:val="Point1"/>
        <w:rPr>
          <w:noProof/>
        </w:rPr>
      </w:pPr>
      <w:r>
        <w:rPr>
          <w:noProof/>
        </w:rPr>
        <w:t>c)</w:t>
      </w:r>
      <w:r>
        <w:rPr>
          <w:noProof/>
        </w:rPr>
        <w:tab/>
      </w:r>
      <w:r w:rsidR="00D23734" w:rsidRPr="00587ED2">
        <w:rPr>
          <w:noProof/>
        </w:rPr>
        <w:t>v případě, že nejsou schopny shromáždit dotčené informace na dvoustranném základě nebo nemohou použít interní odhady nebo zástupné ukazatele anebo nemohou shromáždit tyto informace nebo použít tyto odhady a zástupné ukazatele způsobem, který není pro ně nebo jejich protistrany příliš zatěžující, vysvětlit tuto neschopnost v komentáři připojeném k šabloně.</w:t>
      </w:r>
    </w:p>
    <w:p w:rsidR="00320B78" w:rsidRPr="00587ED2" w:rsidRDefault="00320B78" w:rsidP="00353D88">
      <w:pPr>
        <w:pStyle w:val="Text1"/>
        <w:rPr>
          <w:noProof/>
        </w:rPr>
      </w:pPr>
      <w:r w:rsidRPr="00587ED2">
        <w:rPr>
          <w:noProof/>
        </w:rPr>
        <w:t>Pro účely písmene a) informují instituce své protistrany, že poskytování těchto informací je dobrovolné.</w:t>
      </w:r>
    </w:p>
    <w:p w:rsidR="007F4F83" w:rsidRPr="00587ED2" w:rsidRDefault="00E4592D" w:rsidP="00E4592D">
      <w:pPr>
        <w:pStyle w:val="ManualNumPar1"/>
        <w:rPr>
          <w:noProof/>
        </w:rPr>
      </w:pPr>
      <w:r w:rsidRPr="00E4592D">
        <w:t>3.</w:t>
      </w:r>
      <w:r w:rsidRPr="00E4592D">
        <w:tab/>
      </w:r>
      <w:r w:rsidR="006B71ED" w:rsidRPr="00587ED2">
        <w:rPr>
          <w:noProof/>
        </w:rPr>
        <w:t>Není-li v pokynech stanovených v příloze XL tohoto nařízení stanoveno jinak, instituce ode dne 31. prosince 2022 zpřístupňují informace obsažené v článku 449a nařízení (EU) č. 575/2013 v tato data:</w:t>
      </w:r>
    </w:p>
    <w:p w:rsidR="007F4F83" w:rsidRPr="00587ED2" w:rsidRDefault="00DF0EAD" w:rsidP="00DF0EAD">
      <w:pPr>
        <w:pStyle w:val="Point1"/>
        <w:rPr>
          <w:noProof/>
        </w:rPr>
      </w:pPr>
      <w:r>
        <w:rPr>
          <w:noProof/>
        </w:rPr>
        <w:t>a)</w:t>
      </w:r>
      <w:r>
        <w:rPr>
          <w:noProof/>
        </w:rPr>
        <w:tab/>
      </w:r>
      <w:r w:rsidR="007F4F83" w:rsidRPr="00587ED2">
        <w:rPr>
          <w:noProof/>
        </w:rPr>
        <w:t>v případě zpřístupnění informací jednou za rok: 31. prosince;</w:t>
      </w:r>
    </w:p>
    <w:p w:rsidR="00D01D57" w:rsidRPr="00587ED2" w:rsidRDefault="00DF0EAD" w:rsidP="00DF0EAD">
      <w:pPr>
        <w:pStyle w:val="Point1"/>
        <w:rPr>
          <w:noProof/>
        </w:rPr>
      </w:pPr>
      <w:r>
        <w:rPr>
          <w:noProof/>
        </w:rPr>
        <w:t>b)</w:t>
      </w:r>
      <w:r>
        <w:rPr>
          <w:noProof/>
        </w:rPr>
        <w:tab/>
      </w:r>
      <w:r w:rsidR="007F4F83" w:rsidRPr="00587ED2">
        <w:rPr>
          <w:noProof/>
        </w:rPr>
        <w:t>v případě zpřístupnění informací dvakrát za rok: 30. června a 31. prosince každého roku.</w:t>
      </w:r>
    </w:p>
    <w:p w:rsidR="00086FAB" w:rsidRPr="00587ED2" w:rsidRDefault="001904B5" w:rsidP="0087679B">
      <w:pPr>
        <w:pStyle w:val="Text2"/>
        <w:rPr>
          <w:noProof/>
        </w:rPr>
      </w:pPr>
      <w:r w:rsidRPr="00587ED2">
        <w:rPr>
          <w:noProof/>
        </w:rPr>
        <w:tab/>
        <w:t>___________</w:t>
      </w:r>
    </w:p>
    <w:p w:rsidR="00086FAB" w:rsidRPr="00587ED2" w:rsidRDefault="00086FAB" w:rsidP="0087679B">
      <w:pPr>
        <w:pStyle w:val="Text3"/>
        <w:rPr>
          <w:noProof/>
          <w:sz w:val="20"/>
          <w:szCs w:val="20"/>
        </w:rPr>
      </w:pPr>
      <w:r w:rsidRPr="00587ED2">
        <w:rPr>
          <w:noProof/>
          <w:sz w:val="20"/>
          <w:vertAlign w:val="superscript"/>
        </w:rPr>
        <w:t>*1</w:t>
      </w:r>
      <w:r w:rsidRPr="00587ED2">
        <w:rPr>
          <w:noProof/>
        </w:rPr>
        <w:tab/>
      </w:r>
      <w:r w:rsidRPr="00587ED2">
        <w:rPr>
          <w:noProof/>
          <w:sz w:val="20"/>
        </w:rPr>
        <w:t>Nařízení Evropského parlamentu a Rady (EU) 2020/852 ze dne 18. června 2020 o zřízení rámce pro usnadnění udržitelných investic a o změně nařízení (EU) 2019/2088 (Úř. věst. L 198, 22.6.2020, s. 13).</w:t>
      </w:r>
    </w:p>
    <w:p w:rsidR="00086FAB" w:rsidRPr="00587ED2" w:rsidRDefault="00086FAB" w:rsidP="004F6722">
      <w:pPr>
        <w:pStyle w:val="Text3"/>
        <w:rPr>
          <w:noProof/>
          <w:sz w:val="20"/>
          <w:szCs w:val="20"/>
        </w:rPr>
      </w:pPr>
      <w:r w:rsidRPr="00587ED2">
        <w:rPr>
          <w:noProof/>
          <w:sz w:val="20"/>
          <w:vertAlign w:val="superscript"/>
        </w:rPr>
        <w:t>*2</w:t>
      </w:r>
      <w:r w:rsidRPr="00587ED2">
        <w:rPr>
          <w:noProof/>
        </w:rPr>
        <w:tab/>
      </w:r>
      <w:r w:rsidRPr="00587ED2">
        <w:rPr>
          <w:noProof/>
          <w:sz w:val="20"/>
        </w:rPr>
        <w:t>Směrnice Evropského parlamentu a Rady 2013/34/EU ze dne 26. června 2013 o ročních účetních závěrkách, konsolidovaných účetních závěrkách a souvisejících zprávách některých forem podniků, o změně směrnice Evropského parlamentu a Rady 2006/43/ES a o zrušení směrnic Rady 78/660/EHS a 83/349/EHS (Úř. věst. L 182, 29.6.2013, s. 19).</w:t>
      </w:r>
    </w:p>
    <w:p w:rsidR="00086FAB" w:rsidRPr="00587ED2" w:rsidRDefault="00086FAB" w:rsidP="0087679B">
      <w:pPr>
        <w:pStyle w:val="Text3"/>
        <w:rPr>
          <w:noProof/>
          <w:sz w:val="20"/>
          <w:szCs w:val="20"/>
        </w:rPr>
      </w:pPr>
      <w:r w:rsidRPr="00587ED2">
        <w:rPr>
          <w:noProof/>
          <w:sz w:val="20"/>
          <w:vertAlign w:val="superscript"/>
        </w:rPr>
        <w:t>*3</w:t>
      </w:r>
      <w:r w:rsidRPr="00587ED2">
        <w:rPr>
          <w:noProof/>
        </w:rPr>
        <w:tab/>
      </w:r>
      <w:r w:rsidRPr="00587ED2">
        <w:rPr>
          <w:noProof/>
          <w:sz w:val="20"/>
        </w:rPr>
        <w:t>Prováděcí nařízení Komise (EU) 2021/451 ze dne 17. prosince 2020, kterým se stanoví prováděcí technické normy pro uplatňování nařízení Evropského parlamentu a Rady (EU) č. 575/2013, pokud jde o podávání zpráv institucí pro účely dohledu, a kterým se zrušuje prováděcí nařízení (EU) č. 680/2014 (Úř. věst. L 97, 19.3.2021, s. 1).</w:t>
      </w:r>
    </w:p>
    <w:p w:rsidR="00086FAB" w:rsidRPr="00587ED2" w:rsidRDefault="00086FAB" w:rsidP="0087679B">
      <w:pPr>
        <w:pStyle w:val="Text3"/>
        <w:rPr>
          <w:noProof/>
          <w:sz w:val="20"/>
          <w:szCs w:val="20"/>
        </w:rPr>
      </w:pPr>
      <w:r w:rsidRPr="00587ED2">
        <w:rPr>
          <w:noProof/>
          <w:sz w:val="20"/>
          <w:vertAlign w:val="superscript"/>
        </w:rPr>
        <w:t>*4</w:t>
      </w:r>
      <w:r w:rsidRPr="00587ED2">
        <w:rPr>
          <w:noProof/>
        </w:rPr>
        <w:tab/>
      </w:r>
      <w:r w:rsidRPr="00587ED2">
        <w:rPr>
          <w:noProof/>
          <w:sz w:val="20"/>
        </w:rPr>
        <w:t>Nařízení Komise v přenesené pravomoci (EU) 2021/2178 ze dne 6. července 2021, kterým se doplňuje nařízení Evropského parlamentu a Rady (EU) 2020/852 upřesněním obsahu a struktury informací, které mají zveřejňovat podniky podle článků 19a nebo 29a směrnice 2013/34/EU v souvislosti s environmentálně udržitelnými hospodářskými činnostmi, a upřesněním metodiky za účelem plnění této povinnosti zveřejňování informací (Úř. věst. L 443, 10.12.2021, s. 9).“</w:t>
      </w:r>
    </w:p>
    <w:p w:rsidR="007F4F83" w:rsidRPr="00587ED2" w:rsidRDefault="00DF0EAD" w:rsidP="00DF0EAD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921483" w:rsidRPr="00587ED2">
        <w:rPr>
          <w:noProof/>
        </w:rPr>
        <w:t xml:space="preserve">Znění obsažené v příloze I tohoto nařízení se doplňuje jako příloha XXXIX. </w:t>
      </w:r>
    </w:p>
    <w:p w:rsidR="007F4F83" w:rsidRPr="00587ED2" w:rsidRDefault="00DF0EAD" w:rsidP="00DF0EAD">
      <w:pPr>
        <w:pStyle w:val="Point0"/>
        <w:rPr>
          <w:noProof/>
        </w:rPr>
      </w:pPr>
      <w:r>
        <w:rPr>
          <w:noProof/>
        </w:rPr>
        <w:t>3)</w:t>
      </w:r>
      <w:r>
        <w:rPr>
          <w:noProof/>
        </w:rPr>
        <w:tab/>
      </w:r>
      <w:r w:rsidR="00921483" w:rsidRPr="00587ED2">
        <w:rPr>
          <w:noProof/>
        </w:rPr>
        <w:t>Znění obsažené v příloze II tohoto nařízení se doplňuje jako příloha XL.</w:t>
      </w:r>
    </w:p>
    <w:p w:rsidR="007F4F83" w:rsidRPr="00587ED2" w:rsidRDefault="007F4F83" w:rsidP="004046D9">
      <w:pPr>
        <w:pStyle w:val="Titrearticle"/>
        <w:rPr>
          <w:noProof/>
          <w:szCs w:val="24"/>
        </w:rPr>
      </w:pPr>
      <w:r w:rsidRPr="00587ED2">
        <w:rPr>
          <w:noProof/>
        </w:rPr>
        <w:t>Článek 2</w:t>
      </w:r>
    </w:p>
    <w:p w:rsidR="007F4F83" w:rsidRPr="00587ED2" w:rsidRDefault="007F4F83" w:rsidP="007F4F83">
      <w:pPr>
        <w:pStyle w:val="Titrearticle"/>
        <w:spacing w:before="120"/>
        <w:rPr>
          <w:b/>
          <w:i w:val="0"/>
          <w:noProof/>
          <w:szCs w:val="24"/>
        </w:rPr>
      </w:pPr>
      <w:r w:rsidRPr="00587ED2">
        <w:rPr>
          <w:b/>
          <w:i w:val="0"/>
          <w:noProof/>
        </w:rPr>
        <w:t>Vstup v platnost</w:t>
      </w:r>
    </w:p>
    <w:p w:rsidR="007F4F83" w:rsidRPr="00587ED2" w:rsidRDefault="007F4F83" w:rsidP="007F4F83">
      <w:pPr>
        <w:rPr>
          <w:noProof/>
          <w:color w:val="000000" w:themeColor="text1"/>
          <w:szCs w:val="24"/>
        </w:rPr>
      </w:pPr>
      <w:r w:rsidRPr="00587ED2">
        <w:rPr>
          <w:noProof/>
        </w:rPr>
        <w:t>Toto nařízení vstupuje v platnost dvacátým dnem po vyhlášení v </w:t>
      </w:r>
      <w:r w:rsidRPr="00587ED2">
        <w:rPr>
          <w:i/>
          <w:noProof/>
          <w:color w:val="000000" w:themeColor="text1"/>
        </w:rPr>
        <w:t>Úředním věstníku Evropské unie</w:t>
      </w:r>
      <w:r w:rsidRPr="00587ED2">
        <w:rPr>
          <w:noProof/>
        </w:rPr>
        <w:t>.</w:t>
      </w:r>
      <w:r w:rsidRPr="00587ED2">
        <w:rPr>
          <w:noProof/>
          <w:color w:val="000000" w:themeColor="text1"/>
        </w:rPr>
        <w:t xml:space="preserve"> </w:t>
      </w:r>
    </w:p>
    <w:p w:rsidR="007F4F83" w:rsidRPr="00587ED2" w:rsidRDefault="007F4F83" w:rsidP="007F4F83">
      <w:pPr>
        <w:pStyle w:val="Applicationdirecte"/>
        <w:rPr>
          <w:noProof/>
          <w:color w:val="000000"/>
          <w:szCs w:val="24"/>
        </w:rPr>
      </w:pPr>
      <w:r w:rsidRPr="00587ED2">
        <w:rPr>
          <w:noProof/>
          <w:color w:val="000000"/>
        </w:rPr>
        <w:t>Toto nařízení je závazné v celém rozsahu a přímo použitelné ve všech členských státech.</w:t>
      </w:r>
    </w:p>
    <w:p w:rsidR="003C122C" w:rsidRPr="00587ED2" w:rsidRDefault="004A7557" w:rsidP="009900FD">
      <w:pPr>
        <w:pStyle w:val="Fait"/>
        <w:rPr>
          <w:noProof/>
        </w:rPr>
      </w:pPr>
      <w:r w:rsidRPr="004A7557">
        <w:t>V Bruselu dne 30.11.2022</w:t>
      </w:r>
    </w:p>
    <w:p w:rsidR="003C122C" w:rsidRPr="00587ED2" w:rsidRDefault="003C122C" w:rsidP="009900FD">
      <w:pPr>
        <w:pStyle w:val="Institutionquisigne"/>
        <w:rPr>
          <w:noProof/>
          <w:szCs w:val="24"/>
        </w:rPr>
      </w:pPr>
      <w:r w:rsidRPr="00587ED2">
        <w:rPr>
          <w:noProof/>
        </w:rPr>
        <w:tab/>
        <w:t>Za Komisi</w:t>
      </w:r>
    </w:p>
    <w:p w:rsidR="00C32BCD" w:rsidRPr="00587ED2" w:rsidRDefault="00470C5E" w:rsidP="009900FD">
      <w:pPr>
        <w:pStyle w:val="Personnequisigne"/>
        <w:keepNext/>
        <w:rPr>
          <w:noProof/>
          <w:szCs w:val="24"/>
        </w:rPr>
      </w:pPr>
      <w:r>
        <w:tab/>
        <w:t>předsedkyně</w:t>
      </w:r>
      <w:r>
        <w:br/>
      </w:r>
      <w:r>
        <w:tab/>
        <w:t>Ursula VON DER LEYEN</w:t>
      </w:r>
    </w:p>
    <w:p w:rsidR="00C32BCD" w:rsidRPr="00587ED2" w:rsidRDefault="00C32BCD" w:rsidP="00C32BCD">
      <w:pPr>
        <w:pStyle w:val="Personnequisigne"/>
        <w:rPr>
          <w:noProof/>
          <w:szCs w:val="24"/>
        </w:rPr>
      </w:pPr>
    </w:p>
    <w:sectPr w:rsidR="00C32BCD" w:rsidRPr="00587ED2" w:rsidSect="00AC5D3E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EBEA" w16cex:dateUtc="2022-06-16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37DE51" w16cid:durableId="2655EBCB"/>
  <w16cid:commentId w16cid:paraId="7A29AA4B" w16cid:durableId="2655EBCC"/>
  <w16cid:commentId w16cid:paraId="3433952E" w16cid:durableId="2655EBCD"/>
  <w16cid:commentId w16cid:paraId="6EED3A3E" w16cid:durableId="2655EBCE"/>
  <w16cid:commentId w16cid:paraId="3EE02E5B" w16cid:durableId="2655EBCF"/>
  <w16cid:commentId w16cid:paraId="01A26344" w16cid:durableId="2655EBD0"/>
  <w16cid:commentId w16cid:paraId="39EDADD7" w16cid:durableId="2655EBD1"/>
  <w16cid:commentId w16cid:paraId="3AF162EE" w16cid:durableId="2628F6CF"/>
  <w16cid:commentId w16cid:paraId="6812BB0D" w16cid:durableId="2655EBD3"/>
  <w16cid:commentId w16cid:paraId="62E5038C" w16cid:durableId="2655EBD4"/>
  <w16cid:commentId w16cid:paraId="1F6C8177" w16cid:durableId="2655EBD5"/>
  <w16cid:commentId w16cid:paraId="0AE9DA68" w16cid:durableId="2655EBD6"/>
  <w16cid:commentId w16cid:paraId="596D06C5" w16cid:durableId="2628F6D1"/>
  <w16cid:commentId w16cid:paraId="46A9AA41" w16cid:durableId="2628F6D2"/>
  <w16cid:commentId w16cid:paraId="41CC9094" w16cid:durableId="2655EBD9"/>
  <w16cid:commentId w16cid:paraId="38880244" w16cid:durableId="2655EBDA"/>
  <w16cid:commentId w16cid:paraId="411E34EB" w16cid:durableId="2655EBDB"/>
  <w16cid:commentId w16cid:paraId="40899BBD" w16cid:durableId="2655EBEA"/>
  <w16cid:commentId w16cid:paraId="75EFCE6B" w16cid:durableId="2655EBDC"/>
  <w16cid:commentId w16cid:paraId="4EBEEE40" w16cid:durableId="2655EBDD"/>
  <w16cid:commentId w16cid:paraId="5ED79B6F" w16cid:durableId="2628F6D4"/>
  <w16cid:commentId w16cid:paraId="591736CE" w16cid:durableId="2655EBDF"/>
  <w16cid:commentId w16cid:paraId="1072DCD9" w16cid:durableId="2628F6D5"/>
  <w16cid:commentId w16cid:paraId="025BC4FA" w16cid:durableId="2655EBE1"/>
  <w16cid:commentId w16cid:paraId="218F3D69" w16cid:durableId="2628F6D6"/>
  <w16cid:commentId w16cid:paraId="0D916AAE" w16cid:durableId="2655EBE3"/>
  <w16cid:commentId w16cid:paraId="0F33B10D" w16cid:durableId="2628F6D7"/>
  <w16cid:commentId w16cid:paraId="01546E2B" w16cid:durableId="2655EBE5"/>
  <w16cid:commentId w16cid:paraId="44509D12" w16cid:durableId="2628F6D9"/>
  <w16cid:commentId w16cid:paraId="06BE4C89" w16cid:durableId="2655EBE7"/>
  <w16cid:commentId w16cid:paraId="63A690CE" w16cid:durableId="2628F6DA"/>
  <w16cid:commentId w16cid:paraId="268A51E3" w16cid:durableId="2655EB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55" w:rsidRDefault="004C7F55" w:rsidP="003C122C">
      <w:pPr>
        <w:spacing w:before="0" w:after="0"/>
      </w:pPr>
      <w:r>
        <w:separator/>
      </w:r>
    </w:p>
  </w:endnote>
  <w:endnote w:type="continuationSeparator" w:id="0">
    <w:p w:rsidR="004C7F55" w:rsidRDefault="004C7F55" w:rsidP="003C12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ED" w:rsidRPr="00AC5D3E" w:rsidRDefault="00AC5D3E" w:rsidP="00AC5D3E">
    <w:pPr>
      <w:pStyle w:val="Footer"/>
      <w:rPr>
        <w:rFonts w:ascii="Arial" w:hAnsi="Arial" w:cs="Arial"/>
        <w:b/>
        <w:sz w:val="48"/>
      </w:rPr>
    </w:pPr>
    <w:r w:rsidRPr="00AC5D3E">
      <w:rPr>
        <w:rFonts w:ascii="Arial" w:hAnsi="Arial" w:cs="Arial"/>
        <w:b/>
        <w:sz w:val="48"/>
      </w:rPr>
      <w:t>CS</w:t>
    </w:r>
    <w:r w:rsidRPr="00AC5D3E">
      <w:rPr>
        <w:rFonts w:ascii="Arial" w:hAnsi="Arial" w:cs="Arial"/>
        <w:b/>
        <w:sz w:val="48"/>
      </w:rPr>
      <w:tab/>
    </w:r>
    <w:r w:rsidRPr="00AC5D3E">
      <w:rPr>
        <w:rFonts w:ascii="Arial" w:hAnsi="Arial" w:cs="Arial"/>
        <w:b/>
        <w:sz w:val="48"/>
      </w:rPr>
      <w:tab/>
    </w:r>
    <w:r w:rsidRPr="00AC5D3E">
      <w:tab/>
    </w:r>
    <w:r w:rsidRPr="00AC5D3E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D3E" w:rsidRPr="00AC5D3E" w:rsidRDefault="00AC5D3E" w:rsidP="00AC5D3E">
    <w:pPr>
      <w:pStyle w:val="Footer"/>
      <w:rPr>
        <w:rFonts w:ascii="Arial" w:hAnsi="Arial" w:cs="Arial"/>
        <w:b/>
        <w:sz w:val="48"/>
      </w:rPr>
    </w:pPr>
    <w:r w:rsidRPr="00AC5D3E">
      <w:rPr>
        <w:rFonts w:ascii="Arial" w:hAnsi="Arial" w:cs="Arial"/>
        <w:b/>
        <w:sz w:val="48"/>
      </w:rPr>
      <w:t>CS</w:t>
    </w:r>
    <w:r w:rsidRPr="00AC5D3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900FD">
      <w:rPr>
        <w:noProof/>
      </w:rPr>
      <w:t>5</w:t>
    </w:r>
    <w:r>
      <w:fldChar w:fldCharType="end"/>
    </w:r>
    <w:r>
      <w:tab/>
    </w:r>
    <w:r w:rsidRPr="00AC5D3E">
      <w:tab/>
    </w:r>
    <w:r w:rsidRPr="00AC5D3E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D3E" w:rsidRPr="00AC5D3E" w:rsidRDefault="00AC5D3E" w:rsidP="00AC5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55" w:rsidRDefault="004C7F55" w:rsidP="003C122C">
      <w:pPr>
        <w:spacing w:before="0" w:after="0"/>
      </w:pPr>
      <w:r>
        <w:separator/>
      </w:r>
    </w:p>
  </w:footnote>
  <w:footnote w:type="continuationSeparator" w:id="0">
    <w:p w:rsidR="004C7F55" w:rsidRDefault="004C7F55" w:rsidP="003C122C">
      <w:pPr>
        <w:spacing w:before="0" w:after="0"/>
      </w:pPr>
      <w:r>
        <w:continuationSeparator/>
      </w:r>
    </w:p>
  </w:footnote>
  <w:footnote w:id="1">
    <w:p w:rsidR="003C122C" w:rsidRPr="007067A9" w:rsidRDefault="003C122C" w:rsidP="003C122C">
      <w:pPr>
        <w:pStyle w:val="FootnoteText"/>
      </w:pPr>
      <w:r>
        <w:rPr>
          <w:rStyle w:val="FootnoteReference"/>
        </w:rPr>
        <w:footnoteRef/>
      </w:r>
      <w:r>
        <w:tab/>
        <w:t>Úř. věst. L 176, 27.6.2013, s. 1.</w:t>
      </w:r>
    </w:p>
  </w:footnote>
  <w:footnote w:id="2">
    <w:p w:rsidR="007067A9" w:rsidRPr="00FC42BE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2021/637 ze dne 15. března 2021, kterým se stanoví prováděcí technické normy, pokud jde o způsob, jakým instituce zveřejňují informace uvedené v části osmé hlavách II a III nařízení Evropského parlamentu a Rady (EU) č. 575/2013, a zrušuje prováděcí nařízení Komise (EU) č. 1423/2013, nařízení Komise v přenesené pravomoci (EU) 2015/1555, prováděcí nařízení Komise (EU) 2016/200 a nařízení Komise v přenesené pravomoci (EU) 2017/2295 (Úř. věst. L 136, 21.4.2021, s. 1).</w:t>
      </w:r>
    </w:p>
  </w:footnote>
  <w:footnote w:id="3">
    <w:p w:rsidR="007067A9" w:rsidRPr="007067A9" w:rsidRDefault="007067A9" w:rsidP="007067A9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2019/876 ze dne 20. května 2019, kterým se mění nařízení (EU) č. 575/2013, pokud jde o pákový poměr, ukazatel čistého stabilního financování, požadavky na kapitál a způsobilé závazky, úvěrové riziko protistrany, tržní riziko, expozice vůči ústředním protistranám, expozice vůči subjektům kolektivního investování, velké expozice, požadavky na podávání zpráv a zpřístupňování informací, a nařízení (EU) č. 648/2012 (Úř. věst. L 150, 7.6.2019, s. 1).</w:t>
      </w:r>
    </w:p>
  </w:footnote>
  <w:footnote w:id="4">
    <w:p w:rsidR="00410340" w:rsidRPr="007067A9" w:rsidRDefault="00410340" w:rsidP="008B3E83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2020/852 ze dne 18. června 2020 o zřízení rámce pro usnadnění udržitelných investic a o změně nařízení (EU) 2019/2088 (</w:t>
      </w:r>
      <w:r>
        <w:rPr>
          <w:rStyle w:val="Emphasis"/>
          <w:i w:val="0"/>
        </w:rPr>
        <w:t>Úř. věst. L 198, 22.6.2020, s. 13).</w:t>
      </w:r>
    </w:p>
  </w:footnote>
  <w:footnote w:id="5">
    <w:p w:rsidR="00410340" w:rsidRPr="007067A9" w:rsidRDefault="00410340" w:rsidP="008B3E83">
      <w:pPr>
        <w:pStyle w:val="FootnoteText"/>
        <w:rPr>
          <w:i/>
        </w:rPr>
      </w:pPr>
      <w:r>
        <w:rPr>
          <w:rStyle w:val="FootnoteReference"/>
        </w:rPr>
        <w:footnoteRef/>
      </w:r>
      <w:r>
        <w:tab/>
        <w:t>Nařízení Komise v přenesené pravomoci (EU) 2020/1818 ze dne 17. července 2020, kterým se doplňuje nařízení Evropského parlamentu a Rady (EU) 2016/1011, pokud jde o minimální standardy pro referenční hodnoty EU pro transformaci hospodářství spjatou s klimatem a referenční hodnoty EU navázané na Pařížskou dohodu (</w:t>
      </w:r>
      <w:r>
        <w:rPr>
          <w:rStyle w:val="Emphasis"/>
          <w:i w:val="0"/>
        </w:rPr>
        <w:t>Úř. věst. L 406, 3.12.2020, s. 17).</w:t>
      </w:r>
    </w:p>
  </w:footnote>
  <w:footnote w:id="6">
    <w:p w:rsidR="00410340" w:rsidRPr="007067A9" w:rsidRDefault="00410340" w:rsidP="008B3E83">
      <w:pPr>
        <w:pStyle w:val="FootnoteText"/>
        <w:rPr>
          <w:color w:val="444444"/>
        </w:rPr>
      </w:pPr>
      <w:r>
        <w:rPr>
          <w:rStyle w:val="FootnoteReference"/>
        </w:rPr>
        <w:footnoteRef/>
      </w:r>
      <w:r>
        <w:tab/>
        <w:t>Směrnice Evropského parlamentu a Rady 2010/31/EU ze dne 19. května 2010 o energetické náročnosti budov (</w:t>
      </w:r>
      <w:r>
        <w:rPr>
          <w:rStyle w:val="Emphasis"/>
          <w:i w:val="0"/>
        </w:rPr>
        <w:t>Úř. věst. L 153, 18.6.2010, s. 13).</w:t>
      </w:r>
    </w:p>
  </w:footnote>
  <w:footnote w:id="7">
    <w:p w:rsidR="00135CD4" w:rsidRPr="00135CD4" w:rsidRDefault="00135CD4" w:rsidP="00135CD4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 Rady 2013/34/EU ze dne 26. června 2013 o ročních účetních závěrkách, konsolidovaných účetních závěrkách a souvisejících zprávách některých forem podniků, o změně směrnice Evropského parlamentu a Rady 2006/43/ES a o zrušení směrnic Rady 78/660/EHS a 83/349/EHS (Úř. věst. L 182, 29.6.2013, s. 19).</w:t>
      </w:r>
    </w:p>
  </w:footnote>
  <w:footnote w:id="8">
    <w:p w:rsidR="00410340" w:rsidRPr="007067A9" w:rsidRDefault="00410340" w:rsidP="00410340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č. 1093/2010 ze dne 24. listopadu 2010 o zřízení Evropského orgánu dohledu (Evropského orgánu pro bankovnictví), o změně rozhodnutí č. 716/2009/ES a o zrušení rozhodnutí Komise 2009/78/ES (Úř. věst. L 331, 15.12.2010, s. 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98637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9F0D1A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C2082C4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45AAF27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F94EE6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A6104F9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925C65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FE8499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6947"/>
        </w:tabs>
        <w:ind w:left="6947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7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24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1"/>
  </w:num>
  <w:num w:numId="18">
    <w:abstractNumId w:val="13"/>
  </w:num>
  <w:num w:numId="19">
    <w:abstractNumId w:val="23"/>
  </w:num>
  <w:num w:numId="20">
    <w:abstractNumId w:val="11"/>
  </w:num>
  <w:num w:numId="21">
    <w:abstractNumId w:val="14"/>
  </w:num>
  <w:num w:numId="22">
    <w:abstractNumId w:val="15"/>
  </w:num>
  <w:num w:numId="23">
    <w:abstractNumId w:val="9"/>
  </w:num>
  <w:num w:numId="24">
    <w:abstractNumId w:val="22"/>
  </w:num>
  <w:num w:numId="25">
    <w:abstractNumId w:val="8"/>
  </w:num>
  <w:num w:numId="26">
    <w:abstractNumId w:val="16"/>
  </w:num>
  <w:num w:numId="27">
    <w:abstractNumId w:val="19"/>
  </w:num>
  <w:num w:numId="28">
    <w:abstractNumId w:val="20"/>
  </w:num>
  <w:num w:numId="29">
    <w:abstractNumId w:val="10"/>
  </w:num>
  <w:num w:numId="30">
    <w:abstractNumId w:val="18"/>
  </w:num>
  <w:num w:numId="31">
    <w:abstractNumId w:val="24"/>
  </w:num>
  <w:num w:numId="32">
    <w:abstractNumId w:val="21"/>
  </w:num>
  <w:num w:numId="33">
    <w:abstractNumId w:val="13"/>
  </w:num>
  <w:num w:numId="34">
    <w:abstractNumId w:val="23"/>
  </w:num>
  <w:num w:numId="35">
    <w:abstractNumId w:val="11"/>
  </w:num>
  <w:num w:numId="36">
    <w:abstractNumId w:val="14"/>
  </w:num>
  <w:num w:numId="37">
    <w:abstractNumId w:val="15"/>
  </w:num>
  <w:num w:numId="38">
    <w:abstractNumId w:val="9"/>
  </w:num>
  <w:num w:numId="39">
    <w:abstractNumId w:val="22"/>
  </w:num>
  <w:num w:numId="40">
    <w:abstractNumId w:val="8"/>
  </w:num>
  <w:num w:numId="41">
    <w:abstractNumId w:val="16"/>
  </w:num>
  <w:num w:numId="42">
    <w:abstractNumId w:val="19"/>
  </w:num>
  <w:num w:numId="43">
    <w:abstractNumId w:val="20"/>
  </w:num>
  <w:num w:numId="44">
    <w:abstractNumId w:val="10"/>
  </w:num>
  <w:num w:numId="45">
    <w:abstractNumId w:val="18"/>
  </w:num>
  <w:num w:numId="46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revisionView w:markup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11-27 19:32:18"/>
    <w:docVar w:name="DQCNUMB_1" w:val="33"/>
    <w:docVar w:name="DQCNUMB_2" w:val="34"/>
    <w:docVar w:name="DQCNUMB_3" w:val="35"/>
    <w:docVar w:name="DQCNUMB_4" w:val="30"/>
    <w:docVar w:name="DQCNUMB_5" w:val="31"/>
    <w:docVar w:name="DQCNUMB_6" w:val="32"/>
    <w:docVar w:name="DQCNUMB_7" w:val="44"/>
    <w:docVar w:name="DQCNUMB_8" w:val="45"/>
    <w:docVar w:name="DQCNUMB_9" w:val="46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4CA622A2-38AC-4972-BFBD-6ABAB0BFE489"/>
    <w:docVar w:name="LW_COVERPAGE_TYPE" w:val="1"/>
    <w:docVar w:name="LW_CROSSREFERENCE" w:val="&lt;UNUSED&gt;"/>
    <w:docVar w:name="LW_DATE.ADOPT.CP" w:val="ze dne 30.11.2022"/>
    <w:docVar w:name="LW_DATE.ADOPT.CP_DATEFORMAT" w:val="ze dne %DATE%,"/>
    <w:docVar w:name="LW_DATE.ADOPT.CP_ISODATE" w:val="2022-11-30"/>
    <w:docVar w:name="LW_DocType" w:val="COM"/>
    <w:docVar w:name="LW_EMISSION" w:val="30.11.2022"/>
    <w:docVar w:name="LW_EMISSION_ISODATE" w:val="2022-11-30"/>
    <w:docVar w:name="LW_EMISSION_LOCATION" w:val="BRX"/>
    <w:docVar w:name="LW_EMISSION_PREFIX" w:val="V Bruselu dn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8396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mění prováděcí technické normy stanovené prováděcím nařízením (EU) 2021/637, pokud jde o zpřístupňování informací o environmentálních, sociálních a správních rizicích _x000b_"/>
    <w:docVar w:name="LW_TYPE.DOC.CP" w:val="PROVÁDĚCÍ NAŘÍZENÍ KOMISE (EU) …/..."/>
    <w:docVar w:name="LwApiVersions" w:val="LW4CoDe 1.23.2.0; LW 8.0, Build 20211117"/>
  </w:docVars>
  <w:rsids>
    <w:rsidRoot w:val="003C122C"/>
    <w:rsid w:val="000057BA"/>
    <w:rsid w:val="00012369"/>
    <w:rsid w:val="00013965"/>
    <w:rsid w:val="00014B2C"/>
    <w:rsid w:val="000163E0"/>
    <w:rsid w:val="00022FD2"/>
    <w:rsid w:val="00024AB1"/>
    <w:rsid w:val="000337EA"/>
    <w:rsid w:val="0004104A"/>
    <w:rsid w:val="0006070A"/>
    <w:rsid w:val="00066156"/>
    <w:rsid w:val="00067809"/>
    <w:rsid w:val="00083B2C"/>
    <w:rsid w:val="00086FAB"/>
    <w:rsid w:val="00092C7C"/>
    <w:rsid w:val="000941B5"/>
    <w:rsid w:val="00095049"/>
    <w:rsid w:val="000A39E5"/>
    <w:rsid w:val="000A7517"/>
    <w:rsid w:val="000B1F8E"/>
    <w:rsid w:val="000B76A4"/>
    <w:rsid w:val="000C0D47"/>
    <w:rsid w:val="000E198E"/>
    <w:rsid w:val="000F3F2A"/>
    <w:rsid w:val="000F5934"/>
    <w:rsid w:val="00103B22"/>
    <w:rsid w:val="0011495F"/>
    <w:rsid w:val="00135CD4"/>
    <w:rsid w:val="00145996"/>
    <w:rsid w:val="00154CCD"/>
    <w:rsid w:val="001645DB"/>
    <w:rsid w:val="00184181"/>
    <w:rsid w:val="001844EE"/>
    <w:rsid w:val="001904B5"/>
    <w:rsid w:val="001A327A"/>
    <w:rsid w:val="001B18A5"/>
    <w:rsid w:val="001B1CE9"/>
    <w:rsid w:val="001B7BF1"/>
    <w:rsid w:val="001C015A"/>
    <w:rsid w:val="001C2816"/>
    <w:rsid w:val="001E4D6F"/>
    <w:rsid w:val="001E62ED"/>
    <w:rsid w:val="001F0712"/>
    <w:rsid w:val="001F230A"/>
    <w:rsid w:val="001F4DF3"/>
    <w:rsid w:val="002114F8"/>
    <w:rsid w:val="00225284"/>
    <w:rsid w:val="00227B00"/>
    <w:rsid w:val="002314F6"/>
    <w:rsid w:val="00232E98"/>
    <w:rsid w:val="002360C3"/>
    <w:rsid w:val="00236D1F"/>
    <w:rsid w:val="00244967"/>
    <w:rsid w:val="0024497F"/>
    <w:rsid w:val="002522BC"/>
    <w:rsid w:val="002815D4"/>
    <w:rsid w:val="00282860"/>
    <w:rsid w:val="00286E16"/>
    <w:rsid w:val="002A7462"/>
    <w:rsid w:val="002B16C1"/>
    <w:rsid w:val="002C526A"/>
    <w:rsid w:val="002D1236"/>
    <w:rsid w:val="002E6EC7"/>
    <w:rsid w:val="00301900"/>
    <w:rsid w:val="00303A4B"/>
    <w:rsid w:val="0031532F"/>
    <w:rsid w:val="00317925"/>
    <w:rsid w:val="00320A76"/>
    <w:rsid w:val="00320B78"/>
    <w:rsid w:val="003226A9"/>
    <w:rsid w:val="0032597F"/>
    <w:rsid w:val="003276ED"/>
    <w:rsid w:val="00331719"/>
    <w:rsid w:val="0033740A"/>
    <w:rsid w:val="00353D88"/>
    <w:rsid w:val="003578D1"/>
    <w:rsid w:val="00362239"/>
    <w:rsid w:val="003965B3"/>
    <w:rsid w:val="00396F18"/>
    <w:rsid w:val="00397813"/>
    <w:rsid w:val="003A5DF1"/>
    <w:rsid w:val="003A6D93"/>
    <w:rsid w:val="003C122C"/>
    <w:rsid w:val="003C70D6"/>
    <w:rsid w:val="003D22F0"/>
    <w:rsid w:val="003D5E0A"/>
    <w:rsid w:val="003E1B7D"/>
    <w:rsid w:val="004046D9"/>
    <w:rsid w:val="00410340"/>
    <w:rsid w:val="0041104D"/>
    <w:rsid w:val="00413DA3"/>
    <w:rsid w:val="00414930"/>
    <w:rsid w:val="00414A4D"/>
    <w:rsid w:val="00436E6A"/>
    <w:rsid w:val="004376A0"/>
    <w:rsid w:val="004550A7"/>
    <w:rsid w:val="00470C5E"/>
    <w:rsid w:val="004A6F3E"/>
    <w:rsid w:val="004A7557"/>
    <w:rsid w:val="004C0BD0"/>
    <w:rsid w:val="004C21A2"/>
    <w:rsid w:val="004C6D12"/>
    <w:rsid w:val="004C74A9"/>
    <w:rsid w:val="004C7F55"/>
    <w:rsid w:val="004D65D2"/>
    <w:rsid w:val="004E25CB"/>
    <w:rsid w:val="004E41D0"/>
    <w:rsid w:val="004F0D71"/>
    <w:rsid w:val="004F6722"/>
    <w:rsid w:val="004F6DF7"/>
    <w:rsid w:val="00500AC9"/>
    <w:rsid w:val="005103F2"/>
    <w:rsid w:val="00524ADC"/>
    <w:rsid w:val="00530E44"/>
    <w:rsid w:val="00541DBA"/>
    <w:rsid w:val="00543602"/>
    <w:rsid w:val="00547071"/>
    <w:rsid w:val="005708C3"/>
    <w:rsid w:val="005743BA"/>
    <w:rsid w:val="005853D9"/>
    <w:rsid w:val="00587ED2"/>
    <w:rsid w:val="00592619"/>
    <w:rsid w:val="00592E05"/>
    <w:rsid w:val="00595146"/>
    <w:rsid w:val="005B177F"/>
    <w:rsid w:val="005B5751"/>
    <w:rsid w:val="005C5191"/>
    <w:rsid w:val="005D1193"/>
    <w:rsid w:val="005D2409"/>
    <w:rsid w:val="005E5AED"/>
    <w:rsid w:val="00635568"/>
    <w:rsid w:val="00635A91"/>
    <w:rsid w:val="00643DD1"/>
    <w:rsid w:val="006542E5"/>
    <w:rsid w:val="00657F0F"/>
    <w:rsid w:val="0066012A"/>
    <w:rsid w:val="00674F39"/>
    <w:rsid w:val="00686BCA"/>
    <w:rsid w:val="0069084C"/>
    <w:rsid w:val="006973D8"/>
    <w:rsid w:val="006B71ED"/>
    <w:rsid w:val="006C171D"/>
    <w:rsid w:val="006D6422"/>
    <w:rsid w:val="006E41D9"/>
    <w:rsid w:val="006E5628"/>
    <w:rsid w:val="0070128F"/>
    <w:rsid w:val="00701EE8"/>
    <w:rsid w:val="007067A9"/>
    <w:rsid w:val="007117D9"/>
    <w:rsid w:val="00713F5B"/>
    <w:rsid w:val="00715E6A"/>
    <w:rsid w:val="0071695E"/>
    <w:rsid w:val="00720FE7"/>
    <w:rsid w:val="00723CCB"/>
    <w:rsid w:val="00732259"/>
    <w:rsid w:val="00732CCA"/>
    <w:rsid w:val="00737997"/>
    <w:rsid w:val="007438A8"/>
    <w:rsid w:val="00756CA3"/>
    <w:rsid w:val="00763A70"/>
    <w:rsid w:val="00782B92"/>
    <w:rsid w:val="00785CE7"/>
    <w:rsid w:val="00792229"/>
    <w:rsid w:val="007A69BC"/>
    <w:rsid w:val="007C06F6"/>
    <w:rsid w:val="007C1792"/>
    <w:rsid w:val="007C6A9F"/>
    <w:rsid w:val="007D0388"/>
    <w:rsid w:val="007D62F0"/>
    <w:rsid w:val="007D7DBC"/>
    <w:rsid w:val="007E26C3"/>
    <w:rsid w:val="007F4F83"/>
    <w:rsid w:val="007F5860"/>
    <w:rsid w:val="00804148"/>
    <w:rsid w:val="008062B5"/>
    <w:rsid w:val="00817B8F"/>
    <w:rsid w:val="00821D7F"/>
    <w:rsid w:val="00832DCF"/>
    <w:rsid w:val="00847287"/>
    <w:rsid w:val="00851060"/>
    <w:rsid w:val="0085437D"/>
    <w:rsid w:val="0086052B"/>
    <w:rsid w:val="00865DA1"/>
    <w:rsid w:val="0087679B"/>
    <w:rsid w:val="00884A61"/>
    <w:rsid w:val="008968D2"/>
    <w:rsid w:val="008B3E83"/>
    <w:rsid w:val="008B4EA1"/>
    <w:rsid w:val="008B6B70"/>
    <w:rsid w:val="008B7323"/>
    <w:rsid w:val="008C6F3B"/>
    <w:rsid w:val="008C705E"/>
    <w:rsid w:val="008D169C"/>
    <w:rsid w:val="008D2E23"/>
    <w:rsid w:val="008E08C7"/>
    <w:rsid w:val="008E44ED"/>
    <w:rsid w:val="008E7033"/>
    <w:rsid w:val="008E7D06"/>
    <w:rsid w:val="00905BE0"/>
    <w:rsid w:val="00911BBB"/>
    <w:rsid w:val="00921483"/>
    <w:rsid w:val="00930B06"/>
    <w:rsid w:val="0093114D"/>
    <w:rsid w:val="00935E8E"/>
    <w:rsid w:val="0094232C"/>
    <w:rsid w:val="00957D55"/>
    <w:rsid w:val="0096046C"/>
    <w:rsid w:val="00973740"/>
    <w:rsid w:val="00973E9E"/>
    <w:rsid w:val="00974379"/>
    <w:rsid w:val="009846A4"/>
    <w:rsid w:val="00986B33"/>
    <w:rsid w:val="00987AD5"/>
    <w:rsid w:val="009900FD"/>
    <w:rsid w:val="00992A73"/>
    <w:rsid w:val="00994FD4"/>
    <w:rsid w:val="00995098"/>
    <w:rsid w:val="009A73D4"/>
    <w:rsid w:val="009B7138"/>
    <w:rsid w:val="009C5D3A"/>
    <w:rsid w:val="009D6EB9"/>
    <w:rsid w:val="009E16FF"/>
    <w:rsid w:val="009E62A6"/>
    <w:rsid w:val="009F48FD"/>
    <w:rsid w:val="009F72A3"/>
    <w:rsid w:val="00A03A3E"/>
    <w:rsid w:val="00A11076"/>
    <w:rsid w:val="00A238D6"/>
    <w:rsid w:val="00A34057"/>
    <w:rsid w:val="00A41AD1"/>
    <w:rsid w:val="00A45F9D"/>
    <w:rsid w:val="00A525E2"/>
    <w:rsid w:val="00A6077E"/>
    <w:rsid w:val="00A61544"/>
    <w:rsid w:val="00A87925"/>
    <w:rsid w:val="00A97285"/>
    <w:rsid w:val="00AA5C69"/>
    <w:rsid w:val="00AA6403"/>
    <w:rsid w:val="00AA6D36"/>
    <w:rsid w:val="00AA7317"/>
    <w:rsid w:val="00AC5D3E"/>
    <w:rsid w:val="00AD2CD3"/>
    <w:rsid w:val="00AE332F"/>
    <w:rsid w:val="00AE60C7"/>
    <w:rsid w:val="00AF4467"/>
    <w:rsid w:val="00B00A6D"/>
    <w:rsid w:val="00B137D8"/>
    <w:rsid w:val="00B25755"/>
    <w:rsid w:val="00B37F85"/>
    <w:rsid w:val="00B45C88"/>
    <w:rsid w:val="00B555F4"/>
    <w:rsid w:val="00B5564B"/>
    <w:rsid w:val="00B667EA"/>
    <w:rsid w:val="00B75C81"/>
    <w:rsid w:val="00B76A3B"/>
    <w:rsid w:val="00B8705E"/>
    <w:rsid w:val="00B87C8F"/>
    <w:rsid w:val="00B90FD9"/>
    <w:rsid w:val="00B94522"/>
    <w:rsid w:val="00BB6E75"/>
    <w:rsid w:val="00BC21DD"/>
    <w:rsid w:val="00BC4380"/>
    <w:rsid w:val="00BE1E9F"/>
    <w:rsid w:val="00BE246D"/>
    <w:rsid w:val="00BF0A20"/>
    <w:rsid w:val="00BF17AA"/>
    <w:rsid w:val="00BF7813"/>
    <w:rsid w:val="00C0016D"/>
    <w:rsid w:val="00C24556"/>
    <w:rsid w:val="00C250DE"/>
    <w:rsid w:val="00C30A6B"/>
    <w:rsid w:val="00C32BCD"/>
    <w:rsid w:val="00C436F2"/>
    <w:rsid w:val="00C43ADB"/>
    <w:rsid w:val="00C55C47"/>
    <w:rsid w:val="00C563F0"/>
    <w:rsid w:val="00C72EBC"/>
    <w:rsid w:val="00C73950"/>
    <w:rsid w:val="00C80003"/>
    <w:rsid w:val="00C90F4B"/>
    <w:rsid w:val="00C96986"/>
    <w:rsid w:val="00CA5E0A"/>
    <w:rsid w:val="00CA6131"/>
    <w:rsid w:val="00CB63D6"/>
    <w:rsid w:val="00CD2F69"/>
    <w:rsid w:val="00CD31F7"/>
    <w:rsid w:val="00CD7B29"/>
    <w:rsid w:val="00CF4110"/>
    <w:rsid w:val="00D00193"/>
    <w:rsid w:val="00D01D57"/>
    <w:rsid w:val="00D14E3E"/>
    <w:rsid w:val="00D1768F"/>
    <w:rsid w:val="00D23734"/>
    <w:rsid w:val="00D34B59"/>
    <w:rsid w:val="00D44382"/>
    <w:rsid w:val="00D56C86"/>
    <w:rsid w:val="00D6695E"/>
    <w:rsid w:val="00D7007A"/>
    <w:rsid w:val="00D753AD"/>
    <w:rsid w:val="00D819E9"/>
    <w:rsid w:val="00DA20D3"/>
    <w:rsid w:val="00DA6EF2"/>
    <w:rsid w:val="00DB337F"/>
    <w:rsid w:val="00DC51F2"/>
    <w:rsid w:val="00DD0951"/>
    <w:rsid w:val="00DD4BB1"/>
    <w:rsid w:val="00DE6779"/>
    <w:rsid w:val="00DF0EAD"/>
    <w:rsid w:val="00E02264"/>
    <w:rsid w:val="00E16C32"/>
    <w:rsid w:val="00E227DA"/>
    <w:rsid w:val="00E27B5B"/>
    <w:rsid w:val="00E4592D"/>
    <w:rsid w:val="00E57103"/>
    <w:rsid w:val="00E621E8"/>
    <w:rsid w:val="00E80A1C"/>
    <w:rsid w:val="00E82837"/>
    <w:rsid w:val="00E84919"/>
    <w:rsid w:val="00EB425C"/>
    <w:rsid w:val="00EC304C"/>
    <w:rsid w:val="00EC548B"/>
    <w:rsid w:val="00ED20D7"/>
    <w:rsid w:val="00ED7891"/>
    <w:rsid w:val="00EE28B6"/>
    <w:rsid w:val="00F007BC"/>
    <w:rsid w:val="00F170A6"/>
    <w:rsid w:val="00F20062"/>
    <w:rsid w:val="00F233CB"/>
    <w:rsid w:val="00F23798"/>
    <w:rsid w:val="00F45E0C"/>
    <w:rsid w:val="00F50B69"/>
    <w:rsid w:val="00F8179F"/>
    <w:rsid w:val="00F82E44"/>
    <w:rsid w:val="00F87C92"/>
    <w:rsid w:val="00F90B4C"/>
    <w:rsid w:val="00F93470"/>
    <w:rsid w:val="00FA40AE"/>
    <w:rsid w:val="00FB5D02"/>
    <w:rsid w:val="00FC3F97"/>
    <w:rsid w:val="00FC42BE"/>
    <w:rsid w:val="00FD14DB"/>
    <w:rsid w:val="00FF14E9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D75711F-E1C8-47D3-A624-CE1780ED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9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9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9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9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F4F83"/>
    <w:rPr>
      <w:i/>
      <w:iCs/>
    </w:rPr>
  </w:style>
  <w:style w:type="paragraph" w:styleId="NormalWeb">
    <w:name w:val="Normal (Web)"/>
    <w:basedOn w:val="Normal"/>
    <w:uiPriority w:val="99"/>
    <w:unhideWhenUsed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numberedparagraph">
    <w:name w:val="numbered paragraph"/>
    <w:basedOn w:val="Normal"/>
    <w:qFormat/>
    <w:rsid w:val="007F4F83"/>
    <w:pPr>
      <w:numPr>
        <w:numId w:val="1"/>
      </w:numPr>
      <w:tabs>
        <w:tab w:val="clear" w:pos="6947"/>
        <w:tab w:val="num" w:pos="284"/>
      </w:tabs>
      <w:spacing w:before="240" w:line="276" w:lineRule="auto"/>
      <w:ind w:left="284"/>
    </w:pPr>
    <w:rPr>
      <w:rFonts w:asciiTheme="minorHAnsi" w:eastAsiaTheme="minorEastAsia" w:hAnsiTheme="minorHAnsi" w:cstheme="minorBidi"/>
      <w:sz w:val="22"/>
      <w:szCs w:val="24"/>
    </w:rPr>
  </w:style>
  <w:style w:type="paragraph" w:customStyle="1" w:styleId="sti-art">
    <w:name w:val="sti-art"/>
    <w:basedOn w:val="Normal"/>
    <w:rsid w:val="007F4F8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rsid w:val="001B7BF1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7BF1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7BF1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7BF1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495F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495F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11495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1495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1495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1495F"/>
    <w:pPr>
      <w:numPr>
        <w:numId w:val="9"/>
      </w:numPr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A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ADC"/>
    <w:rPr>
      <w:rFonts w:ascii="Times New Roman" w:hAnsi="Times New Roman" w:cs="Times New Roman"/>
      <w:b/>
      <w:bCs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524AD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4AD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C6D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9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934"/>
    <w:rPr>
      <w:rFonts w:ascii="Segoe UI" w:hAnsi="Segoe UI" w:cs="Segoe UI"/>
      <w:sz w:val="18"/>
      <w:szCs w:val="18"/>
      <w:lang w:val="cs-CZ"/>
    </w:rPr>
  </w:style>
  <w:style w:type="paragraph" w:customStyle="1" w:styleId="title-article-norm">
    <w:name w:val="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stitle-article-norm">
    <w:name w:val="stitle-article-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paragraph" w:customStyle="1" w:styleId="norm">
    <w:name w:val="norm"/>
    <w:basedOn w:val="Normal"/>
    <w:rsid w:val="00F82E44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941B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D2CD3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LegalNumPar">
    <w:name w:val="LegalNumPar"/>
    <w:basedOn w:val="Normal"/>
    <w:rsid w:val="008C6F3B"/>
    <w:pPr>
      <w:numPr>
        <w:numId w:val="16"/>
      </w:numPr>
      <w:spacing w:line="360" w:lineRule="auto"/>
    </w:pPr>
  </w:style>
  <w:style w:type="paragraph" w:customStyle="1" w:styleId="LegalNumPar2">
    <w:name w:val="LegalNumPar2"/>
    <w:basedOn w:val="Normal"/>
    <w:rsid w:val="008C6F3B"/>
    <w:pPr>
      <w:numPr>
        <w:ilvl w:val="1"/>
        <w:numId w:val="16"/>
      </w:numPr>
      <w:spacing w:line="360" w:lineRule="auto"/>
    </w:pPr>
  </w:style>
  <w:style w:type="paragraph" w:customStyle="1" w:styleId="LegalNumPar3">
    <w:name w:val="LegalNumPar3"/>
    <w:basedOn w:val="Normal"/>
    <w:rsid w:val="008C6F3B"/>
    <w:pPr>
      <w:numPr>
        <w:ilvl w:val="2"/>
        <w:numId w:val="16"/>
      </w:numPr>
      <w:spacing w:line="360" w:lineRule="auto"/>
    </w:pPr>
  </w:style>
  <w:style w:type="paragraph" w:styleId="Header">
    <w:name w:val="header"/>
    <w:basedOn w:val="Normal"/>
    <w:link w:val="HeaderChar"/>
    <w:uiPriority w:val="99"/>
    <w:unhideWhenUsed/>
    <w:rsid w:val="00AC5D3E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C5D3E"/>
    <w:rPr>
      <w:rFonts w:ascii="Times New Roman" w:hAnsi="Times New Roman" w:cs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AC5D3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AC5D3E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AC5D3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AC5D3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AC5D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AC5D3E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AC5D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32"/>
      </w:numPr>
    </w:pPr>
  </w:style>
  <w:style w:type="paragraph" w:customStyle="1" w:styleId="Tiret1">
    <w:name w:val="Tiret 1"/>
    <w:basedOn w:val="Point1"/>
    <w:pPr>
      <w:numPr>
        <w:numId w:val="33"/>
      </w:numPr>
    </w:pPr>
  </w:style>
  <w:style w:type="paragraph" w:customStyle="1" w:styleId="Tiret2">
    <w:name w:val="Tiret 2"/>
    <w:basedOn w:val="Point2"/>
    <w:pPr>
      <w:numPr>
        <w:numId w:val="34"/>
      </w:numPr>
    </w:pPr>
  </w:style>
  <w:style w:type="paragraph" w:customStyle="1" w:styleId="Tiret3">
    <w:name w:val="Tiret 3"/>
    <w:basedOn w:val="Point3"/>
    <w:pPr>
      <w:numPr>
        <w:numId w:val="35"/>
      </w:numPr>
    </w:pPr>
  </w:style>
  <w:style w:type="paragraph" w:customStyle="1" w:styleId="Tiret4">
    <w:name w:val="Tiret 4"/>
    <w:basedOn w:val="Point4"/>
    <w:pPr>
      <w:numPr>
        <w:numId w:val="36"/>
      </w:numPr>
    </w:pPr>
  </w:style>
  <w:style w:type="paragraph" w:customStyle="1" w:styleId="Tiret5">
    <w:name w:val="Tiret 5"/>
    <w:basedOn w:val="Point5"/>
    <w:pPr>
      <w:numPr>
        <w:numId w:val="37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8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8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8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8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8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8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8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40"/>
      </w:numPr>
    </w:pPr>
  </w:style>
  <w:style w:type="paragraph" w:customStyle="1" w:styleId="Point1number">
    <w:name w:val="Point 1 (number)"/>
    <w:basedOn w:val="Normal"/>
    <w:pPr>
      <w:numPr>
        <w:ilvl w:val="2"/>
        <w:numId w:val="40"/>
      </w:numPr>
    </w:pPr>
  </w:style>
  <w:style w:type="paragraph" w:customStyle="1" w:styleId="Point2number">
    <w:name w:val="Point 2 (number)"/>
    <w:basedOn w:val="Normal"/>
    <w:pPr>
      <w:numPr>
        <w:ilvl w:val="4"/>
        <w:numId w:val="40"/>
      </w:numPr>
    </w:pPr>
  </w:style>
  <w:style w:type="paragraph" w:customStyle="1" w:styleId="Point3number">
    <w:name w:val="Point 3 (number)"/>
    <w:basedOn w:val="Normal"/>
    <w:pPr>
      <w:numPr>
        <w:ilvl w:val="6"/>
        <w:numId w:val="40"/>
      </w:numPr>
    </w:pPr>
  </w:style>
  <w:style w:type="paragraph" w:customStyle="1" w:styleId="Point0letter">
    <w:name w:val="Point 0 (letter)"/>
    <w:basedOn w:val="Normal"/>
    <w:pPr>
      <w:numPr>
        <w:ilvl w:val="1"/>
        <w:numId w:val="40"/>
      </w:numPr>
    </w:pPr>
  </w:style>
  <w:style w:type="paragraph" w:customStyle="1" w:styleId="Point1letter">
    <w:name w:val="Point 1 (letter)"/>
    <w:basedOn w:val="Normal"/>
    <w:pPr>
      <w:numPr>
        <w:ilvl w:val="3"/>
        <w:numId w:val="40"/>
      </w:numPr>
    </w:pPr>
  </w:style>
  <w:style w:type="paragraph" w:customStyle="1" w:styleId="Point2letter">
    <w:name w:val="Point 2 (letter)"/>
    <w:basedOn w:val="Normal"/>
    <w:pPr>
      <w:numPr>
        <w:ilvl w:val="5"/>
        <w:numId w:val="40"/>
      </w:numPr>
    </w:pPr>
  </w:style>
  <w:style w:type="paragraph" w:customStyle="1" w:styleId="Point3letter">
    <w:name w:val="Point 3 (letter)"/>
    <w:basedOn w:val="Normal"/>
    <w:pPr>
      <w:numPr>
        <w:ilvl w:val="7"/>
        <w:numId w:val="40"/>
      </w:numPr>
    </w:pPr>
  </w:style>
  <w:style w:type="paragraph" w:customStyle="1" w:styleId="Point4letter">
    <w:name w:val="Point 4 (letter)"/>
    <w:basedOn w:val="Normal"/>
    <w:pPr>
      <w:numPr>
        <w:ilvl w:val="8"/>
        <w:numId w:val="40"/>
      </w:numPr>
    </w:pPr>
  </w:style>
  <w:style w:type="paragraph" w:customStyle="1" w:styleId="Bullet0">
    <w:name w:val="Bullet 0"/>
    <w:basedOn w:val="Normal"/>
    <w:pPr>
      <w:numPr>
        <w:numId w:val="41"/>
      </w:numPr>
    </w:pPr>
  </w:style>
  <w:style w:type="paragraph" w:customStyle="1" w:styleId="Bullet1">
    <w:name w:val="Bullet 1"/>
    <w:basedOn w:val="Normal"/>
    <w:pPr>
      <w:numPr>
        <w:numId w:val="42"/>
      </w:numPr>
    </w:pPr>
  </w:style>
  <w:style w:type="paragraph" w:customStyle="1" w:styleId="Bullet2">
    <w:name w:val="Bullet 2"/>
    <w:basedOn w:val="Normal"/>
    <w:pPr>
      <w:numPr>
        <w:numId w:val="43"/>
      </w:numPr>
    </w:pPr>
  </w:style>
  <w:style w:type="paragraph" w:customStyle="1" w:styleId="Bullet3">
    <w:name w:val="Bullet 3"/>
    <w:basedOn w:val="Normal"/>
    <w:pPr>
      <w:numPr>
        <w:numId w:val="44"/>
      </w:numPr>
    </w:pPr>
  </w:style>
  <w:style w:type="paragraph" w:customStyle="1" w:styleId="Bullet4">
    <w:name w:val="Bullet 4"/>
    <w:basedOn w:val="Normal"/>
    <w:pPr>
      <w:numPr>
        <w:numId w:val="45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6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5EC85-4FCA-4B02-B138-7A4B6090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9</TotalTime>
  <Pages>6</Pages>
  <Words>1624</Words>
  <Characters>9745</Characters>
  <Application>Microsoft Office Word</Application>
  <DocSecurity>0</DocSecurity>
  <Lines>177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46</cp:revision>
  <dcterms:created xsi:type="dcterms:W3CDTF">2022-10-28T13:10:00Z</dcterms:created>
  <dcterms:modified xsi:type="dcterms:W3CDTF">2022-11-27T18:32:00Z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8.1, Build 20220902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evel of sensitivity">
    <vt:lpwstr>Standard treatment</vt:lpwstr>
  </property>
  <property fmtid="{D5CDD505-2E9C-101B-9397-08002B2CF9AE}" pid="8" name="LWTemplateID">
    <vt:lpwstr>SJ-004</vt:lpwstr>
  </property>
  <property fmtid="{D5CDD505-2E9C-101B-9397-08002B2CF9AE}" pid="9" name="MSIP_Label_e66ba66e-8b7b-475b-ae81-4aab15d5f212_Enabled">
    <vt:lpwstr>true</vt:lpwstr>
  </property>
  <property fmtid="{D5CDD505-2E9C-101B-9397-08002B2CF9AE}" pid="10" name="MSIP_Label_e66ba66e-8b7b-475b-ae81-4aab15d5f212_SetDate">
    <vt:lpwstr>2022-01-19T13:29:43Z</vt:lpwstr>
  </property>
  <property fmtid="{D5CDD505-2E9C-101B-9397-08002B2CF9AE}" pid="11" name="MSIP_Label_e66ba66e-8b7b-475b-ae81-4aab15d5f212_Method">
    <vt:lpwstr>Privileged</vt:lpwstr>
  </property>
  <property fmtid="{D5CDD505-2E9C-101B-9397-08002B2CF9AE}" pid="12" name="MSIP_Label_e66ba66e-8b7b-475b-ae81-4aab15d5f212_Name">
    <vt:lpwstr>No Label</vt:lpwstr>
  </property>
  <property fmtid="{D5CDD505-2E9C-101B-9397-08002B2CF9AE}" pid="13" name="MSIP_Label_e66ba66e-8b7b-475b-ae81-4aab15d5f212_SiteId">
    <vt:lpwstr>3bacb4ff-f1a2-4c92-b96c-e99fec826b68</vt:lpwstr>
  </property>
  <property fmtid="{D5CDD505-2E9C-101B-9397-08002B2CF9AE}" pid="14" name="MSIP_Label_e66ba66e-8b7b-475b-ae81-4aab15d5f212_ActionId">
    <vt:lpwstr>c480b887-2e9a-4e7d-8134-419fc2e184a9</vt:lpwstr>
  </property>
  <property fmtid="{D5CDD505-2E9C-101B-9397-08002B2CF9AE}" pid="15" name="MSIP_Label_e66ba66e-8b7b-475b-ae81-4aab15d5f212_ContentBits">
    <vt:lpwstr>0</vt:lpwstr>
  </property>
  <property fmtid="{D5CDD505-2E9C-101B-9397-08002B2CF9AE}" pid="16" name="DQCStatus">
    <vt:lpwstr>Green (DQC version 03)</vt:lpwstr>
  </property>
</Properties>
</file>