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FA5919" w:rsidRDefault="00B70D9F" w:rsidP="00B70D9F">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3B597917-9562-46D4-A942-527E174CC131" style="width:455.25pt;height:399pt">
            <v:imagedata r:id="rId8" o:title=""/>
          </v:shape>
        </w:pict>
      </w:r>
    </w:p>
    <w:p w:rsidR="003C122C" w:rsidRPr="00FA5919" w:rsidRDefault="003C122C">
      <w:pPr>
        <w:rPr>
          <w:noProof/>
        </w:rPr>
        <w:sectPr w:rsidR="003C122C" w:rsidRPr="00FA5919" w:rsidSect="00B70D9F">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3C122C" w:rsidRPr="00FA5919" w:rsidRDefault="00FA5919" w:rsidP="00FA5919">
      <w:pPr>
        <w:pStyle w:val="Typedudocument"/>
        <w:rPr>
          <w:noProof/>
        </w:rPr>
      </w:pPr>
      <w:bookmarkStart w:id="0" w:name="_GoBack"/>
      <w:bookmarkEnd w:id="0"/>
      <w:r w:rsidRPr="00FA5919">
        <w:rPr>
          <w:noProof/>
        </w:rPr>
        <w:lastRenderedPageBreak/>
        <w:t>KOMISIJAS ĪSTENOŠANAS REGULA (ES) …/..</w:t>
      </w:r>
    </w:p>
    <w:p w:rsidR="003C122C" w:rsidRPr="00FA5919" w:rsidRDefault="007A0AD6" w:rsidP="00FA5919">
      <w:pPr>
        <w:pStyle w:val="Datedadoption"/>
        <w:rPr>
          <w:noProof/>
        </w:rPr>
      </w:pPr>
      <w:r>
        <w:t>(30.11.2022)</w:t>
      </w:r>
    </w:p>
    <w:p w:rsidR="003C122C" w:rsidRPr="00FA5919" w:rsidRDefault="00FA5919" w:rsidP="00FA5919">
      <w:pPr>
        <w:pStyle w:val="Titreobjet"/>
        <w:rPr>
          <w:noProof/>
        </w:rPr>
      </w:pPr>
      <w:r w:rsidRPr="00FA5919">
        <w:rPr>
          <w:noProof/>
        </w:rPr>
        <w:t>ar ko Īstenošanas regulā (ES) 2021/637 noteiktos īstenošanas tehniskos standartus groza attiecībā uz informācijas atklāšanu par vides, sociāliem un pārvaldības riskiem</w:t>
      </w:r>
      <w:r w:rsidRPr="00FA5919">
        <w:rPr>
          <w:noProof/>
        </w:rPr>
        <w:br/>
      </w:r>
    </w:p>
    <w:p w:rsidR="003C122C" w:rsidRPr="00FA5919" w:rsidRDefault="00FA5919" w:rsidP="00FA5919">
      <w:pPr>
        <w:pStyle w:val="IntrtEEE"/>
        <w:rPr>
          <w:noProof/>
        </w:rPr>
      </w:pPr>
      <w:r w:rsidRPr="00FA5919">
        <w:rPr>
          <w:noProof/>
        </w:rPr>
        <w:t>(Dokuments attiecas uz EEZ)</w:t>
      </w:r>
    </w:p>
    <w:p w:rsidR="003C122C" w:rsidRPr="00FA5919" w:rsidRDefault="003C122C" w:rsidP="004E1EF9">
      <w:pPr>
        <w:pStyle w:val="Institutionquiagit"/>
        <w:rPr>
          <w:noProof/>
        </w:rPr>
      </w:pPr>
      <w:r w:rsidRPr="00FA5919">
        <w:rPr>
          <w:noProof/>
        </w:rPr>
        <w:t>EIROPAS KOMISIJA,</w:t>
      </w:r>
    </w:p>
    <w:p w:rsidR="003C122C" w:rsidRPr="00FA5919" w:rsidRDefault="003C122C" w:rsidP="003C122C">
      <w:pPr>
        <w:rPr>
          <w:noProof/>
          <w:color w:val="000000"/>
        </w:rPr>
      </w:pPr>
      <w:r w:rsidRPr="00FA5919">
        <w:rPr>
          <w:noProof/>
          <w:color w:val="000000"/>
        </w:rPr>
        <w:t>ņemot vērā Līgumu par Eiropas Savienības darbību,</w:t>
      </w:r>
    </w:p>
    <w:p w:rsidR="003C122C" w:rsidRPr="00FA5919" w:rsidRDefault="003C122C" w:rsidP="003C122C">
      <w:pPr>
        <w:rPr>
          <w:noProof/>
          <w:color w:val="000000"/>
        </w:rPr>
      </w:pPr>
      <w:r w:rsidRPr="00FA5919">
        <w:rPr>
          <w:noProof/>
          <w:color w:val="000000"/>
        </w:rPr>
        <w:t>ņemot vērā Eiropas Parlamenta un Padomes Regulu (ES) Nr. 575/2013 (2013. gada 26. jūnijs) par prudenciālajām prasībām attiecībā uz kredītiestādēm, un ar ko groza Regulu (ES) Nr. 648/2012</w:t>
      </w:r>
      <w:r w:rsidRPr="00FA5919">
        <w:rPr>
          <w:rStyle w:val="FootnoteReference"/>
          <w:noProof/>
        </w:rPr>
        <w:footnoteReference w:id="1"/>
      </w:r>
      <w:r w:rsidRPr="00FA5919">
        <w:rPr>
          <w:noProof/>
          <w:color w:val="000000"/>
        </w:rPr>
        <w:t>, un jo īpaši tās 434.a pantu,</w:t>
      </w:r>
    </w:p>
    <w:p w:rsidR="003C122C" w:rsidRPr="00FA5919" w:rsidRDefault="003C122C" w:rsidP="004E1EF9">
      <w:pPr>
        <w:rPr>
          <w:noProof/>
        </w:rPr>
      </w:pPr>
      <w:r w:rsidRPr="00FA5919">
        <w:rPr>
          <w:noProof/>
        </w:rPr>
        <w:t>tā kā:</w:t>
      </w:r>
    </w:p>
    <w:p w:rsidR="00410340" w:rsidRPr="00FA5919" w:rsidRDefault="00F614BC" w:rsidP="00F614BC">
      <w:pPr>
        <w:pStyle w:val="ManualConsidrant"/>
        <w:rPr>
          <w:noProof/>
          <w:color w:val="000000"/>
        </w:rPr>
      </w:pPr>
      <w:r w:rsidRPr="00F614BC">
        <w:t>(1)</w:t>
      </w:r>
      <w:r w:rsidRPr="00F614BC">
        <w:tab/>
      </w:r>
      <w:r w:rsidR="007067A9" w:rsidRPr="00FA5919">
        <w:rPr>
          <w:noProof/>
        </w:rPr>
        <w:t>Komisijas Īstenošanas regulā (ES) 2021/637</w:t>
      </w:r>
      <w:r w:rsidR="007067A9" w:rsidRPr="00FA5919">
        <w:rPr>
          <w:rStyle w:val="FootnoteReference"/>
          <w:noProof/>
        </w:rPr>
        <w:footnoteReference w:id="2"/>
      </w:r>
      <w:r w:rsidR="007067A9" w:rsidRPr="00FA5919">
        <w:rPr>
          <w:noProof/>
        </w:rPr>
        <w:t xml:space="preserve"> ir noteikti vienoti informācijas atklāšanas formāti un ar tiem saistītās norādes par informācijas atklāšanu, kas prasīta Regulas (ES) Nr. 575/2013 II un III sadaļā. Regula (ES) Nr. 575/2013 tika grozīta ar Regulu (ES) 2019/876</w:t>
      </w:r>
      <w:r w:rsidR="007067A9" w:rsidRPr="00FA5919">
        <w:rPr>
          <w:rStyle w:val="FootnoteReference"/>
          <w:noProof/>
        </w:rPr>
        <w:footnoteReference w:id="3"/>
      </w:r>
      <w:r w:rsidR="007067A9" w:rsidRPr="00FA5919">
        <w:rPr>
          <w:noProof/>
        </w:rPr>
        <w:t>, lai cita starpā ieviestu jaunu 449.a pantu. Minētajā pantā noteikts, ka lielām iestādēm, kas ir emitējušas vērtspapīrus, kurus atļauts tirgot regulētā tirgū kādā dalībvalstī, no 2022. gada 28. jūnija jāatklāj informācija par vides, sociālajiem un pārvaldības (VSP) riskiem, tostarp fiziskiem riskiem un pārejas riskiem. Minētais grozījums Regulā (ES) Nr. 575/2013 būtu jāatspoguļo Komisijas Īstenošanas regulā (ES) 2021/637, kurā papildus esošajiem vienotajiem informācijas atklāšanas formātiem un saistītajām norādēm būtu jānosaka papildu vienotie informācijas atklāšanas formāti un ar tiem saistītās norādes par informācijas atklāšanu par VSP riskiem.</w:t>
      </w:r>
    </w:p>
    <w:p w:rsidR="00410340" w:rsidRPr="00FA5919" w:rsidRDefault="00F614BC" w:rsidP="00F614BC">
      <w:pPr>
        <w:pStyle w:val="ManualConsidrant"/>
        <w:rPr>
          <w:noProof/>
        </w:rPr>
      </w:pPr>
      <w:r w:rsidRPr="00F614BC">
        <w:t>(2)</w:t>
      </w:r>
      <w:r w:rsidRPr="00F614BC">
        <w:tab/>
      </w:r>
      <w:r w:rsidR="00410340" w:rsidRPr="00FA5919">
        <w:rPr>
          <w:noProof/>
        </w:rPr>
        <w:t>Nosakot vienotus informācijas atklāšanas formātus, būtu jāņem vērā atklājamās informācijas pilnīgs būtiskums. Tas nozīmē, ka iestāžu sniegtajai informācijai būtu jāaptver, no vienas puses, VSP faktoru finansiālā ietekme uz iestāžu saimniecisko un finansiālo darbību (virzienā “no ārpuses uz iekšpusi”) un, no otras puses, VSP faktori, kurus var izraisīt pašu iestāžu darbības, kas savukārt kļūst finansiāli būtiskas, ja tās ietekmē iestāžu ieinteresētās personas (virzienā “no iekšpuses uz ārpusi”). Rezultātā tabulām un veidnēm, ko izmanto šādai informācijas atklāšanai, būtu jāsniedz pietiekami visaptveroša un salīdzināma informācija par VSP riskiem, tādējādi ļaujot šīs informācijas lietotājiem novērtēt iestāžu riska profilu.</w:t>
      </w:r>
    </w:p>
    <w:p w:rsidR="00410340" w:rsidRPr="00FA5919" w:rsidRDefault="00F614BC" w:rsidP="00F614BC">
      <w:pPr>
        <w:pStyle w:val="ManualConsidrant"/>
        <w:rPr>
          <w:noProof/>
        </w:rPr>
      </w:pPr>
      <w:r w:rsidRPr="00F614BC">
        <w:t>(3)</w:t>
      </w:r>
      <w:r w:rsidRPr="00F614BC">
        <w:tab/>
      </w:r>
      <w:r w:rsidR="00A525E2" w:rsidRPr="00FA5919">
        <w:rPr>
          <w:noProof/>
        </w:rPr>
        <w:t>Ir jānodrošina saskaņotība un konsekvence ar citiem Savienības tiesību aktiem VSP risku jomā. Tāpēc noteikumos par informācijas atklāšanu par VSP riskiem būtu jāņem vērā minētajos Savienības tiesību aktos noteiktie kritēriji, klasifikācijas un definīcijas. Minētajos noteikumos jo īpaši būtu jāņem vērā ekoloģiski ilgtspējīgu saimniecisko darbību identificēšanas un klasifikācijas kritēriji, kas noteikti Eiropas Parlamenta un Padomes Regulā (ES) 2020/852</w:t>
      </w:r>
      <w:r w:rsidR="00410340" w:rsidRPr="00FA5919">
        <w:rPr>
          <w:rStyle w:val="FootnoteReference"/>
          <w:noProof/>
        </w:rPr>
        <w:footnoteReference w:id="4"/>
      </w:r>
      <w:r w:rsidR="00A525E2" w:rsidRPr="00FA5919">
        <w:rPr>
          <w:noProof/>
        </w:rPr>
        <w:t xml:space="preserve"> un Komisijas Deleģētajā regulā (ES) 2020/1818</w:t>
      </w:r>
      <w:r w:rsidR="00410340" w:rsidRPr="00FA5919">
        <w:rPr>
          <w:rStyle w:val="FootnoteReference"/>
          <w:noProof/>
        </w:rPr>
        <w:footnoteReference w:id="5"/>
      </w:r>
      <w:r w:rsidR="00A525E2" w:rsidRPr="00FA5919">
        <w:rPr>
          <w:noProof/>
        </w:rPr>
        <w:t>. Attiecībā uz informācijas atklāšanu par iestāžu nekustamā īpašuma portfeļa energoefektivitāti būtu jāņem vērā informācija, kas sniegta energoefektivitātes sertifikātā, kurš definēts Eiropas Parlamenta un Padomes Direktīvas 2010/31/ES</w:t>
      </w:r>
      <w:r w:rsidR="00410340" w:rsidRPr="00FA5919">
        <w:rPr>
          <w:rStyle w:val="FootnoteReference"/>
          <w:noProof/>
        </w:rPr>
        <w:footnoteReference w:id="6"/>
      </w:r>
      <w:r w:rsidR="00A525E2" w:rsidRPr="00FA5919">
        <w:rPr>
          <w:noProof/>
        </w:rPr>
        <w:t xml:space="preserve"> 2. panta 12) punktā.</w:t>
      </w:r>
    </w:p>
    <w:p w:rsidR="00135CD4" w:rsidRPr="00FA5919" w:rsidRDefault="00F614BC" w:rsidP="00F614BC">
      <w:pPr>
        <w:pStyle w:val="ManualConsidrant"/>
        <w:rPr>
          <w:noProof/>
        </w:rPr>
      </w:pPr>
      <w:r w:rsidRPr="00F614BC">
        <w:t>(4)</w:t>
      </w:r>
      <w:r w:rsidRPr="00F614BC">
        <w:tab/>
      </w:r>
      <w:r w:rsidR="00135CD4" w:rsidRPr="00FA5919">
        <w:rPr>
          <w:noProof/>
        </w:rPr>
        <w:t>Eiropas Parlamenta un Padomes Direktīvas 2013/34/ES</w:t>
      </w:r>
      <w:r w:rsidR="00135CD4" w:rsidRPr="00FA5919">
        <w:rPr>
          <w:rStyle w:val="FootnoteReference"/>
          <w:noProof/>
        </w:rPr>
        <w:footnoteReference w:id="7"/>
      </w:r>
      <w:r w:rsidR="00135CD4" w:rsidRPr="00FA5919">
        <w:rPr>
          <w:noProof/>
        </w:rPr>
        <w:t xml:space="preserve"> 19.a un 29.a pantā ir noteikts, ka dažiem lieliem uzņēmumiem, kas ir sabiedriskas nozīmes struktūras, vai sabiedriskas nozīmes struktūrām, kuras ir lielas grupas mātesuzņēmumi, attiecīgi savā vadības ziņojumā vai konsolidētajā vadības ziņojumā jāiekļauj informācija par to darbības ietekmi uz vides, sociālajiem un ar darbiniekiem saistītiem jautājumiem, cilvēktiesību ievērošanu, pretkorupcijas un kukuļošanas aspektiem. Tomēr minētais pienākums neattiecas uz citiem uzņēmumiem. Rezultātā uzņēmumiem, uz kuriem neattiecas Direktīvas 2013/34/ES 19.a un 29.a pants, nav pienākuma atklāt šādu informāciju un tie var nespēt sniegt šādu informāciju iestādēm. Tādējādi var sagaidīt, ka minētie uzņēmumi, kas ir iestāžu darījumu partneri, minēto informāciju un datus sniegs tikai brīvprātīgi. Tomēr ir lietderīgi sniegt minētajiem uzņēmumiem norādījumus par to, kā aprēķināt riska darījumu procentuālo daļu attiecībā uz vides ziņā ilgtspējīgām saimnieciskajām darbībām, kā minēts Regulas (ES) 2020/852 3. pantā, lai minēto informāciju un minētos datus varētu sniegt standartizētā un salīdzināmā formātā. Ja minētā informācija un minētie dati netiek sniegti brīvprātīgi, iestādēm vajadzētu būt iespējai aprēķināt taksonomijai pielāgoto riska darījumu procentuālo daļu, izmantojot aplēses vai aizstājējvērtības.</w:t>
      </w:r>
    </w:p>
    <w:p w:rsidR="00921483" w:rsidRPr="00FA5919" w:rsidRDefault="00F614BC" w:rsidP="00F614BC">
      <w:pPr>
        <w:pStyle w:val="ManualConsidrant"/>
        <w:rPr>
          <w:noProof/>
        </w:rPr>
      </w:pPr>
      <w:r w:rsidRPr="00F614BC">
        <w:t>(5)</w:t>
      </w:r>
      <w:r w:rsidRPr="00F614BC">
        <w:tab/>
      </w:r>
      <w:r w:rsidR="00A97285" w:rsidRPr="00FA5919">
        <w:rPr>
          <w:noProof/>
        </w:rPr>
        <w:t>Regulas (ES) Nr. 575/2013 449.a pantā noteikts, ka informācija par VSP riskiem ir jāatklāj no 2022. gada 28. jūnija, reizi gadā par pirmo gadu un divas reizes gadā pēc tam. Minēto iemeslu dēļ būtu jānosaka, ka pirmais gada informācijas atklāšanas atsauces datums ir 2022. gada 31. decembris.</w:t>
      </w:r>
    </w:p>
    <w:p w:rsidR="00ED20D7" w:rsidRPr="00FA5919" w:rsidRDefault="00F614BC" w:rsidP="00F614BC">
      <w:pPr>
        <w:pStyle w:val="ManualConsidrant"/>
        <w:rPr>
          <w:noProof/>
        </w:rPr>
      </w:pPr>
      <w:r w:rsidRPr="00F614BC">
        <w:t>(6)</w:t>
      </w:r>
      <w:r w:rsidRPr="00F614BC">
        <w:tab/>
      </w:r>
      <w:r w:rsidR="00410340" w:rsidRPr="00FA5919">
        <w:rPr>
          <w:noProof/>
        </w:rPr>
        <w:t xml:space="preserve">Šīs regulas pamatā ir īstenošanas tehnisko standartu projekts, ko Komisijai iesniegusi Eiropas Banku iestāde. </w:t>
      </w:r>
    </w:p>
    <w:p w:rsidR="00410340" w:rsidRPr="00FA5919" w:rsidRDefault="00F614BC" w:rsidP="00F614BC">
      <w:pPr>
        <w:pStyle w:val="ManualConsidrant"/>
        <w:rPr>
          <w:noProof/>
        </w:rPr>
      </w:pPr>
      <w:r w:rsidRPr="00F614BC">
        <w:t>(7)</w:t>
      </w:r>
      <w:r w:rsidRPr="00F614BC">
        <w:tab/>
      </w:r>
      <w:r w:rsidR="00ED20D7" w:rsidRPr="00FA5919">
        <w:rPr>
          <w:noProof/>
        </w:rPr>
        <w:t>Eiropas Banku iestāde ir veikusi atklātu sabiedrisko apspriešanu par īstenošanas tehnisko standartu projektu, kas ir šīs regulas pamatā, izvērtējusi potenciālās saistītās izmaksas un ieguvumus un pieprasījusi saskaņā ar Eiropas Parlamenta un Padomes Regulas (ES) Nr. 1093/2010</w:t>
      </w:r>
      <w:r w:rsidR="00410340" w:rsidRPr="00FA5919">
        <w:rPr>
          <w:rStyle w:val="FootnoteReference"/>
          <w:noProof/>
        </w:rPr>
        <w:footnoteReference w:id="8"/>
      </w:r>
      <w:r w:rsidR="00ED20D7" w:rsidRPr="00FA5919">
        <w:rPr>
          <w:noProof/>
        </w:rPr>
        <w:t xml:space="preserve"> 37. pantu izveidotās Banku nozares ieint</w:t>
      </w:r>
      <w:r w:rsidR="00FA5919">
        <w:rPr>
          <w:noProof/>
        </w:rPr>
        <w:t>eresēto personu grupas atzinumu.</w:t>
      </w:r>
    </w:p>
    <w:p w:rsidR="00410340" w:rsidRPr="00FA5919" w:rsidRDefault="00F614BC" w:rsidP="00F614BC">
      <w:pPr>
        <w:pStyle w:val="ManualConsidrant"/>
        <w:rPr>
          <w:noProof/>
        </w:rPr>
      </w:pPr>
      <w:r w:rsidRPr="00F614BC">
        <w:t>(8)</w:t>
      </w:r>
      <w:r w:rsidRPr="00F614BC">
        <w:tab/>
      </w:r>
      <w:r w:rsidR="00410340" w:rsidRPr="00FA5919">
        <w:rPr>
          <w:noProof/>
        </w:rPr>
        <w:t>Tādēļ Īstenošanas regula (ES) 2021/637 būtu attiecīgi jāgroza,</w:t>
      </w:r>
    </w:p>
    <w:p w:rsidR="003C122C" w:rsidRPr="00FA5919" w:rsidRDefault="003C122C" w:rsidP="004E1EF9">
      <w:pPr>
        <w:pStyle w:val="Formuledadoption"/>
        <w:rPr>
          <w:noProof/>
          <w:szCs w:val="24"/>
        </w:rPr>
      </w:pPr>
      <w:r w:rsidRPr="00FA5919">
        <w:rPr>
          <w:noProof/>
        </w:rPr>
        <w:t>IR PIEŅĒMUSI ŠO REGULU.</w:t>
      </w:r>
    </w:p>
    <w:p w:rsidR="003C122C" w:rsidRPr="00FA5919" w:rsidRDefault="003C122C" w:rsidP="004E1EF9">
      <w:pPr>
        <w:pStyle w:val="Titrearticle"/>
        <w:rPr>
          <w:noProof/>
          <w:szCs w:val="24"/>
        </w:rPr>
      </w:pPr>
      <w:r w:rsidRPr="00FA5919">
        <w:rPr>
          <w:noProof/>
        </w:rPr>
        <w:t>1. pants</w:t>
      </w:r>
    </w:p>
    <w:p w:rsidR="007F4F83" w:rsidRPr="00FA5919" w:rsidRDefault="007F4F83" w:rsidP="00D00193">
      <w:pPr>
        <w:pStyle w:val="Titrearticle"/>
        <w:spacing w:before="120"/>
        <w:rPr>
          <w:b/>
          <w:i w:val="0"/>
          <w:noProof/>
          <w:szCs w:val="24"/>
        </w:rPr>
      </w:pPr>
      <w:r w:rsidRPr="00FA5919">
        <w:rPr>
          <w:b/>
          <w:i w:val="0"/>
          <w:noProof/>
        </w:rPr>
        <w:t>Grozījumi Īstenošanas regulā (ES) 2021/637</w:t>
      </w:r>
    </w:p>
    <w:p w:rsidR="007F4F83" w:rsidRPr="00FA5919" w:rsidRDefault="007F4F83" w:rsidP="007F4F83">
      <w:pPr>
        <w:pStyle w:val="Titrearticle"/>
        <w:jc w:val="left"/>
        <w:rPr>
          <w:rFonts w:eastAsiaTheme="minorEastAsia"/>
          <w:i w:val="0"/>
          <w:noProof/>
          <w:szCs w:val="24"/>
        </w:rPr>
      </w:pPr>
      <w:r w:rsidRPr="00FA5919">
        <w:rPr>
          <w:i w:val="0"/>
          <w:noProof/>
        </w:rPr>
        <w:t>Īstenošanas regulu (ES) 2021/637 groza šādi:</w:t>
      </w:r>
    </w:p>
    <w:p w:rsidR="007F4F83" w:rsidRPr="00FA5919" w:rsidRDefault="00F614BC" w:rsidP="00F614BC">
      <w:pPr>
        <w:pStyle w:val="Point0"/>
        <w:rPr>
          <w:noProof/>
        </w:rPr>
      </w:pPr>
      <w:r w:rsidRPr="00F614BC">
        <w:t>(1)</w:t>
      </w:r>
      <w:r w:rsidRPr="00F614BC">
        <w:tab/>
      </w:r>
      <w:r w:rsidR="007F4F83" w:rsidRPr="00FA5919">
        <w:rPr>
          <w:noProof/>
        </w:rPr>
        <w:t>iekļauj šādu 18.a pantu:</w:t>
      </w:r>
    </w:p>
    <w:p w:rsidR="007F4F83" w:rsidRPr="00FA5919" w:rsidRDefault="006542E5" w:rsidP="004046D9">
      <w:pPr>
        <w:pStyle w:val="Titrearticle"/>
        <w:spacing w:before="120"/>
        <w:ind w:left="567" w:right="568"/>
        <w:rPr>
          <w:noProof/>
        </w:rPr>
      </w:pPr>
      <w:r w:rsidRPr="00FA5919">
        <w:rPr>
          <w:noProof/>
        </w:rPr>
        <w:t>“18.a pants</w:t>
      </w:r>
    </w:p>
    <w:p w:rsidR="007F4F83" w:rsidRPr="00FA5919" w:rsidRDefault="007F4F83" w:rsidP="004046D9">
      <w:pPr>
        <w:pStyle w:val="Titrearticle"/>
        <w:spacing w:before="120"/>
        <w:ind w:left="567" w:right="568"/>
        <w:rPr>
          <w:b/>
          <w:i w:val="0"/>
          <w:noProof/>
        </w:rPr>
      </w:pPr>
      <w:r w:rsidRPr="00FA5919">
        <w:rPr>
          <w:b/>
          <w:i w:val="0"/>
          <w:noProof/>
        </w:rPr>
        <w:t>Informācijas atklāšana par vides, sociālajiem un pārvaldības riskiem (VSP riskiem)</w:t>
      </w:r>
    </w:p>
    <w:p w:rsidR="007F4F83" w:rsidRPr="00FA5919" w:rsidRDefault="00F614BC" w:rsidP="00F614BC">
      <w:pPr>
        <w:pStyle w:val="ManualNumPar1"/>
        <w:rPr>
          <w:noProof/>
        </w:rPr>
      </w:pPr>
      <w:r w:rsidRPr="00F614BC">
        <w:t>1.</w:t>
      </w:r>
      <w:r w:rsidRPr="00F614BC">
        <w:tab/>
      </w:r>
      <w:r w:rsidR="007F4F83" w:rsidRPr="00FA5919">
        <w:rPr>
          <w:noProof/>
        </w:rPr>
        <w:t>Iestādes atklāj Regulas (ES) Nr. 575/2013 449.a pantā minēto informāciju šādi:</w:t>
      </w:r>
    </w:p>
    <w:p w:rsidR="002D1236" w:rsidRPr="00FA5919" w:rsidRDefault="00F614BC" w:rsidP="00F614BC">
      <w:pPr>
        <w:pStyle w:val="Point1"/>
        <w:rPr>
          <w:noProof/>
        </w:rPr>
      </w:pPr>
      <w:r w:rsidRPr="00F614BC">
        <w:t>(a)</w:t>
      </w:r>
      <w:r w:rsidRPr="00F614BC">
        <w:tab/>
      </w:r>
      <w:r w:rsidR="002D1236" w:rsidRPr="00FA5919">
        <w:rPr>
          <w:noProof/>
        </w:rPr>
        <w:t>kvalitatīvu informāciju par vides, sociālajiem un pārvaldības riskiem, izmantojot šīs regulas XXXIX pielikuma 1., 2. un 3. tabulu un ievērojot šīs regulas XL pielikumā sniegtos norādījumus;</w:t>
      </w:r>
    </w:p>
    <w:p w:rsidR="002D1236" w:rsidRPr="00FA5919" w:rsidRDefault="00F614BC" w:rsidP="00F614BC">
      <w:pPr>
        <w:pStyle w:val="Point1"/>
        <w:rPr>
          <w:noProof/>
        </w:rPr>
      </w:pPr>
      <w:r w:rsidRPr="00F614BC">
        <w:t>(b)</w:t>
      </w:r>
      <w:r w:rsidRPr="00F614BC">
        <w:tab/>
      </w:r>
      <w:r w:rsidR="002D1236" w:rsidRPr="00FA5919">
        <w:rPr>
          <w:noProof/>
        </w:rPr>
        <w:t>kvantitatīvu informāciju par klimata pārmaiņu pārejas risku, izmantojot šīs regulas XXXIX pielikuma 1. līdz 4. veidni un ievērojot šīs regulas XL pielikumā sniegtos norādījumus;</w:t>
      </w:r>
    </w:p>
    <w:p w:rsidR="002D1236" w:rsidRPr="00FA5919" w:rsidRDefault="00F614BC" w:rsidP="00F614BC">
      <w:pPr>
        <w:pStyle w:val="Point1"/>
        <w:rPr>
          <w:noProof/>
        </w:rPr>
      </w:pPr>
      <w:r w:rsidRPr="00F614BC">
        <w:t>(c)</w:t>
      </w:r>
      <w:r w:rsidRPr="00F614BC">
        <w:tab/>
      </w:r>
      <w:r w:rsidR="002D1236" w:rsidRPr="00FA5919">
        <w:rPr>
          <w:noProof/>
        </w:rPr>
        <w:t>kvantitatīvu informāciju par klimata pārmaiņu fiziskiem riskiem, izmantojot šīs regulas XXXIX pielikuma 5. veidni un ievērojot šīs regulas XL pielikumā sniegtos norādījumus;</w:t>
      </w:r>
    </w:p>
    <w:p w:rsidR="002D1236" w:rsidRPr="00FA5919" w:rsidRDefault="00F614BC" w:rsidP="00F614BC">
      <w:pPr>
        <w:pStyle w:val="Point1"/>
        <w:rPr>
          <w:noProof/>
        </w:rPr>
      </w:pPr>
      <w:r w:rsidRPr="00F614BC">
        <w:t>(d)</w:t>
      </w:r>
      <w:r w:rsidRPr="00F614BC">
        <w:tab/>
      </w:r>
      <w:r w:rsidR="002D1236" w:rsidRPr="00FA5919">
        <w:rPr>
          <w:noProof/>
        </w:rPr>
        <w:t xml:space="preserve">kvantitatīvu informāciju par mazināšanas darbībām, kas saistītas ar saimnieciskām darbībām, kuras saskaņā ar Eiropas Parlamenta un Padomes Regulas (ES) 2020/852*1 3. pantu kvalificējamas kā vides ziņā ilgtspējīgas, attiecībā uz tiem darījumu partneriem, uz kuriem attiecas Eiropas Parlamenta un Padomes Direktīvas 2013/34/ES*2 19.a vai 29.a pants, </w:t>
      </w:r>
      <w:bookmarkStart w:id="1" w:name="_Hlk92470586"/>
      <w:r w:rsidR="002D1236" w:rsidRPr="00FA5919">
        <w:rPr>
          <w:noProof/>
        </w:rPr>
        <w:t>attiecībā uz mājsaimniecībām un vietējām pašvaldībām</w:t>
      </w:r>
      <w:bookmarkEnd w:id="1"/>
      <w:r w:rsidR="002D1236" w:rsidRPr="00FA5919">
        <w:rPr>
          <w:noProof/>
        </w:rPr>
        <w:t>, kā minēts Komisijas Īstenošanas regulas (ES) 2021/451*3 V pielikuma 1. daļas 42. punkta b) apakšpunktā, izmantojot šīs regulas XXXIX pielikuma 6., 7. un 8. veidni un ievērojot šīs regulas XL pielikumā sniegtos norādījumus;</w:t>
      </w:r>
    </w:p>
    <w:p w:rsidR="00995098" w:rsidRPr="00FA5919" w:rsidRDefault="00F614BC" w:rsidP="00F614BC">
      <w:pPr>
        <w:pStyle w:val="Point1"/>
        <w:rPr>
          <w:noProof/>
        </w:rPr>
      </w:pPr>
      <w:r w:rsidRPr="00F614BC">
        <w:t>(e)</w:t>
      </w:r>
      <w:r w:rsidRPr="00F614BC">
        <w:tab/>
      </w:r>
      <w:r w:rsidR="00995098" w:rsidRPr="00FA5919">
        <w:rPr>
          <w:noProof/>
        </w:rPr>
        <w:t>kvantitatīvu informāciju par riska mazināšanas darbībām un ar klimata pārmaiņām saistītiem riska darījumiem, kas nav kvalificējami kā vides ziņā ilgtspējīgas saimnieciskās darbības saskaņā ar Regulas (ES) 2020/852 3. pantu, bet atbalsta darījumu partnerus pārejas vai pielāgošanās procesā attiecībā uz mērķiem saistībā ar klimata pārmaiņu mazināšanu un pielāgošanos klimata pārmaiņām, izmantojot šīs regulas XXXIX pielikuma 10. veidni un ievērojot šīs regulas XL pielikumā sniegtos norādījumus.</w:t>
      </w:r>
    </w:p>
    <w:p w:rsidR="008D2E23" w:rsidRPr="00FA5919" w:rsidRDefault="00F614BC" w:rsidP="00F614BC">
      <w:pPr>
        <w:pStyle w:val="ManualNumPar1"/>
        <w:rPr>
          <w:noProof/>
        </w:rPr>
      </w:pPr>
      <w:r w:rsidRPr="00F614BC">
        <w:t>2.</w:t>
      </w:r>
      <w:r w:rsidRPr="00F614BC">
        <w:tab/>
      </w:r>
      <w:r w:rsidR="000941B5" w:rsidRPr="00FA5919">
        <w:rPr>
          <w:noProof/>
        </w:rPr>
        <w:t xml:space="preserve">Iestādes, izmantojot šīs regulas XXXIX pielikuma 9. veidni un ievērojot šīs regulas XL pielikumā sniegtos norādījumus, var izvēlēties atklāt kvantitatīvu informāciju par mazināšanas darbībām un ar klimata pārmaiņām saistītiem riska darījumiem, kas ir saistīti ar saimnieciskām darbībām, kuras saskaņā ar Regulas (ES) 2020/852 3. pantu ir uzskatāmas par vides ziņā ilgtspējīgām, attiecībā uz darījumu partneriem, </w:t>
      </w:r>
      <w:bookmarkStart w:id="2" w:name="_Hlk92470606"/>
      <w:r w:rsidR="000941B5" w:rsidRPr="00FA5919">
        <w:rPr>
          <w:noProof/>
        </w:rPr>
        <w:t>kuri ir nefinanšu sabiedrības</w:t>
      </w:r>
      <w:bookmarkEnd w:id="2"/>
      <w:r w:rsidR="000941B5" w:rsidRPr="00FA5919">
        <w:rPr>
          <w:noProof/>
        </w:rPr>
        <w:t>, kā minēts Īstenošanas regulas (ES) 2021/451 V pielikuma 1. daļas 42. punkta e) apakšpunktā, uz kurām neattiecas Direktīvas 2013/34/ES 19.a vai 29.a pantā noteiktie informācijas atklāšanas pienākumi un uz kurām neattiecas Komisijas Īstenošanas regulā (ES) 2021/2178</w:t>
      </w:r>
      <w:r w:rsidR="000941B5" w:rsidRPr="00FA5919">
        <w:rPr>
          <w:noProof/>
          <w:vertAlign w:val="superscript"/>
        </w:rPr>
        <w:t>*4</w:t>
      </w:r>
      <w:r w:rsidR="000941B5" w:rsidRPr="00FA5919">
        <w:rPr>
          <w:noProof/>
        </w:rPr>
        <w:t xml:space="preserve"> noteiktie informācijas atklāšanas pienākumi. </w:t>
      </w:r>
    </w:p>
    <w:p w:rsidR="002D1236" w:rsidRPr="00FA5919" w:rsidRDefault="002D1236" w:rsidP="00353D88">
      <w:pPr>
        <w:pStyle w:val="Text1"/>
        <w:rPr>
          <w:noProof/>
        </w:rPr>
      </w:pPr>
      <w:r w:rsidRPr="00FA5919">
        <w:rPr>
          <w:noProof/>
        </w:rPr>
        <w:t>Lai aprēķinātu riska darījumu procentuālo daļu attiecībā uz darbībām, kas atbilst Regulas (ES) 2020/852 3. pantā noteiktajām prasībām (taksonomijai pielāgoti riska darījumi), attiecībā uz minētajiem darījumu partneriem, iestādes:</w:t>
      </w:r>
    </w:p>
    <w:p w:rsidR="00D23734" w:rsidRPr="00FA5919" w:rsidRDefault="00F614BC" w:rsidP="00F614BC">
      <w:pPr>
        <w:pStyle w:val="Point1"/>
        <w:rPr>
          <w:noProof/>
        </w:rPr>
      </w:pPr>
      <w:r w:rsidRPr="00F614BC">
        <w:t>(a)</w:t>
      </w:r>
      <w:r w:rsidRPr="00F614BC">
        <w:tab/>
      </w:r>
      <w:r w:rsidR="008E7D06" w:rsidRPr="00FA5919">
        <w:rPr>
          <w:noProof/>
        </w:rPr>
        <w:t>var brīvprātīgi un divpusēji izmantot informāciju, kas saņemta no saviem darījumu partneriem, ja tāda ir pieejama, izmantojot aizdevuma iniciēšanu un regulārus kredītu pārskatīšanas un uzraudzības procesus;</w:t>
      </w:r>
    </w:p>
    <w:p w:rsidR="00D23734" w:rsidRPr="00FA5919" w:rsidRDefault="00F614BC" w:rsidP="00F614BC">
      <w:pPr>
        <w:pStyle w:val="Point1"/>
        <w:rPr>
          <w:noProof/>
        </w:rPr>
      </w:pPr>
      <w:r w:rsidRPr="00F614BC">
        <w:t>(b)</w:t>
      </w:r>
      <w:r w:rsidRPr="00F614BC">
        <w:tab/>
      </w:r>
      <w:r w:rsidR="00B25755" w:rsidRPr="00FA5919">
        <w:rPr>
          <w:noProof/>
        </w:rPr>
        <w:t>ja darījumu partneris nespēj vai nevēlas sniegt attiecīgos datus divpusēji, var izmantot iekšējās aplēses un aizstājējvērtības un veidnē pievienotajā aprakstā paskaidrot, cik lielā mērā šīs iekšējās aplēses un aizstājējvērtības ir izmantotas un kādas iekšējās aplēses un aizstājējvērtības ir piemērotas;</w:t>
      </w:r>
    </w:p>
    <w:p w:rsidR="002D1236" w:rsidRPr="00FA5919" w:rsidRDefault="00F614BC" w:rsidP="00F614BC">
      <w:pPr>
        <w:pStyle w:val="Point1"/>
        <w:rPr>
          <w:noProof/>
        </w:rPr>
      </w:pPr>
      <w:r w:rsidRPr="00F614BC">
        <w:t>(c)</w:t>
      </w:r>
      <w:r w:rsidRPr="00F614BC">
        <w:tab/>
      </w:r>
      <w:r w:rsidR="00D23734" w:rsidRPr="00FA5919">
        <w:rPr>
          <w:noProof/>
        </w:rPr>
        <w:t>ja tās nespēj divpusēji vākt attiecīgo informāciju vai nevar izmantot iekšējās aplēses un aizstājējvērtības, vai nevar vākt minēto informāciju, vai izmantot minētās aplēses un aizstājējvērtības tādā veidā, kas tām vai to darījumu partneriem nav pārmērīgi apgrūtinošs, šo nespēju var paskaidrot veidnē pievienotajā aprakstā.</w:t>
      </w:r>
    </w:p>
    <w:p w:rsidR="00320B78" w:rsidRPr="00FA5919" w:rsidRDefault="00320B78" w:rsidP="00353D88">
      <w:pPr>
        <w:pStyle w:val="Text1"/>
        <w:rPr>
          <w:noProof/>
        </w:rPr>
      </w:pPr>
      <w:r w:rsidRPr="00FA5919">
        <w:rPr>
          <w:noProof/>
        </w:rPr>
        <w:t>Piemērojot a) apakšpunktu, iestādes informē savus darījumu partnerus par to, ka šādas informācijas sniegšana ir brīvprātīga.</w:t>
      </w:r>
    </w:p>
    <w:p w:rsidR="007F4F83" w:rsidRPr="00FA5919" w:rsidRDefault="00F614BC" w:rsidP="00F614BC">
      <w:pPr>
        <w:pStyle w:val="ManualNumPar1"/>
        <w:rPr>
          <w:noProof/>
        </w:rPr>
      </w:pPr>
      <w:r w:rsidRPr="00F614BC">
        <w:t>3.</w:t>
      </w:r>
      <w:r w:rsidRPr="00F614BC">
        <w:tab/>
      </w:r>
      <w:r w:rsidR="006B71ED" w:rsidRPr="00FA5919">
        <w:rPr>
          <w:noProof/>
        </w:rPr>
        <w:t>Ja vien šīs regulas XL pielikumā sniegtajos norādījumos nav norādīts citādi, iestādes no 2022. gada 31. decembra atklāj Regulas (ES) Nr. 575/2013 449.a pantā minēto informāciju šādos datumos:</w:t>
      </w:r>
    </w:p>
    <w:p w:rsidR="007F4F83" w:rsidRPr="00FA5919" w:rsidRDefault="00F614BC" w:rsidP="00F614BC">
      <w:pPr>
        <w:pStyle w:val="Point1"/>
        <w:rPr>
          <w:noProof/>
        </w:rPr>
      </w:pPr>
      <w:r w:rsidRPr="00F614BC">
        <w:t>(a)</w:t>
      </w:r>
      <w:r w:rsidRPr="00F614BC">
        <w:tab/>
      </w:r>
      <w:r w:rsidR="007F4F83" w:rsidRPr="00FA5919">
        <w:rPr>
          <w:noProof/>
        </w:rPr>
        <w:t>attiecībā uz informācijas atklāšanu reizi gadā: 31. decembrī;</w:t>
      </w:r>
    </w:p>
    <w:p w:rsidR="00D01D57" w:rsidRPr="00FA5919" w:rsidRDefault="00F614BC" w:rsidP="00F614BC">
      <w:pPr>
        <w:pStyle w:val="Point1"/>
        <w:rPr>
          <w:noProof/>
        </w:rPr>
      </w:pPr>
      <w:r w:rsidRPr="00F614BC">
        <w:t>(b)</w:t>
      </w:r>
      <w:r w:rsidRPr="00F614BC">
        <w:tab/>
      </w:r>
      <w:r w:rsidR="007F4F83" w:rsidRPr="00FA5919">
        <w:rPr>
          <w:noProof/>
        </w:rPr>
        <w:t>attiecībā uz informācijas atklāšanu divas reizes gadā: katra gada 30. jūnijā un 31. decembrī.</w:t>
      </w:r>
    </w:p>
    <w:p w:rsidR="00086FAB" w:rsidRPr="00FA5919" w:rsidRDefault="001904B5" w:rsidP="0087679B">
      <w:pPr>
        <w:pStyle w:val="Text2"/>
        <w:rPr>
          <w:noProof/>
        </w:rPr>
      </w:pPr>
      <w:r w:rsidRPr="00FA5919">
        <w:rPr>
          <w:noProof/>
        </w:rPr>
        <w:tab/>
        <w:t>___________</w:t>
      </w:r>
    </w:p>
    <w:p w:rsidR="00086FAB" w:rsidRPr="00FA5919" w:rsidRDefault="00086FAB" w:rsidP="0087679B">
      <w:pPr>
        <w:pStyle w:val="Text3"/>
        <w:rPr>
          <w:noProof/>
          <w:sz w:val="20"/>
          <w:szCs w:val="20"/>
        </w:rPr>
      </w:pPr>
      <w:r w:rsidRPr="00FA5919">
        <w:rPr>
          <w:noProof/>
          <w:sz w:val="20"/>
          <w:vertAlign w:val="superscript"/>
        </w:rPr>
        <w:t>*1</w:t>
      </w:r>
      <w:r w:rsidRPr="00FA5919">
        <w:rPr>
          <w:noProof/>
          <w:sz w:val="20"/>
        </w:rPr>
        <w:tab/>
        <w:t>Eiropas Parlamenta un Padomes Regula (ES) 2020/852 (2020. gada 18. jūnijs) par regulējuma izveidi ilgtspējīgu ieguldījumu veicināšanai un ar ko groza Regulu (ES) 2019/2088 (OV L 198, 22.6.2020., 13. lpp.).</w:t>
      </w:r>
    </w:p>
    <w:p w:rsidR="00086FAB" w:rsidRPr="00FA5919" w:rsidRDefault="00086FAB" w:rsidP="004F6722">
      <w:pPr>
        <w:pStyle w:val="Text3"/>
        <w:rPr>
          <w:noProof/>
          <w:sz w:val="20"/>
          <w:szCs w:val="20"/>
        </w:rPr>
      </w:pPr>
      <w:r w:rsidRPr="00FA5919">
        <w:rPr>
          <w:noProof/>
          <w:sz w:val="20"/>
          <w:vertAlign w:val="superscript"/>
        </w:rPr>
        <w:t>*2</w:t>
      </w:r>
      <w:r w:rsidRPr="00FA5919">
        <w:rPr>
          <w:noProof/>
          <w:sz w:val="20"/>
          <w:vertAlign w:val="superscript"/>
        </w:rPr>
        <w:tab/>
      </w:r>
      <w:r w:rsidRPr="00FA5919">
        <w:rPr>
          <w:noProof/>
          <w:sz w:val="20"/>
        </w:rPr>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p w:rsidR="00086FAB" w:rsidRPr="00FA5919" w:rsidRDefault="00086FAB" w:rsidP="0087679B">
      <w:pPr>
        <w:pStyle w:val="Text3"/>
        <w:rPr>
          <w:noProof/>
          <w:sz w:val="20"/>
          <w:szCs w:val="20"/>
        </w:rPr>
      </w:pPr>
      <w:r w:rsidRPr="00FA5919">
        <w:rPr>
          <w:noProof/>
          <w:sz w:val="20"/>
          <w:vertAlign w:val="superscript"/>
        </w:rPr>
        <w:t>*3</w:t>
      </w:r>
      <w:r w:rsidRPr="00FA5919">
        <w:rPr>
          <w:noProof/>
          <w:sz w:val="20"/>
        </w:rPr>
        <w:tab/>
        <w:t>Komisijas Īstenošanas regula (ES) 2021/451 (2020. gada 17. decembris), ar ko nosaka īstenošanas tehniskos standartus Eiropas Parlamenta un Padomes Regulas (ES) Nr. 575/2013 piemērošanai attiecībā uz iestāžu sniegtajiem uzraudzības pārskatiem un atceļ Īstenošanas regulu (ES) Nr. 680/2014 (OV L 97, 19.3.2021., 1. lpp.).</w:t>
      </w:r>
    </w:p>
    <w:p w:rsidR="00086FAB" w:rsidRPr="00FA5919" w:rsidRDefault="00086FAB" w:rsidP="0087679B">
      <w:pPr>
        <w:pStyle w:val="Text3"/>
        <w:rPr>
          <w:noProof/>
          <w:sz w:val="20"/>
          <w:szCs w:val="20"/>
        </w:rPr>
      </w:pPr>
      <w:r w:rsidRPr="00FA5919">
        <w:rPr>
          <w:noProof/>
          <w:sz w:val="20"/>
          <w:vertAlign w:val="superscript"/>
        </w:rPr>
        <w:t>*4</w:t>
      </w:r>
      <w:r w:rsidRPr="00FA5919">
        <w:rPr>
          <w:noProof/>
          <w:sz w:val="20"/>
        </w:rPr>
        <w:tab/>
        <w:t>Komisijas Deleģētā regula (ES) 2021/2178 (2021. gada 6. jūlijs), ar ko papildina Eiropas Parlamenta un Padomes Regulu (ES) 2020/852, precizējot tās informācijas saturu un noformējumu, kas uzņēmumiem, uz kuriem attiecas Direktīvas 2013/34/ES 19.a vai 29.a pants, jāatklāj par vides ziņā ilgtspējīgām saimnieciskajām darbībām, un precizējot metodoloģiju minētā informācijas atklāšanas pienākuma izpildei (OV L 443, 10.12.2021., 9. lpp.).</w:t>
      </w:r>
    </w:p>
    <w:p w:rsidR="007F4F83" w:rsidRPr="00FA5919" w:rsidRDefault="00F614BC" w:rsidP="00F614BC">
      <w:pPr>
        <w:pStyle w:val="Point0"/>
        <w:rPr>
          <w:noProof/>
        </w:rPr>
      </w:pPr>
      <w:r w:rsidRPr="00F614BC">
        <w:t>(2)</w:t>
      </w:r>
      <w:r w:rsidRPr="00F614BC">
        <w:tab/>
      </w:r>
      <w:r w:rsidR="00921483" w:rsidRPr="00FA5919">
        <w:rPr>
          <w:noProof/>
        </w:rPr>
        <w:t xml:space="preserve">kā XXXIX pielikumu pievieno šīs regulas I pielikumā ievietoto tekstu; </w:t>
      </w:r>
    </w:p>
    <w:p w:rsidR="007F4F83" w:rsidRPr="00FA5919" w:rsidRDefault="00F614BC" w:rsidP="00F614BC">
      <w:pPr>
        <w:pStyle w:val="Point0"/>
        <w:rPr>
          <w:noProof/>
        </w:rPr>
      </w:pPr>
      <w:r w:rsidRPr="00F614BC">
        <w:t>(3)</w:t>
      </w:r>
      <w:r w:rsidRPr="00F614BC">
        <w:tab/>
      </w:r>
      <w:r w:rsidR="00921483" w:rsidRPr="00FA5919">
        <w:rPr>
          <w:noProof/>
        </w:rPr>
        <w:t>kā XL pielikumu pievieno šīs regulas II pielikumā ievietoto tekstu.</w:t>
      </w:r>
    </w:p>
    <w:p w:rsidR="007F4F83" w:rsidRPr="00FA5919" w:rsidRDefault="007F4F83" w:rsidP="004046D9">
      <w:pPr>
        <w:pStyle w:val="Titrearticle"/>
        <w:rPr>
          <w:noProof/>
          <w:szCs w:val="24"/>
        </w:rPr>
      </w:pPr>
      <w:r w:rsidRPr="00FA5919">
        <w:rPr>
          <w:noProof/>
        </w:rPr>
        <w:t>2. pants</w:t>
      </w:r>
    </w:p>
    <w:p w:rsidR="007F4F83" w:rsidRPr="00FA5919" w:rsidRDefault="007F4F83" w:rsidP="007F4F83">
      <w:pPr>
        <w:pStyle w:val="Titrearticle"/>
        <w:spacing w:before="120"/>
        <w:rPr>
          <w:b/>
          <w:i w:val="0"/>
          <w:noProof/>
          <w:szCs w:val="24"/>
        </w:rPr>
      </w:pPr>
      <w:r w:rsidRPr="00FA5919">
        <w:rPr>
          <w:b/>
          <w:i w:val="0"/>
          <w:noProof/>
        </w:rPr>
        <w:t>Stāšanās spēkā</w:t>
      </w:r>
    </w:p>
    <w:p w:rsidR="007F4F83" w:rsidRPr="00FA5919" w:rsidRDefault="007F4F83" w:rsidP="007F4F83">
      <w:pPr>
        <w:rPr>
          <w:noProof/>
          <w:color w:val="000000" w:themeColor="text1"/>
          <w:szCs w:val="24"/>
        </w:rPr>
      </w:pPr>
      <w:r w:rsidRPr="00FA5919">
        <w:rPr>
          <w:noProof/>
        </w:rPr>
        <w:t xml:space="preserve">Šī regula stājas spēkā divdesmitajā dienā pēc tās publicēšanas </w:t>
      </w:r>
      <w:r w:rsidRPr="00FA5919">
        <w:rPr>
          <w:i/>
          <w:noProof/>
        </w:rPr>
        <w:t>Eiropas Savienības Oficiālajā Vēstnesī</w:t>
      </w:r>
      <w:r w:rsidRPr="00FA5919">
        <w:rPr>
          <w:noProof/>
        </w:rPr>
        <w:t>.</w:t>
      </w:r>
      <w:r w:rsidRPr="00FA5919">
        <w:rPr>
          <w:noProof/>
          <w:color w:val="000000" w:themeColor="text1"/>
        </w:rPr>
        <w:t xml:space="preserve"> </w:t>
      </w:r>
    </w:p>
    <w:p w:rsidR="007F4F83" w:rsidRPr="00FA5919" w:rsidRDefault="007F4F83" w:rsidP="007F4F83">
      <w:pPr>
        <w:pStyle w:val="Applicationdirecte"/>
        <w:rPr>
          <w:noProof/>
          <w:color w:val="000000"/>
          <w:szCs w:val="24"/>
        </w:rPr>
      </w:pPr>
      <w:r w:rsidRPr="00FA5919">
        <w:rPr>
          <w:noProof/>
          <w:color w:val="000000"/>
        </w:rPr>
        <w:t>Šī regula uzliek saistības kopumā un ir tieši piemērojama visās dalībvalstīs.</w:t>
      </w:r>
    </w:p>
    <w:p w:rsidR="003C122C" w:rsidRPr="00FA5919" w:rsidRDefault="00E22226" w:rsidP="00E070E0">
      <w:pPr>
        <w:pStyle w:val="Fait"/>
        <w:rPr>
          <w:noProof/>
        </w:rPr>
      </w:pPr>
      <w:r w:rsidRPr="00E22226">
        <w:t>Briselē, 30.11.2022</w:t>
      </w:r>
    </w:p>
    <w:p w:rsidR="003C122C" w:rsidRPr="00FA5919" w:rsidRDefault="003C122C" w:rsidP="00E070E0">
      <w:pPr>
        <w:pStyle w:val="Institutionquisigne"/>
        <w:rPr>
          <w:noProof/>
          <w:szCs w:val="24"/>
        </w:rPr>
      </w:pPr>
      <w:r w:rsidRPr="00FA5919">
        <w:rPr>
          <w:noProof/>
        </w:rPr>
        <w:tab/>
        <w:t>Komisijas vārdā –</w:t>
      </w:r>
    </w:p>
    <w:p w:rsidR="00C32BCD" w:rsidRPr="00FA5919" w:rsidRDefault="003F16EC" w:rsidP="00E070E0">
      <w:pPr>
        <w:pStyle w:val="Personnequisigne"/>
        <w:keepNext/>
        <w:rPr>
          <w:noProof/>
          <w:szCs w:val="24"/>
        </w:rPr>
      </w:pPr>
      <w:r>
        <w:tab/>
        <w:t>priekšsēdētāja</w:t>
      </w:r>
      <w:r>
        <w:br/>
      </w:r>
      <w:r>
        <w:tab/>
        <w:t>Ursula VON DER LEYEN</w:t>
      </w:r>
    </w:p>
    <w:p w:rsidR="00C32BCD" w:rsidRPr="00FA5919" w:rsidRDefault="00C32BCD" w:rsidP="00C32BCD">
      <w:pPr>
        <w:pStyle w:val="Personnequisigne"/>
        <w:rPr>
          <w:noProof/>
          <w:szCs w:val="24"/>
        </w:rPr>
      </w:pPr>
    </w:p>
    <w:sectPr w:rsidR="00C32BCD" w:rsidRPr="00FA5919" w:rsidSect="00B70D9F">
      <w:footerReference w:type="default" r:id="rId15"/>
      <w:footerReference w:type="first" r:id="rId16"/>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9F" w:rsidRPr="00B70D9F" w:rsidRDefault="00B70D9F" w:rsidP="00B70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6ED" w:rsidRPr="00B70D9F" w:rsidRDefault="00B70D9F" w:rsidP="00B70D9F">
    <w:pPr>
      <w:pStyle w:val="Footer"/>
      <w:rPr>
        <w:rFonts w:ascii="Arial" w:hAnsi="Arial" w:cs="Arial"/>
        <w:b/>
        <w:sz w:val="48"/>
      </w:rPr>
    </w:pPr>
    <w:r w:rsidRPr="00B70D9F">
      <w:rPr>
        <w:rFonts w:ascii="Arial" w:hAnsi="Arial" w:cs="Arial"/>
        <w:b/>
        <w:sz w:val="48"/>
      </w:rPr>
      <w:t>LV</w:t>
    </w:r>
    <w:r w:rsidRPr="00B70D9F">
      <w:rPr>
        <w:rFonts w:ascii="Arial" w:hAnsi="Arial" w:cs="Arial"/>
        <w:b/>
        <w:sz w:val="48"/>
      </w:rPr>
      <w:tab/>
    </w:r>
    <w:r w:rsidRPr="00B70D9F">
      <w:rPr>
        <w:rFonts w:ascii="Arial" w:hAnsi="Arial" w:cs="Arial"/>
        <w:b/>
        <w:sz w:val="48"/>
      </w:rPr>
      <w:tab/>
    </w:r>
    <w:r w:rsidRPr="00B70D9F">
      <w:tab/>
    </w:r>
    <w:r w:rsidRPr="00B70D9F">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9F" w:rsidRPr="00B70D9F" w:rsidRDefault="00B70D9F" w:rsidP="00B70D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9F" w:rsidRPr="00B70D9F" w:rsidRDefault="00B70D9F" w:rsidP="00B70D9F">
    <w:pPr>
      <w:pStyle w:val="Footer"/>
      <w:rPr>
        <w:rFonts w:ascii="Arial" w:hAnsi="Arial" w:cs="Arial"/>
        <w:b/>
        <w:sz w:val="48"/>
      </w:rPr>
    </w:pPr>
    <w:r w:rsidRPr="00B70D9F">
      <w:rPr>
        <w:rFonts w:ascii="Arial" w:hAnsi="Arial" w:cs="Arial"/>
        <w:b/>
        <w:sz w:val="48"/>
      </w:rPr>
      <w:t>LV</w:t>
    </w:r>
    <w:r w:rsidRPr="00B70D9F">
      <w:rPr>
        <w:rFonts w:ascii="Arial" w:hAnsi="Arial" w:cs="Arial"/>
        <w:b/>
        <w:sz w:val="48"/>
      </w:rPr>
      <w:tab/>
    </w:r>
    <w:r>
      <w:fldChar w:fldCharType="begin"/>
    </w:r>
    <w:r>
      <w:instrText xml:space="preserve"> PAGE  \* MERGEFORMAT </w:instrText>
    </w:r>
    <w:r>
      <w:fldChar w:fldCharType="separate"/>
    </w:r>
    <w:r w:rsidR="00E070E0">
      <w:rPr>
        <w:noProof/>
      </w:rPr>
      <w:t>5</w:t>
    </w:r>
    <w:r>
      <w:fldChar w:fldCharType="end"/>
    </w:r>
    <w:r>
      <w:tab/>
    </w:r>
    <w:r w:rsidRPr="00B70D9F">
      <w:tab/>
    </w:r>
    <w:r w:rsidRPr="00B70D9F">
      <w:rPr>
        <w:rFonts w:ascii="Arial" w:hAnsi="Arial" w:cs="Arial"/>
        <w:b/>
        <w:sz w:val="48"/>
      </w:rPr>
      <w:t>LV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9F" w:rsidRPr="00B70D9F" w:rsidRDefault="00B70D9F" w:rsidP="00B70D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OV L 176, 27.6.2013., 1. lpp.</w:t>
      </w:r>
    </w:p>
  </w:footnote>
  <w:footnote w:id="2">
    <w:p w:rsidR="007067A9" w:rsidRPr="00FC42BE" w:rsidRDefault="007067A9" w:rsidP="007067A9">
      <w:pPr>
        <w:pStyle w:val="FootnoteText"/>
      </w:pPr>
      <w:r>
        <w:rPr>
          <w:rStyle w:val="FootnoteReference"/>
        </w:rPr>
        <w:footnoteRef/>
      </w:r>
      <w:r>
        <w:tab/>
        <w:t>Komisijas Īstenošanas regula (ES) 2021/637 (2021. gada 15. marts), ar ko nosaka īstenošanas tehniskos standartus attiecībā uz to, kā iestādes publisko informāciju, kura minēta Eiropas Parlamenta un Padomes Regulas (ES) Nr. 575/2013 astotās daļas II un III sadaļā, un ar ko atceļ Komisijas Īstenošanas regulu (ES) Nr. 1423/2013, Komisijas Deleģēto regulu (ES) 2015/1555, Komisijas Īstenošanas regulu (ES) 2016/200 un Komisijas Deleģēto regulu (ES) 2017/2295 (OV L 136, 21.4.2021., 1. lpp.).</w:t>
      </w:r>
    </w:p>
  </w:footnote>
  <w:footnote w:id="3">
    <w:p w:rsidR="007067A9" w:rsidRPr="007067A9" w:rsidRDefault="007067A9" w:rsidP="007067A9">
      <w:pPr>
        <w:pStyle w:val="FootnoteText"/>
      </w:pPr>
      <w:r>
        <w:rPr>
          <w:rStyle w:val="FootnoteReference"/>
        </w:rPr>
        <w:footnoteRef/>
      </w:r>
      <w:r>
        <w:tab/>
        <w:t>Eiropas Parlamenta un Padomes Regula (ES) 2019/876 (2019. gada 20. maijs), ar ko groza Regulu (ES) Nr. 575/2013 attiecībā uz sviras rādītāju, neto stabila finansējuma rādītāju, prasībām pašu kapitālam un atbilstīgajām saistībām, darījuma partnera kredītrisku, tirgus risku, riska darījumiem ar centrālajiem darījumu partneriem, riska darījumiem ar kolektīvo ieguldījumu uzņēmumiem, lieliem riska darījumiem, pārskatu sniegšanas un informācijas atklāšanas prasībām un Regulu (ES) Nr. 648/2012 (OV L 150, 7.6.2019., 1. lpp.)</w:t>
      </w:r>
    </w:p>
  </w:footnote>
  <w:footnote w:id="4">
    <w:p w:rsidR="00410340" w:rsidRPr="007067A9" w:rsidRDefault="00410340" w:rsidP="008B3E83">
      <w:pPr>
        <w:pStyle w:val="FootnoteText"/>
      </w:pPr>
      <w:r>
        <w:rPr>
          <w:rStyle w:val="FootnoteReference"/>
        </w:rPr>
        <w:footnoteRef/>
      </w:r>
      <w:r>
        <w:tab/>
        <w:t>Eiropas Parlamenta un Padomes Regula (ES) 2020/852 (2020. gada 18. jūnijs) par regulējuma izveidi ilgtspējīgu ieguldījumu veicināšanai un ar ko groza Regulu (ES) 2019/2088 (</w:t>
      </w:r>
      <w:r>
        <w:rPr>
          <w:rStyle w:val="Emphasis"/>
          <w:i w:val="0"/>
        </w:rPr>
        <w:t>OV L 198, 22.6.2020., 13. lpp.).</w:t>
      </w:r>
    </w:p>
  </w:footnote>
  <w:footnote w:id="5">
    <w:p w:rsidR="00410340" w:rsidRPr="007067A9" w:rsidRDefault="00410340" w:rsidP="008B3E83">
      <w:pPr>
        <w:pStyle w:val="FootnoteText"/>
        <w:rPr>
          <w:i/>
        </w:rPr>
      </w:pPr>
      <w:r>
        <w:rPr>
          <w:rStyle w:val="FootnoteReference"/>
        </w:rPr>
        <w:footnoteRef/>
      </w:r>
      <w:r>
        <w:tab/>
        <w:t>Komisijas Deleģētā regula (ES) 2020/1818 (2020. gada 17. jūlijs), ar ko Eiropas Parlamenta un Padomes Regulu (ES) 2016/1011 papildina attiecībā uz standartu minimumu ES klimata pārejas etaloniem un Parīzes nolīgumam pielāgotiem ES etaloniem (</w:t>
      </w:r>
      <w:r>
        <w:rPr>
          <w:rStyle w:val="Emphasis"/>
          <w:i w:val="0"/>
        </w:rPr>
        <w:t>OV L 406, 3.12.2020., 17. lpp.).</w:t>
      </w:r>
    </w:p>
  </w:footnote>
  <w:footnote w:id="6">
    <w:p w:rsidR="00410340" w:rsidRPr="007067A9" w:rsidRDefault="00410340" w:rsidP="008B3E83">
      <w:pPr>
        <w:pStyle w:val="FootnoteText"/>
        <w:rPr>
          <w:color w:val="444444"/>
        </w:rPr>
      </w:pPr>
      <w:r>
        <w:rPr>
          <w:rStyle w:val="FootnoteReference"/>
        </w:rPr>
        <w:footnoteRef/>
      </w:r>
      <w:r>
        <w:tab/>
        <w:t>Eiropas Parlamenta un Padomes Direktīva 2010/31/ES (2010. gada 19. maijs) par ēku energoefektivitāti (</w:t>
      </w:r>
      <w:r>
        <w:rPr>
          <w:rStyle w:val="Emphasis"/>
          <w:i w:val="0"/>
        </w:rPr>
        <w:t>OV L 153, 18.6.2010., 13. lpp.).</w:t>
      </w:r>
    </w:p>
  </w:footnote>
  <w:footnote w:id="7">
    <w:p w:rsidR="00135CD4" w:rsidRPr="00135CD4" w:rsidRDefault="00135CD4" w:rsidP="00135CD4">
      <w:pPr>
        <w:pStyle w:val="FootnoteText"/>
      </w:pPr>
      <w:r>
        <w:rPr>
          <w:rStyle w:val="FootnoteReference"/>
        </w:rPr>
        <w:footnoteRef/>
      </w:r>
      <w:r>
        <w:tab/>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 w:id="8">
    <w:p w:rsidR="00410340" w:rsidRPr="007067A9" w:rsidRDefault="00410340" w:rsidP="00410340">
      <w:pPr>
        <w:pStyle w:val="FootnoteText"/>
      </w:pPr>
      <w:r>
        <w:rPr>
          <w:rStyle w:val="FootnoteReference"/>
        </w:rPr>
        <w:footnoteRef/>
      </w:r>
      <w:r>
        <w:tab/>
        <w:t>Eiropas Parlamenta un Padomes Regula (ES) Nr. 1093/2010 (2010. gada 24. novembris), ar ko izveido Eiropas Uzraudzības iestādi (Eiropas Banku iestādi), groza Lēmumu Nr. 716/2009/EK un atceļ Komisijas Lēmumu 2009/78/EK (OV L 331, 15.12.2010., 12.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9F" w:rsidRPr="00B70D9F" w:rsidRDefault="00B70D9F" w:rsidP="00B70D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9F" w:rsidRPr="00B70D9F" w:rsidRDefault="00B70D9F" w:rsidP="00B70D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D9F" w:rsidRPr="00B70D9F" w:rsidRDefault="00B70D9F" w:rsidP="00B70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 w:numId="32">
    <w:abstractNumId w:val="21"/>
  </w:num>
  <w:num w:numId="33">
    <w:abstractNumId w:val="13"/>
  </w:num>
  <w:num w:numId="34">
    <w:abstractNumId w:val="23"/>
  </w:num>
  <w:num w:numId="35">
    <w:abstractNumId w:val="11"/>
  </w:num>
  <w:num w:numId="36">
    <w:abstractNumId w:val="14"/>
  </w:num>
  <w:num w:numId="37">
    <w:abstractNumId w:val="15"/>
  </w:num>
  <w:num w:numId="38">
    <w:abstractNumId w:val="9"/>
  </w:num>
  <w:num w:numId="39">
    <w:abstractNumId w:val="22"/>
  </w:num>
  <w:num w:numId="40">
    <w:abstractNumId w:val="8"/>
  </w:num>
  <w:num w:numId="41">
    <w:abstractNumId w:val="16"/>
  </w:num>
  <w:num w:numId="42">
    <w:abstractNumId w:val="19"/>
  </w:num>
  <w:num w:numId="43">
    <w:abstractNumId w:val="20"/>
  </w:num>
  <w:num w:numId="44">
    <w:abstractNumId w:val="10"/>
  </w:num>
  <w:num w:numId="45">
    <w:abstractNumId w:val="18"/>
  </w:num>
  <w:num w:numId="46">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40"/>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3B597917-9562-46D4-A942-527E174CC131"/>
    <w:docVar w:name="LW_COVERPAGE_TYPE" w:val="1"/>
    <w:docVar w:name="LW_CROSSREFERENCE" w:val="&lt;UNUSED&gt;"/>
    <w:docVar w:name="LW_DATE.ADOPT.CP" w:val="(30.11.2022)"/>
    <w:docVar w:name="LW_DATE.ADOPT.CP_DATEFORMAT" w:val="(%DATE%),"/>
    <w:docVar w:name="LW_DATE.ADOPT.CP_ISODATE" w:val="2022-11-30"/>
    <w:docVar w:name="LW_DocType" w:val="COM"/>
    <w:docVar w:name="LW_EMISSION" w:val="30.11.2022"/>
    <w:docVar w:name="LW_EMISSION_ISODATE" w:val="2022-11-30"/>
    <w:docVar w:name="LW_EMISSION_LOCATION" w:val="BRX"/>
    <w:docVar w:name="LW_EMISSION_PREFIX" w:val="Brisel\u275?, "/>
    <w:docVar w:name="LW_EMISSION_SUFFIX" w:val="."/>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r ko Īstenošanas regulā (ES) 2021/637 noteiktos īstenošanas tehniskos standartus groza attiecībā uz informācijas atklāšanu par vides, sociāliem un pārvaldības riskiem_x000b_"/>
    <w:docVar w:name="LW_TYPE.DOC.CP" w:val="KOMISIJAS ĪSTENOŠANAS REGULA (ES) …/.."/>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35CD4"/>
    <w:rsid w:val="00145996"/>
    <w:rsid w:val="00154CCD"/>
    <w:rsid w:val="001645DB"/>
    <w:rsid w:val="00184181"/>
    <w:rsid w:val="001844EE"/>
    <w:rsid w:val="001904B5"/>
    <w:rsid w:val="001A327A"/>
    <w:rsid w:val="001B18A5"/>
    <w:rsid w:val="001B1CE9"/>
    <w:rsid w:val="001B1D63"/>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597F"/>
    <w:rsid w:val="003276ED"/>
    <w:rsid w:val="00331719"/>
    <w:rsid w:val="0033740A"/>
    <w:rsid w:val="00353D88"/>
    <w:rsid w:val="003578D1"/>
    <w:rsid w:val="00362239"/>
    <w:rsid w:val="003965B3"/>
    <w:rsid w:val="00396F18"/>
    <w:rsid w:val="00397813"/>
    <w:rsid w:val="003A5DF1"/>
    <w:rsid w:val="003A6D93"/>
    <w:rsid w:val="003C122C"/>
    <w:rsid w:val="003C70D6"/>
    <w:rsid w:val="003D22F0"/>
    <w:rsid w:val="003D5E0A"/>
    <w:rsid w:val="003E1B7D"/>
    <w:rsid w:val="003F16EC"/>
    <w:rsid w:val="004046D9"/>
    <w:rsid w:val="00410340"/>
    <w:rsid w:val="0041104D"/>
    <w:rsid w:val="00413DA3"/>
    <w:rsid w:val="00414930"/>
    <w:rsid w:val="00414A4D"/>
    <w:rsid w:val="00436E6A"/>
    <w:rsid w:val="004376A0"/>
    <w:rsid w:val="004550A7"/>
    <w:rsid w:val="004A6F3E"/>
    <w:rsid w:val="004C0BD0"/>
    <w:rsid w:val="004C21A2"/>
    <w:rsid w:val="004C6D12"/>
    <w:rsid w:val="004C74A9"/>
    <w:rsid w:val="004C7F55"/>
    <w:rsid w:val="004D40A8"/>
    <w:rsid w:val="004D65D2"/>
    <w:rsid w:val="004E25CB"/>
    <w:rsid w:val="004E41D0"/>
    <w:rsid w:val="004F0D71"/>
    <w:rsid w:val="004F6722"/>
    <w:rsid w:val="004F6DF7"/>
    <w:rsid w:val="00500AC9"/>
    <w:rsid w:val="005103F2"/>
    <w:rsid w:val="00523D6D"/>
    <w:rsid w:val="00524ADC"/>
    <w:rsid w:val="00530E44"/>
    <w:rsid w:val="00541DBA"/>
    <w:rsid w:val="00543602"/>
    <w:rsid w:val="00547071"/>
    <w:rsid w:val="005708C3"/>
    <w:rsid w:val="005743BA"/>
    <w:rsid w:val="00592619"/>
    <w:rsid w:val="00592E05"/>
    <w:rsid w:val="0059430F"/>
    <w:rsid w:val="00595146"/>
    <w:rsid w:val="005B177F"/>
    <w:rsid w:val="005B5751"/>
    <w:rsid w:val="005C5191"/>
    <w:rsid w:val="005D1193"/>
    <w:rsid w:val="005D2409"/>
    <w:rsid w:val="005E5AED"/>
    <w:rsid w:val="00635568"/>
    <w:rsid w:val="00635A91"/>
    <w:rsid w:val="00643DD1"/>
    <w:rsid w:val="006542E5"/>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A0AD6"/>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21483"/>
    <w:rsid w:val="00930A2A"/>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73D4"/>
    <w:rsid w:val="009B7138"/>
    <w:rsid w:val="009C5D3A"/>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37D8"/>
    <w:rsid w:val="00B25755"/>
    <w:rsid w:val="00B37F85"/>
    <w:rsid w:val="00B45C88"/>
    <w:rsid w:val="00B555F4"/>
    <w:rsid w:val="00B667EA"/>
    <w:rsid w:val="00B70D9F"/>
    <w:rsid w:val="00B75C81"/>
    <w:rsid w:val="00B76A3B"/>
    <w:rsid w:val="00B8705E"/>
    <w:rsid w:val="00B87C8F"/>
    <w:rsid w:val="00B90FD9"/>
    <w:rsid w:val="00B91D22"/>
    <w:rsid w:val="00B94522"/>
    <w:rsid w:val="00BB6E75"/>
    <w:rsid w:val="00BC21DD"/>
    <w:rsid w:val="00BE1E9F"/>
    <w:rsid w:val="00BE246D"/>
    <w:rsid w:val="00BF0A20"/>
    <w:rsid w:val="00BF17AA"/>
    <w:rsid w:val="00BF7813"/>
    <w:rsid w:val="00C0016D"/>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6779"/>
    <w:rsid w:val="00E02264"/>
    <w:rsid w:val="00E070E0"/>
    <w:rsid w:val="00E16C32"/>
    <w:rsid w:val="00E22226"/>
    <w:rsid w:val="00E227DA"/>
    <w:rsid w:val="00E27B5B"/>
    <w:rsid w:val="00E57103"/>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45E0C"/>
    <w:rsid w:val="00F50B69"/>
    <w:rsid w:val="00F614BC"/>
    <w:rsid w:val="00F747C5"/>
    <w:rsid w:val="00F8179F"/>
    <w:rsid w:val="00F82E44"/>
    <w:rsid w:val="00F838C6"/>
    <w:rsid w:val="00F87C92"/>
    <w:rsid w:val="00F90B4C"/>
    <w:rsid w:val="00F93470"/>
    <w:rsid w:val="00FA40AE"/>
    <w:rsid w:val="00FA5919"/>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pPr>
      <w:keepNext/>
      <w:numPr>
        <w:numId w:val="3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lv-LV"/>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lv-LV"/>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lv-LV"/>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B70D9F"/>
    <w:pPr>
      <w:tabs>
        <w:tab w:val="center" w:pos="4535"/>
        <w:tab w:val="right" w:pos="9071"/>
      </w:tabs>
      <w:spacing w:before="0"/>
    </w:pPr>
  </w:style>
  <w:style w:type="character" w:customStyle="1" w:styleId="HeaderChar">
    <w:name w:val="Header Char"/>
    <w:basedOn w:val="DefaultParagraphFont"/>
    <w:link w:val="Header"/>
    <w:uiPriority w:val="99"/>
    <w:rsid w:val="00B70D9F"/>
    <w:rPr>
      <w:rFonts w:ascii="Times New Roman" w:hAnsi="Times New Roman" w:cs="Times New Roman"/>
      <w:sz w:val="24"/>
      <w:lang w:val="lv-LV"/>
    </w:rPr>
  </w:style>
  <w:style w:type="paragraph" w:styleId="Footer">
    <w:name w:val="footer"/>
    <w:basedOn w:val="Normal"/>
    <w:link w:val="FooterChar"/>
    <w:uiPriority w:val="99"/>
    <w:unhideWhenUsed/>
    <w:rsid w:val="00B70D9F"/>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B70D9F"/>
    <w:rPr>
      <w:rFonts w:ascii="Times New Roman" w:hAnsi="Times New Roman" w:cs="Times New Roman"/>
      <w:sz w:val="24"/>
      <w:lang w:val="lv-LV"/>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B70D9F"/>
    <w:pPr>
      <w:tabs>
        <w:tab w:val="center" w:pos="7285"/>
        <w:tab w:val="right" w:pos="14003"/>
      </w:tabs>
      <w:spacing w:before="0"/>
    </w:pPr>
  </w:style>
  <w:style w:type="paragraph" w:customStyle="1" w:styleId="FooterLandscape">
    <w:name w:val="FooterLandscape"/>
    <w:basedOn w:val="Normal"/>
    <w:rsid w:val="00B70D9F"/>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70D9F"/>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70D9F"/>
    <w:pPr>
      <w:spacing w:before="0"/>
      <w:jc w:val="right"/>
    </w:pPr>
    <w:rPr>
      <w:sz w:val="28"/>
    </w:rPr>
  </w:style>
  <w:style w:type="paragraph" w:customStyle="1" w:styleId="FooterSensitivity">
    <w:name w:val="Footer Sensitivity"/>
    <w:basedOn w:val="Normal"/>
    <w:rsid w:val="00B70D9F"/>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2"/>
      </w:numPr>
    </w:pPr>
  </w:style>
  <w:style w:type="paragraph" w:customStyle="1" w:styleId="Tiret1">
    <w:name w:val="Tiret 1"/>
    <w:basedOn w:val="Point1"/>
    <w:pPr>
      <w:numPr>
        <w:numId w:val="33"/>
      </w:numPr>
    </w:pPr>
  </w:style>
  <w:style w:type="paragraph" w:customStyle="1" w:styleId="Tiret2">
    <w:name w:val="Tiret 2"/>
    <w:basedOn w:val="Point2"/>
    <w:pPr>
      <w:numPr>
        <w:numId w:val="34"/>
      </w:numPr>
    </w:pPr>
  </w:style>
  <w:style w:type="paragraph" w:customStyle="1" w:styleId="Tiret3">
    <w:name w:val="Tiret 3"/>
    <w:basedOn w:val="Point3"/>
    <w:pPr>
      <w:numPr>
        <w:numId w:val="35"/>
      </w:numPr>
    </w:pPr>
  </w:style>
  <w:style w:type="paragraph" w:customStyle="1" w:styleId="Tiret4">
    <w:name w:val="Tiret 4"/>
    <w:basedOn w:val="Point4"/>
    <w:pPr>
      <w:numPr>
        <w:numId w:val="36"/>
      </w:numPr>
    </w:pPr>
  </w:style>
  <w:style w:type="paragraph" w:customStyle="1" w:styleId="Tiret5">
    <w:name w:val="Tiret 5"/>
    <w:basedOn w:val="Point5"/>
    <w:pPr>
      <w:numPr>
        <w:numId w:val="3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8"/>
      </w:numPr>
    </w:pPr>
  </w:style>
  <w:style w:type="paragraph" w:customStyle="1" w:styleId="NumPar2">
    <w:name w:val="NumPar 2"/>
    <w:basedOn w:val="Normal"/>
    <w:next w:val="Text1"/>
    <w:pPr>
      <w:numPr>
        <w:ilvl w:val="1"/>
        <w:numId w:val="38"/>
      </w:numPr>
    </w:pPr>
  </w:style>
  <w:style w:type="paragraph" w:customStyle="1" w:styleId="NumPar3">
    <w:name w:val="NumPar 3"/>
    <w:basedOn w:val="Normal"/>
    <w:next w:val="Text1"/>
    <w:pPr>
      <w:numPr>
        <w:ilvl w:val="2"/>
        <w:numId w:val="38"/>
      </w:numPr>
    </w:pPr>
  </w:style>
  <w:style w:type="paragraph" w:customStyle="1" w:styleId="NumPar4">
    <w:name w:val="NumPar 4"/>
    <w:basedOn w:val="Normal"/>
    <w:next w:val="Text1"/>
    <w:pPr>
      <w:numPr>
        <w:ilvl w:val="3"/>
        <w:numId w:val="38"/>
      </w:numPr>
    </w:pPr>
  </w:style>
  <w:style w:type="paragraph" w:customStyle="1" w:styleId="NumPar5">
    <w:name w:val="NumPar 5"/>
    <w:basedOn w:val="Normal"/>
    <w:next w:val="Text2"/>
    <w:pPr>
      <w:numPr>
        <w:ilvl w:val="4"/>
        <w:numId w:val="38"/>
      </w:numPr>
    </w:pPr>
  </w:style>
  <w:style w:type="paragraph" w:customStyle="1" w:styleId="NumPar6">
    <w:name w:val="NumPar 6"/>
    <w:basedOn w:val="Normal"/>
    <w:next w:val="Text2"/>
    <w:pPr>
      <w:numPr>
        <w:ilvl w:val="5"/>
        <w:numId w:val="38"/>
      </w:numPr>
    </w:pPr>
  </w:style>
  <w:style w:type="paragraph" w:customStyle="1" w:styleId="NumPar7">
    <w:name w:val="NumPar 7"/>
    <w:basedOn w:val="Normal"/>
    <w:next w:val="Text2"/>
    <w:pPr>
      <w:numPr>
        <w:ilvl w:val="6"/>
        <w:numId w:val="3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0"/>
      </w:numPr>
    </w:pPr>
  </w:style>
  <w:style w:type="paragraph" w:customStyle="1" w:styleId="Point1number">
    <w:name w:val="Point 1 (number)"/>
    <w:basedOn w:val="Normal"/>
    <w:pPr>
      <w:numPr>
        <w:ilvl w:val="2"/>
        <w:numId w:val="40"/>
      </w:numPr>
    </w:pPr>
  </w:style>
  <w:style w:type="paragraph" w:customStyle="1" w:styleId="Point2number">
    <w:name w:val="Point 2 (number)"/>
    <w:basedOn w:val="Normal"/>
    <w:pPr>
      <w:numPr>
        <w:ilvl w:val="4"/>
        <w:numId w:val="40"/>
      </w:numPr>
    </w:pPr>
  </w:style>
  <w:style w:type="paragraph" w:customStyle="1" w:styleId="Point3number">
    <w:name w:val="Point 3 (number)"/>
    <w:basedOn w:val="Normal"/>
    <w:pPr>
      <w:numPr>
        <w:ilvl w:val="6"/>
        <w:numId w:val="40"/>
      </w:numPr>
    </w:pPr>
  </w:style>
  <w:style w:type="paragraph" w:customStyle="1" w:styleId="Point0letter">
    <w:name w:val="Point 0 (letter)"/>
    <w:basedOn w:val="Normal"/>
    <w:pPr>
      <w:numPr>
        <w:ilvl w:val="1"/>
        <w:numId w:val="40"/>
      </w:numPr>
    </w:pPr>
  </w:style>
  <w:style w:type="paragraph" w:customStyle="1" w:styleId="Point1letter">
    <w:name w:val="Point 1 (letter)"/>
    <w:basedOn w:val="Normal"/>
    <w:pPr>
      <w:numPr>
        <w:ilvl w:val="3"/>
        <w:numId w:val="40"/>
      </w:numPr>
    </w:pPr>
  </w:style>
  <w:style w:type="paragraph" w:customStyle="1" w:styleId="Point2letter">
    <w:name w:val="Point 2 (letter)"/>
    <w:basedOn w:val="Normal"/>
    <w:pPr>
      <w:numPr>
        <w:ilvl w:val="5"/>
        <w:numId w:val="40"/>
      </w:numPr>
    </w:pPr>
  </w:style>
  <w:style w:type="paragraph" w:customStyle="1" w:styleId="Point3letter">
    <w:name w:val="Point 3 (letter)"/>
    <w:basedOn w:val="Normal"/>
    <w:pPr>
      <w:numPr>
        <w:ilvl w:val="7"/>
        <w:numId w:val="40"/>
      </w:numPr>
    </w:pPr>
  </w:style>
  <w:style w:type="paragraph" w:customStyle="1" w:styleId="Point4letter">
    <w:name w:val="Point 4 (letter)"/>
    <w:basedOn w:val="Normal"/>
    <w:pPr>
      <w:numPr>
        <w:ilvl w:val="8"/>
        <w:numId w:val="40"/>
      </w:numPr>
    </w:pPr>
  </w:style>
  <w:style w:type="paragraph" w:customStyle="1" w:styleId="Bullet0">
    <w:name w:val="Bullet 0"/>
    <w:basedOn w:val="Normal"/>
    <w:pPr>
      <w:numPr>
        <w:numId w:val="41"/>
      </w:numPr>
    </w:pPr>
  </w:style>
  <w:style w:type="paragraph" w:customStyle="1" w:styleId="Bullet1">
    <w:name w:val="Bullet 1"/>
    <w:basedOn w:val="Normal"/>
    <w:pPr>
      <w:numPr>
        <w:numId w:val="42"/>
      </w:numPr>
    </w:pPr>
  </w:style>
  <w:style w:type="paragraph" w:customStyle="1" w:styleId="Bullet2">
    <w:name w:val="Bullet 2"/>
    <w:basedOn w:val="Normal"/>
    <w:pPr>
      <w:numPr>
        <w:numId w:val="43"/>
      </w:numPr>
    </w:pPr>
  </w:style>
  <w:style w:type="paragraph" w:customStyle="1" w:styleId="Bullet3">
    <w:name w:val="Bullet 3"/>
    <w:basedOn w:val="Normal"/>
    <w:pPr>
      <w:numPr>
        <w:numId w:val="44"/>
      </w:numPr>
    </w:pPr>
  </w:style>
  <w:style w:type="paragraph" w:customStyle="1" w:styleId="Bullet4">
    <w:name w:val="Bullet 4"/>
    <w:basedOn w:val="Normal"/>
    <w:pPr>
      <w:numPr>
        <w:numId w:val="4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E7337-5CF6-4AAD-9064-CDF3E09A3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12</TotalTime>
  <Pages>6</Pages>
  <Words>1504</Words>
  <Characters>9752</Characters>
  <Application>Microsoft Office Word</Application>
  <DocSecurity>0</DocSecurity>
  <Lines>174</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46</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