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151186" w:rsidRDefault="00C829DC" w:rsidP="00C829DC">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32737251-C3C5-4C69-B884-0FCF307809A5" style="width:455.25pt;height:414pt">
            <v:imagedata r:id="rId8" o:title=""/>
          </v:shape>
        </w:pict>
      </w:r>
    </w:p>
    <w:p w:rsidR="003C122C" w:rsidRPr="00151186" w:rsidRDefault="003C122C">
      <w:pPr>
        <w:rPr>
          <w:noProof/>
        </w:rPr>
        <w:sectPr w:rsidR="003C122C" w:rsidRPr="00151186" w:rsidSect="00C829DC">
          <w:footerReference w:type="default" r:id="rId9"/>
          <w:pgSz w:w="11907" w:h="16839"/>
          <w:pgMar w:top="1134" w:right="1417" w:bottom="1134" w:left="1417" w:header="709" w:footer="709" w:gutter="0"/>
          <w:pgNumType w:start="0"/>
          <w:cols w:space="720"/>
          <w:docGrid w:linePitch="360"/>
        </w:sectPr>
      </w:pPr>
    </w:p>
    <w:p w:rsidR="003C122C" w:rsidRPr="00151186" w:rsidRDefault="00151186" w:rsidP="00151186">
      <w:pPr>
        <w:pStyle w:val="Typedudocument"/>
        <w:rPr>
          <w:noProof/>
        </w:rPr>
      </w:pPr>
      <w:bookmarkStart w:id="0" w:name="_GoBack"/>
      <w:bookmarkEnd w:id="0"/>
      <w:r w:rsidRPr="00151186">
        <w:rPr>
          <w:noProof/>
        </w:rPr>
        <w:lastRenderedPageBreak/>
        <w:t>A BIZOTTSÁG (EU) .../... VÉGREHAJTÁSI RENDELETE</w:t>
      </w:r>
    </w:p>
    <w:p w:rsidR="003C122C" w:rsidRPr="00151186" w:rsidRDefault="00362C48" w:rsidP="00151186">
      <w:pPr>
        <w:pStyle w:val="Datedadoption"/>
        <w:rPr>
          <w:noProof/>
        </w:rPr>
      </w:pPr>
      <w:r>
        <w:t>(2022.11.30.)</w:t>
      </w:r>
    </w:p>
    <w:p w:rsidR="003C122C" w:rsidRPr="00151186" w:rsidRDefault="00151186" w:rsidP="00151186">
      <w:pPr>
        <w:pStyle w:val="Titreobjet"/>
        <w:rPr>
          <w:noProof/>
        </w:rPr>
      </w:pPr>
      <w:r w:rsidRPr="00151186">
        <w:rPr>
          <w:noProof/>
        </w:rPr>
        <w:t xml:space="preserve">az (EU) 2021/637 végrehajtási rendeletben meghatározott végrehajtás-technikai standardoknak a környezeti, társadalmi és irányítási kockázatok nyilvánosságra hozatala tekintetében történő módosításáról </w:t>
      </w:r>
      <w:r w:rsidRPr="00151186">
        <w:rPr>
          <w:noProof/>
        </w:rPr>
        <w:br/>
      </w:r>
    </w:p>
    <w:p w:rsidR="003C122C" w:rsidRPr="00151186" w:rsidRDefault="00151186" w:rsidP="00151186">
      <w:pPr>
        <w:pStyle w:val="IntrtEEE"/>
        <w:rPr>
          <w:noProof/>
        </w:rPr>
      </w:pPr>
      <w:r w:rsidRPr="00151186">
        <w:rPr>
          <w:noProof/>
        </w:rPr>
        <w:t>(EGT-vonatkozású szöveg)</w:t>
      </w:r>
    </w:p>
    <w:p w:rsidR="003C122C" w:rsidRPr="00151186" w:rsidRDefault="003C122C" w:rsidP="004E1EF9">
      <w:pPr>
        <w:pStyle w:val="Institutionquiagit"/>
        <w:rPr>
          <w:noProof/>
        </w:rPr>
      </w:pPr>
      <w:r w:rsidRPr="00151186">
        <w:rPr>
          <w:noProof/>
        </w:rPr>
        <w:t>AZ EURÓPAI BIZOTTSÁG,</w:t>
      </w:r>
    </w:p>
    <w:p w:rsidR="003C122C" w:rsidRPr="00151186" w:rsidRDefault="003C122C" w:rsidP="003C122C">
      <w:pPr>
        <w:rPr>
          <w:noProof/>
          <w:color w:val="000000"/>
        </w:rPr>
      </w:pPr>
      <w:r w:rsidRPr="00151186">
        <w:rPr>
          <w:noProof/>
          <w:color w:val="000000"/>
        </w:rPr>
        <w:t>tekintettel az Európai Unió működéséről szóló szerződésre,</w:t>
      </w:r>
    </w:p>
    <w:p w:rsidR="003C122C" w:rsidRPr="00151186" w:rsidRDefault="003C122C" w:rsidP="003C122C">
      <w:pPr>
        <w:rPr>
          <w:noProof/>
          <w:color w:val="000000"/>
        </w:rPr>
      </w:pPr>
      <w:r w:rsidRPr="00151186">
        <w:rPr>
          <w:noProof/>
          <w:color w:val="000000"/>
        </w:rPr>
        <w:t>tekintettel a hitelintézetekre vonatkozó prudenciális követelményekről és a 648/2012/EU rendelet módosításáról szóló, 2013. június 26-i 575/2013/EU európai parlamenti és tanácsi rendeletre</w:t>
      </w:r>
      <w:r w:rsidRPr="00151186">
        <w:rPr>
          <w:rStyle w:val="FootnoteReference"/>
          <w:noProof/>
        </w:rPr>
        <w:footnoteReference w:id="1"/>
      </w:r>
      <w:r w:rsidRPr="00151186">
        <w:rPr>
          <w:noProof/>
          <w:color w:val="000000"/>
        </w:rPr>
        <w:t xml:space="preserve"> és különösen annak 434a. cikkére,</w:t>
      </w:r>
    </w:p>
    <w:p w:rsidR="003C122C" w:rsidRPr="00151186" w:rsidRDefault="003C122C" w:rsidP="004E1EF9">
      <w:pPr>
        <w:rPr>
          <w:noProof/>
        </w:rPr>
      </w:pPr>
      <w:r w:rsidRPr="00151186">
        <w:rPr>
          <w:noProof/>
        </w:rPr>
        <w:t>mivel:</w:t>
      </w:r>
    </w:p>
    <w:p w:rsidR="00410340" w:rsidRPr="00151186" w:rsidRDefault="006715EE" w:rsidP="006715EE">
      <w:pPr>
        <w:pStyle w:val="ManualConsidrant"/>
        <w:rPr>
          <w:noProof/>
          <w:color w:val="000000"/>
        </w:rPr>
      </w:pPr>
      <w:r w:rsidRPr="006715EE">
        <w:t>(1)</w:t>
      </w:r>
      <w:r w:rsidRPr="006715EE">
        <w:tab/>
      </w:r>
      <w:r w:rsidR="007067A9" w:rsidRPr="00151186">
        <w:rPr>
          <w:noProof/>
        </w:rPr>
        <w:t>Az (EU) 2021/637 bizottsági végrehajtási rendelet</w:t>
      </w:r>
      <w:r w:rsidR="007067A9" w:rsidRPr="00151186">
        <w:rPr>
          <w:rStyle w:val="FootnoteReference"/>
          <w:noProof/>
        </w:rPr>
        <w:footnoteReference w:id="2"/>
      </w:r>
      <w:r w:rsidR="007067A9" w:rsidRPr="00151186">
        <w:rPr>
          <w:noProof/>
        </w:rPr>
        <w:t xml:space="preserve"> egységes nyilvánosságra hozatali formátumokat és kapcsolódó útmutatókat határoz meg az 575/2013/EU rendelet II. és III. címében előírt közzétételekre vonatkozóan. Az (EU) 2019/876 rendelet</w:t>
      </w:r>
      <w:r w:rsidR="007067A9" w:rsidRPr="00151186">
        <w:rPr>
          <w:rStyle w:val="FootnoteReference"/>
          <w:noProof/>
        </w:rPr>
        <w:footnoteReference w:id="3"/>
      </w:r>
      <w:r w:rsidR="007067A9" w:rsidRPr="00151186">
        <w:rPr>
          <w:noProof/>
        </w:rPr>
        <w:t xml:space="preserve"> módosította az 575/2013/EU rendeletet, többek között egy új 449a. cikk bevezetése érdekében. Az említett cikk előírja, hogy azok a nagy intézmények, amelyek valamely tagállam szabályozott piacán bevezetett értékpapírokat bocsátottak ki, 2022. június 28-tól tegyék közzé a környezeti, társadalmi és irányítási (ESG) kockázatokra vonatkozó információkat, beleértve a fizikai kockázatokat és az átállási kockázatokat is. Az 575/2013/EU rendelet említett módosításának tükröződnie kell az (EU) 2021/637 bizottsági végrehajtási rendeletben, amelynek a meglévő egységes nyilvánosságra hozatali formátumokon és a kapcsolódó útmutatókon kívül további egységes nyilvánosságra hozatali formátumokat és kapcsolódó útmutatókat kell meghatároznia a környezeti, társadalmi és irányítási kockázatok nyilvánosságra hozatalára vonatkozóan.</w:t>
      </w:r>
    </w:p>
    <w:p w:rsidR="00410340" w:rsidRPr="00151186" w:rsidRDefault="006715EE" w:rsidP="006715EE">
      <w:pPr>
        <w:pStyle w:val="ManualConsidrant"/>
        <w:rPr>
          <w:noProof/>
        </w:rPr>
      </w:pPr>
      <w:r w:rsidRPr="006715EE">
        <w:t>(2)</w:t>
      </w:r>
      <w:r w:rsidRPr="006715EE">
        <w:tab/>
      </w:r>
      <w:r w:rsidR="00410340" w:rsidRPr="00151186">
        <w:rPr>
          <w:noProof/>
        </w:rPr>
        <w:t>Az egységes nyilvánosságra hozatali formátumok meghatározásakor maradéktalanul figyelembe kell venni a nyilvánosságra hozandó információk lényegességét. Ez azt jelenti, hogy az intézmények általi közzétételeknek ki kell terjedniük egyrészt az ESG-tényezőknek az intézmények gazdasági és pénzügyi tevékenységeire gyakorolt pénzügyi hatására („kintről be” szemlélet), másrészt pedig azokra az ESG-tényezőkre, amelyeket az intézmények saját tevékenységei válthatnak ki, amelyek akkor válhatnak pénzügyileg lényegessé, ha az intézmények érdekelt feleit érintik („bentről ki” szemlélet). Ennek eredményeként az e közzétételekhez használt táblázatoknak és tábláknak kellően átfogó és összehasonlítható információkat kell szolgáltatniuk az ESG-kockázatokról, ezáltal lehetővé téve ezen információk felhasználói számára az intézmények kockázati profiljának értékelését.</w:t>
      </w:r>
    </w:p>
    <w:p w:rsidR="00410340" w:rsidRPr="00151186" w:rsidRDefault="006715EE" w:rsidP="006715EE">
      <w:pPr>
        <w:pStyle w:val="ManualConsidrant"/>
        <w:rPr>
          <w:noProof/>
        </w:rPr>
      </w:pPr>
      <w:r w:rsidRPr="006715EE">
        <w:t>(3)</w:t>
      </w:r>
      <w:r w:rsidRPr="006715EE">
        <w:tab/>
      </w:r>
      <w:r w:rsidR="00A525E2" w:rsidRPr="00151186">
        <w:rPr>
          <w:noProof/>
        </w:rPr>
        <w:t>Biztosítani kell az ESG-kockázatok területére vonatkozó egyéb uniós jogszabályokkal való összhangot és következetességet. Az ESG-kockázatok nyilvánosságra hozatalára vonatkozó szabályoknak ezért figyelembe kell venniük az említett uniós jogszabályokban meghatározott kritériumokat, osztályozásokat és fogalommeghatározásokat. E szabályoknak figyelembe kell venniük különösen a környezeti szempontból fenntartható gazdasági tevékenységek azonosítására és osztályozására vonatkozóan az (EU) 2020/852 európai parlamenti és tanácsi rendeletben</w:t>
      </w:r>
      <w:r w:rsidR="00A525E2" w:rsidRPr="00151186">
        <w:rPr>
          <w:rStyle w:val="FootnoteReference"/>
          <w:noProof/>
        </w:rPr>
        <w:footnoteReference w:id="4"/>
      </w:r>
      <w:r w:rsidR="00A525E2" w:rsidRPr="00151186">
        <w:rPr>
          <w:noProof/>
        </w:rPr>
        <w:t xml:space="preserve"> és az (EU) 2020/1818 felhatalmazáson alapuló bizottsági rendeletben</w:t>
      </w:r>
      <w:r w:rsidR="00A525E2" w:rsidRPr="00151186">
        <w:rPr>
          <w:rStyle w:val="FootnoteReference"/>
          <w:noProof/>
        </w:rPr>
        <w:footnoteReference w:id="5"/>
      </w:r>
      <w:r w:rsidR="00A525E2" w:rsidRPr="00151186">
        <w:rPr>
          <w:noProof/>
        </w:rPr>
        <w:t xml:space="preserve"> meghatározott kritériumokat. Az intézmények ingatlanportfóliójának energiahatékonyságára vonatkozó információk közzététele tekintetében figyelembe kell venni a 2010/31/EU európai parlamenti és tanácsi irányelv</w:t>
      </w:r>
      <w:r w:rsidR="00A525E2" w:rsidRPr="00151186">
        <w:rPr>
          <w:rStyle w:val="FootnoteReference"/>
          <w:noProof/>
        </w:rPr>
        <w:footnoteReference w:id="6"/>
      </w:r>
      <w:r w:rsidR="00A525E2" w:rsidRPr="00151186">
        <w:rPr>
          <w:noProof/>
        </w:rPr>
        <w:t xml:space="preserve"> 2. cikkének 12. pontjában meghatározott energiahatékonysági tanúsítványban szereplő információkat.</w:t>
      </w:r>
    </w:p>
    <w:p w:rsidR="00135CD4" w:rsidRPr="00151186" w:rsidRDefault="006715EE" w:rsidP="006715EE">
      <w:pPr>
        <w:pStyle w:val="ManualConsidrant"/>
        <w:rPr>
          <w:noProof/>
        </w:rPr>
      </w:pPr>
      <w:r w:rsidRPr="006715EE">
        <w:t>(4)</w:t>
      </w:r>
      <w:r w:rsidRPr="006715EE">
        <w:tab/>
      </w:r>
      <w:r w:rsidR="00135CD4" w:rsidRPr="00151186">
        <w:rPr>
          <w:noProof/>
        </w:rPr>
        <w:t>A 2013/34/EU európai parlamenti és tanácsi irányelv</w:t>
      </w:r>
      <w:r w:rsidR="00135CD4" w:rsidRPr="00151186">
        <w:rPr>
          <w:rStyle w:val="FootnoteReference"/>
          <w:noProof/>
        </w:rPr>
        <w:footnoteReference w:id="7"/>
      </w:r>
      <w:r w:rsidR="00135CD4" w:rsidRPr="00151186">
        <w:rPr>
          <w:noProof/>
        </w:rPr>
        <w:t xml:space="preserve"> 19a. és 29a. cikke előírja bizonyos közérdeklődésre számot tartó gazdálkodó egységeknek minősülő nagyvállalatok, illetve nagy vállalatcsoportok anyavállalatainak minősülő, közérdeklődésre számot tartó gazdálkodó egységek számára, hogy a vezetés beszámolójában vagy a vezetés összevont beszámolójában tájékoztatást nyújtsanak tevékenységük környezeti, szociális és foglalkoztatási kérdésekre, az emberi jogok tiszteletben tartására, a korrupció elleni küzdelemre és a megvesztegetés kérdéseire gyakorolt hatásáról. Ez a kötelezettség azonban nem vonatkozik más vállalkozásokra. Következésképpen azok a vállalkozások, amelyek nem tartoznak a 2013/34/EU irányelv 19a. és 29a. cikkének hatálya alá, nem kötelesek nyilvánosságra hozni ezeket az információkat, és előfordulhat, hogy nem tudják ezeket az információkat az intézmények rendelkezésére bocsátani. Ennélfogva csak az várható el az intézmények partnereitől, hogy önkéntes alapon biztosítsák az említett információkat és adatokat. Mindazonáltal helyénvaló iránymutatást nyújtani e vállalkozások számára az (EU) 2020/852 rendelet 3. cikkében említett, környezeti szempontból fenntartható gazdasági tevékenységeknek minősülő tevékenységekkel szembeni kitettségek százalékos arányának kiszámításához annak érdekében, hogy ezek az információk és adatok szabványosított és összehasonlítható formátumban legyenek megjeleníthetők. Amennyiben ezeket az információkat és adatokat önkéntes alapon nem bocsátják az intézmények rendelkezésére, az intézményeknek képesnek kell lenniük arra, hogy becslések vagy helyettesítő értékek alkalmazásával számítsák ki a taxonómiához igazodó kitettségek százalékos arányát.</w:t>
      </w:r>
    </w:p>
    <w:p w:rsidR="00921483" w:rsidRPr="00151186" w:rsidRDefault="006715EE" w:rsidP="006715EE">
      <w:pPr>
        <w:pStyle w:val="ManualConsidrant"/>
        <w:rPr>
          <w:noProof/>
        </w:rPr>
      </w:pPr>
      <w:r w:rsidRPr="006715EE">
        <w:t>(5)</w:t>
      </w:r>
      <w:r w:rsidRPr="006715EE">
        <w:tab/>
      </w:r>
      <w:r w:rsidR="00A97285" w:rsidRPr="00151186">
        <w:rPr>
          <w:noProof/>
        </w:rPr>
        <w:t>Az 575/2013/EU rendelet 449a. cikke előírja, hogy a környezeti, társadalmi és irányítási kockázatokra vonatkozó információkat 2022. június 28-tól, az első évben éves alapon, azt követően pedig félévente kell nyilvánosságra hozni. Ezen okok miatt az első éves nyilvánosságra hozatali vonatkozási időpontot 2022. december 31-ben kell meghatározni.</w:t>
      </w:r>
    </w:p>
    <w:p w:rsidR="00ED20D7" w:rsidRPr="00151186" w:rsidRDefault="006715EE" w:rsidP="006715EE">
      <w:pPr>
        <w:pStyle w:val="ManualConsidrant"/>
        <w:rPr>
          <w:noProof/>
        </w:rPr>
      </w:pPr>
      <w:r w:rsidRPr="006715EE">
        <w:t>(6)</w:t>
      </w:r>
      <w:r w:rsidRPr="006715EE">
        <w:tab/>
      </w:r>
      <w:r w:rsidR="00410340" w:rsidRPr="00151186">
        <w:rPr>
          <w:noProof/>
        </w:rPr>
        <w:t xml:space="preserve">Ez a rendelet az Európai Bankhatóság által a Bizottsághoz benyújtott végrehajtás-technikai standardtervezeteken alapul. </w:t>
      </w:r>
    </w:p>
    <w:p w:rsidR="00410340" w:rsidRPr="00151186" w:rsidRDefault="006715EE" w:rsidP="006715EE">
      <w:pPr>
        <w:pStyle w:val="ManualConsidrant"/>
        <w:rPr>
          <w:noProof/>
        </w:rPr>
      </w:pPr>
      <w:r w:rsidRPr="006715EE">
        <w:t>(7)</w:t>
      </w:r>
      <w:r w:rsidRPr="006715EE">
        <w:tab/>
      </w:r>
      <w:r w:rsidR="00ED20D7" w:rsidRPr="00151186">
        <w:rPr>
          <w:noProof/>
        </w:rPr>
        <w:t>Az Európai Bankhatóság nyilvános konzultációt folytatott az e rendelet alapját képező végrehajtás-technikai standardtervezetekről, elemezte az esetleges kapcsolódó költségeket és hasznot, továbbá kikérte az 1093/2010/EU európai parlamenti és tanácsi rendelet</w:t>
      </w:r>
      <w:r w:rsidR="00ED20D7" w:rsidRPr="00151186">
        <w:rPr>
          <w:rStyle w:val="FootnoteReference"/>
          <w:noProof/>
        </w:rPr>
        <w:footnoteReference w:id="8"/>
      </w:r>
      <w:r w:rsidR="00ED20D7" w:rsidRPr="00151186">
        <w:rPr>
          <w:noProof/>
        </w:rPr>
        <w:t xml:space="preserve"> 37. cikkével összhangban létrehozott Banki Érdekképviseleti Csoport tanácsát.</w:t>
      </w:r>
    </w:p>
    <w:p w:rsidR="00410340" w:rsidRPr="00151186" w:rsidRDefault="006715EE" w:rsidP="006715EE">
      <w:pPr>
        <w:pStyle w:val="ManualConsidrant"/>
        <w:rPr>
          <w:noProof/>
        </w:rPr>
      </w:pPr>
      <w:r w:rsidRPr="006715EE">
        <w:t>(8)</w:t>
      </w:r>
      <w:r w:rsidRPr="006715EE">
        <w:tab/>
      </w:r>
      <w:r w:rsidR="00410340" w:rsidRPr="00151186">
        <w:rPr>
          <w:noProof/>
        </w:rPr>
        <w:t>Az (EU) 2021/637 végrehajtási rendeletet ezért ennek megfelelően módosítani kell,</w:t>
      </w:r>
    </w:p>
    <w:p w:rsidR="003C122C" w:rsidRPr="00151186" w:rsidRDefault="003C122C" w:rsidP="004E1EF9">
      <w:pPr>
        <w:pStyle w:val="Formuledadoption"/>
        <w:rPr>
          <w:noProof/>
          <w:szCs w:val="24"/>
        </w:rPr>
      </w:pPr>
      <w:r w:rsidRPr="00151186">
        <w:rPr>
          <w:noProof/>
        </w:rPr>
        <w:t>ELFOGADTA EZT A RENDELETET:</w:t>
      </w:r>
    </w:p>
    <w:p w:rsidR="003C122C" w:rsidRPr="00151186" w:rsidRDefault="003C122C" w:rsidP="004E1EF9">
      <w:pPr>
        <w:pStyle w:val="Titrearticle"/>
        <w:rPr>
          <w:noProof/>
          <w:szCs w:val="24"/>
        </w:rPr>
      </w:pPr>
      <w:r w:rsidRPr="00151186">
        <w:rPr>
          <w:noProof/>
        </w:rPr>
        <w:t>1. cikk</w:t>
      </w:r>
    </w:p>
    <w:p w:rsidR="007F4F83" w:rsidRPr="00151186" w:rsidRDefault="007F4F83" w:rsidP="00D00193">
      <w:pPr>
        <w:pStyle w:val="Titrearticle"/>
        <w:spacing w:before="120"/>
        <w:rPr>
          <w:b/>
          <w:i w:val="0"/>
          <w:noProof/>
          <w:szCs w:val="24"/>
        </w:rPr>
      </w:pPr>
      <w:r w:rsidRPr="00151186">
        <w:rPr>
          <w:b/>
          <w:i w:val="0"/>
          <w:noProof/>
        </w:rPr>
        <w:t>Az (EU) 2021/637 végrehajtási rendelet módosításai</w:t>
      </w:r>
    </w:p>
    <w:p w:rsidR="007F4F83" w:rsidRPr="00151186" w:rsidRDefault="007F4F83" w:rsidP="007F4F83">
      <w:pPr>
        <w:pStyle w:val="Titrearticle"/>
        <w:jc w:val="left"/>
        <w:rPr>
          <w:rFonts w:eastAsiaTheme="minorEastAsia"/>
          <w:i w:val="0"/>
          <w:noProof/>
          <w:szCs w:val="24"/>
        </w:rPr>
      </w:pPr>
      <w:r w:rsidRPr="00151186">
        <w:rPr>
          <w:i w:val="0"/>
          <w:noProof/>
        </w:rPr>
        <w:t>Az (EU) 2021/637 végrehajtási rendelet a következőképpen módosul:</w:t>
      </w:r>
    </w:p>
    <w:p w:rsidR="007F4F83" w:rsidRPr="00151186" w:rsidRDefault="006715EE" w:rsidP="006715EE">
      <w:pPr>
        <w:pStyle w:val="ManualNumPar1"/>
        <w:rPr>
          <w:noProof/>
        </w:rPr>
      </w:pPr>
      <w:r w:rsidRPr="006715EE">
        <w:t>1.</w:t>
      </w:r>
      <w:r w:rsidRPr="006715EE">
        <w:tab/>
      </w:r>
      <w:r w:rsidR="007F4F83" w:rsidRPr="00151186">
        <w:rPr>
          <w:noProof/>
        </w:rPr>
        <w:t xml:space="preserve">A </w:t>
      </w:r>
      <w:r w:rsidR="007F4F83" w:rsidRPr="009D1FE3">
        <w:rPr>
          <w:noProof/>
        </w:rPr>
        <w:t>szöveg a következő 18a</w:t>
      </w:r>
      <w:r w:rsidR="007F4F83" w:rsidRPr="00151186">
        <w:rPr>
          <w:noProof/>
        </w:rPr>
        <w:t>. cikkel egészül ki:</w:t>
      </w:r>
    </w:p>
    <w:p w:rsidR="007F4F83" w:rsidRPr="00151186" w:rsidRDefault="006542E5" w:rsidP="004046D9">
      <w:pPr>
        <w:pStyle w:val="Titrearticle"/>
        <w:spacing w:before="120"/>
        <w:ind w:left="567" w:right="568"/>
        <w:rPr>
          <w:noProof/>
        </w:rPr>
      </w:pPr>
      <w:r w:rsidRPr="00151186">
        <w:rPr>
          <w:noProof/>
        </w:rPr>
        <w:t>„18a. cikk</w:t>
      </w:r>
    </w:p>
    <w:p w:rsidR="007F4F83" w:rsidRPr="00151186" w:rsidRDefault="007F4F83" w:rsidP="004046D9">
      <w:pPr>
        <w:pStyle w:val="Titrearticle"/>
        <w:spacing w:before="120"/>
        <w:ind w:left="567" w:right="568"/>
        <w:rPr>
          <w:b/>
          <w:i w:val="0"/>
          <w:noProof/>
        </w:rPr>
      </w:pPr>
      <w:r w:rsidRPr="00151186">
        <w:rPr>
          <w:b/>
          <w:i w:val="0"/>
          <w:noProof/>
        </w:rPr>
        <w:t>A környezeti, társadalmi és irányítási kockázatok (ESG-kockázatok) nyilvánosságra hozatala</w:t>
      </w:r>
    </w:p>
    <w:p w:rsidR="007F4F83" w:rsidRPr="00151186" w:rsidRDefault="006715EE" w:rsidP="006715EE">
      <w:pPr>
        <w:pStyle w:val="Point0"/>
        <w:rPr>
          <w:noProof/>
        </w:rPr>
      </w:pPr>
      <w:r w:rsidRPr="006715EE">
        <w:t>(1)</w:t>
      </w:r>
      <w:r w:rsidRPr="006715EE">
        <w:tab/>
      </w:r>
      <w:r w:rsidR="007F4F83" w:rsidRPr="00151186">
        <w:rPr>
          <w:noProof/>
        </w:rPr>
        <w:t>Az intézmények a következők szerint hozzák nyilvánosságra az 575/2013/EU rendelet 449a. cikkében említett információkat:</w:t>
      </w:r>
    </w:p>
    <w:p w:rsidR="002D1236" w:rsidRPr="00151186" w:rsidRDefault="009D1FE3" w:rsidP="009D1FE3">
      <w:pPr>
        <w:pStyle w:val="Point1"/>
        <w:rPr>
          <w:noProof/>
        </w:rPr>
      </w:pPr>
      <w:r>
        <w:rPr>
          <w:noProof/>
        </w:rPr>
        <w:t>a)</w:t>
      </w:r>
      <w:r w:rsidRPr="009D1FE3">
        <w:rPr>
          <w:noProof/>
        </w:rPr>
        <w:tab/>
      </w:r>
      <w:r w:rsidR="002D1236" w:rsidRPr="00151186">
        <w:rPr>
          <w:noProof/>
        </w:rPr>
        <w:t>a környezeti, társadalmi és irányítási kockázatokra vonatkozó minőségi információkat e rendelet XXXIX. melléklete 1., 2. és 3. táblázatának felhasználásával és az e rendelet XL. mellékletében foglalt útmutató szerint;</w:t>
      </w:r>
    </w:p>
    <w:p w:rsidR="002D1236" w:rsidRPr="00151186" w:rsidRDefault="009D1FE3" w:rsidP="009D1FE3">
      <w:pPr>
        <w:pStyle w:val="Point1"/>
        <w:rPr>
          <w:noProof/>
        </w:rPr>
      </w:pPr>
      <w:r>
        <w:rPr>
          <w:noProof/>
        </w:rPr>
        <w:t>b)</w:t>
      </w:r>
      <w:r w:rsidRPr="009D1FE3">
        <w:rPr>
          <w:noProof/>
        </w:rPr>
        <w:tab/>
      </w:r>
      <w:r w:rsidR="002D1236" w:rsidRPr="00151186">
        <w:rPr>
          <w:noProof/>
        </w:rPr>
        <w:t>az éghajlatváltozással kapcsolatos átállási kockázatokra vonatkozó mennyiségi információkat e rendelet XXXIX. melléklete 1–4. tábláinak felhasználásával és az e rendelet XL. mellékletében foglalt útmutató szerint;</w:t>
      </w:r>
    </w:p>
    <w:p w:rsidR="002D1236" w:rsidRPr="00151186" w:rsidRDefault="009D1FE3" w:rsidP="009D1FE3">
      <w:pPr>
        <w:pStyle w:val="Point1"/>
        <w:rPr>
          <w:noProof/>
        </w:rPr>
      </w:pPr>
      <w:r>
        <w:rPr>
          <w:noProof/>
        </w:rPr>
        <w:t>c)</w:t>
      </w:r>
      <w:r w:rsidRPr="009D1FE3">
        <w:rPr>
          <w:noProof/>
        </w:rPr>
        <w:tab/>
      </w:r>
      <w:r w:rsidR="002D1236" w:rsidRPr="00151186">
        <w:rPr>
          <w:noProof/>
        </w:rPr>
        <w:t>az éghajlatváltozással kapcsolatos fizikai kockázatokra vonatkozó mennyiségi információkat e rendelet XXXIX. melléklete 5. táblájának felhasználásával és az e rendelet XL. mellékletében foglalt útmutató szerint;</w:t>
      </w:r>
    </w:p>
    <w:p w:rsidR="002D1236" w:rsidRPr="00151186" w:rsidRDefault="009D1FE3" w:rsidP="009D1FE3">
      <w:pPr>
        <w:pStyle w:val="Point1"/>
        <w:rPr>
          <w:noProof/>
        </w:rPr>
      </w:pPr>
      <w:r>
        <w:rPr>
          <w:noProof/>
        </w:rPr>
        <w:t>d)</w:t>
      </w:r>
      <w:r w:rsidRPr="009D1FE3">
        <w:rPr>
          <w:noProof/>
        </w:rPr>
        <w:tab/>
      </w:r>
      <w:r w:rsidR="002D1236" w:rsidRPr="00151186">
        <w:rPr>
          <w:noProof/>
        </w:rPr>
        <w:t>a 2013/34/EU európai parlamenti és tanácsi irányelv</w:t>
      </w:r>
      <w:r w:rsidR="002D1236" w:rsidRPr="00151186">
        <w:rPr>
          <w:noProof/>
          <w:vertAlign w:val="superscript"/>
        </w:rPr>
        <w:t>*1</w:t>
      </w:r>
      <w:r w:rsidR="002D1236" w:rsidRPr="00151186">
        <w:rPr>
          <w:noProof/>
        </w:rPr>
        <w:t> 19a. vagy 29a. cikkének hatálya alá tartozó partnerek, a háztartások és az (EU) 2021/451 bizottsági végrehajtási rendelet</w:t>
      </w:r>
      <w:r w:rsidR="002D1236" w:rsidRPr="00151186">
        <w:rPr>
          <w:noProof/>
          <w:vertAlign w:val="superscript"/>
        </w:rPr>
        <w:t>*2</w:t>
      </w:r>
      <w:r w:rsidR="002D1236" w:rsidRPr="00151186">
        <w:rPr>
          <w:noProof/>
        </w:rPr>
        <w:t xml:space="preserve"> V. melléklete 1. részének 42. pontja b) alpontjában említett helyi önkormányzatok által végzett, az (EU) 2020/852 európai parlamenti és tanácsi rendelet</w:t>
      </w:r>
      <w:r w:rsidR="002D1236" w:rsidRPr="00151186">
        <w:rPr>
          <w:noProof/>
          <w:vertAlign w:val="superscript"/>
        </w:rPr>
        <w:t>*3</w:t>
      </w:r>
      <w:r w:rsidR="002D1236" w:rsidRPr="00151186">
        <w:rPr>
          <w:noProof/>
        </w:rPr>
        <w:t> 3. cikke értelmében környezeti szempontból fenntarthatónak minősülő gazdasági tevékenységekhez kapcsolódó mérséklő intézkedésekre vonatkozó mennyiségi információkat e rendelet XXXIX. melléklete 6., 7. és 8. táblájának felhasználásával és az e rendelet XL. mellékletében foglalt útmutató szerint;</w:t>
      </w:r>
      <w:bookmarkStart w:id="1" w:name="_Hlk92470586"/>
      <w:bookmarkEnd w:id="1"/>
    </w:p>
    <w:p w:rsidR="00995098" w:rsidRPr="00151186" w:rsidRDefault="009D1FE3" w:rsidP="009D1FE3">
      <w:pPr>
        <w:pStyle w:val="Point1"/>
        <w:rPr>
          <w:noProof/>
        </w:rPr>
      </w:pPr>
      <w:r>
        <w:rPr>
          <w:noProof/>
        </w:rPr>
        <w:t>e)</w:t>
      </w:r>
      <w:r w:rsidRPr="009D1FE3">
        <w:rPr>
          <w:noProof/>
        </w:rPr>
        <w:tab/>
      </w:r>
      <w:r w:rsidR="00995098" w:rsidRPr="00151186">
        <w:rPr>
          <w:noProof/>
        </w:rPr>
        <w:t>az egyéb mérséklő intézkedésekre és az (EU) 2020/852 rendelet 3. cikke értelmében környezeti szempontból fenntarthatónak nem minősülő, de a partnereket az éghajlatváltozás mérséklésével és az éghajlatváltozáshoz való alkalmazkodással kapcsolatos célkitűzések tekintetében az átállási vagy alkalmazkodási folyamatban támogató gazdasági tevékenységekhez kapcsolódó kitettségekre vonatkozó mennyiségi információkat e rendelet XXXIX. melléklete 10. táblájának felhasználásával és az e rendelet XL. mellékletében foglalt útmutató szerint.</w:t>
      </w:r>
    </w:p>
    <w:p w:rsidR="008D2E23" w:rsidRPr="00151186" w:rsidRDefault="006715EE" w:rsidP="006715EE">
      <w:pPr>
        <w:pStyle w:val="Point0"/>
        <w:rPr>
          <w:noProof/>
        </w:rPr>
      </w:pPr>
      <w:r w:rsidRPr="006715EE">
        <w:t>(2)</w:t>
      </w:r>
      <w:r w:rsidRPr="006715EE">
        <w:tab/>
      </w:r>
      <w:r w:rsidR="000941B5" w:rsidRPr="00151186">
        <w:rPr>
          <w:noProof/>
        </w:rPr>
        <w:t>Az intézmények dönthetnek úgy, hogy a mérséklő intézkedésekre és az (EU) 2020/852 rendelet 3. cikke értelmében környezeti szempontból fenntarthatónak minősülő gazdasági tevékenységekhez kapcsolódó, az éghajlatváltozással kapcsolatos kockázatoknak való kitettségekre vonatkozó azon mennyiségi információkat, amelyek az (EU) 2021/451 végrehajtási rendelet V. melléklete 1. részének 42. pont e) alpontjában említett nem pénzügyi vállalatoknak minősülő, a 2013/34/EU irányelv 19a. vagy 29a. cikkében meghatározott közzétételi kötelezettségek hatálya alá nem tartozó és az (EU) 2021/2178 bizottsági végrehajtási rendeletben</w:t>
      </w:r>
      <w:r w:rsidR="000941B5" w:rsidRPr="00151186">
        <w:rPr>
          <w:noProof/>
          <w:vertAlign w:val="superscript"/>
        </w:rPr>
        <w:t>*4</w:t>
      </w:r>
      <w:r w:rsidR="000941B5" w:rsidRPr="00151186">
        <w:rPr>
          <w:noProof/>
        </w:rPr>
        <w:t xml:space="preserve"> meghatározott közzétételi kötelezettségek hatálya alá nem tartozó partnerekkel szemben állnak fenn, e rendelet XXXIX. melléklete 9. táblájának felhasználásával és az e rendelet XL. mellékletében foglalt útmutató szerint hozzák nyilvánosságra.</w:t>
      </w:r>
      <w:bookmarkStart w:id="2" w:name="_Hlk92470606"/>
      <w:bookmarkEnd w:id="2"/>
      <w:r w:rsidR="000941B5" w:rsidRPr="00151186">
        <w:rPr>
          <w:noProof/>
        </w:rPr>
        <w:t xml:space="preserve"> </w:t>
      </w:r>
    </w:p>
    <w:p w:rsidR="002D1236" w:rsidRPr="00151186" w:rsidRDefault="002D1236" w:rsidP="00353D88">
      <w:pPr>
        <w:pStyle w:val="Text1"/>
        <w:rPr>
          <w:noProof/>
        </w:rPr>
      </w:pPr>
      <w:r w:rsidRPr="00151186">
        <w:rPr>
          <w:noProof/>
        </w:rPr>
        <w:t>Az említett partnerekkel szembeni, az (EU) 2020/852 rendelet 3. cikkében meghatározott követelményeknek megfelelő tevékenységekhez kapcsolódó kitettségek (taxonómiához igazodó kitettségek) százalékos arányának kiszámításához az intézmények felhasználhatják a következőket:</w:t>
      </w:r>
    </w:p>
    <w:p w:rsidR="00D23734" w:rsidRPr="00151186" w:rsidRDefault="009D1FE3" w:rsidP="009D1FE3">
      <w:pPr>
        <w:pStyle w:val="Point1"/>
        <w:rPr>
          <w:noProof/>
        </w:rPr>
      </w:pPr>
      <w:r>
        <w:rPr>
          <w:noProof/>
        </w:rPr>
        <w:t>a)</w:t>
      </w:r>
      <w:r w:rsidRPr="009D1FE3">
        <w:rPr>
          <w:noProof/>
        </w:rPr>
        <w:tab/>
      </w:r>
      <w:r w:rsidR="008E7D06" w:rsidRPr="00151186">
        <w:rPr>
          <w:noProof/>
        </w:rPr>
        <w:t>amennyiben rendelkezésre állnak, a partnerek által önkéntes és kétoldalú alapon, a hitelnyújtás, valamint a rendszeres hitelfelülvizsgálati és nyomonkövetési folyamatok során átadott információk;</w:t>
      </w:r>
    </w:p>
    <w:p w:rsidR="00D23734" w:rsidRPr="00151186" w:rsidRDefault="009D1FE3" w:rsidP="009D1FE3">
      <w:pPr>
        <w:pStyle w:val="Point1"/>
        <w:rPr>
          <w:noProof/>
        </w:rPr>
      </w:pPr>
      <w:r>
        <w:rPr>
          <w:noProof/>
        </w:rPr>
        <w:t>b)</w:t>
      </w:r>
      <w:r w:rsidRPr="009D1FE3">
        <w:rPr>
          <w:noProof/>
        </w:rPr>
        <w:tab/>
      </w:r>
      <w:r w:rsidR="00B25755" w:rsidRPr="00151186">
        <w:rPr>
          <w:noProof/>
        </w:rPr>
        <w:t>amennyiben a partner nem képes vagy nem hajlandó kétoldalú alapon átadni az érintett adatokat, belső becslések és helyettesítő adatok; ez esetben a táblát kísérő szöveges magyarázatban ki kell fejteni, hogy ezeket a belső becsléseket és helyettesítő értékeket milyen mértékben használták fel, és hogy milyen belső becsléseket és helyettesítő értékeket alkalmaztak;</w:t>
      </w:r>
    </w:p>
    <w:p w:rsidR="002D1236" w:rsidRPr="00151186" w:rsidRDefault="009D1FE3" w:rsidP="009D1FE3">
      <w:pPr>
        <w:pStyle w:val="Point1"/>
        <w:rPr>
          <w:noProof/>
        </w:rPr>
      </w:pPr>
      <w:r>
        <w:rPr>
          <w:noProof/>
        </w:rPr>
        <w:t>c)</w:t>
      </w:r>
      <w:r w:rsidRPr="009D1FE3">
        <w:rPr>
          <w:noProof/>
        </w:rPr>
        <w:tab/>
      </w:r>
      <w:r w:rsidR="00D23734" w:rsidRPr="00151186">
        <w:rPr>
          <w:noProof/>
        </w:rPr>
        <w:t>amennyiben nincs mód sem kétoldalú alapon beszerezni az érintett információkat, sem belső becsléseket és helyettesítő adatokat használni, vagy ezeket az intézmények nem képesek úgy megtenni, hogy az ne jelentsen számukra vagy partnereik számára túlzott terhet, ezt a tényt a táblát kísérő szöveges magyarázatban indokolniuk kell.</w:t>
      </w:r>
    </w:p>
    <w:p w:rsidR="00320B78" w:rsidRPr="00151186" w:rsidRDefault="00320B78" w:rsidP="00353D88">
      <w:pPr>
        <w:pStyle w:val="Text1"/>
        <w:rPr>
          <w:noProof/>
        </w:rPr>
      </w:pPr>
      <w:r w:rsidRPr="00151186">
        <w:rPr>
          <w:noProof/>
        </w:rPr>
        <w:t>Az a) pont alkalmazásában az intézményeknek tájékoztatniuk kell partnereiket arról, hogy az ilyen információk megadása önkéntes.</w:t>
      </w:r>
    </w:p>
    <w:p w:rsidR="007F4F83" w:rsidRPr="00151186" w:rsidRDefault="006715EE" w:rsidP="006715EE">
      <w:pPr>
        <w:pStyle w:val="Point0"/>
        <w:rPr>
          <w:noProof/>
        </w:rPr>
      </w:pPr>
      <w:r w:rsidRPr="006715EE">
        <w:t>(3)</w:t>
      </w:r>
      <w:r w:rsidRPr="006715EE">
        <w:tab/>
      </w:r>
      <w:r w:rsidR="006B71ED" w:rsidRPr="00151186">
        <w:rPr>
          <w:noProof/>
        </w:rPr>
        <w:t>Amennyiben az e rendelet XL. mellékletében foglalt útmutató másként nem rendelkezik, az intézményeknek 2022. december 31-től a következő időpontokban kell nyilvánosságra hozniuk az 575/2013/EU rendelet 449a. cikkében említett információkat:</w:t>
      </w:r>
    </w:p>
    <w:p w:rsidR="007F4F83" w:rsidRPr="00151186" w:rsidRDefault="009D1FE3" w:rsidP="009D1FE3">
      <w:pPr>
        <w:pStyle w:val="Point1"/>
        <w:rPr>
          <w:noProof/>
        </w:rPr>
      </w:pPr>
      <w:r>
        <w:rPr>
          <w:noProof/>
        </w:rPr>
        <w:t>a)</w:t>
      </w:r>
      <w:r w:rsidRPr="009D1FE3">
        <w:rPr>
          <w:noProof/>
        </w:rPr>
        <w:tab/>
      </w:r>
      <w:r w:rsidR="007F4F83" w:rsidRPr="00151186">
        <w:rPr>
          <w:noProof/>
        </w:rPr>
        <w:t>az éves közzétételek esetében: december 31;</w:t>
      </w:r>
    </w:p>
    <w:p w:rsidR="00D01D57" w:rsidRPr="00151186" w:rsidRDefault="009D1FE3" w:rsidP="009D1FE3">
      <w:pPr>
        <w:pStyle w:val="Point1"/>
        <w:rPr>
          <w:noProof/>
        </w:rPr>
      </w:pPr>
      <w:r>
        <w:rPr>
          <w:noProof/>
        </w:rPr>
        <w:t>b)</w:t>
      </w:r>
      <w:r w:rsidRPr="009D1FE3">
        <w:rPr>
          <w:noProof/>
        </w:rPr>
        <w:tab/>
      </w:r>
      <w:r w:rsidR="007F4F83" w:rsidRPr="00151186">
        <w:rPr>
          <w:noProof/>
        </w:rPr>
        <w:t>a féléves közzétételek esetében: minden évben június 30. és december 31.</w:t>
      </w:r>
    </w:p>
    <w:p w:rsidR="00086FAB" w:rsidRPr="00151186" w:rsidRDefault="001904B5" w:rsidP="0087679B">
      <w:pPr>
        <w:pStyle w:val="Text2"/>
        <w:rPr>
          <w:noProof/>
        </w:rPr>
      </w:pPr>
      <w:r w:rsidRPr="00151186">
        <w:rPr>
          <w:noProof/>
        </w:rPr>
        <w:tab/>
        <w:t>___________</w:t>
      </w:r>
    </w:p>
    <w:p w:rsidR="00086FAB" w:rsidRPr="00151186" w:rsidRDefault="00086FAB" w:rsidP="0087679B">
      <w:pPr>
        <w:pStyle w:val="Text3"/>
        <w:rPr>
          <w:noProof/>
          <w:sz w:val="20"/>
          <w:szCs w:val="20"/>
        </w:rPr>
      </w:pPr>
      <w:r w:rsidRPr="00151186">
        <w:rPr>
          <w:noProof/>
          <w:sz w:val="20"/>
          <w:vertAlign w:val="superscript"/>
        </w:rPr>
        <w:t>*1</w:t>
      </w:r>
      <w:r w:rsidRPr="00151186">
        <w:rPr>
          <w:noProof/>
        </w:rPr>
        <w:tab/>
      </w:r>
      <w:r w:rsidRPr="00151186">
        <w:rPr>
          <w:noProof/>
          <w:sz w:val="20"/>
        </w:rPr>
        <w:t>Az Európai Parlament és a Tanács 2013/34/EU irányelve (2013. június 26.) 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(HL L 182., 2013.6.29., 19. o.).</w:t>
      </w:r>
    </w:p>
    <w:p w:rsidR="00086FAB" w:rsidRPr="00151186" w:rsidRDefault="00086FAB" w:rsidP="004F6722">
      <w:pPr>
        <w:pStyle w:val="Text3"/>
        <w:rPr>
          <w:noProof/>
          <w:sz w:val="20"/>
          <w:szCs w:val="20"/>
        </w:rPr>
      </w:pPr>
      <w:r w:rsidRPr="00151186">
        <w:rPr>
          <w:noProof/>
          <w:sz w:val="20"/>
          <w:vertAlign w:val="superscript"/>
        </w:rPr>
        <w:t>*2</w:t>
      </w:r>
      <w:r w:rsidRPr="00151186">
        <w:rPr>
          <w:noProof/>
        </w:rPr>
        <w:tab/>
      </w:r>
      <w:r w:rsidRPr="00151186">
        <w:rPr>
          <w:noProof/>
          <w:sz w:val="20"/>
        </w:rPr>
        <w:t>A Bizottság (EU) 2021/451 végrehajtási rendelete (2020. december 17.) az 575/2013/EU európai parlamenti és tanácsi rendeletnek az intézmények felügyeleti adatszolgáltatása tekintetében történő alkalmazására vonatkozó végrehajtás-technikai standardok megállapításáról és a 680/2014/EU végrehajtási rendelet hatályon kívül helyezéséről (HL L 097, 2021.3.19., 1. o.).</w:t>
      </w:r>
    </w:p>
    <w:p w:rsidR="00086FAB" w:rsidRPr="00151186" w:rsidRDefault="00086FAB" w:rsidP="0087679B">
      <w:pPr>
        <w:pStyle w:val="Text3"/>
        <w:rPr>
          <w:noProof/>
          <w:sz w:val="20"/>
          <w:szCs w:val="20"/>
        </w:rPr>
      </w:pPr>
      <w:r w:rsidRPr="00151186">
        <w:rPr>
          <w:noProof/>
          <w:sz w:val="20"/>
          <w:vertAlign w:val="superscript"/>
        </w:rPr>
        <w:t>*3</w:t>
      </w:r>
      <w:r w:rsidRPr="00151186">
        <w:rPr>
          <w:noProof/>
        </w:rPr>
        <w:tab/>
      </w:r>
      <w:r w:rsidRPr="00151186">
        <w:rPr>
          <w:noProof/>
          <w:sz w:val="20"/>
        </w:rPr>
        <w:t>Az Európai Parlament és a Tanács (EU) 2020/852 rendelete (2020. június 18.) a fenntartható befektetések előmozdítását célzó keret létrehozásáról, valamint az (EU) 2019/2088 rendelet módosításáról (HL L 198., 2020.6.22., 13. o.).</w:t>
      </w:r>
    </w:p>
    <w:p w:rsidR="00086FAB" w:rsidRPr="00151186" w:rsidRDefault="00086FAB" w:rsidP="0087679B">
      <w:pPr>
        <w:pStyle w:val="Text3"/>
        <w:rPr>
          <w:noProof/>
          <w:sz w:val="20"/>
          <w:szCs w:val="20"/>
        </w:rPr>
      </w:pPr>
      <w:r w:rsidRPr="00151186">
        <w:rPr>
          <w:noProof/>
          <w:sz w:val="20"/>
          <w:vertAlign w:val="superscript"/>
        </w:rPr>
        <w:t>*4</w:t>
      </w:r>
      <w:r w:rsidRPr="00151186">
        <w:rPr>
          <w:noProof/>
        </w:rPr>
        <w:tab/>
      </w:r>
      <w:r w:rsidRPr="00151186">
        <w:rPr>
          <w:noProof/>
          <w:sz w:val="20"/>
        </w:rPr>
        <w:t>A Bizottság (EU) 2021/2178 felhatalmazáson alapuló rendelete (2021. július 6.) az (EU) 2020/852 európai parlamenti és tanácsi rendeletnek a 2013/34/EU irányelv 19a. vagy 29a. cikkének hatálya alá tartozó vállalkozások által a környezeti szempontból fenntartható gazdasági tevékenységekre vonatkozóan közzéteendő információk tartalmának és megjelenítésének meghatározása, valamint az e közzétételi kötelezettségnek való megfelelés módszertanának meghatározása révén történő kiegészítéséről (HL L 443., 2021.12.10., 9. o.).”</w:t>
      </w:r>
    </w:p>
    <w:p w:rsidR="007F4F83" w:rsidRPr="00151186" w:rsidRDefault="006715EE" w:rsidP="006715EE">
      <w:pPr>
        <w:pStyle w:val="ManualNumPar1"/>
        <w:rPr>
          <w:noProof/>
        </w:rPr>
      </w:pPr>
      <w:r w:rsidRPr="006715EE">
        <w:t>2.</w:t>
      </w:r>
      <w:r w:rsidRPr="006715EE">
        <w:tab/>
      </w:r>
      <w:r w:rsidR="00921483" w:rsidRPr="00151186">
        <w:rPr>
          <w:noProof/>
        </w:rPr>
        <w:t xml:space="preserve">E rendelet I. mellékletének szövege a XXXIX. mellékletként kerül beillesztésre. </w:t>
      </w:r>
    </w:p>
    <w:p w:rsidR="007F4F83" w:rsidRPr="00151186" w:rsidRDefault="006715EE" w:rsidP="006715EE">
      <w:pPr>
        <w:pStyle w:val="ManualNumPar1"/>
        <w:rPr>
          <w:noProof/>
        </w:rPr>
      </w:pPr>
      <w:r w:rsidRPr="006715EE">
        <w:t>3.</w:t>
      </w:r>
      <w:r w:rsidRPr="006715EE">
        <w:tab/>
      </w:r>
      <w:r w:rsidR="00921483" w:rsidRPr="00151186">
        <w:rPr>
          <w:noProof/>
        </w:rPr>
        <w:t>E rendelet II. mellékletének szövege a XL. mellékletként kerül beillesztésre.</w:t>
      </w:r>
    </w:p>
    <w:p w:rsidR="007F4F83" w:rsidRPr="00151186" w:rsidRDefault="007F4F83" w:rsidP="004046D9">
      <w:pPr>
        <w:pStyle w:val="Titrearticle"/>
        <w:rPr>
          <w:noProof/>
          <w:szCs w:val="24"/>
        </w:rPr>
      </w:pPr>
      <w:r w:rsidRPr="00151186">
        <w:rPr>
          <w:noProof/>
        </w:rPr>
        <w:t>2. cikk</w:t>
      </w:r>
    </w:p>
    <w:p w:rsidR="007F4F83" w:rsidRPr="00151186" w:rsidRDefault="007F4F83" w:rsidP="007F4F83">
      <w:pPr>
        <w:pStyle w:val="Titrearticle"/>
        <w:spacing w:before="120"/>
        <w:rPr>
          <w:b/>
          <w:i w:val="0"/>
          <w:noProof/>
          <w:szCs w:val="24"/>
        </w:rPr>
      </w:pPr>
      <w:r w:rsidRPr="00151186">
        <w:rPr>
          <w:b/>
          <w:i w:val="0"/>
          <w:noProof/>
        </w:rPr>
        <w:t>Hatálybalépés</w:t>
      </w:r>
    </w:p>
    <w:p w:rsidR="007F4F83" w:rsidRPr="00151186" w:rsidRDefault="007F4F83" w:rsidP="007F4F83">
      <w:pPr>
        <w:rPr>
          <w:noProof/>
          <w:color w:val="000000" w:themeColor="text1"/>
          <w:szCs w:val="24"/>
        </w:rPr>
      </w:pPr>
      <w:r w:rsidRPr="00151186">
        <w:rPr>
          <w:noProof/>
        </w:rPr>
        <w:t xml:space="preserve">Ez a rendelet az </w:t>
      </w:r>
      <w:r w:rsidRPr="00151186">
        <w:rPr>
          <w:i/>
          <w:noProof/>
        </w:rPr>
        <w:t>Európai Unió Hivatalos Lapjában</w:t>
      </w:r>
      <w:r w:rsidRPr="00151186">
        <w:rPr>
          <w:noProof/>
        </w:rPr>
        <w:t xml:space="preserve"> való kihirdetését követő huszadik napon lép hatályba.</w:t>
      </w:r>
      <w:r w:rsidRPr="00151186">
        <w:rPr>
          <w:noProof/>
          <w:color w:val="000000" w:themeColor="text1"/>
        </w:rPr>
        <w:t xml:space="preserve"> </w:t>
      </w:r>
    </w:p>
    <w:p w:rsidR="007F4F83" w:rsidRPr="00151186" w:rsidRDefault="007F4F83" w:rsidP="007F4F83">
      <w:pPr>
        <w:pStyle w:val="Applicationdirecte"/>
        <w:rPr>
          <w:noProof/>
          <w:color w:val="000000"/>
          <w:szCs w:val="24"/>
        </w:rPr>
      </w:pPr>
      <w:r w:rsidRPr="00151186">
        <w:rPr>
          <w:noProof/>
          <w:color w:val="000000"/>
        </w:rPr>
        <w:t>Ez a rendelet teljes egészében kötelező és közvetlenül alkalmazandó valamennyi tagállamban.</w:t>
      </w:r>
    </w:p>
    <w:p w:rsidR="003C122C" w:rsidRPr="00151186" w:rsidRDefault="007B2026" w:rsidP="00D53ACC">
      <w:pPr>
        <w:pStyle w:val="Fait"/>
        <w:rPr>
          <w:noProof/>
        </w:rPr>
      </w:pPr>
      <w:r w:rsidRPr="007B2026">
        <w:t>Kelt Brüsszelben, -án/-én. 2022.11.30.</w:t>
      </w:r>
    </w:p>
    <w:p w:rsidR="003C122C" w:rsidRPr="00151186" w:rsidRDefault="003C122C" w:rsidP="00D53ACC">
      <w:pPr>
        <w:pStyle w:val="Institutionquisigne"/>
        <w:rPr>
          <w:noProof/>
          <w:szCs w:val="24"/>
        </w:rPr>
      </w:pPr>
      <w:r w:rsidRPr="00151186">
        <w:rPr>
          <w:noProof/>
        </w:rPr>
        <w:tab/>
        <w:t>a Bizottság részéről</w:t>
      </w:r>
    </w:p>
    <w:p w:rsidR="00C32BCD" w:rsidRPr="00151186" w:rsidRDefault="00BD3453" w:rsidP="00D53ACC">
      <w:pPr>
        <w:pStyle w:val="Personnequisigne"/>
        <w:keepNext/>
        <w:rPr>
          <w:noProof/>
          <w:szCs w:val="24"/>
        </w:rPr>
      </w:pPr>
      <w:r>
        <w:tab/>
        <w:t>elnök</w:t>
      </w:r>
      <w:r>
        <w:br/>
      </w:r>
      <w:r>
        <w:tab/>
        <w:t>Ursula VON DER LEYEN</w:t>
      </w:r>
    </w:p>
    <w:p w:rsidR="00C32BCD" w:rsidRPr="00151186" w:rsidRDefault="00C32BCD" w:rsidP="00C32BCD">
      <w:pPr>
        <w:pStyle w:val="Personnequisigne"/>
        <w:rPr>
          <w:noProof/>
          <w:szCs w:val="24"/>
        </w:rPr>
      </w:pPr>
    </w:p>
    <w:sectPr w:rsidR="00C32BCD" w:rsidRPr="00151186" w:rsidSect="00C829DC">
      <w:footerReference w:type="default" r:id="rId10"/>
      <w:footerReference w:type="first" r:id="rId11"/>
      <w:pgSz w:w="11907" w:h="16839"/>
      <w:pgMar w:top="1134" w:right="1417" w:bottom="1134" w:left="1417" w:header="709"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5EBEA" w16cex:dateUtc="2022-06-16T15: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37DE51" w16cid:durableId="2655EBCB"/>
  <w16cid:commentId w16cid:paraId="7A29AA4B" w16cid:durableId="2655EBCC"/>
  <w16cid:commentId w16cid:paraId="3433952E" w16cid:durableId="2655EBCD"/>
  <w16cid:commentId w16cid:paraId="6EED3A3E" w16cid:durableId="2655EBCE"/>
  <w16cid:commentId w16cid:paraId="3EE02E5B" w16cid:durableId="2655EBCF"/>
  <w16cid:commentId w16cid:paraId="01A26344" w16cid:durableId="2655EBD0"/>
  <w16cid:commentId w16cid:paraId="39EDADD7" w16cid:durableId="2655EBD1"/>
  <w16cid:commentId w16cid:paraId="3AF162EE" w16cid:durableId="2628F6CF"/>
  <w16cid:commentId w16cid:paraId="6812BB0D" w16cid:durableId="2655EBD3"/>
  <w16cid:commentId w16cid:paraId="62E5038C" w16cid:durableId="2655EBD4"/>
  <w16cid:commentId w16cid:paraId="1F6C8177" w16cid:durableId="2655EBD5"/>
  <w16cid:commentId w16cid:paraId="0AE9DA68" w16cid:durableId="2655EBD6"/>
  <w16cid:commentId w16cid:paraId="596D06C5" w16cid:durableId="2628F6D1"/>
  <w16cid:commentId w16cid:paraId="46A9AA41" w16cid:durableId="2628F6D2"/>
  <w16cid:commentId w16cid:paraId="41CC9094" w16cid:durableId="2655EBD9"/>
  <w16cid:commentId w16cid:paraId="38880244" w16cid:durableId="2655EBDA"/>
  <w16cid:commentId w16cid:paraId="411E34EB" w16cid:durableId="2655EBDB"/>
  <w16cid:commentId w16cid:paraId="40899BBD" w16cid:durableId="2655EBEA"/>
  <w16cid:commentId w16cid:paraId="75EFCE6B" w16cid:durableId="2655EBDC"/>
  <w16cid:commentId w16cid:paraId="4EBEEE40" w16cid:durableId="2655EBDD"/>
  <w16cid:commentId w16cid:paraId="5ED79B6F" w16cid:durableId="2628F6D4"/>
  <w16cid:commentId w16cid:paraId="591736CE" w16cid:durableId="2655EBDF"/>
  <w16cid:commentId w16cid:paraId="1072DCD9" w16cid:durableId="2628F6D5"/>
  <w16cid:commentId w16cid:paraId="025BC4FA" w16cid:durableId="2655EBE1"/>
  <w16cid:commentId w16cid:paraId="218F3D69" w16cid:durableId="2628F6D6"/>
  <w16cid:commentId w16cid:paraId="0D916AAE" w16cid:durableId="2655EBE3"/>
  <w16cid:commentId w16cid:paraId="0F33B10D" w16cid:durableId="2628F6D7"/>
  <w16cid:commentId w16cid:paraId="01546E2B" w16cid:durableId="2655EBE5"/>
  <w16cid:commentId w16cid:paraId="44509D12" w16cid:durableId="2628F6D9"/>
  <w16cid:commentId w16cid:paraId="06BE4C89" w16cid:durableId="2655EBE7"/>
  <w16cid:commentId w16cid:paraId="63A690CE" w16cid:durableId="2628F6DA"/>
  <w16cid:commentId w16cid:paraId="268A51E3" w16cid:durableId="2655EBE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F55" w:rsidRDefault="004C7F55" w:rsidP="003C122C">
      <w:pPr>
        <w:spacing w:before="0" w:after="0"/>
      </w:pPr>
      <w:r>
        <w:separator/>
      </w:r>
    </w:p>
  </w:endnote>
  <w:endnote w:type="continuationSeparator" w:id="0">
    <w:p w:rsidR="004C7F55" w:rsidRDefault="004C7F55" w:rsidP="003C12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6ED" w:rsidRPr="00C829DC" w:rsidRDefault="00C829DC" w:rsidP="00C829DC">
    <w:pPr>
      <w:pStyle w:val="Footer"/>
      <w:rPr>
        <w:rFonts w:ascii="Arial" w:hAnsi="Arial" w:cs="Arial"/>
        <w:b/>
        <w:sz w:val="48"/>
      </w:rPr>
    </w:pPr>
    <w:r w:rsidRPr="00C829DC">
      <w:rPr>
        <w:rFonts w:ascii="Arial" w:hAnsi="Arial" w:cs="Arial"/>
        <w:b/>
        <w:sz w:val="48"/>
      </w:rPr>
      <w:t>HU</w:t>
    </w:r>
    <w:r w:rsidRPr="00C829DC">
      <w:rPr>
        <w:rFonts w:ascii="Arial" w:hAnsi="Arial" w:cs="Arial"/>
        <w:b/>
        <w:sz w:val="48"/>
      </w:rPr>
      <w:tab/>
    </w:r>
    <w:r w:rsidRPr="00C829DC">
      <w:rPr>
        <w:rFonts w:ascii="Arial" w:hAnsi="Arial" w:cs="Arial"/>
        <w:b/>
        <w:sz w:val="48"/>
      </w:rPr>
      <w:tab/>
    </w:r>
    <w:r w:rsidRPr="00C829DC">
      <w:tab/>
    </w:r>
    <w:r w:rsidRPr="00C829DC">
      <w:rPr>
        <w:rFonts w:ascii="Arial" w:hAnsi="Arial" w:cs="Arial"/>
        <w:b/>
        <w:sz w:val="48"/>
      </w:rPr>
      <w:t>HU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9DC" w:rsidRPr="00C829DC" w:rsidRDefault="00C829DC" w:rsidP="00C829DC">
    <w:pPr>
      <w:pStyle w:val="Footer"/>
      <w:rPr>
        <w:rFonts w:ascii="Arial" w:hAnsi="Arial" w:cs="Arial"/>
        <w:b/>
        <w:sz w:val="48"/>
      </w:rPr>
    </w:pPr>
    <w:r w:rsidRPr="00C829DC">
      <w:rPr>
        <w:rFonts w:ascii="Arial" w:hAnsi="Arial" w:cs="Arial"/>
        <w:b/>
        <w:sz w:val="48"/>
      </w:rPr>
      <w:t>HU</w:t>
    </w:r>
    <w:r w:rsidRPr="00C829DC">
      <w:rPr>
        <w:rFonts w:ascii="Arial" w:hAnsi="Arial" w:cs="Arial"/>
        <w:b/>
        <w:sz w:val="48"/>
      </w:rPr>
      <w:tab/>
    </w:r>
    <w:r>
      <w:fldChar w:fldCharType="begin"/>
    </w:r>
    <w:r>
      <w:instrText xml:space="preserve"> PAGE  \* MERGEFORMAT </w:instrText>
    </w:r>
    <w:r>
      <w:fldChar w:fldCharType="separate"/>
    </w:r>
    <w:r w:rsidR="00D53ACC">
      <w:rPr>
        <w:noProof/>
      </w:rPr>
      <w:t>5</w:t>
    </w:r>
    <w:r>
      <w:fldChar w:fldCharType="end"/>
    </w:r>
    <w:r>
      <w:tab/>
    </w:r>
    <w:r w:rsidRPr="00C829DC">
      <w:tab/>
    </w:r>
    <w:r w:rsidRPr="00C829DC">
      <w:rPr>
        <w:rFonts w:ascii="Arial" w:hAnsi="Arial" w:cs="Arial"/>
        <w:b/>
        <w:sz w:val="48"/>
      </w:rPr>
      <w:t>HU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9DC" w:rsidRPr="00C829DC" w:rsidRDefault="00C829DC" w:rsidP="00C829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F55" w:rsidRDefault="004C7F55" w:rsidP="003C122C">
      <w:pPr>
        <w:spacing w:before="0" w:after="0"/>
      </w:pPr>
      <w:r>
        <w:separator/>
      </w:r>
    </w:p>
  </w:footnote>
  <w:footnote w:type="continuationSeparator" w:id="0">
    <w:p w:rsidR="004C7F55" w:rsidRDefault="004C7F55" w:rsidP="003C122C">
      <w:pPr>
        <w:spacing w:before="0" w:after="0"/>
      </w:pPr>
      <w:r>
        <w:continuationSeparator/>
      </w:r>
    </w:p>
  </w:footnote>
  <w:footnote w:id="1">
    <w:p w:rsidR="003C122C" w:rsidRPr="007067A9" w:rsidRDefault="003C122C" w:rsidP="003C122C">
      <w:pPr>
        <w:pStyle w:val="FootnoteText"/>
      </w:pPr>
      <w:r>
        <w:rPr>
          <w:rStyle w:val="FootnoteReference"/>
        </w:rPr>
        <w:footnoteRef/>
      </w:r>
      <w:r>
        <w:tab/>
        <w:t>HL L 176., 2013.6.27., 1. o.</w:t>
      </w:r>
    </w:p>
  </w:footnote>
  <w:footnote w:id="2">
    <w:p w:rsidR="007067A9" w:rsidRPr="00FC42BE" w:rsidRDefault="007067A9" w:rsidP="007067A9">
      <w:pPr>
        <w:pStyle w:val="FootnoteText"/>
      </w:pPr>
      <w:r>
        <w:rPr>
          <w:rStyle w:val="FootnoteReference"/>
        </w:rPr>
        <w:footnoteRef/>
      </w:r>
      <w:r>
        <w:tab/>
        <w:t>A Bizottság (EU) 2021/637 végrehajtási rendelete (2021. március 15.) az 575/2013/EU európai parlamenti és tanácsi rendelet nyolcadik részének II. és III. címében említett információk intézmények általi nyilvánosságra hozatala tekintetében végrehajtás-technikai standardok meghatározásáról, valamint az 1423/2013/EU bizottsági végrehajtási rendelet, az (EU) 2015/1555 felhatalmazáson alapuló bizottsági rendelet, az (EU) 2016/200 bizottsági végrehajtási rendelet és az (EU) 2017/2295 felhatalmazáson alapuló bizottsági rendelet hatályon kívül helyezéséről (HL L 136., 2021.4.21., 1. o.).</w:t>
      </w:r>
    </w:p>
  </w:footnote>
  <w:footnote w:id="3">
    <w:p w:rsidR="007067A9" w:rsidRPr="007067A9" w:rsidRDefault="007067A9" w:rsidP="007067A9">
      <w:pPr>
        <w:pStyle w:val="FootnoteText"/>
      </w:pPr>
      <w:r>
        <w:rPr>
          <w:rStyle w:val="FootnoteReference"/>
        </w:rPr>
        <w:footnoteRef/>
      </w:r>
      <w:r>
        <w:tab/>
        <w:t>Az Európai Parlament és a Tanács (EU) 2019/876 rendelete (2019. május 20.) az 575/2013/EU rendeletnek a tőkeáttételi mutató, a nettó stabil forrásellátottsági ráta, a szavatolótőkére és a leírható, illetve átalakítható kötelezettségekre vonatkozó követelmények, a partnerkockázat, a piaci kockázat, a központi szerződő felekkel szembeni kitettségek, a kollektív befektetési formákkal szembeni kitettségek, a nagykockázat-vállalások és az adatszolgáltatási és nyilvánosságra hozatali követelmények tekintetében történő módosításáról, valamint a 648/2012/EU rendelet módosításáról (HL L 150., 2019.6.7., 1. o.).</w:t>
      </w:r>
    </w:p>
  </w:footnote>
  <w:footnote w:id="4">
    <w:p w:rsidR="00410340" w:rsidRPr="007067A9" w:rsidRDefault="00410340" w:rsidP="008B3E83">
      <w:pPr>
        <w:pStyle w:val="FootnoteText"/>
      </w:pPr>
      <w:r>
        <w:rPr>
          <w:rStyle w:val="FootnoteReference"/>
        </w:rPr>
        <w:footnoteRef/>
      </w:r>
      <w:r>
        <w:tab/>
        <w:t>Az Európai Parlament és a Tanács (EU) 2020/852 rendelete (2020. június 18.) a fenntartható befektetések előmozdítását célzó keret létrehozásáról, valamint az (EU) 2019/2088 rendelet módosításáról (HL L 198., 2020.6.22., 13. o.).</w:t>
      </w:r>
    </w:p>
  </w:footnote>
  <w:footnote w:id="5">
    <w:p w:rsidR="00410340" w:rsidRPr="007067A9" w:rsidRDefault="00410340" w:rsidP="008B3E83">
      <w:pPr>
        <w:pStyle w:val="FootnoteText"/>
        <w:rPr>
          <w:i/>
        </w:rPr>
      </w:pPr>
      <w:r>
        <w:rPr>
          <w:rStyle w:val="FootnoteReference"/>
        </w:rPr>
        <w:footnoteRef/>
      </w:r>
      <w:r>
        <w:tab/>
        <w:t>A Bizottság (EU) 2020/1818 felhatalmazáson alapuló rendelete (2020. július 17.) az (EU) 2016/1011 európai parlamenti és tanácsi rendeletnek az uniós éghajlatváltozási referenciamutatókra és a Párizsi Megállapodáshoz igazodó uniós referenciamutatókra vonatkozó minimumszabályok tekintetében történő kiegészítéséről (HL L 406., 2020.12.3., 17. o.).</w:t>
      </w:r>
    </w:p>
  </w:footnote>
  <w:footnote w:id="6">
    <w:p w:rsidR="00410340" w:rsidRPr="007067A9" w:rsidRDefault="00410340" w:rsidP="008B3E83">
      <w:pPr>
        <w:pStyle w:val="FootnoteText"/>
        <w:rPr>
          <w:color w:val="444444"/>
        </w:rPr>
      </w:pPr>
      <w:r>
        <w:rPr>
          <w:rStyle w:val="FootnoteReference"/>
        </w:rPr>
        <w:footnoteRef/>
      </w:r>
      <w:r>
        <w:tab/>
        <w:t>Az Európai Parlament és a Tanács  2010/31/EU irányelve (2010. május 19.) az épületek energiahatékonyságáról (HL L 153., 2010.6.18., 13. o.).</w:t>
      </w:r>
    </w:p>
  </w:footnote>
  <w:footnote w:id="7">
    <w:p w:rsidR="00135CD4" w:rsidRPr="00135CD4" w:rsidRDefault="00135CD4" w:rsidP="00135CD4">
      <w:pPr>
        <w:pStyle w:val="FootnoteText"/>
      </w:pPr>
      <w:r>
        <w:rPr>
          <w:rStyle w:val="FootnoteReference"/>
        </w:rPr>
        <w:footnoteRef/>
      </w:r>
      <w:r>
        <w:tab/>
        <w:t>Az Európai Parlament és a Tanács 2013/34/EU irányelve (2013. június 26.) 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(HL L 182., 2013.6.29., 19. o.).</w:t>
      </w:r>
    </w:p>
  </w:footnote>
  <w:footnote w:id="8">
    <w:p w:rsidR="00410340" w:rsidRPr="007067A9" w:rsidRDefault="00410340" w:rsidP="00410340">
      <w:pPr>
        <w:pStyle w:val="FootnoteText"/>
      </w:pPr>
      <w:r>
        <w:rPr>
          <w:rStyle w:val="FootnoteReference"/>
        </w:rPr>
        <w:footnoteRef/>
      </w:r>
      <w:r>
        <w:tab/>
        <w:t>Az Európai Parlament és a Tanács 1093/2010/EU rendelete (2010. november 24.) az európai felügyeleti hatóság (Európai Bankhatóság) létrehozásáról, a 716/2009/EK határozat módosításáról és a 2009/78/EK bizottsági határozat hatályon kívül helyezéséről (HL L 331., 2010.12.15., 12. 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986377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9F0D1A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2082C4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45AAF27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F94EE60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6104F90"/>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25C65D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FE8499E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6947"/>
        </w:tabs>
        <w:ind w:left="6947" w:hanging="28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7"/>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4"/>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21"/>
  </w:num>
  <w:num w:numId="18">
    <w:abstractNumId w:val="13"/>
  </w:num>
  <w:num w:numId="19">
    <w:abstractNumId w:val="23"/>
  </w:num>
  <w:num w:numId="20">
    <w:abstractNumId w:val="11"/>
  </w:num>
  <w:num w:numId="21">
    <w:abstractNumId w:val="14"/>
  </w:num>
  <w:num w:numId="22">
    <w:abstractNumId w:val="15"/>
  </w:num>
  <w:num w:numId="23">
    <w:abstractNumId w:val="9"/>
  </w:num>
  <w:num w:numId="24">
    <w:abstractNumId w:val="22"/>
  </w:num>
  <w:num w:numId="25">
    <w:abstractNumId w:val="8"/>
  </w:num>
  <w:num w:numId="26">
    <w:abstractNumId w:val="16"/>
  </w:num>
  <w:num w:numId="27">
    <w:abstractNumId w:val="19"/>
  </w:num>
  <w:num w:numId="28">
    <w:abstractNumId w:val="20"/>
  </w:num>
  <w:num w:numId="29">
    <w:abstractNumId w:val="10"/>
  </w:num>
  <w:num w:numId="30">
    <w:abstractNumId w:val="18"/>
  </w:num>
  <w:num w:numId="31">
    <w:abstractNumId w:val="24"/>
  </w:num>
  <w:num w:numId="32">
    <w:abstractNumId w:val="21"/>
  </w:num>
  <w:num w:numId="33">
    <w:abstractNumId w:val="13"/>
  </w:num>
  <w:num w:numId="34">
    <w:abstractNumId w:val="23"/>
  </w:num>
  <w:num w:numId="35">
    <w:abstractNumId w:val="11"/>
  </w:num>
  <w:num w:numId="36">
    <w:abstractNumId w:val="14"/>
  </w:num>
  <w:num w:numId="37">
    <w:abstractNumId w:val="15"/>
  </w:num>
  <w:num w:numId="38">
    <w:abstractNumId w:val="9"/>
  </w:num>
  <w:num w:numId="39">
    <w:abstractNumId w:val="22"/>
  </w:num>
  <w:num w:numId="40">
    <w:abstractNumId w:val="8"/>
  </w:num>
  <w:num w:numId="41">
    <w:abstractNumId w:val="16"/>
  </w:num>
  <w:num w:numId="42">
    <w:abstractNumId w:val="19"/>
  </w:num>
  <w:num w:numId="43">
    <w:abstractNumId w:val="20"/>
  </w:num>
  <w:num w:numId="44">
    <w:abstractNumId w:val="10"/>
  </w:num>
  <w:num w:numId="45">
    <w:abstractNumId w:val="18"/>
  </w:num>
  <w:num w:numId="46">
    <w:abstractNumId w:val="24"/>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attachedTemplate r:id="rId1"/>
  <w:revisionView w:markup="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2-11-27 19:32:56"/>
    <w:docVar w:name="DQCNUMB_1" w:val="33"/>
    <w:docVar w:name="DQCNUMB_2" w:val="34"/>
    <w:docVar w:name="DQCNUMB_3" w:val="35"/>
    <w:docVar w:name="DQCNUMB_4" w:val="30"/>
    <w:docVar w:name="DQCNUMB_5" w:val="31"/>
    <w:docVar w:name="DQCNUMB_6" w:val="32"/>
    <w:docVar w:name="DQCNUMB_7" w:val="44"/>
    <w:docVar w:name="DQCNUMB_8" w:val="45"/>
    <w:docVar w:name="DQCNUMB_9" w:val="4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32737251-C3C5-4C69-B884-0FCF307809A5"/>
    <w:docVar w:name="LW_COVERPAGE_TYPE" w:val="1"/>
    <w:docVar w:name="LW_CROSSREFERENCE" w:val="&lt;UNUSED&gt;"/>
    <w:docVar w:name="LW_DATE.ADOPT.CP" w:val="(2022.11.30.)"/>
    <w:docVar w:name="LW_DATE.ADOPT.CP_DATEFORMAT" w:val="(%DATE%)"/>
    <w:docVar w:name="LW_DATE.ADOPT.CP_ISODATE" w:val="2022-11-30"/>
    <w:docVar w:name="LW_DocType" w:val="COM"/>
    <w:docVar w:name="LW_EMISSION" w:val="2022.11.30."/>
    <w:docVar w:name="LW_EMISSION_ISODATE" w:val="2022-11-30"/>
    <w:docVar w:name="LW_EMISSION_LOCATION" w:val="BRX"/>
    <w:docVar w:name="LW_EMISSION_PREFIX" w:val="Brüsszel, "/>
    <w:docVar w:name="LW_EMISSION_SUFFIX" w:val=" "/>
    <w:docVar w:name="LW_ID_DOCMODEL" w:val="SJ-004"/>
    <w:docVar w:name="LW_ID_DOCSIGNATURE" w:val="SJ-004"/>
    <w:docVar w:name="LW_ID_DOCSTRUCTURE" w:val="COM/AA"/>
    <w:docVar w:name="LW_ID_DOCTYPE" w:val="SJ-004"/>
    <w:docVar w:name="LW_INTERETEEE.CP" w:val="(EGT-vonatkozású szöveg)"/>
    <w:docVar w:name="LW_LANGUE" w:val="HU"/>
    <w:docVar w:name="LW_LANGUESFAISANTFOI.CP" w:val="&lt;UNUSED&gt;"/>
    <w:docVar w:name="LW_LEVEL_OF_SENSITIVITY" w:val="Standard treatment"/>
    <w:docVar w:name="LW_NOM.INST" w:val="EURÓPAI BIZOTTSÁG"/>
    <w:docVar w:name="LW_NOM.INST_JOINTDOC" w:val="&lt;EMPTY&gt;"/>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z (EU) 2021/637 végrehajtási rendeletben meghatározott végrehajtás-technikai standardoknak a környezeti, társadalmi és irányítási kockázatok nyilvánosságra hozatala tekintetében történő módosításáról _x000b_"/>
    <w:docVar w:name="LW_TYPE.DOC.CP" w:val="A BIZOTTSÁG (EU) .../... VÉGREHAJTÁSI RENDELETE"/>
    <w:docVar w:name="LwApiVersions" w:val="LW4CoDe 1.23.2.0; LW 8.0, Build 20211117"/>
  </w:docVars>
  <w:rsids>
    <w:rsidRoot w:val="003C122C"/>
    <w:rsid w:val="000057BA"/>
    <w:rsid w:val="00012369"/>
    <w:rsid w:val="00013965"/>
    <w:rsid w:val="00014B2C"/>
    <w:rsid w:val="000163E0"/>
    <w:rsid w:val="00022FD2"/>
    <w:rsid w:val="00024AB1"/>
    <w:rsid w:val="000337EA"/>
    <w:rsid w:val="0004104A"/>
    <w:rsid w:val="0006070A"/>
    <w:rsid w:val="00066156"/>
    <w:rsid w:val="00083B2C"/>
    <w:rsid w:val="00086FAB"/>
    <w:rsid w:val="00092C7C"/>
    <w:rsid w:val="000941B5"/>
    <w:rsid w:val="00095049"/>
    <w:rsid w:val="000A39E5"/>
    <w:rsid w:val="000A7517"/>
    <w:rsid w:val="000B1F8E"/>
    <w:rsid w:val="000B76A4"/>
    <w:rsid w:val="000C0D47"/>
    <w:rsid w:val="000E198E"/>
    <w:rsid w:val="000F3F2A"/>
    <w:rsid w:val="000F5934"/>
    <w:rsid w:val="00103B22"/>
    <w:rsid w:val="0011495F"/>
    <w:rsid w:val="0011563A"/>
    <w:rsid w:val="00135CD4"/>
    <w:rsid w:val="00145996"/>
    <w:rsid w:val="00151186"/>
    <w:rsid w:val="00154CCD"/>
    <w:rsid w:val="001645DB"/>
    <w:rsid w:val="00184181"/>
    <w:rsid w:val="001844EE"/>
    <w:rsid w:val="001904B5"/>
    <w:rsid w:val="001A327A"/>
    <w:rsid w:val="001B18A5"/>
    <w:rsid w:val="001B1CE9"/>
    <w:rsid w:val="001B7BF1"/>
    <w:rsid w:val="001C015A"/>
    <w:rsid w:val="001C2816"/>
    <w:rsid w:val="001E4D6F"/>
    <w:rsid w:val="001E62ED"/>
    <w:rsid w:val="001F0712"/>
    <w:rsid w:val="001F230A"/>
    <w:rsid w:val="001F4DF3"/>
    <w:rsid w:val="002114F8"/>
    <w:rsid w:val="00225284"/>
    <w:rsid w:val="00227B00"/>
    <w:rsid w:val="002314F6"/>
    <w:rsid w:val="00232E98"/>
    <w:rsid w:val="00236D1F"/>
    <w:rsid w:val="00244967"/>
    <w:rsid w:val="0024497F"/>
    <w:rsid w:val="002522BC"/>
    <w:rsid w:val="002815D4"/>
    <w:rsid w:val="00282860"/>
    <w:rsid w:val="00286E16"/>
    <w:rsid w:val="002B16C1"/>
    <w:rsid w:val="002C526A"/>
    <w:rsid w:val="002D1236"/>
    <w:rsid w:val="002E6EC7"/>
    <w:rsid w:val="00301900"/>
    <w:rsid w:val="00303A4B"/>
    <w:rsid w:val="0031532F"/>
    <w:rsid w:val="00317925"/>
    <w:rsid w:val="00320A76"/>
    <w:rsid w:val="00320B78"/>
    <w:rsid w:val="003226A9"/>
    <w:rsid w:val="0032597F"/>
    <w:rsid w:val="003276ED"/>
    <w:rsid w:val="00331719"/>
    <w:rsid w:val="0033740A"/>
    <w:rsid w:val="00353D88"/>
    <w:rsid w:val="003578D1"/>
    <w:rsid w:val="00362239"/>
    <w:rsid w:val="00362C48"/>
    <w:rsid w:val="003965B3"/>
    <w:rsid w:val="00396F18"/>
    <w:rsid w:val="00397813"/>
    <w:rsid w:val="003A5DF1"/>
    <w:rsid w:val="003A6D93"/>
    <w:rsid w:val="003C122C"/>
    <w:rsid w:val="003C70D6"/>
    <w:rsid w:val="003D22F0"/>
    <w:rsid w:val="003D5E0A"/>
    <w:rsid w:val="003E1B7D"/>
    <w:rsid w:val="00401EB3"/>
    <w:rsid w:val="004046D9"/>
    <w:rsid w:val="00410340"/>
    <w:rsid w:val="0041104D"/>
    <w:rsid w:val="00413DA3"/>
    <w:rsid w:val="00414930"/>
    <w:rsid w:val="00414A4D"/>
    <w:rsid w:val="00436E6A"/>
    <w:rsid w:val="004376A0"/>
    <w:rsid w:val="004550A7"/>
    <w:rsid w:val="004A6F3E"/>
    <w:rsid w:val="004C0BD0"/>
    <w:rsid w:val="004C21A2"/>
    <w:rsid w:val="004C6D12"/>
    <w:rsid w:val="004C74A9"/>
    <w:rsid w:val="004C7F55"/>
    <w:rsid w:val="004D65D2"/>
    <w:rsid w:val="004E25CB"/>
    <w:rsid w:val="004E41D0"/>
    <w:rsid w:val="004F0D71"/>
    <w:rsid w:val="004F6722"/>
    <w:rsid w:val="004F6DF7"/>
    <w:rsid w:val="00500AC9"/>
    <w:rsid w:val="005103F2"/>
    <w:rsid w:val="00524ADC"/>
    <w:rsid w:val="00530E44"/>
    <w:rsid w:val="00541DBA"/>
    <w:rsid w:val="00543602"/>
    <w:rsid w:val="00547071"/>
    <w:rsid w:val="005708C3"/>
    <w:rsid w:val="005743BA"/>
    <w:rsid w:val="00592619"/>
    <w:rsid w:val="00592E05"/>
    <w:rsid w:val="00595146"/>
    <w:rsid w:val="005B177F"/>
    <w:rsid w:val="005B5751"/>
    <w:rsid w:val="005C5191"/>
    <w:rsid w:val="005D1193"/>
    <w:rsid w:val="005D2409"/>
    <w:rsid w:val="005E5AED"/>
    <w:rsid w:val="00635568"/>
    <w:rsid w:val="00635A91"/>
    <w:rsid w:val="00643DD1"/>
    <w:rsid w:val="006542E5"/>
    <w:rsid w:val="00657F0F"/>
    <w:rsid w:val="0066012A"/>
    <w:rsid w:val="006715EE"/>
    <w:rsid w:val="00674F39"/>
    <w:rsid w:val="00686BCA"/>
    <w:rsid w:val="0069084C"/>
    <w:rsid w:val="006973D8"/>
    <w:rsid w:val="006B71ED"/>
    <w:rsid w:val="006C171D"/>
    <w:rsid w:val="006D6422"/>
    <w:rsid w:val="006E41D9"/>
    <w:rsid w:val="006E5628"/>
    <w:rsid w:val="0070128F"/>
    <w:rsid w:val="00701EE8"/>
    <w:rsid w:val="007067A9"/>
    <w:rsid w:val="007117D9"/>
    <w:rsid w:val="00713F5B"/>
    <w:rsid w:val="00715E6A"/>
    <w:rsid w:val="0071695E"/>
    <w:rsid w:val="00720FE7"/>
    <w:rsid w:val="00723CCB"/>
    <w:rsid w:val="00732259"/>
    <w:rsid w:val="00732CCA"/>
    <w:rsid w:val="00737997"/>
    <w:rsid w:val="007438A8"/>
    <w:rsid w:val="00756CA3"/>
    <w:rsid w:val="00763A70"/>
    <w:rsid w:val="00782B92"/>
    <w:rsid w:val="00785CE7"/>
    <w:rsid w:val="00792229"/>
    <w:rsid w:val="007B2026"/>
    <w:rsid w:val="007C06F6"/>
    <w:rsid w:val="007C1792"/>
    <w:rsid w:val="007C6A9F"/>
    <w:rsid w:val="007D0388"/>
    <w:rsid w:val="007D62F0"/>
    <w:rsid w:val="007D7DBC"/>
    <w:rsid w:val="007E26C3"/>
    <w:rsid w:val="007F4F83"/>
    <w:rsid w:val="007F5860"/>
    <w:rsid w:val="00804148"/>
    <w:rsid w:val="008062B5"/>
    <w:rsid w:val="00817B8F"/>
    <w:rsid w:val="00821D7F"/>
    <w:rsid w:val="00832DCF"/>
    <w:rsid w:val="00847287"/>
    <w:rsid w:val="00851060"/>
    <w:rsid w:val="0085437D"/>
    <w:rsid w:val="0086052B"/>
    <w:rsid w:val="00865DA1"/>
    <w:rsid w:val="0087679B"/>
    <w:rsid w:val="00884A61"/>
    <w:rsid w:val="008968D2"/>
    <w:rsid w:val="008B3E83"/>
    <w:rsid w:val="008B4EA1"/>
    <w:rsid w:val="008B6B70"/>
    <w:rsid w:val="008B7323"/>
    <w:rsid w:val="008C6F3B"/>
    <w:rsid w:val="008C705E"/>
    <w:rsid w:val="008D169C"/>
    <w:rsid w:val="008D2E23"/>
    <w:rsid w:val="008E08C7"/>
    <w:rsid w:val="008E44ED"/>
    <w:rsid w:val="008E7033"/>
    <w:rsid w:val="008E7D06"/>
    <w:rsid w:val="00905BE0"/>
    <w:rsid w:val="00911BBB"/>
    <w:rsid w:val="009172B1"/>
    <w:rsid w:val="00921483"/>
    <w:rsid w:val="00930B06"/>
    <w:rsid w:val="0093114D"/>
    <w:rsid w:val="00935E8E"/>
    <w:rsid w:val="0094232C"/>
    <w:rsid w:val="009461FD"/>
    <w:rsid w:val="00957D55"/>
    <w:rsid w:val="0096046C"/>
    <w:rsid w:val="00973740"/>
    <w:rsid w:val="00973E9E"/>
    <w:rsid w:val="00974379"/>
    <w:rsid w:val="009846A4"/>
    <w:rsid w:val="00986B33"/>
    <w:rsid w:val="00987AD5"/>
    <w:rsid w:val="00992A73"/>
    <w:rsid w:val="00994FD4"/>
    <w:rsid w:val="00995098"/>
    <w:rsid w:val="00996541"/>
    <w:rsid w:val="009A73D4"/>
    <w:rsid w:val="009B7138"/>
    <w:rsid w:val="009C5D3A"/>
    <w:rsid w:val="009D1FE3"/>
    <w:rsid w:val="009D6EB9"/>
    <w:rsid w:val="009E16FF"/>
    <w:rsid w:val="009E62A6"/>
    <w:rsid w:val="009F48FD"/>
    <w:rsid w:val="009F72A3"/>
    <w:rsid w:val="00A03A3E"/>
    <w:rsid w:val="00A11076"/>
    <w:rsid w:val="00A238D6"/>
    <w:rsid w:val="00A34057"/>
    <w:rsid w:val="00A41AD1"/>
    <w:rsid w:val="00A45F9D"/>
    <w:rsid w:val="00A525E2"/>
    <w:rsid w:val="00A6077E"/>
    <w:rsid w:val="00A61544"/>
    <w:rsid w:val="00A87925"/>
    <w:rsid w:val="00A97285"/>
    <w:rsid w:val="00AA5C69"/>
    <w:rsid w:val="00AA6403"/>
    <w:rsid w:val="00AA6D36"/>
    <w:rsid w:val="00AA7317"/>
    <w:rsid w:val="00AD2CD3"/>
    <w:rsid w:val="00AE332F"/>
    <w:rsid w:val="00AE60C7"/>
    <w:rsid w:val="00AF4467"/>
    <w:rsid w:val="00B00A6D"/>
    <w:rsid w:val="00B137D8"/>
    <w:rsid w:val="00B25755"/>
    <w:rsid w:val="00B37F85"/>
    <w:rsid w:val="00B45C88"/>
    <w:rsid w:val="00B555F4"/>
    <w:rsid w:val="00B667EA"/>
    <w:rsid w:val="00B75C81"/>
    <w:rsid w:val="00B76A3B"/>
    <w:rsid w:val="00B8705E"/>
    <w:rsid w:val="00B87C8F"/>
    <w:rsid w:val="00B90FD9"/>
    <w:rsid w:val="00B94522"/>
    <w:rsid w:val="00BB6E75"/>
    <w:rsid w:val="00BC21DD"/>
    <w:rsid w:val="00BD3453"/>
    <w:rsid w:val="00BE1E9F"/>
    <w:rsid w:val="00BE246D"/>
    <w:rsid w:val="00BF0A20"/>
    <w:rsid w:val="00BF17AA"/>
    <w:rsid w:val="00BF7813"/>
    <w:rsid w:val="00C0016D"/>
    <w:rsid w:val="00C24556"/>
    <w:rsid w:val="00C250DE"/>
    <w:rsid w:val="00C27859"/>
    <w:rsid w:val="00C30A6B"/>
    <w:rsid w:val="00C32BCD"/>
    <w:rsid w:val="00C436F2"/>
    <w:rsid w:val="00C43ADB"/>
    <w:rsid w:val="00C55C47"/>
    <w:rsid w:val="00C563F0"/>
    <w:rsid w:val="00C72EBC"/>
    <w:rsid w:val="00C73950"/>
    <w:rsid w:val="00C80003"/>
    <w:rsid w:val="00C829DC"/>
    <w:rsid w:val="00C90F4B"/>
    <w:rsid w:val="00C96986"/>
    <w:rsid w:val="00CA5E0A"/>
    <w:rsid w:val="00CA6131"/>
    <w:rsid w:val="00CB63D6"/>
    <w:rsid w:val="00CD2F69"/>
    <w:rsid w:val="00CD31F7"/>
    <w:rsid w:val="00CD7B29"/>
    <w:rsid w:val="00CF4110"/>
    <w:rsid w:val="00D00193"/>
    <w:rsid w:val="00D01D57"/>
    <w:rsid w:val="00D14E3E"/>
    <w:rsid w:val="00D1768F"/>
    <w:rsid w:val="00D23734"/>
    <w:rsid w:val="00D34B59"/>
    <w:rsid w:val="00D44382"/>
    <w:rsid w:val="00D53ACC"/>
    <w:rsid w:val="00D56C86"/>
    <w:rsid w:val="00D6695E"/>
    <w:rsid w:val="00D7007A"/>
    <w:rsid w:val="00D753AD"/>
    <w:rsid w:val="00D819E9"/>
    <w:rsid w:val="00DA20D3"/>
    <w:rsid w:val="00DA6EF2"/>
    <w:rsid w:val="00DB337F"/>
    <w:rsid w:val="00DC51F2"/>
    <w:rsid w:val="00DD0951"/>
    <w:rsid w:val="00DD4BB1"/>
    <w:rsid w:val="00DE6779"/>
    <w:rsid w:val="00E02264"/>
    <w:rsid w:val="00E16C32"/>
    <w:rsid w:val="00E20473"/>
    <w:rsid w:val="00E227DA"/>
    <w:rsid w:val="00E27B5B"/>
    <w:rsid w:val="00E57103"/>
    <w:rsid w:val="00E621E8"/>
    <w:rsid w:val="00E80A1C"/>
    <w:rsid w:val="00E84919"/>
    <w:rsid w:val="00EB425C"/>
    <w:rsid w:val="00EC304C"/>
    <w:rsid w:val="00EC548B"/>
    <w:rsid w:val="00ED20D7"/>
    <w:rsid w:val="00ED7891"/>
    <w:rsid w:val="00EE28B6"/>
    <w:rsid w:val="00EE7E36"/>
    <w:rsid w:val="00F007BC"/>
    <w:rsid w:val="00F170A6"/>
    <w:rsid w:val="00F20062"/>
    <w:rsid w:val="00F233CB"/>
    <w:rsid w:val="00F23798"/>
    <w:rsid w:val="00F45E0C"/>
    <w:rsid w:val="00F50B69"/>
    <w:rsid w:val="00F8179F"/>
    <w:rsid w:val="00F82E44"/>
    <w:rsid w:val="00F87C92"/>
    <w:rsid w:val="00F90B4C"/>
    <w:rsid w:val="00F92F24"/>
    <w:rsid w:val="00F93470"/>
    <w:rsid w:val="00FA40AE"/>
    <w:rsid w:val="00FB5D02"/>
    <w:rsid w:val="00FC42BE"/>
    <w:rsid w:val="00FD14DB"/>
    <w:rsid w:val="00FF14E9"/>
    <w:rsid w:val="00FF5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5D75711F-E1C8-47D3-A624-CE1780ED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hu-HU"/>
    </w:rPr>
  </w:style>
  <w:style w:type="paragraph" w:styleId="Heading1">
    <w:name w:val="heading 1"/>
    <w:basedOn w:val="Normal"/>
    <w:next w:val="Text1"/>
    <w:link w:val="Heading1Char"/>
    <w:uiPriority w:val="9"/>
    <w:qFormat/>
    <w:pPr>
      <w:keepNext/>
      <w:numPr>
        <w:numId w:val="3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F4F83"/>
    <w:rPr>
      <w:i/>
      <w:iCs/>
    </w:rPr>
  </w:style>
  <w:style w:type="paragraph" w:styleId="NormalWeb">
    <w:name w:val="Normal (Web)"/>
    <w:basedOn w:val="Normal"/>
    <w:uiPriority w:val="99"/>
    <w:unhideWhenUsed/>
    <w:rsid w:val="007F4F83"/>
    <w:pPr>
      <w:spacing w:before="100" w:beforeAutospacing="1" w:after="100" w:afterAutospacing="1"/>
      <w:jc w:val="left"/>
    </w:pPr>
    <w:rPr>
      <w:rFonts w:eastAsia="Times New Roman"/>
      <w:szCs w:val="24"/>
      <w:lang w:eastAsia="en-GB"/>
    </w:rPr>
  </w:style>
  <w:style w:type="paragraph" w:customStyle="1" w:styleId="numberedparagraph">
    <w:name w:val="numbered paragraph"/>
    <w:basedOn w:val="Normal"/>
    <w:qFormat/>
    <w:rsid w:val="007F4F83"/>
    <w:pPr>
      <w:numPr>
        <w:numId w:val="1"/>
      </w:numPr>
      <w:tabs>
        <w:tab w:val="clear" w:pos="6947"/>
        <w:tab w:val="num" w:pos="284"/>
      </w:tabs>
      <w:spacing w:before="240" w:line="276" w:lineRule="auto"/>
      <w:ind w:left="284"/>
    </w:pPr>
    <w:rPr>
      <w:rFonts w:asciiTheme="minorHAnsi" w:eastAsiaTheme="minorEastAsia" w:hAnsiTheme="minorHAnsi" w:cstheme="minorBidi"/>
      <w:sz w:val="22"/>
      <w:szCs w:val="24"/>
    </w:rPr>
  </w:style>
  <w:style w:type="paragraph" w:customStyle="1" w:styleId="sti-art">
    <w:name w:val="sti-art"/>
    <w:basedOn w:val="Normal"/>
    <w:rsid w:val="007F4F83"/>
    <w:pPr>
      <w:spacing w:before="100" w:beforeAutospacing="1" w:after="100" w:afterAutospacing="1"/>
      <w:jc w:val="left"/>
    </w:pPr>
    <w:rPr>
      <w:rFonts w:eastAsia="Times New Roman"/>
      <w:szCs w:val="24"/>
      <w:lang w:eastAsia="en-GB"/>
    </w:rPr>
  </w:style>
  <w:style w:type="paragraph" w:styleId="ListBullet">
    <w:name w:val="List Bullet"/>
    <w:basedOn w:val="Normal"/>
    <w:uiPriority w:val="99"/>
    <w:semiHidden/>
    <w:unhideWhenUsed/>
    <w:rsid w:val="001B7BF1"/>
    <w:pPr>
      <w:numPr>
        <w:numId w:val="2"/>
      </w:numPr>
      <w:contextualSpacing/>
    </w:pPr>
  </w:style>
  <w:style w:type="paragraph" w:styleId="ListBullet2">
    <w:name w:val="List Bullet 2"/>
    <w:basedOn w:val="Normal"/>
    <w:uiPriority w:val="99"/>
    <w:semiHidden/>
    <w:unhideWhenUsed/>
    <w:rsid w:val="001B7BF1"/>
    <w:pPr>
      <w:numPr>
        <w:numId w:val="3"/>
      </w:numPr>
      <w:contextualSpacing/>
    </w:pPr>
  </w:style>
  <w:style w:type="paragraph" w:styleId="ListBullet3">
    <w:name w:val="List Bullet 3"/>
    <w:basedOn w:val="Normal"/>
    <w:uiPriority w:val="99"/>
    <w:semiHidden/>
    <w:unhideWhenUsed/>
    <w:rsid w:val="001B7BF1"/>
    <w:pPr>
      <w:numPr>
        <w:numId w:val="4"/>
      </w:numPr>
      <w:contextualSpacing/>
    </w:pPr>
  </w:style>
  <w:style w:type="paragraph" w:styleId="ListBullet4">
    <w:name w:val="List Bullet 4"/>
    <w:basedOn w:val="Normal"/>
    <w:uiPriority w:val="99"/>
    <w:semiHidden/>
    <w:unhideWhenUsed/>
    <w:rsid w:val="001B7BF1"/>
    <w:pPr>
      <w:numPr>
        <w:numId w:val="5"/>
      </w:numPr>
      <w:contextualSpacing/>
    </w:pPr>
  </w:style>
  <w:style w:type="paragraph" w:styleId="Caption">
    <w:name w:val="caption"/>
    <w:basedOn w:val="Normal"/>
    <w:next w:val="Normal"/>
    <w:uiPriority w:val="35"/>
    <w:semiHidden/>
    <w:unhideWhenUsed/>
    <w:qFormat/>
    <w:rsid w:val="0011495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1495F"/>
    <w:pPr>
      <w:spacing w:after="0"/>
    </w:pPr>
  </w:style>
  <w:style w:type="paragraph" w:styleId="ListNumber">
    <w:name w:val="List Number"/>
    <w:basedOn w:val="Normal"/>
    <w:uiPriority w:val="99"/>
    <w:semiHidden/>
    <w:unhideWhenUsed/>
    <w:rsid w:val="0011495F"/>
    <w:pPr>
      <w:numPr>
        <w:numId w:val="6"/>
      </w:numPr>
      <w:contextualSpacing/>
    </w:pPr>
  </w:style>
  <w:style w:type="paragraph" w:styleId="ListNumber2">
    <w:name w:val="List Number 2"/>
    <w:basedOn w:val="Normal"/>
    <w:uiPriority w:val="99"/>
    <w:semiHidden/>
    <w:unhideWhenUsed/>
    <w:rsid w:val="0011495F"/>
    <w:pPr>
      <w:numPr>
        <w:numId w:val="7"/>
      </w:numPr>
      <w:contextualSpacing/>
    </w:pPr>
  </w:style>
  <w:style w:type="paragraph" w:styleId="ListNumber3">
    <w:name w:val="List Number 3"/>
    <w:basedOn w:val="Normal"/>
    <w:uiPriority w:val="99"/>
    <w:semiHidden/>
    <w:unhideWhenUsed/>
    <w:rsid w:val="0011495F"/>
    <w:pPr>
      <w:numPr>
        <w:numId w:val="8"/>
      </w:numPr>
      <w:contextualSpacing/>
    </w:pPr>
  </w:style>
  <w:style w:type="paragraph" w:styleId="ListNumber4">
    <w:name w:val="List Number 4"/>
    <w:basedOn w:val="Normal"/>
    <w:uiPriority w:val="99"/>
    <w:semiHidden/>
    <w:unhideWhenUsed/>
    <w:rsid w:val="0011495F"/>
    <w:pPr>
      <w:numPr>
        <w:numId w:val="9"/>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hu-HU"/>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524ADC"/>
    <w:rPr>
      <w:b/>
      <w:bCs/>
    </w:rPr>
  </w:style>
  <w:style w:type="character" w:customStyle="1" w:styleId="CommentSubjectChar">
    <w:name w:val="Comment Subject Char"/>
    <w:basedOn w:val="CommentTextChar"/>
    <w:link w:val="CommentSubject"/>
    <w:uiPriority w:val="99"/>
    <w:semiHidden/>
    <w:rsid w:val="00524ADC"/>
    <w:rPr>
      <w:rFonts w:ascii="Times New Roman" w:hAnsi="Times New Roman" w:cs="Times New Roman"/>
      <w:b/>
      <w:bCs/>
      <w:sz w:val="20"/>
      <w:szCs w:val="20"/>
      <w:lang w:val="hu-HU"/>
    </w:rPr>
  </w:style>
  <w:style w:type="character" w:styleId="Hyperlink">
    <w:name w:val="Hyperlink"/>
    <w:basedOn w:val="DefaultParagraphFont"/>
    <w:uiPriority w:val="99"/>
    <w:unhideWhenUsed/>
    <w:rsid w:val="00524ADC"/>
    <w:rPr>
      <w:color w:val="0000FF" w:themeColor="hyperlink"/>
      <w:u w:val="single"/>
    </w:rPr>
  </w:style>
  <w:style w:type="character" w:customStyle="1" w:styleId="UnresolvedMention1">
    <w:name w:val="Unresolved Mention1"/>
    <w:basedOn w:val="DefaultParagraphFont"/>
    <w:uiPriority w:val="99"/>
    <w:semiHidden/>
    <w:unhideWhenUsed/>
    <w:rsid w:val="00524ADC"/>
    <w:rPr>
      <w:color w:val="605E5C"/>
      <w:shd w:val="clear" w:color="auto" w:fill="E1DFDD"/>
    </w:rPr>
  </w:style>
  <w:style w:type="paragraph" w:styleId="ListParagraph">
    <w:name w:val="List Paragraph"/>
    <w:basedOn w:val="Normal"/>
    <w:uiPriority w:val="34"/>
    <w:qFormat/>
    <w:rsid w:val="004C6D12"/>
    <w:pPr>
      <w:ind w:left="720"/>
      <w:contextualSpacing/>
    </w:pPr>
  </w:style>
  <w:style w:type="paragraph" w:styleId="BalloonText">
    <w:name w:val="Balloon Text"/>
    <w:basedOn w:val="Normal"/>
    <w:link w:val="BalloonTextChar"/>
    <w:uiPriority w:val="99"/>
    <w:semiHidden/>
    <w:unhideWhenUsed/>
    <w:rsid w:val="000F593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934"/>
    <w:rPr>
      <w:rFonts w:ascii="Segoe UI" w:hAnsi="Segoe UI" w:cs="Segoe UI"/>
      <w:sz w:val="18"/>
      <w:szCs w:val="18"/>
      <w:lang w:val="hu-HU"/>
    </w:rPr>
  </w:style>
  <w:style w:type="paragraph" w:customStyle="1" w:styleId="title-article-norm">
    <w:name w:val="title-article-norm"/>
    <w:basedOn w:val="Normal"/>
    <w:rsid w:val="00F82E44"/>
    <w:pPr>
      <w:spacing w:before="100" w:beforeAutospacing="1" w:after="100" w:afterAutospacing="1"/>
      <w:jc w:val="left"/>
    </w:pPr>
    <w:rPr>
      <w:rFonts w:eastAsia="Times New Roman"/>
      <w:szCs w:val="24"/>
    </w:rPr>
  </w:style>
  <w:style w:type="paragraph" w:customStyle="1" w:styleId="stitle-article-norm">
    <w:name w:val="stitle-article-norm"/>
    <w:basedOn w:val="Normal"/>
    <w:rsid w:val="00F82E44"/>
    <w:pPr>
      <w:spacing w:before="100" w:beforeAutospacing="1" w:after="100" w:afterAutospacing="1"/>
      <w:jc w:val="left"/>
    </w:pPr>
    <w:rPr>
      <w:rFonts w:eastAsia="Times New Roman"/>
      <w:szCs w:val="24"/>
    </w:rPr>
  </w:style>
  <w:style w:type="paragraph" w:customStyle="1" w:styleId="norm">
    <w:name w:val="norm"/>
    <w:basedOn w:val="Normal"/>
    <w:rsid w:val="00F82E44"/>
    <w:pPr>
      <w:spacing w:before="100" w:beforeAutospacing="1" w:after="100" w:afterAutospacing="1"/>
      <w:jc w:val="left"/>
    </w:pPr>
    <w:rPr>
      <w:rFonts w:eastAsia="Times New Roman"/>
      <w:szCs w:val="24"/>
    </w:rPr>
  </w:style>
  <w:style w:type="character" w:styleId="FollowedHyperlink">
    <w:name w:val="FollowedHyperlink"/>
    <w:basedOn w:val="DefaultParagraphFont"/>
    <w:uiPriority w:val="99"/>
    <w:semiHidden/>
    <w:unhideWhenUsed/>
    <w:rsid w:val="000941B5"/>
    <w:rPr>
      <w:color w:val="800080" w:themeColor="followedHyperlink"/>
      <w:u w:val="single"/>
    </w:rPr>
  </w:style>
  <w:style w:type="paragraph" w:styleId="Revision">
    <w:name w:val="Revision"/>
    <w:hidden/>
    <w:uiPriority w:val="99"/>
    <w:semiHidden/>
    <w:rsid w:val="00AD2CD3"/>
    <w:pPr>
      <w:spacing w:after="0" w:line="240" w:lineRule="auto"/>
    </w:pPr>
    <w:rPr>
      <w:rFonts w:ascii="Times New Roman" w:hAnsi="Times New Roman" w:cs="Times New Roman"/>
      <w:sz w:val="24"/>
    </w:rPr>
  </w:style>
  <w:style w:type="paragraph" w:customStyle="1" w:styleId="LegalNumPar">
    <w:name w:val="LegalNumPar"/>
    <w:basedOn w:val="Normal"/>
    <w:rsid w:val="008C6F3B"/>
    <w:pPr>
      <w:numPr>
        <w:numId w:val="16"/>
      </w:numPr>
      <w:spacing w:line="360" w:lineRule="auto"/>
    </w:pPr>
  </w:style>
  <w:style w:type="paragraph" w:customStyle="1" w:styleId="LegalNumPar2">
    <w:name w:val="LegalNumPar2"/>
    <w:basedOn w:val="Normal"/>
    <w:rsid w:val="008C6F3B"/>
    <w:pPr>
      <w:numPr>
        <w:ilvl w:val="1"/>
        <w:numId w:val="16"/>
      </w:numPr>
      <w:spacing w:line="360" w:lineRule="auto"/>
    </w:pPr>
  </w:style>
  <w:style w:type="paragraph" w:customStyle="1" w:styleId="LegalNumPar3">
    <w:name w:val="LegalNumPar3"/>
    <w:basedOn w:val="Normal"/>
    <w:rsid w:val="008C6F3B"/>
    <w:pPr>
      <w:numPr>
        <w:ilvl w:val="2"/>
        <w:numId w:val="16"/>
      </w:numPr>
      <w:spacing w:line="360" w:lineRule="auto"/>
    </w:pPr>
  </w:style>
  <w:style w:type="paragraph" w:styleId="Header">
    <w:name w:val="header"/>
    <w:basedOn w:val="Normal"/>
    <w:link w:val="HeaderChar"/>
    <w:uiPriority w:val="99"/>
    <w:unhideWhenUsed/>
    <w:rsid w:val="00C829DC"/>
    <w:pPr>
      <w:tabs>
        <w:tab w:val="center" w:pos="4535"/>
        <w:tab w:val="right" w:pos="9071"/>
      </w:tabs>
      <w:spacing w:before="0"/>
    </w:pPr>
  </w:style>
  <w:style w:type="character" w:customStyle="1" w:styleId="HeaderChar">
    <w:name w:val="Header Char"/>
    <w:basedOn w:val="DefaultParagraphFont"/>
    <w:link w:val="Header"/>
    <w:uiPriority w:val="99"/>
    <w:rsid w:val="00C829DC"/>
    <w:rPr>
      <w:rFonts w:ascii="Times New Roman" w:hAnsi="Times New Roman" w:cs="Times New Roman"/>
      <w:sz w:val="24"/>
      <w:lang w:val="hu-HU"/>
    </w:rPr>
  </w:style>
  <w:style w:type="paragraph" w:styleId="Footer">
    <w:name w:val="footer"/>
    <w:basedOn w:val="Normal"/>
    <w:link w:val="FooterChar"/>
    <w:uiPriority w:val="99"/>
    <w:unhideWhenUsed/>
    <w:rsid w:val="00C829DC"/>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C829DC"/>
    <w:rPr>
      <w:rFonts w:ascii="Times New Roman" w:hAnsi="Times New Roman" w:cs="Times New Roman"/>
      <w:sz w:val="24"/>
      <w:lang w:val="hu-HU"/>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C829DC"/>
    <w:pPr>
      <w:tabs>
        <w:tab w:val="center" w:pos="7285"/>
        <w:tab w:val="right" w:pos="14003"/>
      </w:tabs>
      <w:spacing w:before="0"/>
    </w:pPr>
  </w:style>
  <w:style w:type="paragraph" w:customStyle="1" w:styleId="FooterLandscape">
    <w:name w:val="FooterLandscape"/>
    <w:basedOn w:val="Normal"/>
    <w:rsid w:val="00C829DC"/>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C829DC"/>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C829DC"/>
    <w:pPr>
      <w:spacing w:before="0"/>
      <w:jc w:val="right"/>
    </w:pPr>
    <w:rPr>
      <w:sz w:val="28"/>
    </w:rPr>
  </w:style>
  <w:style w:type="paragraph" w:customStyle="1" w:styleId="FooterSensitivity">
    <w:name w:val="Footer Sensitivity"/>
    <w:basedOn w:val="Normal"/>
    <w:rsid w:val="00C829DC"/>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32"/>
      </w:numPr>
    </w:pPr>
  </w:style>
  <w:style w:type="paragraph" w:customStyle="1" w:styleId="Tiret1">
    <w:name w:val="Tiret 1"/>
    <w:basedOn w:val="Point1"/>
    <w:pPr>
      <w:numPr>
        <w:numId w:val="33"/>
      </w:numPr>
    </w:pPr>
  </w:style>
  <w:style w:type="paragraph" w:customStyle="1" w:styleId="Tiret2">
    <w:name w:val="Tiret 2"/>
    <w:basedOn w:val="Point2"/>
    <w:pPr>
      <w:numPr>
        <w:numId w:val="34"/>
      </w:numPr>
    </w:pPr>
  </w:style>
  <w:style w:type="paragraph" w:customStyle="1" w:styleId="Tiret3">
    <w:name w:val="Tiret 3"/>
    <w:basedOn w:val="Point3"/>
    <w:pPr>
      <w:numPr>
        <w:numId w:val="35"/>
      </w:numPr>
    </w:pPr>
  </w:style>
  <w:style w:type="paragraph" w:customStyle="1" w:styleId="Tiret4">
    <w:name w:val="Tiret 4"/>
    <w:basedOn w:val="Point4"/>
    <w:pPr>
      <w:numPr>
        <w:numId w:val="36"/>
      </w:numPr>
    </w:pPr>
  </w:style>
  <w:style w:type="paragraph" w:customStyle="1" w:styleId="Tiret5">
    <w:name w:val="Tiret 5"/>
    <w:basedOn w:val="Point5"/>
    <w:pPr>
      <w:numPr>
        <w:numId w:val="3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8"/>
      </w:numPr>
    </w:pPr>
  </w:style>
  <w:style w:type="paragraph" w:customStyle="1" w:styleId="NumPar2">
    <w:name w:val="NumPar 2"/>
    <w:basedOn w:val="Normal"/>
    <w:next w:val="Text1"/>
    <w:pPr>
      <w:numPr>
        <w:ilvl w:val="1"/>
        <w:numId w:val="38"/>
      </w:numPr>
    </w:pPr>
  </w:style>
  <w:style w:type="paragraph" w:customStyle="1" w:styleId="NumPar3">
    <w:name w:val="NumPar 3"/>
    <w:basedOn w:val="Normal"/>
    <w:next w:val="Text1"/>
    <w:pPr>
      <w:numPr>
        <w:ilvl w:val="2"/>
        <w:numId w:val="38"/>
      </w:numPr>
    </w:pPr>
  </w:style>
  <w:style w:type="paragraph" w:customStyle="1" w:styleId="NumPar4">
    <w:name w:val="NumPar 4"/>
    <w:basedOn w:val="Normal"/>
    <w:next w:val="Text1"/>
    <w:pPr>
      <w:numPr>
        <w:ilvl w:val="3"/>
        <w:numId w:val="38"/>
      </w:numPr>
    </w:pPr>
  </w:style>
  <w:style w:type="paragraph" w:customStyle="1" w:styleId="NumPar5">
    <w:name w:val="NumPar 5"/>
    <w:basedOn w:val="Normal"/>
    <w:next w:val="Text2"/>
    <w:pPr>
      <w:numPr>
        <w:ilvl w:val="4"/>
        <w:numId w:val="38"/>
      </w:numPr>
    </w:pPr>
  </w:style>
  <w:style w:type="paragraph" w:customStyle="1" w:styleId="NumPar6">
    <w:name w:val="NumPar 6"/>
    <w:basedOn w:val="Normal"/>
    <w:next w:val="Text2"/>
    <w:pPr>
      <w:numPr>
        <w:ilvl w:val="5"/>
        <w:numId w:val="38"/>
      </w:numPr>
    </w:pPr>
  </w:style>
  <w:style w:type="paragraph" w:customStyle="1" w:styleId="NumPar7">
    <w:name w:val="NumPar 7"/>
    <w:basedOn w:val="Normal"/>
    <w:next w:val="Text2"/>
    <w:pPr>
      <w:numPr>
        <w:ilvl w:val="6"/>
        <w:numId w:val="3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40"/>
      </w:numPr>
    </w:pPr>
  </w:style>
  <w:style w:type="paragraph" w:customStyle="1" w:styleId="Point1number">
    <w:name w:val="Point 1 (number)"/>
    <w:basedOn w:val="Normal"/>
    <w:pPr>
      <w:numPr>
        <w:ilvl w:val="2"/>
        <w:numId w:val="40"/>
      </w:numPr>
    </w:pPr>
  </w:style>
  <w:style w:type="paragraph" w:customStyle="1" w:styleId="Point2number">
    <w:name w:val="Point 2 (number)"/>
    <w:basedOn w:val="Normal"/>
    <w:pPr>
      <w:numPr>
        <w:ilvl w:val="4"/>
        <w:numId w:val="40"/>
      </w:numPr>
    </w:pPr>
  </w:style>
  <w:style w:type="paragraph" w:customStyle="1" w:styleId="Point3number">
    <w:name w:val="Point 3 (number)"/>
    <w:basedOn w:val="Normal"/>
    <w:pPr>
      <w:numPr>
        <w:ilvl w:val="6"/>
        <w:numId w:val="40"/>
      </w:numPr>
    </w:pPr>
  </w:style>
  <w:style w:type="paragraph" w:customStyle="1" w:styleId="Point0letter">
    <w:name w:val="Point 0 (letter)"/>
    <w:basedOn w:val="Normal"/>
    <w:pPr>
      <w:numPr>
        <w:ilvl w:val="1"/>
        <w:numId w:val="40"/>
      </w:numPr>
    </w:pPr>
  </w:style>
  <w:style w:type="paragraph" w:customStyle="1" w:styleId="Point1letter">
    <w:name w:val="Point 1 (letter)"/>
    <w:basedOn w:val="Normal"/>
    <w:pPr>
      <w:numPr>
        <w:ilvl w:val="3"/>
        <w:numId w:val="40"/>
      </w:numPr>
    </w:pPr>
  </w:style>
  <w:style w:type="paragraph" w:customStyle="1" w:styleId="Point2letter">
    <w:name w:val="Point 2 (letter)"/>
    <w:basedOn w:val="Normal"/>
    <w:pPr>
      <w:numPr>
        <w:ilvl w:val="5"/>
        <w:numId w:val="40"/>
      </w:numPr>
    </w:pPr>
  </w:style>
  <w:style w:type="paragraph" w:customStyle="1" w:styleId="Point3letter">
    <w:name w:val="Point 3 (letter)"/>
    <w:basedOn w:val="Normal"/>
    <w:pPr>
      <w:numPr>
        <w:ilvl w:val="7"/>
        <w:numId w:val="40"/>
      </w:numPr>
    </w:pPr>
  </w:style>
  <w:style w:type="paragraph" w:customStyle="1" w:styleId="Point4letter">
    <w:name w:val="Point 4 (letter)"/>
    <w:basedOn w:val="Normal"/>
    <w:pPr>
      <w:numPr>
        <w:ilvl w:val="8"/>
        <w:numId w:val="40"/>
      </w:numPr>
    </w:pPr>
  </w:style>
  <w:style w:type="paragraph" w:customStyle="1" w:styleId="Bullet0">
    <w:name w:val="Bullet 0"/>
    <w:basedOn w:val="Normal"/>
    <w:pPr>
      <w:numPr>
        <w:numId w:val="41"/>
      </w:numPr>
    </w:pPr>
  </w:style>
  <w:style w:type="paragraph" w:customStyle="1" w:styleId="Bullet1">
    <w:name w:val="Bullet 1"/>
    <w:basedOn w:val="Normal"/>
    <w:pPr>
      <w:numPr>
        <w:numId w:val="42"/>
      </w:numPr>
    </w:pPr>
  </w:style>
  <w:style w:type="paragraph" w:customStyle="1" w:styleId="Bullet2">
    <w:name w:val="Bullet 2"/>
    <w:basedOn w:val="Normal"/>
    <w:pPr>
      <w:numPr>
        <w:numId w:val="43"/>
      </w:numPr>
    </w:pPr>
  </w:style>
  <w:style w:type="paragraph" w:customStyle="1" w:styleId="Bullet3">
    <w:name w:val="Bullet 3"/>
    <w:basedOn w:val="Normal"/>
    <w:pPr>
      <w:numPr>
        <w:numId w:val="44"/>
      </w:numPr>
    </w:pPr>
  </w:style>
  <w:style w:type="paragraph" w:customStyle="1" w:styleId="Bullet4">
    <w:name w:val="Bullet 4"/>
    <w:basedOn w:val="Normal"/>
    <w:pPr>
      <w:numPr>
        <w:numId w:val="4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50970">
      <w:bodyDiv w:val="1"/>
      <w:marLeft w:val="0"/>
      <w:marRight w:val="0"/>
      <w:marTop w:val="0"/>
      <w:marBottom w:val="0"/>
      <w:divBdr>
        <w:top w:val="none" w:sz="0" w:space="0" w:color="auto"/>
        <w:left w:val="none" w:sz="0" w:space="0" w:color="auto"/>
        <w:bottom w:val="none" w:sz="0" w:space="0" w:color="auto"/>
        <w:right w:val="none" w:sz="0" w:space="0" w:color="auto"/>
      </w:divBdr>
    </w:div>
    <w:div w:id="145704158">
      <w:bodyDiv w:val="1"/>
      <w:marLeft w:val="0"/>
      <w:marRight w:val="0"/>
      <w:marTop w:val="0"/>
      <w:marBottom w:val="0"/>
      <w:divBdr>
        <w:top w:val="none" w:sz="0" w:space="0" w:color="auto"/>
        <w:left w:val="none" w:sz="0" w:space="0" w:color="auto"/>
        <w:bottom w:val="none" w:sz="0" w:space="0" w:color="auto"/>
        <w:right w:val="none" w:sz="0" w:space="0" w:color="auto"/>
      </w:divBdr>
    </w:div>
    <w:div w:id="384329967">
      <w:bodyDiv w:val="1"/>
      <w:marLeft w:val="0"/>
      <w:marRight w:val="0"/>
      <w:marTop w:val="0"/>
      <w:marBottom w:val="0"/>
      <w:divBdr>
        <w:top w:val="none" w:sz="0" w:space="0" w:color="auto"/>
        <w:left w:val="none" w:sz="0" w:space="0" w:color="auto"/>
        <w:bottom w:val="none" w:sz="0" w:space="0" w:color="auto"/>
        <w:right w:val="none" w:sz="0" w:space="0" w:color="auto"/>
      </w:divBdr>
    </w:div>
    <w:div w:id="570048077">
      <w:bodyDiv w:val="1"/>
      <w:marLeft w:val="0"/>
      <w:marRight w:val="0"/>
      <w:marTop w:val="0"/>
      <w:marBottom w:val="0"/>
      <w:divBdr>
        <w:top w:val="none" w:sz="0" w:space="0" w:color="auto"/>
        <w:left w:val="none" w:sz="0" w:space="0" w:color="auto"/>
        <w:bottom w:val="none" w:sz="0" w:space="0" w:color="auto"/>
        <w:right w:val="none" w:sz="0" w:space="0" w:color="auto"/>
      </w:divBdr>
    </w:div>
    <w:div w:id="777216793">
      <w:bodyDiv w:val="1"/>
      <w:marLeft w:val="0"/>
      <w:marRight w:val="0"/>
      <w:marTop w:val="0"/>
      <w:marBottom w:val="0"/>
      <w:divBdr>
        <w:top w:val="none" w:sz="0" w:space="0" w:color="auto"/>
        <w:left w:val="none" w:sz="0" w:space="0" w:color="auto"/>
        <w:bottom w:val="none" w:sz="0" w:space="0" w:color="auto"/>
        <w:right w:val="none" w:sz="0" w:space="0" w:color="auto"/>
      </w:divBdr>
    </w:div>
    <w:div w:id="848913542">
      <w:bodyDiv w:val="1"/>
      <w:marLeft w:val="0"/>
      <w:marRight w:val="0"/>
      <w:marTop w:val="0"/>
      <w:marBottom w:val="0"/>
      <w:divBdr>
        <w:top w:val="none" w:sz="0" w:space="0" w:color="auto"/>
        <w:left w:val="none" w:sz="0" w:space="0" w:color="auto"/>
        <w:bottom w:val="none" w:sz="0" w:space="0" w:color="auto"/>
        <w:right w:val="none" w:sz="0" w:space="0" w:color="auto"/>
      </w:divBdr>
    </w:div>
    <w:div w:id="949556650">
      <w:bodyDiv w:val="1"/>
      <w:marLeft w:val="0"/>
      <w:marRight w:val="0"/>
      <w:marTop w:val="0"/>
      <w:marBottom w:val="0"/>
      <w:divBdr>
        <w:top w:val="none" w:sz="0" w:space="0" w:color="auto"/>
        <w:left w:val="none" w:sz="0" w:space="0" w:color="auto"/>
        <w:bottom w:val="none" w:sz="0" w:space="0" w:color="auto"/>
        <w:right w:val="none" w:sz="0" w:space="0" w:color="auto"/>
      </w:divBdr>
    </w:div>
    <w:div w:id="988944312">
      <w:bodyDiv w:val="1"/>
      <w:marLeft w:val="0"/>
      <w:marRight w:val="0"/>
      <w:marTop w:val="0"/>
      <w:marBottom w:val="0"/>
      <w:divBdr>
        <w:top w:val="none" w:sz="0" w:space="0" w:color="auto"/>
        <w:left w:val="none" w:sz="0" w:space="0" w:color="auto"/>
        <w:bottom w:val="none" w:sz="0" w:space="0" w:color="auto"/>
        <w:right w:val="none" w:sz="0" w:space="0" w:color="auto"/>
      </w:divBdr>
    </w:div>
    <w:div w:id="1156654337">
      <w:bodyDiv w:val="1"/>
      <w:marLeft w:val="0"/>
      <w:marRight w:val="0"/>
      <w:marTop w:val="0"/>
      <w:marBottom w:val="0"/>
      <w:divBdr>
        <w:top w:val="none" w:sz="0" w:space="0" w:color="auto"/>
        <w:left w:val="none" w:sz="0" w:space="0" w:color="auto"/>
        <w:bottom w:val="none" w:sz="0" w:space="0" w:color="auto"/>
        <w:right w:val="none" w:sz="0" w:space="0" w:color="auto"/>
      </w:divBdr>
    </w:div>
    <w:div w:id="1385711701">
      <w:bodyDiv w:val="1"/>
      <w:marLeft w:val="0"/>
      <w:marRight w:val="0"/>
      <w:marTop w:val="0"/>
      <w:marBottom w:val="0"/>
      <w:divBdr>
        <w:top w:val="none" w:sz="0" w:space="0" w:color="auto"/>
        <w:left w:val="none" w:sz="0" w:space="0" w:color="auto"/>
        <w:bottom w:val="none" w:sz="0" w:space="0" w:color="auto"/>
        <w:right w:val="none" w:sz="0" w:space="0" w:color="auto"/>
      </w:divBdr>
    </w:div>
    <w:div w:id="2122334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22EAFD-9F20-42C2-9950-BA0B7B3C9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15</TotalTime>
  <Pages>6</Pages>
  <Words>1538</Words>
  <Characters>11353</Characters>
  <Application>Microsoft Office Word</Application>
  <DocSecurity>0</DocSecurity>
  <Lines>195</Lines>
  <Paragraphs>59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47</cp:revision>
  <dcterms:created xsi:type="dcterms:W3CDTF">2022-10-28T13:10:00Z</dcterms:created>
  <dcterms:modified xsi:type="dcterms:W3CDTF">2022-11-27T18:32:00Z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8.1, Build 20220902</vt:lpwstr>
  </property>
  <property fmtid="{D5CDD505-2E9C-101B-9397-08002B2CF9AE}" pid="5" name="Part">
    <vt:lpwstr>1</vt:lpwstr>
  </property>
  <property fmtid="{D5CDD505-2E9C-101B-9397-08002B2CF9AE}" pid="6" name="Total parts">
    <vt:lpwstr>1</vt:lpwstr>
  </property>
  <property fmtid="{D5CDD505-2E9C-101B-9397-08002B2CF9AE}" pid="7" name="Level of sensitivity">
    <vt:lpwstr>Standard treatment</vt:lpwstr>
  </property>
  <property fmtid="{D5CDD505-2E9C-101B-9397-08002B2CF9AE}" pid="8" name="LWTemplateID">
    <vt:lpwstr>SJ-004</vt:lpwstr>
  </property>
  <property fmtid="{D5CDD505-2E9C-101B-9397-08002B2CF9AE}" pid="9" name="MSIP_Label_e66ba66e-8b7b-475b-ae81-4aab15d5f212_Enabled">
    <vt:lpwstr>true</vt:lpwstr>
  </property>
  <property fmtid="{D5CDD505-2E9C-101B-9397-08002B2CF9AE}" pid="10" name="MSIP_Label_e66ba66e-8b7b-475b-ae81-4aab15d5f212_SetDate">
    <vt:lpwstr>2022-01-19T13:29:43Z</vt:lpwstr>
  </property>
  <property fmtid="{D5CDD505-2E9C-101B-9397-08002B2CF9AE}" pid="11" name="MSIP_Label_e66ba66e-8b7b-475b-ae81-4aab15d5f212_Method">
    <vt:lpwstr>Privileged</vt:lpwstr>
  </property>
  <property fmtid="{D5CDD505-2E9C-101B-9397-08002B2CF9AE}" pid="12" name="MSIP_Label_e66ba66e-8b7b-475b-ae81-4aab15d5f212_Name">
    <vt:lpwstr>No Label</vt:lpwstr>
  </property>
  <property fmtid="{D5CDD505-2E9C-101B-9397-08002B2CF9AE}" pid="13" name="MSIP_Label_e66ba66e-8b7b-475b-ae81-4aab15d5f212_SiteId">
    <vt:lpwstr>3bacb4ff-f1a2-4c92-b96c-e99fec826b68</vt:lpwstr>
  </property>
  <property fmtid="{D5CDD505-2E9C-101B-9397-08002B2CF9AE}" pid="14" name="MSIP_Label_e66ba66e-8b7b-475b-ae81-4aab15d5f212_ActionId">
    <vt:lpwstr>c480b887-2e9a-4e7d-8134-419fc2e184a9</vt:lpwstr>
  </property>
  <property fmtid="{D5CDD505-2E9C-101B-9397-08002B2CF9AE}" pid="15" name="MSIP_Label_e66ba66e-8b7b-475b-ae81-4aab15d5f212_ContentBits">
    <vt:lpwstr>0</vt:lpwstr>
  </property>
  <property fmtid="{D5CDD505-2E9C-101B-9397-08002B2CF9AE}" pid="16" name="DQCStatus">
    <vt:lpwstr>Green (DQC version 03)</vt:lpwstr>
  </property>
</Properties>
</file>