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103B22" w:rsidRDefault="0028150B" w:rsidP="0028150B">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5F59499D-90A5-4E0C-8F50-97EEE6726FE3" style="width:455.25pt;height:399pt">
            <v:imagedata r:id="rId8" o:title=""/>
          </v:shape>
        </w:pict>
      </w:r>
    </w:p>
    <w:p w:rsidR="003C122C" w:rsidRPr="00103B22" w:rsidRDefault="003C122C">
      <w:pPr>
        <w:rPr>
          <w:noProof/>
        </w:rPr>
        <w:sectPr w:rsidR="003C122C" w:rsidRPr="00103B22" w:rsidSect="0028150B">
          <w:footerReference w:type="default" r:id="rId9"/>
          <w:pgSz w:w="11907" w:h="16839"/>
          <w:pgMar w:top="1134" w:right="1417" w:bottom="1134" w:left="1417" w:header="709" w:footer="709" w:gutter="0"/>
          <w:pgNumType w:start="0"/>
          <w:cols w:space="720"/>
          <w:docGrid w:linePitch="360"/>
        </w:sectPr>
      </w:pPr>
    </w:p>
    <w:p w:rsidR="003C122C" w:rsidRPr="00103B22" w:rsidRDefault="00C55C47" w:rsidP="00C55C47">
      <w:pPr>
        <w:pStyle w:val="Typedudocument"/>
        <w:rPr>
          <w:noProof/>
        </w:rPr>
      </w:pPr>
      <w:bookmarkStart w:id="0" w:name="_GoBack"/>
      <w:bookmarkEnd w:id="0"/>
      <w:r w:rsidRPr="00C55C47">
        <w:rPr>
          <w:noProof/>
        </w:rPr>
        <w:lastRenderedPageBreak/>
        <w:t>COMMISSION IMPLEMENTING REGULATION (EU) …/...</w:t>
      </w:r>
    </w:p>
    <w:p w:rsidR="003C122C" w:rsidRPr="00103B22" w:rsidRDefault="00903092" w:rsidP="00C55C47">
      <w:pPr>
        <w:pStyle w:val="Datedadoption"/>
        <w:rPr>
          <w:noProof/>
        </w:rPr>
      </w:pPr>
      <w:r>
        <w:t>of 30.11.2022</w:t>
      </w:r>
    </w:p>
    <w:p w:rsidR="003C122C" w:rsidRPr="00103B22" w:rsidRDefault="00C55C47" w:rsidP="00C55C47">
      <w:pPr>
        <w:pStyle w:val="Titreobjet"/>
        <w:rPr>
          <w:noProof/>
        </w:rPr>
      </w:pPr>
      <w:r w:rsidRPr="00C55C47">
        <w:rPr>
          <w:noProof/>
        </w:rPr>
        <w:t>amending the implementing technical standards laid down in Implementing Regulation (EU) 2021/637 as regards the disclosure of environmental, social and governance risks</w:t>
      </w:r>
      <w:r w:rsidRPr="00C55C47">
        <w:rPr>
          <w:noProof/>
        </w:rPr>
        <w:br/>
      </w:r>
    </w:p>
    <w:p w:rsidR="003C122C" w:rsidRPr="00103B22" w:rsidRDefault="00C55C47" w:rsidP="00C55C47">
      <w:pPr>
        <w:pStyle w:val="IntrtEEE"/>
        <w:rPr>
          <w:noProof/>
        </w:rPr>
      </w:pPr>
      <w:r w:rsidRPr="00C55C47">
        <w:rPr>
          <w:noProof/>
        </w:rPr>
        <w:t>(Text with EEA relevance)</w:t>
      </w:r>
    </w:p>
    <w:p w:rsidR="003C122C" w:rsidRPr="00103B22" w:rsidRDefault="003C122C" w:rsidP="004E1EF9">
      <w:pPr>
        <w:pStyle w:val="Institutionquiagit"/>
        <w:rPr>
          <w:noProof/>
        </w:rPr>
      </w:pPr>
      <w:r w:rsidRPr="00103B22">
        <w:rPr>
          <w:noProof/>
        </w:rPr>
        <w:t>THE EUROPEAN COMMISSION,</w:t>
      </w:r>
    </w:p>
    <w:p w:rsidR="003C122C" w:rsidRPr="00103B22" w:rsidRDefault="003C122C" w:rsidP="003C122C">
      <w:pPr>
        <w:rPr>
          <w:noProof/>
          <w:color w:val="000000"/>
        </w:rPr>
      </w:pPr>
      <w:r w:rsidRPr="00103B22">
        <w:rPr>
          <w:noProof/>
          <w:color w:val="000000"/>
        </w:rPr>
        <w:t>Having regard to the Treaty on the Functioning of the European Union,</w:t>
      </w:r>
    </w:p>
    <w:p w:rsidR="003C122C" w:rsidRPr="00103B22" w:rsidRDefault="003C122C" w:rsidP="003C122C">
      <w:pPr>
        <w:rPr>
          <w:noProof/>
          <w:color w:val="000000"/>
        </w:rPr>
      </w:pPr>
      <w:r w:rsidRPr="00103B22">
        <w:rPr>
          <w:noProof/>
          <w:color w:val="000000"/>
        </w:rPr>
        <w:t xml:space="preserve">Having regard to Regulation (EU) No 575/2013 of the European Parliament and of the Council of 26 June 2013 on prudential requirements for </w:t>
      </w:r>
      <w:r w:rsidR="00331719" w:rsidRPr="00103B22">
        <w:rPr>
          <w:noProof/>
          <w:color w:val="000000"/>
        </w:rPr>
        <w:t xml:space="preserve">credit </w:t>
      </w:r>
      <w:r w:rsidRPr="00103B22">
        <w:rPr>
          <w:noProof/>
          <w:color w:val="000000"/>
        </w:rPr>
        <w:t>institutions and amending Regulation (EU) No 648/2012</w:t>
      </w:r>
      <w:r w:rsidRPr="00103B22">
        <w:rPr>
          <w:rStyle w:val="FootnoteReference"/>
          <w:noProof/>
        </w:rPr>
        <w:footnoteReference w:id="1"/>
      </w:r>
      <w:r w:rsidR="00B37F85" w:rsidRPr="00103B22">
        <w:rPr>
          <w:noProof/>
          <w:color w:val="000000"/>
        </w:rPr>
        <w:t>,</w:t>
      </w:r>
      <w:r w:rsidRPr="00103B22">
        <w:rPr>
          <w:noProof/>
          <w:color w:val="000000"/>
        </w:rPr>
        <w:t xml:space="preserve"> and in particular Article 434a thereof,</w:t>
      </w:r>
    </w:p>
    <w:p w:rsidR="003C122C" w:rsidRPr="00103B22" w:rsidRDefault="003C122C" w:rsidP="004E1EF9">
      <w:pPr>
        <w:rPr>
          <w:noProof/>
        </w:rPr>
      </w:pPr>
      <w:r w:rsidRPr="00103B22">
        <w:rPr>
          <w:noProof/>
        </w:rPr>
        <w:t>Whereas:</w:t>
      </w:r>
    </w:p>
    <w:p w:rsidR="00410340" w:rsidRPr="00103B22" w:rsidRDefault="00052791" w:rsidP="00052791">
      <w:pPr>
        <w:pStyle w:val="ManualConsidrant"/>
        <w:rPr>
          <w:noProof/>
          <w:color w:val="000000"/>
        </w:rPr>
      </w:pPr>
      <w:r w:rsidRPr="00052791">
        <w:t>(1)</w:t>
      </w:r>
      <w:r w:rsidRPr="00052791">
        <w:tab/>
      </w:r>
      <w:r w:rsidR="007067A9" w:rsidRPr="00103B22">
        <w:rPr>
          <w:noProof/>
        </w:rPr>
        <w:t>Commission Implementing Regulation (EU) 2021/637</w:t>
      </w:r>
      <w:r w:rsidR="007067A9" w:rsidRPr="00103B22">
        <w:rPr>
          <w:rStyle w:val="FootnoteReference"/>
          <w:noProof/>
        </w:rPr>
        <w:footnoteReference w:id="2"/>
      </w:r>
      <w:r w:rsidR="007067A9" w:rsidRPr="00103B22">
        <w:rPr>
          <w:noProof/>
        </w:rPr>
        <w:t xml:space="preserve"> specifies uniform disclosure formats and associated instructions for the disclosures required under Titles II and III of Regulation (EU) No 575/2013. Regulation (EU) No 575/2013 was amended by</w:t>
      </w:r>
      <w:r w:rsidR="007067A9" w:rsidRPr="00103B22">
        <w:rPr>
          <w:noProof/>
          <w:lang w:val="en-US"/>
        </w:rPr>
        <w:t xml:space="preserve"> </w:t>
      </w:r>
      <w:r w:rsidR="007067A9" w:rsidRPr="00103B22">
        <w:rPr>
          <w:noProof/>
        </w:rPr>
        <w:t>Regulation (EU) 2019/876</w:t>
      </w:r>
      <w:r w:rsidR="007067A9" w:rsidRPr="00103B22">
        <w:rPr>
          <w:rStyle w:val="FootnoteReference"/>
          <w:noProof/>
        </w:rPr>
        <w:footnoteReference w:id="3"/>
      </w:r>
      <w:r w:rsidR="007067A9" w:rsidRPr="00103B22">
        <w:rPr>
          <w:noProof/>
        </w:rPr>
        <w:t xml:space="preserve">, </w:t>
      </w:r>
      <w:r w:rsidR="007067A9" w:rsidRPr="00103B22">
        <w:rPr>
          <w:i/>
          <w:noProof/>
        </w:rPr>
        <w:t>inter alia</w:t>
      </w:r>
      <w:r w:rsidR="007067A9" w:rsidRPr="00103B22">
        <w:rPr>
          <w:noProof/>
        </w:rPr>
        <w:t xml:space="preserve"> to introduce a new </w:t>
      </w:r>
      <w:r w:rsidR="00737997" w:rsidRPr="00103B22">
        <w:rPr>
          <w:noProof/>
        </w:rPr>
        <w:t>Article 449a</w:t>
      </w:r>
      <w:r w:rsidR="007067A9" w:rsidRPr="00103B22">
        <w:rPr>
          <w:noProof/>
        </w:rPr>
        <w:t>. That Article requires</w:t>
      </w:r>
      <w:r w:rsidR="00737997" w:rsidRPr="00103B22">
        <w:rPr>
          <w:noProof/>
        </w:rPr>
        <w:t xml:space="preserve"> </w:t>
      </w:r>
      <w:r w:rsidR="00145996" w:rsidRPr="00103B22">
        <w:rPr>
          <w:noProof/>
        </w:rPr>
        <w:t xml:space="preserve">large institutions </w:t>
      </w:r>
      <w:r w:rsidR="007067A9" w:rsidRPr="00103B22">
        <w:rPr>
          <w:noProof/>
        </w:rPr>
        <w:t>that</w:t>
      </w:r>
      <w:r w:rsidR="00145996" w:rsidRPr="00103B22">
        <w:rPr>
          <w:noProof/>
        </w:rPr>
        <w:t xml:space="preserve"> have issued securities that are admitted to trading on a regulated market of any Member State to disclose</w:t>
      </w:r>
      <w:r w:rsidR="007067A9" w:rsidRPr="00103B22">
        <w:rPr>
          <w:noProof/>
        </w:rPr>
        <w:t xml:space="preserve">, as from 28 June 2022, </w:t>
      </w:r>
      <w:r w:rsidR="00737997" w:rsidRPr="00103B22">
        <w:rPr>
          <w:noProof/>
        </w:rPr>
        <w:t xml:space="preserve">information on environmental, social and governance </w:t>
      </w:r>
      <w:r w:rsidR="00145996" w:rsidRPr="00103B22">
        <w:rPr>
          <w:noProof/>
        </w:rPr>
        <w:t xml:space="preserve">(ESG) </w:t>
      </w:r>
      <w:r w:rsidR="00737997" w:rsidRPr="00103B22">
        <w:rPr>
          <w:noProof/>
        </w:rPr>
        <w:t>risks, including physical risks and transition risks</w:t>
      </w:r>
      <w:r w:rsidR="00145996" w:rsidRPr="00103B22">
        <w:rPr>
          <w:noProof/>
        </w:rPr>
        <w:t xml:space="preserve">. </w:t>
      </w:r>
      <w:r w:rsidR="00A525E2" w:rsidRPr="00103B22">
        <w:rPr>
          <w:noProof/>
        </w:rPr>
        <w:t xml:space="preserve">That amendment to Regulation (EU) No 575/2013 should be reflected in </w:t>
      </w:r>
      <w:r w:rsidR="00737997" w:rsidRPr="00103B22">
        <w:rPr>
          <w:noProof/>
        </w:rPr>
        <w:t>Commissi</w:t>
      </w:r>
      <w:r w:rsidR="00145996" w:rsidRPr="00103B22">
        <w:rPr>
          <w:noProof/>
        </w:rPr>
        <w:t>on</w:t>
      </w:r>
      <w:r w:rsidR="00737997" w:rsidRPr="00103B22">
        <w:rPr>
          <w:noProof/>
        </w:rPr>
        <w:t xml:space="preserve"> </w:t>
      </w:r>
      <w:r w:rsidR="00410340" w:rsidRPr="00103B22">
        <w:rPr>
          <w:noProof/>
        </w:rPr>
        <w:t>Implementing Regulation (EU) 2021/637</w:t>
      </w:r>
      <w:r w:rsidR="00A525E2" w:rsidRPr="00103B22">
        <w:rPr>
          <w:noProof/>
        </w:rPr>
        <w:t xml:space="preserve">, which should set out, in addition to the existing uniform disclosure formats and associated instructions, additional uniform disclosure formats and associated instructions for </w:t>
      </w:r>
      <w:r w:rsidR="00EE28B6" w:rsidRPr="00103B22">
        <w:rPr>
          <w:noProof/>
        </w:rPr>
        <w:t xml:space="preserve">the </w:t>
      </w:r>
      <w:r w:rsidR="00A525E2" w:rsidRPr="00103B22">
        <w:rPr>
          <w:noProof/>
        </w:rPr>
        <w:t xml:space="preserve">disclosures </w:t>
      </w:r>
      <w:r w:rsidR="00EE28B6" w:rsidRPr="00103B22">
        <w:rPr>
          <w:noProof/>
        </w:rPr>
        <w:t xml:space="preserve">of </w:t>
      </w:r>
      <w:r w:rsidR="00A525E2" w:rsidRPr="00103B22">
        <w:rPr>
          <w:noProof/>
        </w:rPr>
        <w:t>ESG risks</w:t>
      </w:r>
      <w:r w:rsidR="00410340" w:rsidRPr="00103B22">
        <w:rPr>
          <w:noProof/>
        </w:rPr>
        <w:t>.</w:t>
      </w:r>
    </w:p>
    <w:p w:rsidR="00410340" w:rsidRPr="00103B22" w:rsidRDefault="00052791" w:rsidP="00052791">
      <w:pPr>
        <w:pStyle w:val="ManualConsidrant"/>
        <w:rPr>
          <w:noProof/>
        </w:rPr>
      </w:pPr>
      <w:r w:rsidRPr="00052791">
        <w:t>(2)</w:t>
      </w:r>
      <w:r w:rsidRPr="00052791">
        <w:tab/>
      </w:r>
      <w:r w:rsidR="00410340" w:rsidRPr="00103B22">
        <w:rPr>
          <w:noProof/>
        </w:rPr>
        <w:t xml:space="preserve">When </w:t>
      </w:r>
      <w:r w:rsidR="00B37F85" w:rsidRPr="00103B22">
        <w:rPr>
          <w:noProof/>
        </w:rPr>
        <w:t>laying down</w:t>
      </w:r>
      <w:r w:rsidR="00410340" w:rsidRPr="00103B22">
        <w:rPr>
          <w:noProof/>
        </w:rPr>
        <w:t xml:space="preserve"> uniform disclosure formats, </w:t>
      </w:r>
      <w:r w:rsidR="00145996" w:rsidRPr="00103B22">
        <w:rPr>
          <w:noProof/>
        </w:rPr>
        <w:t xml:space="preserve">the complete materiality of the information </w:t>
      </w:r>
      <w:r w:rsidR="00B37F85" w:rsidRPr="00103B22">
        <w:rPr>
          <w:noProof/>
        </w:rPr>
        <w:t>to be disclosed</w:t>
      </w:r>
      <w:r w:rsidR="00145996" w:rsidRPr="00103B22">
        <w:rPr>
          <w:noProof/>
        </w:rPr>
        <w:t xml:space="preserve"> should be</w:t>
      </w:r>
      <w:r w:rsidR="00410340" w:rsidRPr="00103B22">
        <w:rPr>
          <w:noProof/>
        </w:rPr>
        <w:t xml:space="preserve"> taken into account. </w:t>
      </w:r>
      <w:r w:rsidR="00A525E2" w:rsidRPr="00103B22">
        <w:rPr>
          <w:noProof/>
        </w:rPr>
        <w:t>That means that disclosures by i</w:t>
      </w:r>
      <w:r w:rsidR="00410340" w:rsidRPr="00103B22">
        <w:rPr>
          <w:noProof/>
        </w:rPr>
        <w:t xml:space="preserve">nstitutions </w:t>
      </w:r>
      <w:r w:rsidR="00145996" w:rsidRPr="00103B22">
        <w:rPr>
          <w:noProof/>
        </w:rPr>
        <w:t>should</w:t>
      </w:r>
      <w:r w:rsidR="00410340" w:rsidRPr="00103B22">
        <w:rPr>
          <w:noProof/>
        </w:rPr>
        <w:t xml:space="preserve"> cover</w:t>
      </w:r>
      <w:r w:rsidR="00145996" w:rsidRPr="00103B22">
        <w:rPr>
          <w:noProof/>
        </w:rPr>
        <w:t xml:space="preserve">, on </w:t>
      </w:r>
      <w:r w:rsidR="00B37F85" w:rsidRPr="00103B22">
        <w:rPr>
          <w:noProof/>
        </w:rPr>
        <w:t xml:space="preserve">the </w:t>
      </w:r>
      <w:r w:rsidR="00145996" w:rsidRPr="00103B22">
        <w:rPr>
          <w:noProof/>
        </w:rPr>
        <w:t>one hand,</w:t>
      </w:r>
      <w:r w:rsidR="00410340" w:rsidRPr="00103B22">
        <w:rPr>
          <w:noProof/>
        </w:rPr>
        <w:t xml:space="preserve"> the financial impact of ESG factors on </w:t>
      </w:r>
      <w:r w:rsidR="00A525E2" w:rsidRPr="00103B22">
        <w:rPr>
          <w:noProof/>
        </w:rPr>
        <w:t xml:space="preserve">the </w:t>
      </w:r>
      <w:r w:rsidR="00410340" w:rsidRPr="00103B22">
        <w:rPr>
          <w:noProof/>
        </w:rPr>
        <w:t>institutions’ economic and financial activities (outside-in perspective), and</w:t>
      </w:r>
      <w:r w:rsidR="00145996" w:rsidRPr="00103B22">
        <w:rPr>
          <w:noProof/>
        </w:rPr>
        <w:t>, on the other hand,</w:t>
      </w:r>
      <w:r w:rsidR="00410340" w:rsidRPr="00103B22">
        <w:rPr>
          <w:noProof/>
        </w:rPr>
        <w:t xml:space="preserve"> the ESG factors that may be triggered by </w:t>
      </w:r>
      <w:r w:rsidR="00A525E2" w:rsidRPr="00103B22">
        <w:rPr>
          <w:noProof/>
        </w:rPr>
        <w:t xml:space="preserve">the </w:t>
      </w:r>
      <w:r w:rsidR="00410340" w:rsidRPr="00103B22">
        <w:rPr>
          <w:noProof/>
        </w:rPr>
        <w:t>institutions’ own activities</w:t>
      </w:r>
      <w:r w:rsidR="00A525E2" w:rsidRPr="00103B22">
        <w:rPr>
          <w:noProof/>
        </w:rPr>
        <w:t>,</w:t>
      </w:r>
      <w:r w:rsidR="00410340" w:rsidRPr="00103B22">
        <w:rPr>
          <w:noProof/>
        </w:rPr>
        <w:t xml:space="preserve"> which in turn become financially material when </w:t>
      </w:r>
      <w:r w:rsidR="00EE28B6" w:rsidRPr="00103B22">
        <w:rPr>
          <w:noProof/>
        </w:rPr>
        <w:t xml:space="preserve">they </w:t>
      </w:r>
      <w:r w:rsidR="00410340" w:rsidRPr="00103B22">
        <w:rPr>
          <w:noProof/>
        </w:rPr>
        <w:t>affect</w:t>
      </w:r>
      <w:r w:rsidR="00436E6A" w:rsidRPr="00103B22">
        <w:rPr>
          <w:noProof/>
        </w:rPr>
        <w:t xml:space="preserve"> </w:t>
      </w:r>
      <w:r w:rsidR="00410340" w:rsidRPr="00103B22">
        <w:rPr>
          <w:noProof/>
        </w:rPr>
        <w:t xml:space="preserve">institutions’ </w:t>
      </w:r>
      <w:r w:rsidR="00592E05" w:rsidRPr="00103B22">
        <w:rPr>
          <w:noProof/>
        </w:rPr>
        <w:t>stakeholders</w:t>
      </w:r>
      <w:r w:rsidR="00410340" w:rsidRPr="00103B22">
        <w:rPr>
          <w:noProof/>
        </w:rPr>
        <w:t xml:space="preserve"> </w:t>
      </w:r>
      <w:r w:rsidR="00410340" w:rsidRPr="00103B22">
        <w:rPr>
          <w:noProof/>
        </w:rPr>
        <w:lastRenderedPageBreak/>
        <w:t xml:space="preserve">(inside-out perspective). As a result, the </w:t>
      </w:r>
      <w:r w:rsidR="00EE28B6" w:rsidRPr="00103B22">
        <w:rPr>
          <w:noProof/>
        </w:rPr>
        <w:t xml:space="preserve">tables and </w:t>
      </w:r>
      <w:r w:rsidR="00410340" w:rsidRPr="00103B22">
        <w:rPr>
          <w:noProof/>
        </w:rPr>
        <w:t>templates used for those disclosures should convey sufficiently comprehensive and comparable information on ESG risks, thus enabling users of that information to assess the risk profile of institutions.</w:t>
      </w:r>
    </w:p>
    <w:p w:rsidR="00410340" w:rsidRPr="00103B22" w:rsidRDefault="00052791" w:rsidP="00052791">
      <w:pPr>
        <w:pStyle w:val="ManualConsidrant"/>
        <w:rPr>
          <w:noProof/>
        </w:rPr>
      </w:pPr>
      <w:r w:rsidRPr="00052791">
        <w:t>(3)</w:t>
      </w:r>
      <w:r w:rsidRPr="00052791">
        <w:tab/>
      </w:r>
      <w:r w:rsidR="00A525E2" w:rsidRPr="00103B22">
        <w:rPr>
          <w:noProof/>
        </w:rPr>
        <w:t xml:space="preserve">It is </w:t>
      </w:r>
      <w:r w:rsidR="00AE60C7" w:rsidRPr="00103B22">
        <w:rPr>
          <w:noProof/>
        </w:rPr>
        <w:t xml:space="preserve">necessary </w:t>
      </w:r>
      <w:r w:rsidR="00A525E2" w:rsidRPr="00103B22">
        <w:rPr>
          <w:noProof/>
        </w:rPr>
        <w:t>to</w:t>
      </w:r>
      <w:r w:rsidR="00410340" w:rsidRPr="00103B22">
        <w:rPr>
          <w:noProof/>
        </w:rPr>
        <w:t xml:space="preserve"> ensure coherence and consistency with other U</w:t>
      </w:r>
      <w:r w:rsidR="00145996" w:rsidRPr="00103B22">
        <w:rPr>
          <w:noProof/>
        </w:rPr>
        <w:t>nion</w:t>
      </w:r>
      <w:r w:rsidR="00410340" w:rsidRPr="00103B22">
        <w:rPr>
          <w:noProof/>
        </w:rPr>
        <w:t xml:space="preserve"> </w:t>
      </w:r>
      <w:r w:rsidR="00145996" w:rsidRPr="00103B22">
        <w:rPr>
          <w:noProof/>
        </w:rPr>
        <w:t>legislation</w:t>
      </w:r>
      <w:r w:rsidR="00410340" w:rsidRPr="00103B22">
        <w:rPr>
          <w:noProof/>
        </w:rPr>
        <w:t xml:space="preserve"> in the area of ESG risks</w:t>
      </w:r>
      <w:r w:rsidR="00A525E2" w:rsidRPr="00103B22">
        <w:rPr>
          <w:noProof/>
        </w:rPr>
        <w:t>.</w:t>
      </w:r>
      <w:r w:rsidR="00410340" w:rsidRPr="00103B22">
        <w:rPr>
          <w:noProof/>
        </w:rPr>
        <w:t xml:space="preserve"> </w:t>
      </w:r>
      <w:r w:rsidR="00A525E2" w:rsidRPr="00103B22">
        <w:rPr>
          <w:noProof/>
        </w:rPr>
        <w:t>R</w:t>
      </w:r>
      <w:r w:rsidR="00410340" w:rsidRPr="00103B22">
        <w:rPr>
          <w:noProof/>
        </w:rPr>
        <w:t xml:space="preserve">ules </w:t>
      </w:r>
      <w:r w:rsidR="00436E6A" w:rsidRPr="00103B22">
        <w:rPr>
          <w:noProof/>
        </w:rPr>
        <w:t xml:space="preserve">on the disclosure of ESG risks </w:t>
      </w:r>
      <w:r w:rsidR="00410340" w:rsidRPr="00103B22">
        <w:rPr>
          <w:noProof/>
        </w:rPr>
        <w:t xml:space="preserve">should </w:t>
      </w:r>
      <w:r w:rsidR="00A525E2" w:rsidRPr="00103B22">
        <w:rPr>
          <w:noProof/>
        </w:rPr>
        <w:t xml:space="preserve">therefore </w:t>
      </w:r>
      <w:r w:rsidR="00410340" w:rsidRPr="00103B22">
        <w:rPr>
          <w:noProof/>
        </w:rPr>
        <w:t xml:space="preserve">take into account the criteria, classifications and definitions </w:t>
      </w:r>
      <w:r w:rsidR="00436E6A" w:rsidRPr="00103B22">
        <w:rPr>
          <w:noProof/>
        </w:rPr>
        <w:t xml:space="preserve">laid down </w:t>
      </w:r>
      <w:r w:rsidR="00BF0A20" w:rsidRPr="00103B22">
        <w:rPr>
          <w:noProof/>
        </w:rPr>
        <w:t xml:space="preserve">in that </w:t>
      </w:r>
      <w:r w:rsidR="00436E6A" w:rsidRPr="00103B22">
        <w:rPr>
          <w:noProof/>
        </w:rPr>
        <w:t xml:space="preserve">Union </w:t>
      </w:r>
      <w:r w:rsidR="00BF0A20" w:rsidRPr="00103B22">
        <w:rPr>
          <w:noProof/>
        </w:rPr>
        <w:t>legislation</w:t>
      </w:r>
      <w:r w:rsidR="00410340" w:rsidRPr="00103B22">
        <w:rPr>
          <w:noProof/>
        </w:rPr>
        <w:t xml:space="preserve">. </w:t>
      </w:r>
      <w:r w:rsidR="00AE60C7" w:rsidRPr="00103B22">
        <w:rPr>
          <w:noProof/>
        </w:rPr>
        <w:t>Those rules should i</w:t>
      </w:r>
      <w:r w:rsidR="00410340" w:rsidRPr="00103B22">
        <w:rPr>
          <w:noProof/>
        </w:rPr>
        <w:t>n particular</w:t>
      </w:r>
      <w:r w:rsidR="00AE60C7" w:rsidRPr="00103B22">
        <w:rPr>
          <w:noProof/>
        </w:rPr>
        <w:t xml:space="preserve"> take into account</w:t>
      </w:r>
      <w:r w:rsidR="00436E6A" w:rsidRPr="00103B22">
        <w:rPr>
          <w:noProof/>
        </w:rPr>
        <w:t xml:space="preserve"> </w:t>
      </w:r>
      <w:r w:rsidR="00AE60C7" w:rsidRPr="00103B22">
        <w:rPr>
          <w:noProof/>
        </w:rPr>
        <w:t>the</w:t>
      </w:r>
      <w:r w:rsidR="00410340" w:rsidRPr="00103B22">
        <w:rPr>
          <w:noProof/>
        </w:rPr>
        <w:t xml:space="preserve"> criteria for the identification and classification of environmentally sustainable economic activities</w:t>
      </w:r>
      <w:r w:rsidR="00AE60C7" w:rsidRPr="00103B22">
        <w:rPr>
          <w:noProof/>
        </w:rPr>
        <w:t>,</w:t>
      </w:r>
      <w:r w:rsidR="00410340" w:rsidRPr="00103B22">
        <w:rPr>
          <w:noProof/>
        </w:rPr>
        <w:t xml:space="preserve"> </w:t>
      </w:r>
      <w:r w:rsidR="00AE60C7" w:rsidRPr="00103B22">
        <w:rPr>
          <w:noProof/>
        </w:rPr>
        <w:t xml:space="preserve">as </w:t>
      </w:r>
      <w:r w:rsidR="00884A61" w:rsidRPr="00103B22">
        <w:rPr>
          <w:noProof/>
        </w:rPr>
        <w:t>laid down</w:t>
      </w:r>
      <w:r w:rsidR="00410340" w:rsidRPr="00103B22">
        <w:rPr>
          <w:noProof/>
        </w:rPr>
        <w:t xml:space="preserve"> in Regulation (EU) 2020/852</w:t>
      </w:r>
      <w:r w:rsidR="00BF0A20" w:rsidRPr="00103B22">
        <w:rPr>
          <w:noProof/>
        </w:rPr>
        <w:t xml:space="preserve"> of the European Parliament and of the Council</w:t>
      </w:r>
      <w:r w:rsidR="00410340" w:rsidRPr="00103B22">
        <w:rPr>
          <w:rStyle w:val="FootnoteReference"/>
          <w:noProof/>
        </w:rPr>
        <w:footnoteReference w:id="4"/>
      </w:r>
      <w:r w:rsidR="00AE60C7" w:rsidRPr="00103B22">
        <w:rPr>
          <w:noProof/>
        </w:rPr>
        <w:t xml:space="preserve"> and</w:t>
      </w:r>
      <w:r w:rsidR="00410340" w:rsidRPr="00103B22">
        <w:rPr>
          <w:noProof/>
        </w:rPr>
        <w:t xml:space="preserve"> </w:t>
      </w:r>
      <w:r w:rsidR="00436E6A" w:rsidRPr="00103B22">
        <w:rPr>
          <w:noProof/>
        </w:rPr>
        <w:t xml:space="preserve">in </w:t>
      </w:r>
      <w:r w:rsidR="00410340" w:rsidRPr="00103B22">
        <w:rPr>
          <w:noProof/>
        </w:rPr>
        <w:t>Commission Delegated Regulation (EU) 2020/1818</w:t>
      </w:r>
      <w:r w:rsidR="00410340" w:rsidRPr="00103B22">
        <w:rPr>
          <w:rStyle w:val="FootnoteReference"/>
          <w:noProof/>
        </w:rPr>
        <w:footnoteReference w:id="5"/>
      </w:r>
      <w:r w:rsidR="00012369" w:rsidRPr="00103B22">
        <w:rPr>
          <w:noProof/>
        </w:rPr>
        <w:t>.</w:t>
      </w:r>
      <w:r w:rsidR="00410340" w:rsidRPr="00103B22">
        <w:rPr>
          <w:noProof/>
        </w:rPr>
        <w:t xml:space="preserve"> </w:t>
      </w:r>
      <w:r w:rsidR="00012369" w:rsidRPr="00103B22">
        <w:rPr>
          <w:noProof/>
        </w:rPr>
        <w:t>W</w:t>
      </w:r>
      <w:r w:rsidR="00410340" w:rsidRPr="00103B22">
        <w:rPr>
          <w:noProof/>
        </w:rPr>
        <w:t xml:space="preserve">ith regard to the disclosure of information on the energy performance of the real estate portfolio of institutions, the information provided by the energy performance certificate as defined in </w:t>
      </w:r>
      <w:r w:rsidR="00D00193" w:rsidRPr="00103B22">
        <w:rPr>
          <w:noProof/>
        </w:rPr>
        <w:t>Article 2, point 12</w:t>
      </w:r>
      <w:r w:rsidR="00884A61" w:rsidRPr="00103B22">
        <w:rPr>
          <w:noProof/>
        </w:rPr>
        <w:t>,</w:t>
      </w:r>
      <w:r w:rsidR="00D00193" w:rsidRPr="00103B22">
        <w:rPr>
          <w:noProof/>
        </w:rPr>
        <w:t xml:space="preserve"> of </w:t>
      </w:r>
      <w:r w:rsidR="00410340" w:rsidRPr="00103B22">
        <w:rPr>
          <w:noProof/>
        </w:rPr>
        <w:t>Directive 2010/31/EU</w:t>
      </w:r>
      <w:r w:rsidR="007E26C3" w:rsidRPr="00103B22">
        <w:rPr>
          <w:noProof/>
        </w:rPr>
        <w:t xml:space="preserve"> of the European Parliament and of the Council</w:t>
      </w:r>
      <w:r w:rsidR="00410340" w:rsidRPr="00103B22">
        <w:rPr>
          <w:rStyle w:val="FootnoteReference"/>
          <w:noProof/>
        </w:rPr>
        <w:footnoteReference w:id="6"/>
      </w:r>
      <w:r w:rsidR="00D00193" w:rsidRPr="00103B22">
        <w:rPr>
          <w:noProof/>
        </w:rPr>
        <w:t>,</w:t>
      </w:r>
      <w:r w:rsidR="00BF0A20" w:rsidRPr="00103B22">
        <w:rPr>
          <w:noProof/>
        </w:rPr>
        <w:t xml:space="preserve"> should be taken into account</w:t>
      </w:r>
      <w:r w:rsidR="00410340" w:rsidRPr="00103B22">
        <w:rPr>
          <w:noProof/>
        </w:rPr>
        <w:t>.</w:t>
      </w:r>
    </w:p>
    <w:p w:rsidR="00135CD4" w:rsidRPr="00103B22" w:rsidRDefault="00052791" w:rsidP="00052791">
      <w:pPr>
        <w:pStyle w:val="ManualConsidrant"/>
        <w:rPr>
          <w:noProof/>
        </w:rPr>
      </w:pPr>
      <w:r w:rsidRPr="00052791">
        <w:t>(4)</w:t>
      </w:r>
      <w:r w:rsidRPr="00052791">
        <w:tab/>
      </w:r>
      <w:r w:rsidR="00135CD4" w:rsidRPr="00103B22">
        <w:rPr>
          <w:noProof/>
        </w:rPr>
        <w:t>Articles 19a and 29a of Directive 2013/34/EU of the European Parliament and of the Council</w:t>
      </w:r>
      <w:r w:rsidR="00135CD4" w:rsidRPr="00103B22">
        <w:rPr>
          <w:rStyle w:val="FootnoteReference"/>
          <w:noProof/>
        </w:rPr>
        <w:footnoteReference w:id="7"/>
      </w:r>
      <w:r w:rsidR="00135CD4" w:rsidRPr="00103B22">
        <w:rPr>
          <w:noProof/>
        </w:rPr>
        <w:t xml:space="preserve"> </w:t>
      </w:r>
      <w:r w:rsidR="00884A61" w:rsidRPr="00103B22">
        <w:rPr>
          <w:noProof/>
        </w:rPr>
        <w:t>require</w:t>
      </w:r>
      <w:r w:rsidR="00135CD4" w:rsidRPr="00103B22">
        <w:rPr>
          <w:noProof/>
        </w:rPr>
        <w:t xml:space="preserve"> certain large undertakings that are public-interest entities, or public-interest entities which are parent undertakings of a large group,</w:t>
      </w:r>
      <w:r w:rsidR="00957D55" w:rsidRPr="00103B22">
        <w:rPr>
          <w:noProof/>
        </w:rPr>
        <w:t xml:space="preserve"> respectively,</w:t>
      </w:r>
      <w:r w:rsidR="00135CD4" w:rsidRPr="00103B22">
        <w:rPr>
          <w:noProof/>
        </w:rPr>
        <w:t xml:space="preserve"> to include in their management report or in their consolidated management report information about the impact of their activity on environmental, social and employee matters, respect for human rights, anti-corruption and bribery matters. </w:t>
      </w:r>
      <w:r w:rsidR="000B1F8E" w:rsidRPr="00103B22">
        <w:rPr>
          <w:noProof/>
        </w:rPr>
        <w:t>That obligation does not apply</w:t>
      </w:r>
      <w:r w:rsidR="00A238D6" w:rsidRPr="00103B22">
        <w:rPr>
          <w:noProof/>
        </w:rPr>
        <w:t>, however,</w:t>
      </w:r>
      <w:r w:rsidR="000B1F8E" w:rsidRPr="00103B22">
        <w:rPr>
          <w:noProof/>
        </w:rPr>
        <w:t xml:space="preserve"> to other undertakings. As a result, </w:t>
      </w:r>
      <w:r w:rsidR="00D819E9" w:rsidRPr="00103B22">
        <w:rPr>
          <w:noProof/>
        </w:rPr>
        <w:t>undertakings</w:t>
      </w:r>
      <w:r w:rsidR="000B1F8E" w:rsidRPr="00103B22">
        <w:rPr>
          <w:noProof/>
        </w:rPr>
        <w:t xml:space="preserve"> that are </w:t>
      </w:r>
      <w:r w:rsidR="00D819E9" w:rsidRPr="00103B22">
        <w:rPr>
          <w:noProof/>
        </w:rPr>
        <w:t xml:space="preserve">not </w:t>
      </w:r>
      <w:r w:rsidR="000B1F8E" w:rsidRPr="00103B22">
        <w:rPr>
          <w:noProof/>
        </w:rPr>
        <w:t xml:space="preserve">subject to Articles 19a and 29a of Directive 2013/34/EU </w:t>
      </w:r>
      <w:r w:rsidR="00D819E9" w:rsidRPr="00103B22">
        <w:rPr>
          <w:noProof/>
        </w:rPr>
        <w:t>are not required to disclose such information and may be not able to provide such information to institutions</w:t>
      </w:r>
      <w:r w:rsidR="000B1F8E" w:rsidRPr="00103B22">
        <w:rPr>
          <w:noProof/>
        </w:rPr>
        <w:t xml:space="preserve">. Those </w:t>
      </w:r>
      <w:r w:rsidR="00D819E9" w:rsidRPr="00103B22">
        <w:rPr>
          <w:noProof/>
        </w:rPr>
        <w:t>undertakings</w:t>
      </w:r>
      <w:r w:rsidR="00715E6A" w:rsidRPr="00103B22">
        <w:rPr>
          <w:noProof/>
        </w:rPr>
        <w:t xml:space="preserve"> that are counterparties to institutions</w:t>
      </w:r>
      <w:r w:rsidR="000B1F8E" w:rsidRPr="00103B22">
        <w:rPr>
          <w:noProof/>
        </w:rPr>
        <w:t xml:space="preserve"> can </w:t>
      </w:r>
      <w:r w:rsidR="00D819E9" w:rsidRPr="00103B22">
        <w:rPr>
          <w:noProof/>
        </w:rPr>
        <w:t xml:space="preserve">thus </w:t>
      </w:r>
      <w:r w:rsidR="000B1F8E" w:rsidRPr="00103B22">
        <w:rPr>
          <w:noProof/>
        </w:rPr>
        <w:t xml:space="preserve">only be expected to provide that information and data on a voluntary basis. </w:t>
      </w:r>
      <w:r w:rsidR="004376A0" w:rsidRPr="00103B22">
        <w:rPr>
          <w:noProof/>
        </w:rPr>
        <w:t>Nevertheless,</w:t>
      </w:r>
      <w:r w:rsidR="000B1F8E" w:rsidRPr="00103B22">
        <w:rPr>
          <w:noProof/>
        </w:rPr>
        <w:t xml:space="preserve"> it is appropriate to provide those </w:t>
      </w:r>
      <w:r w:rsidR="004376A0" w:rsidRPr="00103B22">
        <w:rPr>
          <w:noProof/>
        </w:rPr>
        <w:t>undertakings</w:t>
      </w:r>
      <w:r w:rsidR="000B1F8E" w:rsidRPr="00103B22">
        <w:rPr>
          <w:noProof/>
        </w:rPr>
        <w:t xml:space="preserve"> with guidance on the calculation of the percentage of the exposures to activities that </w:t>
      </w:r>
      <w:r w:rsidR="004C0BD0" w:rsidRPr="00103B22">
        <w:rPr>
          <w:noProof/>
        </w:rPr>
        <w:t xml:space="preserve">are environmentally sustainable economic activities as referred to in </w:t>
      </w:r>
      <w:r w:rsidR="000B1F8E" w:rsidRPr="00103B22">
        <w:rPr>
          <w:noProof/>
        </w:rPr>
        <w:t>Article 3 of Regulation (EU) 2020/852, so that</w:t>
      </w:r>
      <w:r w:rsidR="004C0BD0" w:rsidRPr="00103B22">
        <w:rPr>
          <w:noProof/>
        </w:rPr>
        <w:t xml:space="preserve"> that </w:t>
      </w:r>
      <w:r w:rsidR="000B1F8E" w:rsidRPr="00103B22">
        <w:rPr>
          <w:noProof/>
        </w:rPr>
        <w:t>information</w:t>
      </w:r>
      <w:r w:rsidR="004C0BD0" w:rsidRPr="00103B22">
        <w:rPr>
          <w:noProof/>
        </w:rPr>
        <w:t xml:space="preserve"> and those data</w:t>
      </w:r>
      <w:r w:rsidR="000B1F8E" w:rsidRPr="00103B22">
        <w:rPr>
          <w:noProof/>
        </w:rPr>
        <w:t xml:space="preserve"> can be presented in a standardised and comparable format. Where that information and </w:t>
      </w:r>
      <w:r w:rsidR="004C0BD0" w:rsidRPr="00103B22">
        <w:rPr>
          <w:noProof/>
        </w:rPr>
        <w:t xml:space="preserve">those </w:t>
      </w:r>
      <w:r w:rsidR="000B1F8E" w:rsidRPr="00103B22">
        <w:rPr>
          <w:noProof/>
        </w:rPr>
        <w:t>data are not provided</w:t>
      </w:r>
      <w:r w:rsidR="004C0BD0" w:rsidRPr="00103B22">
        <w:rPr>
          <w:noProof/>
        </w:rPr>
        <w:t xml:space="preserve"> voluntarily</w:t>
      </w:r>
      <w:r w:rsidR="000B1F8E" w:rsidRPr="00103B22">
        <w:rPr>
          <w:noProof/>
        </w:rPr>
        <w:t>, institutions should be able to calculate the percentage of taxonomy-aligned exposures by using estimates or proxies.</w:t>
      </w:r>
    </w:p>
    <w:p w:rsidR="00921483" w:rsidRPr="00103B22" w:rsidRDefault="00052791" w:rsidP="00052791">
      <w:pPr>
        <w:pStyle w:val="ManualConsidrant"/>
        <w:rPr>
          <w:noProof/>
        </w:rPr>
      </w:pPr>
      <w:r w:rsidRPr="00052791">
        <w:t>(5)</w:t>
      </w:r>
      <w:r w:rsidRPr="00052791">
        <w:tab/>
      </w:r>
      <w:r w:rsidR="00A97285" w:rsidRPr="00103B22">
        <w:rPr>
          <w:noProof/>
        </w:rPr>
        <w:t>Article 449a of Regulation (EU) No 575/2013</w:t>
      </w:r>
      <w:r w:rsidR="004C0BD0" w:rsidRPr="00103B22">
        <w:rPr>
          <w:noProof/>
        </w:rPr>
        <w:t xml:space="preserve"> requires that the information on ESG risks is disclosed as of </w:t>
      </w:r>
      <w:r w:rsidR="00066156" w:rsidRPr="00103B22">
        <w:rPr>
          <w:noProof/>
        </w:rPr>
        <w:t>28 June 2022</w:t>
      </w:r>
      <w:r w:rsidR="004C0BD0" w:rsidRPr="00103B22">
        <w:rPr>
          <w:noProof/>
        </w:rPr>
        <w:t xml:space="preserve">, </w:t>
      </w:r>
      <w:r w:rsidR="00635A91" w:rsidRPr="00103B22">
        <w:rPr>
          <w:noProof/>
        </w:rPr>
        <w:t xml:space="preserve">on </w:t>
      </w:r>
      <w:r w:rsidR="00066156" w:rsidRPr="00103B22">
        <w:rPr>
          <w:noProof/>
        </w:rPr>
        <w:t>an annual basis for the first year and biannually thereafter. For th</w:t>
      </w:r>
      <w:r w:rsidR="004C0BD0" w:rsidRPr="00103B22">
        <w:rPr>
          <w:noProof/>
        </w:rPr>
        <w:t>o</w:t>
      </w:r>
      <w:r w:rsidR="00066156" w:rsidRPr="00103B22">
        <w:rPr>
          <w:noProof/>
        </w:rPr>
        <w:t xml:space="preserve">se reasons, the first </w:t>
      </w:r>
      <w:r w:rsidR="00635A91" w:rsidRPr="00103B22">
        <w:rPr>
          <w:noProof/>
        </w:rPr>
        <w:t xml:space="preserve">annual </w:t>
      </w:r>
      <w:r w:rsidR="00066156" w:rsidRPr="00103B22">
        <w:rPr>
          <w:noProof/>
        </w:rPr>
        <w:t xml:space="preserve">disclosure reference </w:t>
      </w:r>
      <w:r w:rsidR="004376A0" w:rsidRPr="00103B22">
        <w:rPr>
          <w:noProof/>
        </w:rPr>
        <w:t xml:space="preserve">date </w:t>
      </w:r>
      <w:r w:rsidR="00B137D8" w:rsidRPr="00103B22">
        <w:rPr>
          <w:noProof/>
        </w:rPr>
        <w:t>should</w:t>
      </w:r>
      <w:r w:rsidR="00066156" w:rsidRPr="00103B22">
        <w:rPr>
          <w:noProof/>
        </w:rPr>
        <w:t xml:space="preserve"> </w:t>
      </w:r>
      <w:r w:rsidR="00B137D8" w:rsidRPr="00103B22">
        <w:rPr>
          <w:noProof/>
        </w:rPr>
        <w:t>be</w:t>
      </w:r>
      <w:r w:rsidR="00066156" w:rsidRPr="00103B22">
        <w:rPr>
          <w:noProof/>
        </w:rPr>
        <w:t xml:space="preserve"> </w:t>
      </w:r>
      <w:r w:rsidR="00B137D8" w:rsidRPr="00103B22">
        <w:rPr>
          <w:noProof/>
        </w:rPr>
        <w:t xml:space="preserve">set as of </w:t>
      </w:r>
      <w:r w:rsidR="00066156" w:rsidRPr="00103B22">
        <w:rPr>
          <w:noProof/>
        </w:rPr>
        <w:t>31 December 2022.</w:t>
      </w:r>
    </w:p>
    <w:p w:rsidR="00ED20D7" w:rsidRPr="00103B22" w:rsidRDefault="00052791" w:rsidP="00052791">
      <w:pPr>
        <w:pStyle w:val="ManualConsidrant"/>
        <w:rPr>
          <w:noProof/>
        </w:rPr>
      </w:pPr>
      <w:r w:rsidRPr="00052791">
        <w:t>(6)</w:t>
      </w:r>
      <w:r w:rsidRPr="00052791">
        <w:tab/>
      </w:r>
      <w:r w:rsidR="00410340" w:rsidRPr="00103B22">
        <w:rPr>
          <w:noProof/>
        </w:rPr>
        <w:t xml:space="preserve">This Regulation is based on the draft implementing technical standards submitted </w:t>
      </w:r>
      <w:r w:rsidR="00ED20D7" w:rsidRPr="00103B22">
        <w:rPr>
          <w:noProof/>
        </w:rPr>
        <w:t xml:space="preserve">to the Commission </w:t>
      </w:r>
      <w:r w:rsidR="00410340" w:rsidRPr="00103B22">
        <w:rPr>
          <w:noProof/>
        </w:rPr>
        <w:t xml:space="preserve">by the European Banking Authority. </w:t>
      </w:r>
    </w:p>
    <w:p w:rsidR="00410340" w:rsidRPr="00103B22" w:rsidRDefault="00052791" w:rsidP="00052791">
      <w:pPr>
        <w:pStyle w:val="ManualConsidrant"/>
        <w:rPr>
          <w:noProof/>
        </w:rPr>
      </w:pPr>
      <w:r w:rsidRPr="00052791">
        <w:lastRenderedPageBreak/>
        <w:t>(7)</w:t>
      </w:r>
      <w:r w:rsidRPr="00052791">
        <w:tab/>
      </w:r>
      <w:r w:rsidR="00ED20D7" w:rsidRPr="00103B22">
        <w:rPr>
          <w:noProof/>
        </w:rPr>
        <w:t>The European Banking Authority</w:t>
      </w:r>
      <w:r w:rsidR="00410340" w:rsidRPr="00103B22">
        <w:rPr>
          <w:noProof/>
        </w:rPr>
        <w:t xml:space="preserve"> has conducted open public consultations on the draft implementing technical standards on which this Regulation is based, analysed the potential related costs and benefits and requested the </w:t>
      </w:r>
      <w:r w:rsidR="001E62ED" w:rsidRPr="00103B22">
        <w:rPr>
          <w:noProof/>
        </w:rPr>
        <w:t>advice</w:t>
      </w:r>
      <w:r w:rsidR="00410340" w:rsidRPr="00103B22">
        <w:rPr>
          <w:noProof/>
        </w:rPr>
        <w:t xml:space="preserve"> of the Banking Stakeholder Group established in accordance with Article 37 of Regulation (EU) No</w:t>
      </w:r>
      <w:r w:rsidR="00D00193" w:rsidRPr="00103B22">
        <w:rPr>
          <w:noProof/>
        </w:rPr>
        <w:t> </w:t>
      </w:r>
      <w:r w:rsidR="00410340" w:rsidRPr="00103B22">
        <w:rPr>
          <w:noProof/>
        </w:rPr>
        <w:t>1093/2010</w:t>
      </w:r>
      <w:r w:rsidR="001E62ED" w:rsidRPr="00103B22">
        <w:rPr>
          <w:noProof/>
        </w:rPr>
        <w:t xml:space="preserve"> of the European Parliament and of the Council</w:t>
      </w:r>
      <w:r w:rsidR="00410340" w:rsidRPr="00103B22">
        <w:rPr>
          <w:rStyle w:val="FootnoteReference"/>
          <w:noProof/>
        </w:rPr>
        <w:footnoteReference w:id="8"/>
      </w:r>
      <w:r w:rsidR="00410340" w:rsidRPr="00103B22">
        <w:rPr>
          <w:noProof/>
        </w:rPr>
        <w:t>.</w:t>
      </w:r>
    </w:p>
    <w:p w:rsidR="00410340" w:rsidRPr="00103B22" w:rsidRDefault="00052791" w:rsidP="00052791">
      <w:pPr>
        <w:pStyle w:val="ManualConsidrant"/>
        <w:rPr>
          <w:noProof/>
        </w:rPr>
      </w:pPr>
      <w:r w:rsidRPr="00052791">
        <w:t>(8)</w:t>
      </w:r>
      <w:r w:rsidRPr="00052791">
        <w:tab/>
      </w:r>
      <w:r w:rsidR="00410340" w:rsidRPr="00103B22">
        <w:rPr>
          <w:noProof/>
        </w:rPr>
        <w:t xml:space="preserve">Implementing Regulation (EU) </w:t>
      </w:r>
      <w:r w:rsidR="00410340" w:rsidRPr="00103B22">
        <w:rPr>
          <w:noProof/>
          <w:sz w:val="22"/>
        </w:rPr>
        <w:t xml:space="preserve">2021/637 </w:t>
      </w:r>
      <w:r w:rsidR="00410340" w:rsidRPr="00103B22">
        <w:rPr>
          <w:noProof/>
        </w:rPr>
        <w:t>should therefore be amended accordingly</w:t>
      </w:r>
      <w:r w:rsidR="001E62ED" w:rsidRPr="00103B22">
        <w:rPr>
          <w:noProof/>
        </w:rPr>
        <w:t>,</w:t>
      </w:r>
    </w:p>
    <w:p w:rsidR="003C122C" w:rsidRPr="00103B22" w:rsidRDefault="003C122C" w:rsidP="004E1EF9">
      <w:pPr>
        <w:pStyle w:val="Formuledadoption"/>
        <w:rPr>
          <w:noProof/>
          <w:szCs w:val="24"/>
        </w:rPr>
      </w:pPr>
      <w:r w:rsidRPr="00103B22">
        <w:rPr>
          <w:noProof/>
          <w:szCs w:val="24"/>
        </w:rPr>
        <w:t>HAS ADOPTED THIS REGULATION:</w:t>
      </w:r>
    </w:p>
    <w:p w:rsidR="003C122C" w:rsidRPr="00103B22" w:rsidRDefault="003C122C" w:rsidP="004E1EF9">
      <w:pPr>
        <w:pStyle w:val="Titrearticle"/>
        <w:rPr>
          <w:noProof/>
          <w:szCs w:val="24"/>
        </w:rPr>
      </w:pPr>
      <w:r w:rsidRPr="00103B22">
        <w:rPr>
          <w:noProof/>
          <w:szCs w:val="24"/>
        </w:rPr>
        <w:t>Article 1</w:t>
      </w:r>
    </w:p>
    <w:p w:rsidR="007F4F83" w:rsidRPr="00103B22" w:rsidRDefault="007F4F83" w:rsidP="00D00193">
      <w:pPr>
        <w:pStyle w:val="Titrearticle"/>
        <w:spacing w:before="120"/>
        <w:rPr>
          <w:b/>
          <w:i w:val="0"/>
          <w:noProof/>
          <w:szCs w:val="24"/>
        </w:rPr>
      </w:pPr>
      <w:r w:rsidRPr="00103B22">
        <w:rPr>
          <w:b/>
          <w:i w:val="0"/>
          <w:noProof/>
          <w:szCs w:val="24"/>
        </w:rPr>
        <w:t xml:space="preserve">Amendments to Implementing Regulation (EU) </w:t>
      </w:r>
      <w:r w:rsidR="003276ED" w:rsidRPr="00103B22">
        <w:rPr>
          <w:b/>
          <w:i w:val="0"/>
          <w:noProof/>
          <w:szCs w:val="24"/>
        </w:rPr>
        <w:t>2021/637</w:t>
      </w:r>
    </w:p>
    <w:p w:rsidR="007F4F83" w:rsidRPr="00103B22" w:rsidRDefault="007F4F83" w:rsidP="007F4F83">
      <w:pPr>
        <w:pStyle w:val="Titrearticle"/>
        <w:jc w:val="left"/>
        <w:rPr>
          <w:rFonts w:eastAsiaTheme="minorEastAsia"/>
          <w:i w:val="0"/>
          <w:noProof/>
          <w:szCs w:val="24"/>
        </w:rPr>
      </w:pPr>
      <w:r w:rsidRPr="00103B22">
        <w:rPr>
          <w:rFonts w:eastAsiaTheme="minorEastAsia"/>
          <w:i w:val="0"/>
          <w:noProof/>
          <w:szCs w:val="24"/>
        </w:rPr>
        <w:t xml:space="preserve">Implementing Regulation (EU) </w:t>
      </w:r>
      <w:r w:rsidR="003276ED" w:rsidRPr="00103B22">
        <w:rPr>
          <w:rFonts w:eastAsiaTheme="minorEastAsia"/>
          <w:i w:val="0"/>
          <w:noProof/>
          <w:szCs w:val="24"/>
        </w:rPr>
        <w:t>2021/637</w:t>
      </w:r>
      <w:r w:rsidRPr="00103B22">
        <w:rPr>
          <w:rFonts w:eastAsiaTheme="minorEastAsia"/>
          <w:i w:val="0"/>
          <w:noProof/>
          <w:szCs w:val="24"/>
        </w:rPr>
        <w:t xml:space="preserve"> is amended as follows</w:t>
      </w:r>
      <w:r w:rsidR="003276ED" w:rsidRPr="00103B22">
        <w:rPr>
          <w:rFonts w:eastAsiaTheme="minorEastAsia"/>
          <w:i w:val="0"/>
          <w:noProof/>
          <w:szCs w:val="24"/>
        </w:rPr>
        <w:t>:</w:t>
      </w:r>
    </w:p>
    <w:p w:rsidR="007F4F83" w:rsidRPr="00103B22" w:rsidRDefault="00052791" w:rsidP="00052791">
      <w:pPr>
        <w:pStyle w:val="Point0"/>
        <w:rPr>
          <w:noProof/>
        </w:rPr>
      </w:pPr>
      <w:r w:rsidRPr="00052791">
        <w:t>(1)</w:t>
      </w:r>
      <w:r w:rsidRPr="00052791">
        <w:tab/>
      </w:r>
      <w:r w:rsidR="007F4F83" w:rsidRPr="00103B22">
        <w:rPr>
          <w:noProof/>
        </w:rPr>
        <w:t>the following Article 18a is inserted:</w:t>
      </w:r>
    </w:p>
    <w:p w:rsidR="007F4F83" w:rsidRPr="00103B22" w:rsidRDefault="006542E5" w:rsidP="004046D9">
      <w:pPr>
        <w:pStyle w:val="Titrearticle"/>
        <w:spacing w:before="120"/>
        <w:ind w:left="567" w:right="568"/>
        <w:rPr>
          <w:noProof/>
        </w:rPr>
      </w:pPr>
      <w:r w:rsidRPr="00103B22">
        <w:rPr>
          <w:noProof/>
        </w:rPr>
        <w:t>‘</w:t>
      </w:r>
      <w:r w:rsidR="007F4F83" w:rsidRPr="00103B22">
        <w:rPr>
          <w:noProof/>
        </w:rPr>
        <w:t>Article 18a</w:t>
      </w:r>
    </w:p>
    <w:p w:rsidR="007F4F83" w:rsidRPr="00103B22" w:rsidRDefault="007F4F83" w:rsidP="004046D9">
      <w:pPr>
        <w:pStyle w:val="Titrearticle"/>
        <w:spacing w:before="120"/>
        <w:ind w:left="567" w:right="568"/>
        <w:rPr>
          <w:b/>
          <w:i w:val="0"/>
          <w:noProof/>
        </w:rPr>
      </w:pPr>
      <w:r w:rsidRPr="00103B22">
        <w:rPr>
          <w:b/>
          <w:i w:val="0"/>
          <w:noProof/>
        </w:rPr>
        <w:t>Disclosure of environmental, social and governance risks (ESG risks)</w:t>
      </w:r>
    </w:p>
    <w:p w:rsidR="007F4F83" w:rsidRPr="00353D88" w:rsidRDefault="00052791" w:rsidP="00052791">
      <w:pPr>
        <w:pStyle w:val="ManualNumPar1"/>
        <w:rPr>
          <w:noProof/>
        </w:rPr>
      </w:pPr>
      <w:r w:rsidRPr="00052791">
        <w:t>1.</w:t>
      </w:r>
      <w:r w:rsidRPr="00052791">
        <w:tab/>
      </w:r>
      <w:r w:rsidR="007F4F83" w:rsidRPr="00353D88">
        <w:rPr>
          <w:noProof/>
        </w:rPr>
        <w:t>Institutions shall disclose the information referred to in Article 449a of Regulation (EU) No 575/2013 as follows:</w:t>
      </w:r>
    </w:p>
    <w:p w:rsidR="002D1236" w:rsidRPr="00353D88" w:rsidRDefault="00052791" w:rsidP="00052791">
      <w:pPr>
        <w:pStyle w:val="Point1"/>
        <w:rPr>
          <w:noProof/>
        </w:rPr>
      </w:pPr>
      <w:r w:rsidRPr="00052791">
        <w:t>(a)</w:t>
      </w:r>
      <w:r w:rsidRPr="00052791">
        <w:tab/>
      </w:r>
      <w:r w:rsidR="002D1236" w:rsidRPr="00353D88">
        <w:rPr>
          <w:noProof/>
        </w:rPr>
        <w:t>qualitative information on environmental, social and governance risks by using tables 1, 2 and 3 of Annex XXXIX to this Regulation and by following the instructions set out in Annex XL to this Regulation;</w:t>
      </w:r>
    </w:p>
    <w:p w:rsidR="002D1236" w:rsidRPr="00353D88" w:rsidRDefault="00052791" w:rsidP="00052791">
      <w:pPr>
        <w:pStyle w:val="Point1"/>
        <w:rPr>
          <w:noProof/>
        </w:rPr>
      </w:pPr>
      <w:r w:rsidRPr="00052791">
        <w:t>(b)</w:t>
      </w:r>
      <w:r w:rsidRPr="00052791">
        <w:tab/>
      </w:r>
      <w:r w:rsidR="002D1236" w:rsidRPr="00353D88">
        <w:rPr>
          <w:noProof/>
        </w:rPr>
        <w:t>quantitative information on climate change transition risk by using Template</w:t>
      </w:r>
      <w:r w:rsidR="00732259" w:rsidRPr="00353D88">
        <w:rPr>
          <w:noProof/>
        </w:rPr>
        <w:t>s </w:t>
      </w:r>
      <w:r w:rsidR="002D1236" w:rsidRPr="00353D88">
        <w:rPr>
          <w:noProof/>
        </w:rPr>
        <w:t>1 to 4 of Annex XXXIX to this Regulation and by following the instructions set out in Annex XL to this Regulation;</w:t>
      </w:r>
    </w:p>
    <w:p w:rsidR="002D1236" w:rsidRPr="00353D88" w:rsidRDefault="00052791" w:rsidP="00052791">
      <w:pPr>
        <w:pStyle w:val="Point1"/>
        <w:rPr>
          <w:noProof/>
        </w:rPr>
      </w:pPr>
      <w:r w:rsidRPr="00052791">
        <w:t>(c)</w:t>
      </w:r>
      <w:r w:rsidRPr="00052791">
        <w:tab/>
      </w:r>
      <w:r w:rsidR="002D1236" w:rsidRPr="00353D88">
        <w:rPr>
          <w:noProof/>
        </w:rPr>
        <w:t>quantitative information on climate change physical risks by using Template 5 of Annex XXXIX to this Regulation and by following the instructions set out in Annex XL to this Regulation;</w:t>
      </w:r>
    </w:p>
    <w:p w:rsidR="002D1236" w:rsidRPr="00353D88" w:rsidRDefault="00052791" w:rsidP="00052791">
      <w:pPr>
        <w:pStyle w:val="Point1"/>
        <w:rPr>
          <w:noProof/>
        </w:rPr>
      </w:pPr>
      <w:r w:rsidRPr="00052791">
        <w:t>(d)</w:t>
      </w:r>
      <w:r w:rsidRPr="00052791">
        <w:tab/>
      </w:r>
      <w:r w:rsidR="002D1236" w:rsidRPr="00353D88">
        <w:rPr>
          <w:noProof/>
        </w:rPr>
        <w:t>quantitative information on mitigating actions associated with economic activities that qualify as environmentally sustainable under Articles 3 of Regulation (EU) 2020/852</w:t>
      </w:r>
      <w:r w:rsidR="00921483" w:rsidRPr="00353D88">
        <w:rPr>
          <w:noProof/>
        </w:rPr>
        <w:t xml:space="preserve"> of the European Parliament and of the Council*</w:t>
      </w:r>
      <w:r w:rsidR="006E5628" w:rsidRPr="00353D88">
        <w:rPr>
          <w:noProof/>
        </w:rPr>
        <w:t>1</w:t>
      </w:r>
      <w:r w:rsidR="002D1236" w:rsidRPr="00353D88">
        <w:rPr>
          <w:noProof/>
        </w:rPr>
        <w:t xml:space="preserve"> towards those counterparties </w:t>
      </w:r>
      <w:r w:rsidR="00732259" w:rsidRPr="00353D88">
        <w:rPr>
          <w:noProof/>
        </w:rPr>
        <w:t xml:space="preserve">that are </w:t>
      </w:r>
      <w:r w:rsidR="002D1236" w:rsidRPr="00353D88">
        <w:rPr>
          <w:noProof/>
        </w:rPr>
        <w:t xml:space="preserve">subject to </w:t>
      </w:r>
      <w:r w:rsidR="00732259" w:rsidRPr="00353D88">
        <w:rPr>
          <w:noProof/>
        </w:rPr>
        <w:t>Article</w:t>
      </w:r>
      <w:r w:rsidR="00F8179F" w:rsidRPr="00353D88">
        <w:rPr>
          <w:noProof/>
        </w:rPr>
        <w:t>s 19a or</w:t>
      </w:r>
      <w:r w:rsidR="00732259" w:rsidRPr="00353D88">
        <w:rPr>
          <w:noProof/>
        </w:rPr>
        <w:t xml:space="preserve"> 29a of</w:t>
      </w:r>
      <w:r w:rsidR="002D1236" w:rsidRPr="00353D88">
        <w:rPr>
          <w:noProof/>
        </w:rPr>
        <w:t xml:space="preserve"> </w:t>
      </w:r>
      <w:r w:rsidR="00851060" w:rsidRPr="00851060">
        <w:rPr>
          <w:noProof/>
        </w:rPr>
        <w:t xml:space="preserve">Directive 2013/34/EU of the European Parliament and of the Council </w:t>
      </w:r>
      <w:r w:rsidR="00921483" w:rsidRPr="00353D88">
        <w:rPr>
          <w:noProof/>
        </w:rPr>
        <w:t>*</w:t>
      </w:r>
      <w:r w:rsidR="006E5628" w:rsidRPr="00353D88">
        <w:rPr>
          <w:noProof/>
        </w:rPr>
        <w:t>2</w:t>
      </w:r>
      <w:r w:rsidR="002D1236" w:rsidRPr="00353D88">
        <w:rPr>
          <w:noProof/>
        </w:rPr>
        <w:t xml:space="preserve">, </w:t>
      </w:r>
      <w:bookmarkStart w:id="1" w:name="_Hlk92470586"/>
      <w:r w:rsidR="002D1236" w:rsidRPr="00353D88">
        <w:rPr>
          <w:noProof/>
        </w:rPr>
        <w:t xml:space="preserve">towards households, and towards local governments </w:t>
      </w:r>
      <w:bookmarkEnd w:id="1"/>
      <w:r w:rsidR="004D65D2" w:rsidRPr="00353D88">
        <w:rPr>
          <w:noProof/>
        </w:rPr>
        <w:t>as referred to</w:t>
      </w:r>
      <w:r w:rsidR="002D1236" w:rsidRPr="00353D88">
        <w:rPr>
          <w:noProof/>
        </w:rPr>
        <w:t xml:space="preserve"> in </w:t>
      </w:r>
      <w:r w:rsidR="001E62ED" w:rsidRPr="00353D88">
        <w:rPr>
          <w:noProof/>
        </w:rPr>
        <w:t>Part</w:t>
      </w:r>
      <w:r w:rsidR="00732259" w:rsidRPr="00353D88">
        <w:rPr>
          <w:noProof/>
        </w:rPr>
        <w:t> </w:t>
      </w:r>
      <w:r w:rsidR="001E62ED" w:rsidRPr="00353D88">
        <w:rPr>
          <w:noProof/>
        </w:rPr>
        <w:t>1, p</w:t>
      </w:r>
      <w:r w:rsidR="004D65D2" w:rsidRPr="00353D88">
        <w:rPr>
          <w:noProof/>
        </w:rPr>
        <w:t>oint</w:t>
      </w:r>
      <w:r w:rsidR="001844EE" w:rsidRPr="00353D88">
        <w:rPr>
          <w:noProof/>
        </w:rPr>
        <w:t xml:space="preserve"> 42</w:t>
      </w:r>
      <w:r w:rsidR="001844EE" w:rsidRPr="00756CA3">
        <w:rPr>
          <w:noProof/>
        </w:rPr>
        <w:t>(</w:t>
      </w:r>
      <w:r w:rsidR="004F6722" w:rsidRPr="00756CA3">
        <w:rPr>
          <w:noProof/>
        </w:rPr>
        <w:t>b</w:t>
      </w:r>
      <w:r w:rsidR="001844EE" w:rsidRPr="00756CA3">
        <w:rPr>
          <w:noProof/>
        </w:rPr>
        <w:t>)</w:t>
      </w:r>
      <w:r w:rsidR="001E62ED" w:rsidRPr="00756CA3">
        <w:rPr>
          <w:noProof/>
        </w:rPr>
        <w:t>,</w:t>
      </w:r>
      <w:r w:rsidR="002D1236" w:rsidRPr="00756CA3">
        <w:rPr>
          <w:noProof/>
        </w:rPr>
        <w:t xml:space="preserve"> of</w:t>
      </w:r>
      <w:r w:rsidR="002D1236" w:rsidRPr="00353D88">
        <w:rPr>
          <w:noProof/>
        </w:rPr>
        <w:t xml:space="preserve"> Annex V </w:t>
      </w:r>
      <w:r w:rsidR="001E62ED" w:rsidRPr="00353D88">
        <w:rPr>
          <w:noProof/>
        </w:rPr>
        <w:t>to</w:t>
      </w:r>
      <w:r w:rsidR="002D1236" w:rsidRPr="00353D88">
        <w:rPr>
          <w:noProof/>
        </w:rPr>
        <w:t xml:space="preserve"> Commission Implementing Regulation (EU) 2021/451</w:t>
      </w:r>
      <w:r w:rsidR="00921483" w:rsidRPr="00353D88">
        <w:rPr>
          <w:noProof/>
        </w:rPr>
        <w:t>*</w:t>
      </w:r>
      <w:r w:rsidR="006E5628" w:rsidRPr="00353D88">
        <w:rPr>
          <w:noProof/>
        </w:rPr>
        <w:t>3</w:t>
      </w:r>
      <w:r w:rsidR="00732259" w:rsidRPr="00353D88">
        <w:rPr>
          <w:noProof/>
        </w:rPr>
        <w:t>,</w:t>
      </w:r>
      <w:r w:rsidR="006542E5" w:rsidRPr="00353D88">
        <w:rPr>
          <w:noProof/>
        </w:rPr>
        <w:t xml:space="preserve"> </w:t>
      </w:r>
      <w:r w:rsidR="002D1236" w:rsidRPr="00353D88">
        <w:rPr>
          <w:noProof/>
        </w:rPr>
        <w:t>by using Template</w:t>
      </w:r>
      <w:r w:rsidR="00921483" w:rsidRPr="00353D88">
        <w:rPr>
          <w:noProof/>
        </w:rPr>
        <w:t>s</w:t>
      </w:r>
      <w:r w:rsidR="002D1236" w:rsidRPr="00353D88">
        <w:rPr>
          <w:noProof/>
        </w:rPr>
        <w:t xml:space="preserve"> 6</w:t>
      </w:r>
      <w:r w:rsidR="00A11076" w:rsidRPr="00353D88">
        <w:rPr>
          <w:noProof/>
        </w:rPr>
        <w:t>, 7 and</w:t>
      </w:r>
      <w:r w:rsidR="002D1236" w:rsidRPr="00353D88">
        <w:rPr>
          <w:noProof/>
        </w:rPr>
        <w:t xml:space="preserve"> 8 of Annex XXXIX to this Regulation and by following the instructions set out in Annex XL to this Regulation;</w:t>
      </w:r>
    </w:p>
    <w:p w:rsidR="00995098" w:rsidRPr="00353D88" w:rsidRDefault="00052791" w:rsidP="00052791">
      <w:pPr>
        <w:pStyle w:val="Point1"/>
        <w:rPr>
          <w:noProof/>
        </w:rPr>
      </w:pPr>
      <w:r w:rsidRPr="00052791">
        <w:t>(e)</w:t>
      </w:r>
      <w:r w:rsidRPr="00052791">
        <w:tab/>
      </w:r>
      <w:r w:rsidR="00995098" w:rsidRPr="00353D88">
        <w:rPr>
          <w:noProof/>
        </w:rPr>
        <w:t xml:space="preserve">quantitative information on other mitigating actions and exposures to climate-change-related risks that do not qualify as environmentally sustainable economic activities under Article 3 of Regulation (EU) 2020/852 but support counterparties in the transition or adaptation process for the objectives of climate change mitigation and climate change adaptation, by using Template </w:t>
      </w:r>
      <w:r w:rsidR="00995098" w:rsidRPr="00353D88">
        <w:rPr>
          <w:noProof/>
        </w:rPr>
        <w:lastRenderedPageBreak/>
        <w:t>10 of Annex XXXIX to this Regulation and by following the instructions set out in Annex XL to this Regulation.</w:t>
      </w:r>
    </w:p>
    <w:p w:rsidR="008D2E23" w:rsidRPr="00103B22" w:rsidRDefault="00052791" w:rsidP="00052791">
      <w:pPr>
        <w:pStyle w:val="ManualNumPar1"/>
        <w:rPr>
          <w:noProof/>
        </w:rPr>
      </w:pPr>
      <w:r w:rsidRPr="00052791">
        <w:t>2.</w:t>
      </w:r>
      <w:r w:rsidRPr="00052791">
        <w:tab/>
      </w:r>
      <w:r w:rsidR="000941B5" w:rsidRPr="00103B22">
        <w:rPr>
          <w:noProof/>
        </w:rPr>
        <w:t xml:space="preserve">Institutions may choose to disclose </w:t>
      </w:r>
      <w:r w:rsidR="002D1236" w:rsidRPr="00103B22">
        <w:rPr>
          <w:noProof/>
        </w:rPr>
        <w:t>quantitative information on mitigating actions and exposures on climate-change-related risks associated with economic activities that qualify as environmentally sustainable under Article 3 of Regulation (EU) 2020/852</w:t>
      </w:r>
      <w:r w:rsidR="00994FD4" w:rsidRPr="00103B22">
        <w:rPr>
          <w:noProof/>
        </w:rPr>
        <w:t>,</w:t>
      </w:r>
      <w:r w:rsidR="002D1236" w:rsidRPr="00103B22">
        <w:rPr>
          <w:noProof/>
        </w:rPr>
        <w:t xml:space="preserve"> towards counterparties </w:t>
      </w:r>
      <w:bookmarkStart w:id="2" w:name="_Hlk92470606"/>
      <w:r w:rsidR="002D1236" w:rsidRPr="00103B22">
        <w:rPr>
          <w:noProof/>
        </w:rPr>
        <w:t xml:space="preserve">that are non-financial corporations </w:t>
      </w:r>
      <w:bookmarkEnd w:id="2"/>
      <w:r w:rsidR="002D1236" w:rsidRPr="00103B22">
        <w:rPr>
          <w:noProof/>
        </w:rPr>
        <w:t xml:space="preserve">as </w:t>
      </w:r>
      <w:r w:rsidR="004D65D2" w:rsidRPr="00103B22">
        <w:rPr>
          <w:noProof/>
        </w:rPr>
        <w:t>referred to in</w:t>
      </w:r>
      <w:r w:rsidR="002D1236" w:rsidRPr="00103B22">
        <w:rPr>
          <w:noProof/>
        </w:rPr>
        <w:t xml:space="preserve"> </w:t>
      </w:r>
      <w:r w:rsidR="006E5628" w:rsidRPr="00103B22">
        <w:rPr>
          <w:noProof/>
        </w:rPr>
        <w:t>Part </w:t>
      </w:r>
      <w:r w:rsidR="004D65D2" w:rsidRPr="00103B22">
        <w:rPr>
          <w:noProof/>
        </w:rPr>
        <w:t>1, point</w:t>
      </w:r>
      <w:r w:rsidR="002D1236" w:rsidRPr="00103B22">
        <w:rPr>
          <w:noProof/>
        </w:rPr>
        <w:t xml:space="preserve"> 42</w:t>
      </w:r>
      <w:r w:rsidR="00595146" w:rsidRPr="00103B22">
        <w:rPr>
          <w:noProof/>
        </w:rPr>
        <w:t>(e)</w:t>
      </w:r>
      <w:r w:rsidR="002D1236" w:rsidRPr="00103B22">
        <w:rPr>
          <w:noProof/>
        </w:rPr>
        <w:t xml:space="preserve"> of Annex V </w:t>
      </w:r>
      <w:r w:rsidR="00D01D57" w:rsidRPr="00103B22">
        <w:rPr>
          <w:noProof/>
        </w:rPr>
        <w:t>to</w:t>
      </w:r>
      <w:r w:rsidR="002D1236" w:rsidRPr="00103B22">
        <w:rPr>
          <w:noProof/>
        </w:rPr>
        <w:t xml:space="preserve"> Implementing Regulation (EU)</w:t>
      </w:r>
      <w:r w:rsidR="00994FD4" w:rsidRPr="00103B22">
        <w:rPr>
          <w:noProof/>
        </w:rPr>
        <w:t xml:space="preserve"> 2021/</w:t>
      </w:r>
      <w:r w:rsidR="006973D8" w:rsidRPr="00103B22">
        <w:rPr>
          <w:noProof/>
        </w:rPr>
        <w:t>451</w:t>
      </w:r>
      <w:r w:rsidR="006E5628" w:rsidRPr="00103B22">
        <w:rPr>
          <w:noProof/>
        </w:rPr>
        <w:t>,</w:t>
      </w:r>
      <w:r w:rsidR="001904B5" w:rsidRPr="00103B22">
        <w:rPr>
          <w:noProof/>
        </w:rPr>
        <w:t xml:space="preserve"> that are</w:t>
      </w:r>
      <w:r w:rsidR="002D1236" w:rsidRPr="00103B22">
        <w:rPr>
          <w:noProof/>
        </w:rPr>
        <w:t xml:space="preserve"> not </w:t>
      </w:r>
      <w:r w:rsidR="002D1236" w:rsidRPr="00103B22">
        <w:rPr>
          <w:rFonts w:eastAsia="Times New Roman"/>
          <w:noProof/>
        </w:rPr>
        <w:t xml:space="preserve">subject to </w:t>
      </w:r>
      <w:r w:rsidR="001904B5" w:rsidRPr="00103B22">
        <w:rPr>
          <w:rFonts w:eastAsia="Times New Roman"/>
          <w:noProof/>
        </w:rPr>
        <w:t xml:space="preserve">the </w:t>
      </w:r>
      <w:r w:rsidR="002D1236" w:rsidRPr="00103B22">
        <w:rPr>
          <w:rFonts w:eastAsia="Times New Roman"/>
          <w:noProof/>
        </w:rPr>
        <w:t xml:space="preserve">disclosure obligations </w:t>
      </w:r>
      <w:r w:rsidR="001904B5" w:rsidRPr="00103B22">
        <w:rPr>
          <w:rFonts w:eastAsia="Times New Roman"/>
          <w:noProof/>
        </w:rPr>
        <w:t xml:space="preserve">laid down in </w:t>
      </w:r>
      <w:r w:rsidR="00F8179F" w:rsidRPr="00103B22">
        <w:rPr>
          <w:rFonts w:eastAsia="Times New Roman"/>
          <w:noProof/>
        </w:rPr>
        <w:t xml:space="preserve">Articles 19a or 29a of </w:t>
      </w:r>
      <w:r w:rsidR="00851060" w:rsidRPr="00851060">
        <w:rPr>
          <w:rFonts w:eastAsia="Times New Roman"/>
          <w:noProof/>
        </w:rPr>
        <w:t xml:space="preserve">Directive 2013/34/EU </w:t>
      </w:r>
      <w:r w:rsidR="00643DD1" w:rsidRPr="00103B22">
        <w:rPr>
          <w:rFonts w:eastAsia="Times New Roman"/>
          <w:noProof/>
        </w:rPr>
        <w:t xml:space="preserve"> and </w:t>
      </w:r>
      <w:r w:rsidR="006E5628" w:rsidRPr="00103B22">
        <w:rPr>
          <w:rFonts w:eastAsia="Times New Roman"/>
          <w:noProof/>
        </w:rPr>
        <w:t xml:space="preserve">that are </w:t>
      </w:r>
      <w:r w:rsidR="00643DD1" w:rsidRPr="00103B22">
        <w:rPr>
          <w:rFonts w:eastAsia="Times New Roman"/>
          <w:noProof/>
        </w:rPr>
        <w:t xml:space="preserve">not subject to </w:t>
      </w:r>
      <w:r w:rsidR="006E5628" w:rsidRPr="00103B22">
        <w:rPr>
          <w:rFonts w:eastAsia="Times New Roman"/>
          <w:noProof/>
        </w:rPr>
        <w:t xml:space="preserve">the </w:t>
      </w:r>
      <w:r w:rsidR="00643DD1" w:rsidRPr="00103B22">
        <w:rPr>
          <w:rFonts w:eastAsia="Times New Roman"/>
          <w:noProof/>
        </w:rPr>
        <w:t xml:space="preserve">disclosure obligations laid down in </w:t>
      </w:r>
      <w:r w:rsidR="00643DD1" w:rsidRPr="00103B22">
        <w:rPr>
          <w:noProof/>
        </w:rPr>
        <w:t>Commission Implementing Regulation (EU) 2021/2178</w:t>
      </w:r>
      <w:r w:rsidR="006E5628" w:rsidRPr="00103B22">
        <w:rPr>
          <w:noProof/>
          <w:vertAlign w:val="superscript"/>
        </w:rPr>
        <w:t>*4</w:t>
      </w:r>
      <w:r w:rsidR="002D1236" w:rsidRPr="00103B22">
        <w:rPr>
          <w:noProof/>
        </w:rPr>
        <w:t xml:space="preserve">, by using Template 9 of Annex XXXIX to this Regulation and by following the instructions set out in Annex XL to this Regulation. </w:t>
      </w:r>
    </w:p>
    <w:p w:rsidR="002D1236" w:rsidRPr="00103B22" w:rsidRDefault="002D1236" w:rsidP="00353D88">
      <w:pPr>
        <w:pStyle w:val="Text1"/>
        <w:rPr>
          <w:noProof/>
        </w:rPr>
      </w:pPr>
      <w:r w:rsidRPr="00103B22">
        <w:rPr>
          <w:noProof/>
        </w:rPr>
        <w:t xml:space="preserve">For the calculation of the percentage of </w:t>
      </w:r>
      <w:r w:rsidR="003A6D93" w:rsidRPr="00103B22">
        <w:rPr>
          <w:noProof/>
        </w:rPr>
        <w:t>the exposures to activities that comply with the requirements laid down in Article 3 of Regulation (EU) 2020/852 (</w:t>
      </w:r>
      <w:r w:rsidRPr="00103B22">
        <w:rPr>
          <w:noProof/>
        </w:rPr>
        <w:t>taxonomy-aligned exposures</w:t>
      </w:r>
      <w:r w:rsidR="003A6D93" w:rsidRPr="00103B22">
        <w:rPr>
          <w:noProof/>
        </w:rPr>
        <w:t>)</w:t>
      </w:r>
      <w:r w:rsidRPr="00103B22">
        <w:rPr>
          <w:noProof/>
        </w:rPr>
        <w:t xml:space="preserve"> towards th</w:t>
      </w:r>
      <w:r w:rsidR="00B25755" w:rsidRPr="00103B22">
        <w:rPr>
          <w:noProof/>
        </w:rPr>
        <w:t>o</w:t>
      </w:r>
      <w:r w:rsidRPr="00103B22">
        <w:rPr>
          <w:noProof/>
        </w:rPr>
        <w:t>se counterparties, institutions:</w:t>
      </w:r>
    </w:p>
    <w:p w:rsidR="00D23734" w:rsidRPr="00103B22" w:rsidRDefault="00052791" w:rsidP="00052791">
      <w:pPr>
        <w:pStyle w:val="Point1"/>
        <w:rPr>
          <w:noProof/>
        </w:rPr>
      </w:pPr>
      <w:r w:rsidRPr="00052791">
        <w:t>(a)</w:t>
      </w:r>
      <w:r w:rsidRPr="00052791">
        <w:tab/>
      </w:r>
      <w:r w:rsidR="008E7D06" w:rsidRPr="00103B22">
        <w:rPr>
          <w:noProof/>
        </w:rPr>
        <w:t xml:space="preserve">may, </w:t>
      </w:r>
      <w:r w:rsidR="006E5628" w:rsidRPr="00103B22">
        <w:rPr>
          <w:noProof/>
        </w:rPr>
        <w:t>where</w:t>
      </w:r>
      <w:r w:rsidR="008E7D06" w:rsidRPr="00103B22">
        <w:rPr>
          <w:noProof/>
        </w:rPr>
        <w:t xml:space="preserve"> available, use the </w:t>
      </w:r>
      <w:r w:rsidR="002D1236" w:rsidRPr="00103B22">
        <w:rPr>
          <w:noProof/>
        </w:rPr>
        <w:t xml:space="preserve">information </w:t>
      </w:r>
      <w:r w:rsidR="008E7D06" w:rsidRPr="00103B22">
        <w:rPr>
          <w:noProof/>
        </w:rPr>
        <w:t xml:space="preserve">received </w:t>
      </w:r>
      <w:r w:rsidR="002D1236" w:rsidRPr="00103B22">
        <w:rPr>
          <w:noProof/>
        </w:rPr>
        <w:t>f</w:t>
      </w:r>
      <w:r w:rsidR="008E7D06" w:rsidRPr="00103B22">
        <w:rPr>
          <w:noProof/>
        </w:rPr>
        <w:t>r</w:t>
      </w:r>
      <w:r w:rsidR="002D1236" w:rsidRPr="00103B22">
        <w:rPr>
          <w:noProof/>
        </w:rPr>
        <w:t xml:space="preserve">om their counterparties on a </w:t>
      </w:r>
      <w:r w:rsidR="008E7D06" w:rsidRPr="00103B22">
        <w:rPr>
          <w:noProof/>
        </w:rPr>
        <w:t xml:space="preserve">voluntary and </w:t>
      </w:r>
      <w:r w:rsidR="002D1236" w:rsidRPr="00103B22">
        <w:rPr>
          <w:noProof/>
        </w:rPr>
        <w:t>bilateral basis through the loan origination, and regular credit review and monitoring process</w:t>
      </w:r>
      <w:r w:rsidR="001904B5" w:rsidRPr="00103B22">
        <w:rPr>
          <w:noProof/>
        </w:rPr>
        <w:t>es</w:t>
      </w:r>
      <w:r w:rsidR="008E7D06" w:rsidRPr="00103B22">
        <w:rPr>
          <w:noProof/>
        </w:rPr>
        <w:t>;</w:t>
      </w:r>
    </w:p>
    <w:p w:rsidR="00D23734" w:rsidRPr="00103B22" w:rsidRDefault="00052791" w:rsidP="00052791">
      <w:pPr>
        <w:pStyle w:val="Point1"/>
        <w:rPr>
          <w:noProof/>
        </w:rPr>
      </w:pPr>
      <w:r w:rsidRPr="00052791">
        <w:t>(b)</w:t>
      </w:r>
      <w:r w:rsidRPr="00052791">
        <w:tab/>
      </w:r>
      <w:r w:rsidR="00B25755" w:rsidRPr="00103B22">
        <w:rPr>
          <w:noProof/>
        </w:rPr>
        <w:t>where</w:t>
      </w:r>
      <w:r w:rsidR="002D1236" w:rsidRPr="00103B22">
        <w:rPr>
          <w:noProof/>
        </w:rPr>
        <w:t xml:space="preserve"> the counterparty is not able </w:t>
      </w:r>
      <w:r w:rsidR="008E7D06" w:rsidRPr="00103B22">
        <w:rPr>
          <w:noProof/>
        </w:rPr>
        <w:t xml:space="preserve">or willing </w:t>
      </w:r>
      <w:r w:rsidR="002D1236" w:rsidRPr="00103B22">
        <w:rPr>
          <w:noProof/>
        </w:rPr>
        <w:t xml:space="preserve">to provide the data </w:t>
      </w:r>
      <w:r w:rsidR="006E5628" w:rsidRPr="00103B22">
        <w:rPr>
          <w:noProof/>
        </w:rPr>
        <w:t xml:space="preserve">concerned </w:t>
      </w:r>
      <w:r w:rsidR="002D1236" w:rsidRPr="00103B22">
        <w:rPr>
          <w:noProof/>
        </w:rPr>
        <w:t xml:space="preserve">on a bilateral basis, </w:t>
      </w:r>
      <w:r w:rsidR="008E7D06" w:rsidRPr="00103B22">
        <w:rPr>
          <w:noProof/>
        </w:rPr>
        <w:t xml:space="preserve">may </w:t>
      </w:r>
      <w:r w:rsidR="002D1236" w:rsidRPr="00103B22">
        <w:rPr>
          <w:noProof/>
        </w:rPr>
        <w:t>use internal estimates and proxies and explain in the narrative accompanying the template t</w:t>
      </w:r>
      <w:r w:rsidR="006E5628" w:rsidRPr="00103B22">
        <w:rPr>
          <w:noProof/>
        </w:rPr>
        <w:t>o what</w:t>
      </w:r>
      <w:r w:rsidR="002D1236" w:rsidRPr="00103B22">
        <w:rPr>
          <w:noProof/>
        </w:rPr>
        <w:t xml:space="preserve"> extent th</w:t>
      </w:r>
      <w:r w:rsidR="001904B5" w:rsidRPr="00103B22">
        <w:rPr>
          <w:noProof/>
        </w:rPr>
        <w:t>o</w:t>
      </w:r>
      <w:r w:rsidR="002D1236" w:rsidRPr="00103B22">
        <w:rPr>
          <w:noProof/>
        </w:rPr>
        <w:t xml:space="preserve">se </w:t>
      </w:r>
      <w:r w:rsidR="006E5628" w:rsidRPr="00103B22">
        <w:rPr>
          <w:noProof/>
        </w:rPr>
        <w:t xml:space="preserve">internal </w:t>
      </w:r>
      <w:r w:rsidR="002D1236" w:rsidRPr="00103B22">
        <w:rPr>
          <w:noProof/>
        </w:rPr>
        <w:t xml:space="preserve">estimates </w:t>
      </w:r>
      <w:r w:rsidR="006E5628" w:rsidRPr="00103B22">
        <w:rPr>
          <w:noProof/>
        </w:rPr>
        <w:t xml:space="preserve">and proxies have been used, and which internal </w:t>
      </w:r>
      <w:r w:rsidR="00D23734" w:rsidRPr="00103B22">
        <w:rPr>
          <w:noProof/>
        </w:rPr>
        <w:t>estimates</w:t>
      </w:r>
      <w:r w:rsidR="006E5628" w:rsidRPr="00103B22">
        <w:rPr>
          <w:noProof/>
        </w:rPr>
        <w:t xml:space="preserve"> and proxies have been</w:t>
      </w:r>
      <w:r w:rsidR="00D23734" w:rsidRPr="00103B22">
        <w:rPr>
          <w:noProof/>
        </w:rPr>
        <w:t xml:space="preserve"> applied;</w:t>
      </w:r>
    </w:p>
    <w:p w:rsidR="002D1236" w:rsidRPr="00103B22" w:rsidRDefault="00052791" w:rsidP="00052791">
      <w:pPr>
        <w:pStyle w:val="Point1"/>
        <w:rPr>
          <w:noProof/>
        </w:rPr>
      </w:pPr>
      <w:r w:rsidRPr="00052791">
        <w:t>(c)</w:t>
      </w:r>
      <w:r w:rsidRPr="00052791">
        <w:tab/>
      </w:r>
      <w:r w:rsidR="00D23734" w:rsidRPr="00103B22">
        <w:rPr>
          <w:noProof/>
        </w:rPr>
        <w:t>w</w:t>
      </w:r>
      <w:r w:rsidR="002D1236" w:rsidRPr="00103B22">
        <w:rPr>
          <w:noProof/>
        </w:rPr>
        <w:t xml:space="preserve">here </w:t>
      </w:r>
      <w:r w:rsidR="006E5628" w:rsidRPr="00103B22">
        <w:rPr>
          <w:noProof/>
        </w:rPr>
        <w:t xml:space="preserve">they </w:t>
      </w:r>
      <w:r w:rsidR="002D1236" w:rsidRPr="00103B22">
        <w:rPr>
          <w:noProof/>
        </w:rPr>
        <w:t xml:space="preserve">are unable to collect on a bilateral basis </w:t>
      </w:r>
      <w:r w:rsidR="006E5628" w:rsidRPr="00103B22">
        <w:rPr>
          <w:noProof/>
        </w:rPr>
        <w:t xml:space="preserve">the </w:t>
      </w:r>
      <w:r w:rsidR="001904B5" w:rsidRPr="00103B22">
        <w:rPr>
          <w:noProof/>
        </w:rPr>
        <w:t>information</w:t>
      </w:r>
      <w:r w:rsidR="006E5628" w:rsidRPr="00103B22">
        <w:rPr>
          <w:noProof/>
        </w:rPr>
        <w:t xml:space="preserve"> concerned</w:t>
      </w:r>
      <w:r w:rsidR="00995098" w:rsidRPr="00103B22">
        <w:rPr>
          <w:noProof/>
        </w:rPr>
        <w:t>,</w:t>
      </w:r>
      <w:r w:rsidR="001904B5" w:rsidRPr="00103B22">
        <w:rPr>
          <w:noProof/>
        </w:rPr>
        <w:t xml:space="preserve"> </w:t>
      </w:r>
      <w:r w:rsidR="002D1236" w:rsidRPr="00103B22">
        <w:rPr>
          <w:noProof/>
        </w:rPr>
        <w:t>or</w:t>
      </w:r>
      <w:r w:rsidR="006E5628" w:rsidRPr="00103B22">
        <w:rPr>
          <w:noProof/>
        </w:rPr>
        <w:t xml:space="preserve"> cannot use internal</w:t>
      </w:r>
      <w:r w:rsidR="002D1236" w:rsidRPr="00103B22">
        <w:rPr>
          <w:noProof/>
        </w:rPr>
        <w:t xml:space="preserve"> estimate</w:t>
      </w:r>
      <w:r w:rsidR="006E5628" w:rsidRPr="00103B22">
        <w:rPr>
          <w:noProof/>
        </w:rPr>
        <w:t>s and proxies</w:t>
      </w:r>
      <w:r w:rsidR="002D1236" w:rsidRPr="00103B22">
        <w:rPr>
          <w:noProof/>
        </w:rPr>
        <w:t xml:space="preserve">, or </w:t>
      </w:r>
      <w:r w:rsidR="00995098" w:rsidRPr="00103B22">
        <w:rPr>
          <w:noProof/>
        </w:rPr>
        <w:t xml:space="preserve">cannot collect that information or use those estimates and proxies </w:t>
      </w:r>
      <w:r w:rsidR="002D1236" w:rsidRPr="00103B22">
        <w:rPr>
          <w:noProof/>
        </w:rPr>
        <w:t>in a way that is not over</w:t>
      </w:r>
      <w:r w:rsidR="00D01D57" w:rsidRPr="00103B22">
        <w:rPr>
          <w:noProof/>
        </w:rPr>
        <w:t xml:space="preserve">ly </w:t>
      </w:r>
      <w:r w:rsidR="002D1236" w:rsidRPr="00103B22">
        <w:rPr>
          <w:noProof/>
        </w:rPr>
        <w:t xml:space="preserve">burdensome for them or their counterparties, </w:t>
      </w:r>
      <w:r w:rsidR="008E7D06" w:rsidRPr="00103B22">
        <w:rPr>
          <w:noProof/>
        </w:rPr>
        <w:t xml:space="preserve">may </w:t>
      </w:r>
      <w:r w:rsidR="002D1236" w:rsidRPr="00103B22">
        <w:rPr>
          <w:noProof/>
        </w:rPr>
        <w:t xml:space="preserve">explain </w:t>
      </w:r>
      <w:r w:rsidR="001904B5" w:rsidRPr="00103B22">
        <w:rPr>
          <w:noProof/>
        </w:rPr>
        <w:t xml:space="preserve">that inability </w:t>
      </w:r>
      <w:r w:rsidR="002D1236" w:rsidRPr="00103B22">
        <w:rPr>
          <w:noProof/>
        </w:rPr>
        <w:t>in the narrative accompanying the template.</w:t>
      </w:r>
    </w:p>
    <w:p w:rsidR="00320B78" w:rsidRPr="00103B22" w:rsidRDefault="00320B78" w:rsidP="00353D88">
      <w:pPr>
        <w:pStyle w:val="Text1"/>
        <w:rPr>
          <w:noProof/>
        </w:rPr>
      </w:pPr>
      <w:r w:rsidRPr="00103B22">
        <w:rPr>
          <w:noProof/>
        </w:rPr>
        <w:t>For the purposes of point (a), institutions shall inform their counterparties that the provision of such information is voluntary.</w:t>
      </w:r>
    </w:p>
    <w:p w:rsidR="007F4F83" w:rsidRPr="00353D88" w:rsidRDefault="00052791" w:rsidP="00052791">
      <w:pPr>
        <w:pStyle w:val="ManualNumPar1"/>
        <w:rPr>
          <w:noProof/>
        </w:rPr>
      </w:pPr>
      <w:r w:rsidRPr="00052791">
        <w:t>3.</w:t>
      </w:r>
      <w:r w:rsidRPr="00052791">
        <w:tab/>
      </w:r>
      <w:r w:rsidR="006B71ED" w:rsidRPr="00353D88">
        <w:rPr>
          <w:noProof/>
        </w:rPr>
        <w:t xml:space="preserve">Unless indicated otherwise in </w:t>
      </w:r>
      <w:r w:rsidR="00EC548B" w:rsidRPr="00353D88">
        <w:rPr>
          <w:noProof/>
        </w:rPr>
        <w:t xml:space="preserve">the </w:t>
      </w:r>
      <w:r w:rsidR="006B71ED" w:rsidRPr="00353D88">
        <w:rPr>
          <w:noProof/>
        </w:rPr>
        <w:t>instructions set out in Annex XL</w:t>
      </w:r>
      <w:r w:rsidR="004E41D0" w:rsidRPr="00353D88">
        <w:rPr>
          <w:noProof/>
        </w:rPr>
        <w:t xml:space="preserve"> to this Regulation</w:t>
      </w:r>
      <w:r w:rsidR="006B71ED" w:rsidRPr="00353D88">
        <w:rPr>
          <w:noProof/>
        </w:rPr>
        <w:t>, i</w:t>
      </w:r>
      <w:r w:rsidR="007F4F83" w:rsidRPr="00353D88">
        <w:rPr>
          <w:noProof/>
        </w:rPr>
        <w:t>nstitutions shall</w:t>
      </w:r>
      <w:r w:rsidR="00F8179F" w:rsidRPr="00353D88">
        <w:rPr>
          <w:noProof/>
        </w:rPr>
        <w:t>, as of 31 December 2022,</w:t>
      </w:r>
      <w:r w:rsidR="007F4F83" w:rsidRPr="00353D88">
        <w:rPr>
          <w:noProof/>
        </w:rPr>
        <w:t xml:space="preserve"> disclose the information referred to in Article 449a of Regulation (EU) No 575/2013</w:t>
      </w:r>
      <w:r w:rsidR="001904B5" w:rsidRPr="00353D88">
        <w:rPr>
          <w:noProof/>
        </w:rPr>
        <w:t xml:space="preserve"> </w:t>
      </w:r>
      <w:r w:rsidR="00F8179F" w:rsidRPr="00353D88">
        <w:rPr>
          <w:noProof/>
        </w:rPr>
        <w:t>on the</w:t>
      </w:r>
      <w:r w:rsidR="001904B5" w:rsidRPr="00353D88">
        <w:rPr>
          <w:noProof/>
        </w:rPr>
        <w:t xml:space="preserve"> following </w:t>
      </w:r>
      <w:r w:rsidR="00A97285" w:rsidRPr="00353D88">
        <w:rPr>
          <w:noProof/>
        </w:rPr>
        <w:t>dates</w:t>
      </w:r>
      <w:r w:rsidR="007F4F83" w:rsidRPr="00353D88">
        <w:rPr>
          <w:noProof/>
        </w:rPr>
        <w:t>:</w:t>
      </w:r>
    </w:p>
    <w:p w:rsidR="007F4F83" w:rsidRPr="00103B22" w:rsidRDefault="00052791" w:rsidP="00052791">
      <w:pPr>
        <w:pStyle w:val="Point1"/>
        <w:rPr>
          <w:noProof/>
        </w:rPr>
      </w:pPr>
      <w:r w:rsidRPr="00052791">
        <w:t>(a)</w:t>
      </w:r>
      <w:r w:rsidRPr="00052791">
        <w:tab/>
      </w:r>
      <w:r w:rsidR="007F4F83" w:rsidRPr="00103B22">
        <w:rPr>
          <w:noProof/>
        </w:rPr>
        <w:t>for annual disclosure</w:t>
      </w:r>
      <w:r w:rsidR="001904B5" w:rsidRPr="00103B22">
        <w:rPr>
          <w:noProof/>
        </w:rPr>
        <w:t>s</w:t>
      </w:r>
      <w:r w:rsidR="007F4F83" w:rsidRPr="00103B22">
        <w:rPr>
          <w:noProof/>
        </w:rPr>
        <w:t>: 31 December;</w:t>
      </w:r>
    </w:p>
    <w:p w:rsidR="00D01D57" w:rsidRPr="00103B22" w:rsidRDefault="00052791" w:rsidP="00052791">
      <w:pPr>
        <w:pStyle w:val="Point1"/>
        <w:rPr>
          <w:noProof/>
        </w:rPr>
      </w:pPr>
      <w:r w:rsidRPr="00052791">
        <w:t>(b)</w:t>
      </w:r>
      <w:r w:rsidRPr="00052791">
        <w:tab/>
      </w:r>
      <w:r w:rsidR="007F4F83" w:rsidRPr="00103B22">
        <w:rPr>
          <w:noProof/>
        </w:rPr>
        <w:t xml:space="preserve">for </w:t>
      </w:r>
      <w:r w:rsidR="00A97285" w:rsidRPr="00103B22">
        <w:rPr>
          <w:noProof/>
        </w:rPr>
        <w:t xml:space="preserve">semi-annual </w:t>
      </w:r>
      <w:r w:rsidR="007F4F83" w:rsidRPr="00103B22">
        <w:rPr>
          <w:noProof/>
        </w:rPr>
        <w:t>disclosure</w:t>
      </w:r>
      <w:r w:rsidR="00A97285" w:rsidRPr="00103B22">
        <w:rPr>
          <w:noProof/>
        </w:rPr>
        <w:t>s</w:t>
      </w:r>
      <w:r w:rsidR="007F4F83" w:rsidRPr="00103B22">
        <w:rPr>
          <w:noProof/>
        </w:rPr>
        <w:t>: 30 June and 31 December</w:t>
      </w:r>
      <w:r w:rsidR="00F8179F" w:rsidRPr="00103B22">
        <w:rPr>
          <w:noProof/>
        </w:rPr>
        <w:t xml:space="preserve"> of each year</w:t>
      </w:r>
      <w:r w:rsidR="007F4F83" w:rsidRPr="00103B22">
        <w:rPr>
          <w:noProof/>
        </w:rPr>
        <w:t>.</w:t>
      </w:r>
    </w:p>
    <w:p w:rsidR="00086FAB" w:rsidRPr="00103B22" w:rsidRDefault="001904B5" w:rsidP="0087679B">
      <w:pPr>
        <w:pStyle w:val="Text2"/>
        <w:rPr>
          <w:noProof/>
        </w:rPr>
      </w:pPr>
      <w:r w:rsidRPr="00103B22">
        <w:rPr>
          <w:noProof/>
        </w:rPr>
        <w:tab/>
      </w:r>
      <w:r w:rsidR="00086FAB" w:rsidRPr="00103B22">
        <w:rPr>
          <w:noProof/>
        </w:rPr>
        <w:t>___________</w:t>
      </w:r>
    </w:p>
    <w:p w:rsidR="00086FAB" w:rsidRPr="00103B22" w:rsidRDefault="00086FAB" w:rsidP="0087679B">
      <w:pPr>
        <w:pStyle w:val="Text3"/>
        <w:rPr>
          <w:noProof/>
          <w:sz w:val="20"/>
          <w:szCs w:val="20"/>
        </w:rPr>
      </w:pPr>
      <w:r w:rsidRPr="00103B22">
        <w:rPr>
          <w:noProof/>
          <w:sz w:val="20"/>
          <w:szCs w:val="20"/>
          <w:vertAlign w:val="superscript"/>
        </w:rPr>
        <w:t>*1</w:t>
      </w:r>
      <w:r w:rsidRPr="00103B22">
        <w:rPr>
          <w:noProof/>
          <w:sz w:val="20"/>
          <w:szCs w:val="20"/>
        </w:rPr>
        <w:tab/>
        <w:t>Regulation (EU) 2020/852 of the European Parliament and of the Council of 18 June 2020 on the establishment of a framework to facilitate sustainable investment, and amending Regulation (EU) 2019/2088 (OJ L 198, 22.6.2020, p. 13).</w:t>
      </w:r>
    </w:p>
    <w:p w:rsidR="00086FAB" w:rsidRPr="00103B22" w:rsidRDefault="00086FAB" w:rsidP="004F6722">
      <w:pPr>
        <w:pStyle w:val="Text3"/>
        <w:rPr>
          <w:noProof/>
          <w:sz w:val="20"/>
          <w:szCs w:val="20"/>
        </w:rPr>
      </w:pPr>
      <w:r w:rsidRPr="00756CA3">
        <w:rPr>
          <w:noProof/>
          <w:sz w:val="20"/>
          <w:szCs w:val="20"/>
          <w:vertAlign w:val="superscript"/>
        </w:rPr>
        <w:t>*2</w:t>
      </w:r>
      <w:r w:rsidRPr="00756CA3">
        <w:rPr>
          <w:noProof/>
          <w:sz w:val="20"/>
          <w:szCs w:val="20"/>
          <w:vertAlign w:val="superscript"/>
        </w:rPr>
        <w:tab/>
      </w:r>
      <w:r w:rsidR="00701EE8" w:rsidRPr="00D44382">
        <w:rPr>
          <w:noProof/>
          <w:sz w:val="20"/>
          <w:szCs w:val="20"/>
        </w:rPr>
        <w:t xml:space="preserve">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w:t>
      </w:r>
      <w:r w:rsidR="004F6722" w:rsidRPr="00756CA3">
        <w:rPr>
          <w:noProof/>
          <w:sz w:val="20"/>
          <w:szCs w:val="20"/>
        </w:rPr>
        <w:t>(</w:t>
      </w:r>
      <w:r w:rsidR="00701EE8" w:rsidRPr="00701EE8">
        <w:rPr>
          <w:noProof/>
          <w:sz w:val="20"/>
          <w:szCs w:val="20"/>
        </w:rPr>
        <w:t>OJ L 182 29.6.2013, p. 19</w:t>
      </w:r>
      <w:r w:rsidR="004F6722" w:rsidRPr="00756CA3">
        <w:rPr>
          <w:noProof/>
          <w:sz w:val="20"/>
          <w:szCs w:val="20"/>
        </w:rPr>
        <w:t>)</w:t>
      </w:r>
      <w:r w:rsidRPr="00756CA3">
        <w:rPr>
          <w:noProof/>
          <w:sz w:val="20"/>
          <w:szCs w:val="20"/>
        </w:rPr>
        <w:t>.</w:t>
      </w:r>
    </w:p>
    <w:p w:rsidR="00086FAB" w:rsidRPr="00103B22" w:rsidRDefault="00086FAB" w:rsidP="0087679B">
      <w:pPr>
        <w:pStyle w:val="Text3"/>
        <w:rPr>
          <w:noProof/>
          <w:sz w:val="20"/>
          <w:szCs w:val="20"/>
        </w:rPr>
      </w:pPr>
      <w:r w:rsidRPr="00103B22">
        <w:rPr>
          <w:noProof/>
          <w:sz w:val="20"/>
          <w:szCs w:val="20"/>
          <w:vertAlign w:val="superscript"/>
        </w:rPr>
        <w:t>*3</w:t>
      </w:r>
      <w:r w:rsidRPr="00103B22">
        <w:rPr>
          <w:noProof/>
          <w:sz w:val="20"/>
          <w:szCs w:val="20"/>
        </w:rPr>
        <w:tab/>
        <w:t xml:space="preserve">Commission Implementing Regulation (EU) 2021/451 of 17 December 2020 laying down implementing technical standards for the application of Regulation (EU) No 575/2013 of the European Parliament and of the Council with regard to supervisory </w:t>
      </w:r>
      <w:r w:rsidRPr="00103B22">
        <w:rPr>
          <w:noProof/>
          <w:sz w:val="20"/>
          <w:szCs w:val="20"/>
        </w:rPr>
        <w:lastRenderedPageBreak/>
        <w:t>reporting of institutions and repealing Implementing Regulation (EU) No 680/2014 (OJ L 97, 19.3.2021, p. 1).</w:t>
      </w:r>
    </w:p>
    <w:p w:rsidR="00086FAB" w:rsidRPr="00103B22" w:rsidRDefault="00086FAB" w:rsidP="0087679B">
      <w:pPr>
        <w:pStyle w:val="Text3"/>
        <w:rPr>
          <w:noProof/>
          <w:sz w:val="20"/>
          <w:szCs w:val="20"/>
        </w:rPr>
      </w:pPr>
      <w:r w:rsidRPr="00103B22">
        <w:rPr>
          <w:noProof/>
          <w:sz w:val="20"/>
          <w:szCs w:val="20"/>
          <w:vertAlign w:val="superscript"/>
        </w:rPr>
        <w:t>*4</w:t>
      </w:r>
      <w:r w:rsidRPr="00103B22">
        <w:rPr>
          <w:noProof/>
          <w:sz w:val="20"/>
          <w:szCs w:val="20"/>
        </w:rPr>
        <w:tab/>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w:t>
      </w:r>
      <w:r w:rsidR="0093114D">
        <w:rPr>
          <w:noProof/>
          <w:sz w:val="20"/>
          <w:szCs w:val="20"/>
        </w:rPr>
        <w:t>n (OJ L 443, 10.12.2021, p. 9)</w:t>
      </w:r>
      <w:r w:rsidR="00792229">
        <w:rPr>
          <w:noProof/>
          <w:sz w:val="20"/>
          <w:szCs w:val="20"/>
        </w:rPr>
        <w:t>.</w:t>
      </w:r>
    </w:p>
    <w:p w:rsidR="007F4F83" w:rsidRPr="00103B22" w:rsidRDefault="00052791" w:rsidP="00052791">
      <w:pPr>
        <w:pStyle w:val="Point0"/>
        <w:rPr>
          <w:noProof/>
        </w:rPr>
      </w:pPr>
      <w:r w:rsidRPr="00052791">
        <w:t>(2)</w:t>
      </w:r>
      <w:r w:rsidRPr="00052791">
        <w:tab/>
      </w:r>
      <w:r w:rsidR="00921483" w:rsidRPr="00103B22">
        <w:rPr>
          <w:noProof/>
        </w:rPr>
        <w:t>the text set out in Annex I to this Regulation is added as</w:t>
      </w:r>
      <w:r w:rsidR="007F4F83" w:rsidRPr="00103B22">
        <w:rPr>
          <w:noProof/>
        </w:rPr>
        <w:t xml:space="preserve"> Annex XXXIX; </w:t>
      </w:r>
    </w:p>
    <w:p w:rsidR="007F4F83" w:rsidRPr="00103B22" w:rsidRDefault="00052791" w:rsidP="00052791">
      <w:pPr>
        <w:pStyle w:val="Point0"/>
        <w:rPr>
          <w:noProof/>
        </w:rPr>
      </w:pPr>
      <w:r w:rsidRPr="00052791">
        <w:t>(3)</w:t>
      </w:r>
      <w:r w:rsidRPr="00052791">
        <w:tab/>
      </w:r>
      <w:r w:rsidR="00921483" w:rsidRPr="00103B22">
        <w:rPr>
          <w:noProof/>
        </w:rPr>
        <w:t xml:space="preserve">the text set out in Annex II </w:t>
      </w:r>
      <w:r w:rsidR="00884A61" w:rsidRPr="00103B22">
        <w:rPr>
          <w:noProof/>
        </w:rPr>
        <w:t xml:space="preserve">to this Regulation </w:t>
      </w:r>
      <w:r w:rsidR="00921483" w:rsidRPr="00103B22">
        <w:rPr>
          <w:noProof/>
        </w:rPr>
        <w:t>is added as</w:t>
      </w:r>
      <w:r w:rsidR="007F4F83" w:rsidRPr="00103B22">
        <w:rPr>
          <w:noProof/>
        </w:rPr>
        <w:t xml:space="preserve"> Annex XL.</w:t>
      </w:r>
    </w:p>
    <w:p w:rsidR="007F4F83" w:rsidRPr="00103B22" w:rsidRDefault="007F4F83" w:rsidP="004046D9">
      <w:pPr>
        <w:pStyle w:val="Titrearticle"/>
        <w:rPr>
          <w:noProof/>
          <w:szCs w:val="24"/>
        </w:rPr>
      </w:pPr>
      <w:r w:rsidRPr="00103B22">
        <w:rPr>
          <w:noProof/>
          <w:szCs w:val="24"/>
        </w:rPr>
        <w:t>Article 2</w:t>
      </w:r>
    </w:p>
    <w:p w:rsidR="007F4F83" w:rsidRPr="00103B22" w:rsidRDefault="007F4F83" w:rsidP="007F4F83">
      <w:pPr>
        <w:pStyle w:val="Titrearticle"/>
        <w:spacing w:before="120"/>
        <w:rPr>
          <w:b/>
          <w:i w:val="0"/>
          <w:noProof/>
          <w:szCs w:val="24"/>
        </w:rPr>
      </w:pPr>
      <w:r w:rsidRPr="00103B22">
        <w:rPr>
          <w:b/>
          <w:i w:val="0"/>
          <w:noProof/>
          <w:szCs w:val="24"/>
        </w:rPr>
        <w:t>Entry into force</w:t>
      </w:r>
    </w:p>
    <w:p w:rsidR="007F4F83" w:rsidRPr="00C32BCD" w:rsidRDefault="007F4F83" w:rsidP="007F4F83">
      <w:pPr>
        <w:rPr>
          <w:noProof/>
          <w:color w:val="000000" w:themeColor="text1"/>
          <w:szCs w:val="24"/>
        </w:rPr>
      </w:pPr>
      <w:r w:rsidRPr="00103B22">
        <w:rPr>
          <w:noProof/>
          <w:szCs w:val="24"/>
        </w:rPr>
        <w:t xml:space="preserve">This Regulation shall enter into force on the twentieth day following that of its publication in the </w:t>
      </w:r>
      <w:r w:rsidRPr="00103B22">
        <w:rPr>
          <w:i/>
          <w:noProof/>
          <w:color w:val="000000" w:themeColor="text1"/>
          <w:szCs w:val="24"/>
        </w:rPr>
        <w:t>Official Journal of the European Union</w:t>
      </w:r>
      <w:r w:rsidRPr="00103B22">
        <w:rPr>
          <w:noProof/>
          <w:color w:val="000000" w:themeColor="text1"/>
          <w:szCs w:val="24"/>
        </w:rPr>
        <w:t xml:space="preserve">. </w:t>
      </w:r>
    </w:p>
    <w:p w:rsidR="007F4F83" w:rsidRPr="00103B22" w:rsidRDefault="007F4F83" w:rsidP="007F4F83">
      <w:pPr>
        <w:pStyle w:val="Applicationdirecte"/>
        <w:rPr>
          <w:noProof/>
          <w:color w:val="000000"/>
          <w:szCs w:val="24"/>
        </w:rPr>
      </w:pPr>
      <w:r w:rsidRPr="00103B22">
        <w:rPr>
          <w:noProof/>
          <w:color w:val="000000"/>
          <w:szCs w:val="24"/>
        </w:rPr>
        <w:t>This Regulation shall be binding in its entirety and directly applicable in all Member States.</w:t>
      </w:r>
    </w:p>
    <w:p w:rsidR="003C122C" w:rsidRPr="00103B22" w:rsidRDefault="00270A41" w:rsidP="00944EB8">
      <w:pPr>
        <w:pStyle w:val="Fait"/>
        <w:rPr>
          <w:noProof/>
        </w:rPr>
      </w:pPr>
      <w:r w:rsidRPr="00270A41">
        <w:t>Done at Brussels, 30.11.2022</w:t>
      </w:r>
    </w:p>
    <w:p w:rsidR="003C122C" w:rsidRPr="00103B22" w:rsidRDefault="003C122C" w:rsidP="00944EB8">
      <w:pPr>
        <w:pStyle w:val="Institutionquisigne"/>
        <w:rPr>
          <w:noProof/>
          <w:szCs w:val="24"/>
        </w:rPr>
      </w:pPr>
      <w:r w:rsidRPr="00103B22">
        <w:rPr>
          <w:noProof/>
          <w:szCs w:val="24"/>
        </w:rPr>
        <w:tab/>
        <w:t>For the Commission</w:t>
      </w:r>
    </w:p>
    <w:p w:rsidR="00C32BCD" w:rsidRPr="000B76A4" w:rsidRDefault="00A43EEB" w:rsidP="00944EB8">
      <w:pPr>
        <w:pStyle w:val="Personnequisigne"/>
        <w:keepNext/>
        <w:rPr>
          <w:noProof/>
          <w:szCs w:val="24"/>
          <w:lang w:val="de-DE"/>
        </w:rPr>
      </w:pPr>
      <w:r>
        <w:tab/>
        <w:t>The President</w:t>
      </w:r>
      <w:r>
        <w:br/>
      </w:r>
      <w:r>
        <w:tab/>
        <w:t>Ursula VON DER LEYEN</w:t>
      </w:r>
    </w:p>
    <w:p w:rsidR="00C32BCD" w:rsidRPr="000B76A4" w:rsidRDefault="00C32BCD" w:rsidP="00C32BCD">
      <w:pPr>
        <w:pStyle w:val="Personnequisigne"/>
        <w:rPr>
          <w:noProof/>
          <w:szCs w:val="24"/>
          <w:lang w:val="de-DE"/>
        </w:rPr>
      </w:pPr>
    </w:p>
    <w:sectPr w:rsidR="00C32BCD" w:rsidRPr="000B76A4" w:rsidSect="0028150B">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28150B" w:rsidRDefault="0028150B" w:rsidP="0028150B">
    <w:pPr>
      <w:pStyle w:val="Footer"/>
      <w:rPr>
        <w:rFonts w:ascii="Arial" w:hAnsi="Arial" w:cs="Arial"/>
        <w:b/>
        <w:sz w:val="48"/>
      </w:rPr>
    </w:pPr>
    <w:r w:rsidRPr="0028150B">
      <w:rPr>
        <w:rFonts w:ascii="Arial" w:hAnsi="Arial" w:cs="Arial"/>
        <w:b/>
        <w:sz w:val="48"/>
      </w:rPr>
      <w:t>EN</w:t>
    </w:r>
    <w:r w:rsidRPr="0028150B">
      <w:rPr>
        <w:rFonts w:ascii="Arial" w:hAnsi="Arial" w:cs="Arial"/>
        <w:b/>
        <w:sz w:val="48"/>
      </w:rPr>
      <w:tab/>
    </w:r>
    <w:r w:rsidRPr="0028150B">
      <w:rPr>
        <w:rFonts w:ascii="Arial" w:hAnsi="Arial" w:cs="Arial"/>
        <w:b/>
        <w:sz w:val="48"/>
      </w:rPr>
      <w:tab/>
    </w:r>
    <w:r w:rsidRPr="0028150B">
      <w:tab/>
    </w:r>
    <w:r w:rsidRPr="0028150B">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50B" w:rsidRPr="0028150B" w:rsidRDefault="0028150B" w:rsidP="0028150B">
    <w:pPr>
      <w:pStyle w:val="Footer"/>
      <w:rPr>
        <w:rFonts w:ascii="Arial" w:hAnsi="Arial" w:cs="Arial"/>
        <w:b/>
        <w:sz w:val="48"/>
      </w:rPr>
    </w:pPr>
    <w:r w:rsidRPr="0028150B">
      <w:rPr>
        <w:rFonts w:ascii="Arial" w:hAnsi="Arial" w:cs="Arial"/>
        <w:b/>
        <w:sz w:val="48"/>
      </w:rPr>
      <w:t>EN</w:t>
    </w:r>
    <w:r w:rsidRPr="0028150B">
      <w:rPr>
        <w:rFonts w:ascii="Arial" w:hAnsi="Arial" w:cs="Arial"/>
        <w:b/>
        <w:sz w:val="48"/>
      </w:rPr>
      <w:tab/>
    </w:r>
    <w:r>
      <w:fldChar w:fldCharType="begin"/>
    </w:r>
    <w:r>
      <w:instrText xml:space="preserve"> PAGE  \* MERGEFORMAT </w:instrText>
    </w:r>
    <w:r>
      <w:fldChar w:fldCharType="separate"/>
    </w:r>
    <w:r w:rsidR="00944EB8">
      <w:rPr>
        <w:noProof/>
      </w:rPr>
      <w:t>5</w:t>
    </w:r>
    <w:r>
      <w:fldChar w:fldCharType="end"/>
    </w:r>
    <w:r>
      <w:tab/>
    </w:r>
    <w:r w:rsidRPr="0028150B">
      <w:tab/>
    </w:r>
    <w:r w:rsidRPr="0028150B">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50B" w:rsidRPr="0028150B" w:rsidRDefault="0028150B" w:rsidP="002815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sidRPr="007067A9">
        <w:rPr>
          <w:rStyle w:val="FootnoteReference"/>
        </w:rPr>
        <w:footnoteRef/>
      </w:r>
      <w:r w:rsidR="008E44ED" w:rsidRPr="007067A9">
        <w:tab/>
      </w:r>
      <w:r w:rsidRPr="007067A9">
        <w:t>OJ L 176, 27.6.2013, p. 1.</w:t>
      </w:r>
    </w:p>
  </w:footnote>
  <w:footnote w:id="2">
    <w:p w:rsidR="007067A9" w:rsidRPr="00FC42BE" w:rsidRDefault="007067A9" w:rsidP="007067A9">
      <w:pPr>
        <w:pStyle w:val="FootnoteText"/>
      </w:pPr>
      <w:r w:rsidRPr="00353D88">
        <w:rPr>
          <w:rStyle w:val="FootnoteReference"/>
        </w:rPr>
        <w:footnoteRef/>
      </w:r>
      <w:r w:rsidR="00353D88">
        <w:tab/>
      </w:r>
      <w:r w:rsidRPr="00FC42BE">
        <w:t>Commission Implementing Regulation (EU) 2021/637 of 15 March 2021 laying down implementing technical standards with regard to public disclosures by institutions of the information referred to in Titles II and III of Part Eight of Regulation (EU) No 575/2013 of the European Parliament and of the Council and repealing Commission Implementing Regulation (EU) No 1423/2013, Commission Delegated Regulation (EU) 2015/1555, Commission Implementing Regulation (EU) 2016/200 and Commission Delegated Regulation (EU) 2017/2295 (OJ L 136, 21.4.2021, p. 1).</w:t>
      </w:r>
    </w:p>
  </w:footnote>
  <w:footnote w:id="3">
    <w:p w:rsidR="007067A9" w:rsidRPr="007067A9" w:rsidRDefault="007067A9" w:rsidP="007067A9">
      <w:pPr>
        <w:pStyle w:val="FootnoteText"/>
      </w:pPr>
      <w:r w:rsidRPr="00353D88">
        <w:rPr>
          <w:rStyle w:val="FootnoteReference"/>
        </w:rPr>
        <w:footnoteRef/>
      </w:r>
      <w:r w:rsidR="00353D88">
        <w:tab/>
      </w:r>
      <w:r w:rsidRPr="00FC42BE">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 (OJ L 150, 7.6.2019, p. 1).</w:t>
      </w:r>
    </w:p>
  </w:footnote>
  <w:footnote w:id="4">
    <w:p w:rsidR="00410340" w:rsidRPr="007067A9" w:rsidRDefault="00410340" w:rsidP="008B3E83">
      <w:pPr>
        <w:pStyle w:val="FootnoteText"/>
      </w:pPr>
      <w:r w:rsidRPr="007067A9">
        <w:rPr>
          <w:rStyle w:val="FootnoteReference"/>
        </w:rPr>
        <w:footnoteRef/>
      </w:r>
      <w:r w:rsidR="008B3E83" w:rsidRPr="007067A9">
        <w:tab/>
      </w:r>
      <w:r w:rsidRPr="007067A9">
        <w:t>Regulation (EU) 2020/852 of the European Parliament and of the Council of 18 June 2020 on the establishment of a framework to facilitate sustainable investment, and amending Regulation (EU) 2019/2088 (</w:t>
      </w:r>
      <w:r w:rsidRPr="007067A9">
        <w:rPr>
          <w:rStyle w:val="Emphasis"/>
          <w:rFonts w:eastAsiaTheme="majorEastAsia"/>
          <w:i w:val="0"/>
        </w:rPr>
        <w:t>OJ L 198, 22.6.2020, p. 13).</w:t>
      </w:r>
    </w:p>
  </w:footnote>
  <w:footnote w:id="5">
    <w:p w:rsidR="00410340" w:rsidRPr="007067A9" w:rsidRDefault="00410340" w:rsidP="008B3E83">
      <w:pPr>
        <w:pStyle w:val="FootnoteText"/>
        <w:rPr>
          <w:i/>
        </w:rPr>
      </w:pPr>
      <w:r w:rsidRPr="007067A9">
        <w:rPr>
          <w:rStyle w:val="FootnoteReference"/>
        </w:rPr>
        <w:footnoteRef/>
      </w:r>
      <w:r w:rsidR="008B3E83" w:rsidRPr="007067A9">
        <w:tab/>
      </w:r>
      <w:r w:rsidRPr="007067A9">
        <w:t>Commission Delegated Regulation (EU) 2020/1818 of 17 July 2020 supplementing Regulation (EU) 2016/1011 of the European Parliament and of the Council as regards minimum standards for EU Climate Transition Benchmarks and EU Paris-aligned Benchmarks (</w:t>
      </w:r>
      <w:r w:rsidRPr="007067A9">
        <w:rPr>
          <w:rStyle w:val="Emphasis"/>
          <w:rFonts w:eastAsiaTheme="majorEastAsia"/>
          <w:i w:val="0"/>
        </w:rPr>
        <w:t>OJ L 406, 3.12.2020, p. 17).</w:t>
      </w:r>
    </w:p>
  </w:footnote>
  <w:footnote w:id="6">
    <w:p w:rsidR="00410340" w:rsidRPr="007067A9" w:rsidRDefault="00410340" w:rsidP="008B3E83">
      <w:pPr>
        <w:pStyle w:val="FootnoteText"/>
        <w:rPr>
          <w:color w:val="444444"/>
        </w:rPr>
      </w:pPr>
      <w:r w:rsidRPr="007067A9">
        <w:rPr>
          <w:rStyle w:val="FootnoteReference"/>
        </w:rPr>
        <w:footnoteRef/>
      </w:r>
      <w:r w:rsidR="008B3E83" w:rsidRPr="007067A9">
        <w:tab/>
      </w:r>
      <w:r w:rsidRPr="007067A9">
        <w:t>Directive 2010/31/EU of the European Parliament and of the Council of 19 May 2010 on the energy performance of buildings (</w:t>
      </w:r>
      <w:r w:rsidRPr="007067A9">
        <w:rPr>
          <w:rStyle w:val="Emphasis"/>
          <w:rFonts w:eastAsiaTheme="majorEastAsia"/>
          <w:i w:val="0"/>
        </w:rPr>
        <w:t>OJ L 153, 18.6.2010, p. 13).</w:t>
      </w:r>
    </w:p>
  </w:footnote>
  <w:footnote w:id="7">
    <w:p w:rsidR="00135CD4" w:rsidRPr="00135CD4" w:rsidRDefault="00135CD4" w:rsidP="00135CD4">
      <w:pPr>
        <w:pStyle w:val="FootnoteText"/>
      </w:pPr>
      <w:r w:rsidRPr="00353D88">
        <w:rPr>
          <w:rStyle w:val="FootnoteReference"/>
        </w:rPr>
        <w:footnoteRef/>
      </w:r>
      <w:r w:rsidR="00353D88">
        <w:tab/>
      </w:r>
      <w:r w:rsidRPr="00FC42BE">
        <w:rPr>
          <w:lang w:val="en-US"/>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8">
    <w:p w:rsidR="00410340" w:rsidRPr="007067A9" w:rsidRDefault="00410340" w:rsidP="00410340">
      <w:pPr>
        <w:pStyle w:val="FootnoteText"/>
      </w:pPr>
      <w:r w:rsidRPr="007067A9">
        <w:rPr>
          <w:rStyle w:val="FootnoteReference"/>
        </w:rPr>
        <w:footnoteRef/>
      </w:r>
      <w:r w:rsidR="008B3E83" w:rsidRPr="007067A9">
        <w:rPr>
          <w:rFonts w:cstheme="minorHAnsi"/>
        </w:rPr>
        <w:tab/>
      </w:r>
      <w:r w:rsidRPr="007067A9">
        <w:rPr>
          <w:rFonts w:cstheme="minorHAnsi"/>
        </w:rPr>
        <w:t>Regulation (EU) No 1093/2010 of the European Parliament and of the Council of 24 November 2010 establishing a European Supervisory Authority (European Banking Authority), amending Decision No</w:t>
      </w:r>
      <w:r w:rsidR="00D00193" w:rsidRPr="007067A9">
        <w:rPr>
          <w:rFonts w:cstheme="minorHAnsi"/>
        </w:rPr>
        <w:t> </w:t>
      </w:r>
      <w:r w:rsidRPr="007067A9">
        <w:rPr>
          <w:rFonts w:cstheme="minorHAnsi"/>
        </w:rPr>
        <w:t>716/2009/EC and repealing Commission Decision 2009/78/EC (OJ L 331, 15.12.</w:t>
      </w:r>
      <w:r w:rsidR="00331719" w:rsidRPr="007067A9">
        <w:rPr>
          <w:rFonts w:cstheme="minorHAnsi"/>
        </w:rPr>
        <w:t>20</w:t>
      </w:r>
      <w:r w:rsidR="00331719">
        <w:rPr>
          <w:rFonts w:cstheme="minorHAnsi"/>
        </w:rPr>
        <w:t>1</w:t>
      </w:r>
      <w:r w:rsidR="00331719" w:rsidRPr="007067A9">
        <w:rPr>
          <w:rFonts w:cstheme="minorHAnsi"/>
        </w:rPr>
        <w:t>0</w:t>
      </w:r>
      <w:r w:rsidRPr="007067A9">
        <w:rPr>
          <w:rFonts w:cstheme="minorHAnsi"/>
        </w:rPr>
        <w:t>,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16"/>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F59499D-90A5-4E0C-8F50-97EEE6726FE3"/>
    <w:docVar w:name="LW_COVERPAGE_TYPE" w:val="1"/>
    <w:docVar w:name="LW_CROSSREFERENCE" w:val="&lt;UNUSED&gt;"/>
    <w:docVar w:name="LW_DATE.ADOPT.CP" w:val="of 30.11.2022"/>
    <w:docVar w:name="LW_DATE.ADOPT.CP_DATEFORMAT" w:val="of %DATE%"/>
    <w:docVar w:name="LW_DATE.ADOPT.CP_ISODATE" w:val="2022-11-30"/>
    <w:docVar w:name="LW_DocType" w:val="COM"/>
    <w:docVar w:name="LW_EMISSION" w:val="30.11.2022"/>
    <w:docVar w:name="LW_EMISSION_ISODATE" w:val="2022-11-30"/>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the implementing technical standards laid down in Implementing Regulation (EU) 2021/637 as regards the disclosure of environmental, social and governance risks_x000b_"/>
    <w:docVar w:name="LW_TYPE.DOC.CP" w:val="COMMISSION IMPLEMENTING REGULATION (EU) …/..."/>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52791"/>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70A41"/>
    <w:rsid w:val="0028150B"/>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3D88"/>
    <w:rsid w:val="00356D79"/>
    <w:rsid w:val="003578D1"/>
    <w:rsid w:val="00362239"/>
    <w:rsid w:val="003965B3"/>
    <w:rsid w:val="00396F18"/>
    <w:rsid w:val="00397813"/>
    <w:rsid w:val="003A5DF1"/>
    <w:rsid w:val="003A6D93"/>
    <w:rsid w:val="003C122C"/>
    <w:rsid w:val="003C70D6"/>
    <w:rsid w:val="003D22F0"/>
    <w:rsid w:val="003D5E0A"/>
    <w:rsid w:val="003E1B7D"/>
    <w:rsid w:val="004046D9"/>
    <w:rsid w:val="00410340"/>
    <w:rsid w:val="0041104D"/>
    <w:rsid w:val="00413DA3"/>
    <w:rsid w:val="00414930"/>
    <w:rsid w:val="00414A4D"/>
    <w:rsid w:val="00436E6A"/>
    <w:rsid w:val="004376A0"/>
    <w:rsid w:val="004550A7"/>
    <w:rsid w:val="004A6F3E"/>
    <w:rsid w:val="004A7FF6"/>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67CD"/>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44ED"/>
    <w:rsid w:val="008E7033"/>
    <w:rsid w:val="008E7D06"/>
    <w:rsid w:val="00903092"/>
    <w:rsid w:val="00905BE0"/>
    <w:rsid w:val="00911BBB"/>
    <w:rsid w:val="00921483"/>
    <w:rsid w:val="00930B06"/>
    <w:rsid w:val="0093114D"/>
    <w:rsid w:val="00935E8E"/>
    <w:rsid w:val="0094232C"/>
    <w:rsid w:val="00944EB8"/>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EB9"/>
    <w:rsid w:val="009E16FF"/>
    <w:rsid w:val="009E62A6"/>
    <w:rsid w:val="009F376F"/>
    <w:rsid w:val="009F48FD"/>
    <w:rsid w:val="009F72A3"/>
    <w:rsid w:val="00A03A3E"/>
    <w:rsid w:val="00A11076"/>
    <w:rsid w:val="00A238D6"/>
    <w:rsid w:val="00A34057"/>
    <w:rsid w:val="00A41AD1"/>
    <w:rsid w:val="00A43EEB"/>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B425C"/>
    <w:rsid w:val="00EC304C"/>
    <w:rsid w:val="00EC548B"/>
    <w:rsid w:val="00ED20D7"/>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lang w:val="en-US"/>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en-GB"/>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en-GB"/>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lang w:val="en-US"/>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lang w:val="en-US"/>
    </w:rPr>
  </w:style>
  <w:style w:type="paragraph" w:customStyle="1" w:styleId="norm">
    <w:name w:val="norm"/>
    <w:basedOn w:val="Normal"/>
    <w:rsid w:val="00F82E44"/>
    <w:pPr>
      <w:spacing w:before="100" w:beforeAutospacing="1" w:after="100" w:afterAutospacing="1"/>
      <w:jc w:val="left"/>
    </w:pPr>
    <w:rPr>
      <w:rFonts w:eastAsia="Times New Roman"/>
      <w:szCs w:val="24"/>
      <w:lang w:val="en-US"/>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lang w:val="en-GB"/>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28150B"/>
    <w:pPr>
      <w:tabs>
        <w:tab w:val="center" w:pos="4535"/>
        <w:tab w:val="right" w:pos="9071"/>
      </w:tabs>
      <w:spacing w:before="0"/>
    </w:pPr>
  </w:style>
  <w:style w:type="character" w:customStyle="1" w:styleId="HeaderChar">
    <w:name w:val="Header Char"/>
    <w:basedOn w:val="DefaultParagraphFont"/>
    <w:link w:val="Header"/>
    <w:uiPriority w:val="99"/>
    <w:rsid w:val="0028150B"/>
    <w:rPr>
      <w:rFonts w:ascii="Times New Roman" w:hAnsi="Times New Roman" w:cs="Times New Roman"/>
      <w:sz w:val="24"/>
      <w:lang w:val="en-GB"/>
    </w:rPr>
  </w:style>
  <w:style w:type="paragraph" w:styleId="Footer">
    <w:name w:val="footer"/>
    <w:basedOn w:val="Normal"/>
    <w:link w:val="FooterChar"/>
    <w:uiPriority w:val="99"/>
    <w:unhideWhenUsed/>
    <w:rsid w:val="0028150B"/>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28150B"/>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28150B"/>
    <w:pPr>
      <w:tabs>
        <w:tab w:val="center" w:pos="7285"/>
        <w:tab w:val="right" w:pos="14003"/>
      </w:tabs>
      <w:spacing w:before="0"/>
    </w:pPr>
  </w:style>
  <w:style w:type="paragraph" w:customStyle="1" w:styleId="FooterLandscape">
    <w:name w:val="FooterLandscape"/>
    <w:basedOn w:val="Normal"/>
    <w:rsid w:val="0028150B"/>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8150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8150B"/>
    <w:pPr>
      <w:spacing w:before="0"/>
      <w:jc w:val="right"/>
    </w:pPr>
    <w:rPr>
      <w:sz w:val="28"/>
    </w:rPr>
  </w:style>
  <w:style w:type="paragraph" w:customStyle="1" w:styleId="FooterSensitivity">
    <w:name w:val="Footer Sensitivity"/>
    <w:basedOn w:val="Normal"/>
    <w:rsid w:val="0028150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Tiret5">
    <w:name w:val="Tiret 5"/>
    <w:basedOn w:val="Point5"/>
    <w:pPr>
      <w:numPr>
        <w:numId w:val="2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3"/>
      </w:numPr>
    </w:pPr>
  </w:style>
  <w:style w:type="paragraph" w:customStyle="1" w:styleId="NumPar2">
    <w:name w:val="NumPar 2"/>
    <w:basedOn w:val="Normal"/>
    <w:next w:val="Text1"/>
    <w:pPr>
      <w:numPr>
        <w:ilvl w:val="1"/>
        <w:numId w:val="23"/>
      </w:numPr>
    </w:pPr>
  </w:style>
  <w:style w:type="paragraph" w:customStyle="1" w:styleId="NumPar3">
    <w:name w:val="NumPar 3"/>
    <w:basedOn w:val="Normal"/>
    <w:next w:val="Text1"/>
    <w:pPr>
      <w:numPr>
        <w:ilvl w:val="2"/>
        <w:numId w:val="23"/>
      </w:numPr>
    </w:pPr>
  </w:style>
  <w:style w:type="paragraph" w:customStyle="1" w:styleId="NumPar4">
    <w:name w:val="NumPar 4"/>
    <w:basedOn w:val="Normal"/>
    <w:next w:val="Text1"/>
    <w:pPr>
      <w:numPr>
        <w:ilvl w:val="3"/>
        <w:numId w:val="23"/>
      </w:numPr>
    </w:pPr>
  </w:style>
  <w:style w:type="paragraph" w:customStyle="1" w:styleId="NumPar5">
    <w:name w:val="NumPar 5"/>
    <w:basedOn w:val="Normal"/>
    <w:next w:val="Text2"/>
    <w:pPr>
      <w:numPr>
        <w:ilvl w:val="4"/>
        <w:numId w:val="23"/>
      </w:numPr>
    </w:pPr>
  </w:style>
  <w:style w:type="paragraph" w:customStyle="1" w:styleId="NumPar6">
    <w:name w:val="NumPar 6"/>
    <w:basedOn w:val="Normal"/>
    <w:next w:val="Text2"/>
    <w:pPr>
      <w:numPr>
        <w:ilvl w:val="5"/>
        <w:numId w:val="23"/>
      </w:numPr>
    </w:pPr>
  </w:style>
  <w:style w:type="paragraph" w:customStyle="1" w:styleId="NumPar7">
    <w:name w:val="NumPar 7"/>
    <w:basedOn w:val="Normal"/>
    <w:next w:val="Text2"/>
    <w:pPr>
      <w:numPr>
        <w:ilvl w:val="6"/>
        <w:numId w:val="2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5"/>
      </w:numPr>
    </w:pPr>
  </w:style>
  <w:style w:type="paragraph" w:customStyle="1" w:styleId="Point1number">
    <w:name w:val="Point 1 (number)"/>
    <w:basedOn w:val="Normal"/>
    <w:pPr>
      <w:numPr>
        <w:ilvl w:val="2"/>
        <w:numId w:val="25"/>
      </w:numPr>
    </w:pPr>
  </w:style>
  <w:style w:type="paragraph" w:customStyle="1" w:styleId="Point2number">
    <w:name w:val="Point 2 (number)"/>
    <w:basedOn w:val="Normal"/>
    <w:pPr>
      <w:numPr>
        <w:ilvl w:val="4"/>
        <w:numId w:val="25"/>
      </w:numPr>
    </w:pPr>
  </w:style>
  <w:style w:type="paragraph" w:customStyle="1" w:styleId="Point3number">
    <w:name w:val="Point 3 (number)"/>
    <w:basedOn w:val="Normal"/>
    <w:pPr>
      <w:numPr>
        <w:ilvl w:val="6"/>
        <w:numId w:val="25"/>
      </w:numPr>
    </w:pPr>
  </w:style>
  <w:style w:type="paragraph" w:customStyle="1" w:styleId="Point0letter">
    <w:name w:val="Point 0 (letter)"/>
    <w:basedOn w:val="Normal"/>
    <w:pPr>
      <w:numPr>
        <w:ilvl w:val="1"/>
        <w:numId w:val="25"/>
      </w:numPr>
    </w:pPr>
  </w:style>
  <w:style w:type="paragraph" w:customStyle="1" w:styleId="Point1letter">
    <w:name w:val="Point 1 (letter)"/>
    <w:basedOn w:val="Normal"/>
    <w:pPr>
      <w:numPr>
        <w:ilvl w:val="3"/>
        <w:numId w:val="25"/>
      </w:numPr>
    </w:pPr>
  </w:style>
  <w:style w:type="paragraph" w:customStyle="1" w:styleId="Point2letter">
    <w:name w:val="Point 2 (letter)"/>
    <w:basedOn w:val="Normal"/>
    <w:pPr>
      <w:numPr>
        <w:ilvl w:val="5"/>
        <w:numId w:val="25"/>
      </w:numPr>
    </w:pPr>
  </w:style>
  <w:style w:type="paragraph" w:customStyle="1" w:styleId="Point3letter">
    <w:name w:val="Point 3 (letter)"/>
    <w:basedOn w:val="Normal"/>
    <w:pPr>
      <w:numPr>
        <w:ilvl w:val="7"/>
        <w:numId w:val="25"/>
      </w:numPr>
    </w:pPr>
  </w:style>
  <w:style w:type="paragraph" w:customStyle="1" w:styleId="Point4letter">
    <w:name w:val="Point 4 (letter)"/>
    <w:basedOn w:val="Normal"/>
    <w:pPr>
      <w:numPr>
        <w:ilvl w:val="8"/>
        <w:numId w:val="25"/>
      </w:numPr>
    </w:pPr>
  </w:style>
  <w:style w:type="paragraph" w:customStyle="1" w:styleId="Bullet0">
    <w:name w:val="Bullet 0"/>
    <w:basedOn w:val="Normal"/>
    <w:pPr>
      <w:numPr>
        <w:numId w:val="26"/>
      </w:numPr>
    </w:pPr>
  </w:style>
  <w:style w:type="paragraph" w:customStyle="1" w:styleId="Bullet1">
    <w:name w:val="Bullet 1"/>
    <w:basedOn w:val="Normal"/>
    <w:pPr>
      <w:numPr>
        <w:numId w:val="27"/>
      </w:numPr>
    </w:pPr>
  </w:style>
  <w:style w:type="paragraph" w:customStyle="1" w:styleId="Bullet2">
    <w:name w:val="Bullet 2"/>
    <w:basedOn w:val="Normal"/>
    <w:pPr>
      <w:numPr>
        <w:numId w:val="28"/>
      </w:numPr>
    </w:pPr>
  </w:style>
  <w:style w:type="paragraph" w:customStyle="1" w:styleId="Bullet3">
    <w:name w:val="Bullet 3"/>
    <w:basedOn w:val="Normal"/>
    <w:pPr>
      <w:numPr>
        <w:numId w:val="29"/>
      </w:numPr>
    </w:pPr>
  </w:style>
  <w:style w:type="paragraph" w:customStyle="1" w:styleId="Bullet4">
    <w:name w:val="Bullet 4"/>
    <w:basedOn w:val="Normal"/>
    <w:pPr>
      <w:numPr>
        <w:numId w:val="3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D8878-0819-49F3-B312-61AF4D96D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TotalTime>
  <Pages>6</Pages>
  <Words>1800</Words>
  <Characters>10157</Characters>
  <Application>Microsoft Office Word</Application>
  <DocSecurity>0</DocSecurity>
  <Lines>175</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41</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