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816" w:rsidRPr="00BE63EF" w:rsidRDefault="0047346C" w:rsidP="0047346C">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alt="DEC8E253-21B9-4D33-9C1A-B39DDEDEFD67" style="width:455.25pt;height:414pt">
            <v:imagedata r:id="rId8" o:title=""/>
          </v:shape>
        </w:pict>
      </w:r>
    </w:p>
    <w:p w:rsidR="003C122C" w:rsidRPr="00BE63EF" w:rsidRDefault="003C122C">
      <w:pPr>
        <w:rPr>
          <w:noProof/>
        </w:rPr>
        <w:sectPr w:rsidR="003C122C" w:rsidRPr="00BE63EF" w:rsidSect="0047346C">
          <w:headerReference w:type="even" r:id="rId9"/>
          <w:headerReference w:type="default" r:id="rId10"/>
          <w:footerReference w:type="even" r:id="rId11"/>
          <w:footerReference w:type="default" r:id="rId12"/>
          <w:headerReference w:type="first" r:id="rId13"/>
          <w:footerReference w:type="first" r:id="rId14"/>
          <w:pgSz w:w="11907" w:h="16839"/>
          <w:pgMar w:top="1134" w:right="1417" w:bottom="1134" w:left="1417" w:header="709" w:footer="709" w:gutter="0"/>
          <w:pgNumType w:start="0"/>
          <w:cols w:space="720"/>
          <w:docGrid w:linePitch="360"/>
        </w:sectPr>
      </w:pPr>
    </w:p>
    <w:p w:rsidR="003C122C" w:rsidRPr="00BE63EF" w:rsidRDefault="00BE63EF" w:rsidP="00BE63EF">
      <w:pPr>
        <w:pStyle w:val="Typedudocument"/>
        <w:rPr>
          <w:noProof/>
        </w:rPr>
      </w:pPr>
      <w:bookmarkStart w:id="0" w:name="_GoBack"/>
      <w:bookmarkEnd w:id="0"/>
      <w:r w:rsidRPr="00BE63EF">
        <w:rPr>
          <w:noProof/>
        </w:rPr>
        <w:lastRenderedPageBreak/>
        <w:t>KOMISSION TÄYTÄNTÖÖNPANOASETUS (EU) …/…,</w:t>
      </w:r>
    </w:p>
    <w:p w:rsidR="003C122C" w:rsidRPr="00BE63EF" w:rsidRDefault="00987AB6" w:rsidP="00BE63EF">
      <w:pPr>
        <w:pStyle w:val="Datedadoption"/>
        <w:rPr>
          <w:noProof/>
        </w:rPr>
      </w:pPr>
      <w:r>
        <w:t>annettu 30.11.2022,</w:t>
      </w:r>
    </w:p>
    <w:p w:rsidR="003C122C" w:rsidRPr="00BE63EF" w:rsidRDefault="00BE63EF" w:rsidP="00BE63EF">
      <w:pPr>
        <w:pStyle w:val="Titreobjet"/>
        <w:rPr>
          <w:noProof/>
        </w:rPr>
      </w:pPr>
      <w:r w:rsidRPr="00BE63EF">
        <w:rPr>
          <w:noProof/>
        </w:rPr>
        <w:t xml:space="preserve">täytäntöönpanoasetuksessa (EU) 2021/637 säädettyjen teknisten täytäntöönpanostandardien muuttamisesta ympäristöön, yhteiskuntaan ja hyvään hallintotapaan liittyviä riskejä koskevien tietojen julkistamisen osalta </w:t>
      </w:r>
      <w:r w:rsidRPr="00BE63EF">
        <w:rPr>
          <w:noProof/>
        </w:rPr>
        <w:br/>
      </w:r>
    </w:p>
    <w:p w:rsidR="003C122C" w:rsidRPr="00BE63EF" w:rsidRDefault="00BE63EF" w:rsidP="00BE63EF">
      <w:pPr>
        <w:pStyle w:val="IntrtEEE"/>
        <w:rPr>
          <w:noProof/>
        </w:rPr>
      </w:pPr>
      <w:r w:rsidRPr="00BE63EF">
        <w:rPr>
          <w:noProof/>
        </w:rPr>
        <w:t>(ETA:n kannalta merkityksellinen teksti)</w:t>
      </w:r>
    </w:p>
    <w:p w:rsidR="003C122C" w:rsidRPr="00BE63EF" w:rsidRDefault="003C122C" w:rsidP="004E1EF9">
      <w:pPr>
        <w:pStyle w:val="Institutionquiagit"/>
        <w:rPr>
          <w:noProof/>
        </w:rPr>
      </w:pPr>
      <w:r w:rsidRPr="00BE63EF">
        <w:rPr>
          <w:noProof/>
        </w:rPr>
        <w:t>EUROOPAN KOMISSIO, joka</w:t>
      </w:r>
    </w:p>
    <w:p w:rsidR="003C122C" w:rsidRPr="00BE63EF" w:rsidRDefault="003C122C" w:rsidP="003C122C">
      <w:pPr>
        <w:rPr>
          <w:noProof/>
          <w:color w:val="000000"/>
        </w:rPr>
      </w:pPr>
      <w:r w:rsidRPr="00BE63EF">
        <w:rPr>
          <w:noProof/>
          <w:color w:val="000000"/>
        </w:rPr>
        <w:t>ottaa huomioon Euroopan unionin toiminnasta tehdyn sopimuksen,</w:t>
      </w:r>
    </w:p>
    <w:p w:rsidR="003C122C" w:rsidRPr="00BE63EF" w:rsidRDefault="003C122C" w:rsidP="003C122C">
      <w:pPr>
        <w:rPr>
          <w:noProof/>
          <w:color w:val="000000"/>
        </w:rPr>
      </w:pPr>
      <w:r w:rsidRPr="00BE63EF">
        <w:rPr>
          <w:noProof/>
          <w:color w:val="000000"/>
        </w:rPr>
        <w:t>ottaa huomioon luottolaitosten ja sijoituspalveluyritysten vakavaraisuusvaatimuksista ja asetuksen (EU) N:o 648/2012 muuttamisesta 26 päivänä kesäkuuta 2013 annetun Euroopan parlamentin ja neuvoston asetuksen (EU) N:o 575/2013</w:t>
      </w:r>
      <w:r w:rsidRPr="00BE63EF">
        <w:rPr>
          <w:rStyle w:val="FootnoteReference"/>
          <w:noProof/>
        </w:rPr>
        <w:footnoteReference w:id="1"/>
      </w:r>
      <w:r w:rsidRPr="00BE63EF">
        <w:rPr>
          <w:noProof/>
          <w:color w:val="000000"/>
        </w:rPr>
        <w:t xml:space="preserve"> ja erityisesti sen 434 a artiklan,</w:t>
      </w:r>
    </w:p>
    <w:p w:rsidR="003C122C" w:rsidRPr="00BE63EF" w:rsidRDefault="003C122C" w:rsidP="004E1EF9">
      <w:pPr>
        <w:rPr>
          <w:noProof/>
        </w:rPr>
      </w:pPr>
      <w:r w:rsidRPr="00BE63EF">
        <w:rPr>
          <w:noProof/>
        </w:rPr>
        <w:t>sekä katsoo seuraavaa:</w:t>
      </w:r>
    </w:p>
    <w:p w:rsidR="00410340" w:rsidRPr="00BE63EF" w:rsidRDefault="0018691B" w:rsidP="0018691B">
      <w:pPr>
        <w:pStyle w:val="ManualConsidrant"/>
        <w:rPr>
          <w:noProof/>
          <w:color w:val="000000"/>
        </w:rPr>
      </w:pPr>
      <w:r w:rsidRPr="0018691B">
        <w:t>(1)</w:t>
      </w:r>
      <w:r w:rsidRPr="0018691B">
        <w:tab/>
      </w:r>
      <w:r w:rsidR="007067A9" w:rsidRPr="00BE63EF">
        <w:rPr>
          <w:noProof/>
        </w:rPr>
        <w:t>Komission täytäntöönpanoasetuksessa (EU) 2021/637</w:t>
      </w:r>
      <w:r w:rsidR="007067A9" w:rsidRPr="00BE63EF">
        <w:rPr>
          <w:rStyle w:val="FootnoteReference"/>
          <w:noProof/>
        </w:rPr>
        <w:footnoteReference w:id="2"/>
      </w:r>
      <w:r w:rsidR="007067A9" w:rsidRPr="00BE63EF">
        <w:rPr>
          <w:noProof/>
        </w:rPr>
        <w:t xml:space="preserve"> täsmennetään yhtenäiset julkistamismuodot ja niihin liittyvät ohjeet asetuksen (EU) N:o 575/2013 II ja III osastossa edellytettyjä julkistamisia varten. Asetusta (EU) N:o 575/2013 on muutettu asetuksella (EU) 2019/876</w:t>
      </w:r>
      <w:r w:rsidR="007067A9" w:rsidRPr="00BE63EF">
        <w:rPr>
          <w:rStyle w:val="FootnoteReference"/>
          <w:noProof/>
        </w:rPr>
        <w:footnoteReference w:id="3"/>
      </w:r>
      <w:r w:rsidR="007067A9" w:rsidRPr="00BE63EF">
        <w:rPr>
          <w:noProof/>
        </w:rPr>
        <w:t xml:space="preserve"> muun muassa lisäämällä siihen uusi 449 a artikla. Kyseisessä artiklassa edellytetään, että suuret laitokset, jotka ovat laskeneet liikkeeseen arvopapereita, jotka on otettu kaupankäynnin kohteeksi jonkin jäsenvaltion säännellyillä markkinoilla, julkistavat 28 päivästä kesäkuuta 2022 alkaen tiedot ympäristöön, yhteiskuntaan ja hyvään hallintotapaan liittyvistä riskeistä (ESG-riskeistä), fyysiset riskit ja siirtymäriskit mukaan lukien. Tämä asetuksen (EU) N:o 575/2013 muutos olisi otettava huomioon komission täytäntöönpanoasetuksessa (EU) 2021/637, jossa olisi nykyisten yhtenäisten julkistamismuotojen ja niihin liittyvien ohjeiden lisäksi vahvistettava uudet yhtenäiset julkistamismuodot ja niihin liittyvät ohjeet ESG-riskejä koskevien tietojen julkistamista varten.</w:t>
      </w:r>
    </w:p>
    <w:p w:rsidR="00410340" w:rsidRPr="00BE63EF" w:rsidRDefault="0018691B" w:rsidP="0018691B">
      <w:pPr>
        <w:pStyle w:val="ManualConsidrant"/>
        <w:rPr>
          <w:noProof/>
        </w:rPr>
      </w:pPr>
      <w:r w:rsidRPr="0018691B">
        <w:t>(2)</w:t>
      </w:r>
      <w:r w:rsidRPr="0018691B">
        <w:tab/>
      </w:r>
      <w:r w:rsidR="00410340" w:rsidRPr="00BE63EF">
        <w:rPr>
          <w:noProof/>
        </w:rPr>
        <w:t>Yhtenäisiä julkistamismuotoja vahvistettaessa olisi otettava huomioon julkistettavien tietojen olennaisuus kaikilta osin. Tämä merkitsee sitä, että laitosten julkistamissa tiedoissa olisi käsiteltävä toisaalta ESG-tekijöiden taloudellista vaikutusta laitosten taloudellisiin ja rahoituksellisiin toimintoihin (outside-in-näkökulma) ja toisaalta ESG-tekijöitä, joita laitosten omat toiminnat saattavat laukaista, jolloin näistä toiminnoista tulee taloudellisesti olennaisia, koska ne vaikuttavat laitosten sidosryhmiin (inside-out-näkökulma). Näin ollen taulukoissa ja lomakkeissa, joita käytetään näiden tietojen julkistamiseen, olisi annettava riittävän kattavat ja vertailukelpoiset tiedot ESG-riskeistä, jotta tietojen käyttäjät voisivat arvioida laitosten riskiprofiilia.</w:t>
      </w:r>
    </w:p>
    <w:p w:rsidR="00410340" w:rsidRPr="00BE63EF" w:rsidRDefault="0018691B" w:rsidP="0018691B">
      <w:pPr>
        <w:pStyle w:val="ManualConsidrant"/>
        <w:rPr>
          <w:noProof/>
        </w:rPr>
      </w:pPr>
      <w:r w:rsidRPr="0018691B">
        <w:t>(3)</w:t>
      </w:r>
      <w:r w:rsidRPr="0018691B">
        <w:tab/>
      </w:r>
      <w:r w:rsidR="00A525E2" w:rsidRPr="00BE63EF">
        <w:rPr>
          <w:noProof/>
        </w:rPr>
        <w:t>On tarpeen varmistaa johdonmukaisuus ja yhtenäisyys unionin muun ESG-riskejä käsittelevän lainsäädännön kanssa. Sen vuoksi ESG-riskejä koskevien tietojen julkistamissäännöissä olisi otettava huomioon kyseisessä unionin lainsäädännössä vahvistetut kriteerit, luokitukset ja määritelmät. Näissä säännöissä olisi erityisesti otettava huomioon Euroopan parlamentin ja neuvoston asetuksessa (EU) 2020/852</w:t>
      </w:r>
      <w:r w:rsidR="00A525E2" w:rsidRPr="00BE63EF">
        <w:rPr>
          <w:rStyle w:val="FootnoteReference"/>
          <w:noProof/>
        </w:rPr>
        <w:footnoteReference w:id="4"/>
      </w:r>
      <w:r w:rsidR="00A525E2" w:rsidRPr="00BE63EF">
        <w:rPr>
          <w:noProof/>
        </w:rPr>
        <w:t xml:space="preserve"> ja komission delegoidussa asetuksessa (EU) 2020/1818</w:t>
      </w:r>
      <w:r w:rsidR="00A525E2" w:rsidRPr="00BE63EF">
        <w:rPr>
          <w:rStyle w:val="FootnoteReference"/>
          <w:noProof/>
        </w:rPr>
        <w:footnoteReference w:id="5"/>
      </w:r>
      <w:r w:rsidR="00A525E2" w:rsidRPr="00BE63EF">
        <w:rPr>
          <w:noProof/>
        </w:rPr>
        <w:t xml:space="preserve"> säädetyt ympäristön kannalta kestävien taloudellisten toimintojen yksilöinti- ja luokituskriteerit. Laitosten kiinteistösalkun energiatehokkuutta koskevien tietojen julkistamisen osalta olisi otettava huomioon Euroopan parlamentin ja neuvoston direktiivin 2010/31/EU</w:t>
      </w:r>
      <w:r w:rsidR="00A525E2" w:rsidRPr="00BE63EF">
        <w:rPr>
          <w:rStyle w:val="FootnoteReference"/>
          <w:noProof/>
        </w:rPr>
        <w:footnoteReference w:id="6"/>
      </w:r>
      <w:r w:rsidR="00A525E2" w:rsidRPr="00BE63EF">
        <w:rPr>
          <w:noProof/>
        </w:rPr>
        <w:t xml:space="preserve"> 2 artiklan 12 alakohdassa määritellyssä energiatehokkuustodistuksessa annetut tiedot.</w:t>
      </w:r>
    </w:p>
    <w:p w:rsidR="00135CD4" w:rsidRPr="00BE63EF" w:rsidRDefault="0018691B" w:rsidP="0018691B">
      <w:pPr>
        <w:pStyle w:val="ManualConsidrant"/>
        <w:rPr>
          <w:noProof/>
        </w:rPr>
      </w:pPr>
      <w:r w:rsidRPr="0018691B">
        <w:t>(4)</w:t>
      </w:r>
      <w:r w:rsidRPr="0018691B">
        <w:tab/>
      </w:r>
      <w:r w:rsidR="00135CD4" w:rsidRPr="00BE63EF">
        <w:rPr>
          <w:noProof/>
        </w:rPr>
        <w:t>Euroopan parlamentin ja neuvoston direktiivin 2013/34/EU</w:t>
      </w:r>
      <w:r w:rsidR="00135CD4" w:rsidRPr="00BE63EF">
        <w:rPr>
          <w:rStyle w:val="FootnoteReference"/>
          <w:noProof/>
        </w:rPr>
        <w:footnoteReference w:id="7"/>
      </w:r>
      <w:r w:rsidR="00135CD4" w:rsidRPr="00BE63EF">
        <w:rPr>
          <w:noProof/>
        </w:rPr>
        <w:t xml:space="preserve"> 19 a ja 29 a artiklassa edellytetään, että tietyt suuret yritykset, jotka ovat yleisen edun kannalta merkittäviä yhteisöjä, tai yleisen edun kannalta merkittävät yhteisöt, jotka ovat suuren konsernin emoyrityksiä, sisällyttävät toimintakertomukseensa tai konserninsa toimintakertomukseen tiedot toimintansa vaikutuksista ympäristöasioihin, sosiaalisiin ja työntekijöihin liittyviin seikkoihin, ihmisoikeuksien kunnioittamiseen sekä korruption ja lahjonnan torjuntaan liittyviin seikkoihin. Tämä velvoite ei kuitenkaan koske muita yrityksiä. Näin ollen yritysten, joihin ei sovelleta direktiivin 2013/34/EU 19 a ja 29 a artiklaa, ei tarvitse julkistaa tällaisia tietoja, eivätkä ne välttämättä pysty toimittamaan niitä laitoksille. Sen vuoksi voidaan olettaa, että tällaiset yritykset, jotka ovat laitosten vastapuolia, toimittavat näitä tietoja ainoastaan vapaaehtoisesti. On kuitenkin asianmukaista antaa näille yrityksille ohjeita asetuksen (EU) 2020/852 3 artiklassa tarkoitettuihin ympäristön kannalta kestäviin taloudellisiin toimintoihin liittyvien vastuiden prosenttiosuuden laskemisesta, jotta nämä tiedot voidaan esittää standardoidussa ja vertailukelpoisessa muodossa. Jos näitä tietoja ei toimiteta vapaaehtoisesti, laitosten olisi voitava laskea luokitusjärjestelmän mukaisten vastuiden prosenttiosuus käyttämällä estimaatteja tai approksimaatioita.</w:t>
      </w:r>
    </w:p>
    <w:p w:rsidR="00921483" w:rsidRPr="00BE63EF" w:rsidRDefault="0018691B" w:rsidP="0018691B">
      <w:pPr>
        <w:pStyle w:val="ManualConsidrant"/>
        <w:rPr>
          <w:noProof/>
        </w:rPr>
      </w:pPr>
      <w:r w:rsidRPr="0018691B">
        <w:t>(5)</w:t>
      </w:r>
      <w:r w:rsidRPr="0018691B">
        <w:tab/>
      </w:r>
      <w:r w:rsidR="00A97285" w:rsidRPr="00BE63EF">
        <w:rPr>
          <w:noProof/>
        </w:rPr>
        <w:t>Asetuksen (EU) N:o 575/2013 449 a artiklassa edellytetään, että ESG-riskejä koskevat tiedot julkistetaan 28 päivästä kesäkuuta 2022 alkaen vuosittain ensimmäisen vuoden osalta ja sen jälkeen puolivuosittain. Näistä syistä ensimmäiseksi vuosittaisen julkistamisen viitepäiväksi olisi vahvistettava 31 päivä joulukuuta 2022.</w:t>
      </w:r>
    </w:p>
    <w:p w:rsidR="00ED20D7" w:rsidRPr="00BE63EF" w:rsidRDefault="0018691B" w:rsidP="0018691B">
      <w:pPr>
        <w:pStyle w:val="ManualConsidrant"/>
        <w:rPr>
          <w:noProof/>
        </w:rPr>
      </w:pPr>
      <w:r w:rsidRPr="0018691B">
        <w:t>(6)</w:t>
      </w:r>
      <w:r w:rsidRPr="0018691B">
        <w:tab/>
      </w:r>
      <w:r w:rsidR="00410340" w:rsidRPr="00BE63EF">
        <w:rPr>
          <w:noProof/>
        </w:rPr>
        <w:t xml:space="preserve">Tämä asetus perustuu teknisten täytäntöönpanostandardien luonnoksiin, jotka Euroopan pankkiviranomainen on toimittanut komissiolle. </w:t>
      </w:r>
    </w:p>
    <w:p w:rsidR="00410340" w:rsidRPr="00BE63EF" w:rsidRDefault="0018691B" w:rsidP="0018691B">
      <w:pPr>
        <w:pStyle w:val="ManualConsidrant"/>
        <w:rPr>
          <w:noProof/>
        </w:rPr>
      </w:pPr>
      <w:r w:rsidRPr="0018691B">
        <w:t>(7)</w:t>
      </w:r>
      <w:r w:rsidRPr="0018691B">
        <w:tab/>
      </w:r>
      <w:r w:rsidR="00ED20D7" w:rsidRPr="00BE63EF">
        <w:rPr>
          <w:noProof/>
        </w:rPr>
        <w:t>Euroopan pankkiviranomainen on järjestänyt avoimet julkiset kuulemiset tämän asetuksen perustana olevista teknisten täytäntöönpanostandardien luonnoksista, analysoinut niihin mahdollisesti liittyviä kustannuksia ja hyötyjä sekä pyytänyt neuvoa Euroopan parlamentin ja neuvoston asetuksen (EU) N:o 193/2010</w:t>
      </w:r>
      <w:r w:rsidR="00ED20D7" w:rsidRPr="00BE63EF">
        <w:rPr>
          <w:rStyle w:val="FootnoteReference"/>
          <w:noProof/>
        </w:rPr>
        <w:footnoteReference w:id="8"/>
      </w:r>
      <w:r w:rsidR="00ED20D7" w:rsidRPr="00BE63EF">
        <w:rPr>
          <w:noProof/>
        </w:rPr>
        <w:t xml:space="preserve"> 37 artiklan mukaisesti perustetulta pankkialan osallisryhmältä.</w:t>
      </w:r>
    </w:p>
    <w:p w:rsidR="00410340" w:rsidRPr="00BE63EF" w:rsidRDefault="0018691B" w:rsidP="0018691B">
      <w:pPr>
        <w:pStyle w:val="ManualConsidrant"/>
        <w:rPr>
          <w:noProof/>
        </w:rPr>
      </w:pPr>
      <w:r w:rsidRPr="0018691B">
        <w:t>(8)</w:t>
      </w:r>
      <w:r w:rsidRPr="0018691B">
        <w:tab/>
      </w:r>
      <w:r w:rsidR="00410340" w:rsidRPr="00BE63EF">
        <w:rPr>
          <w:noProof/>
        </w:rPr>
        <w:t>Sen vuoksi täytäntöönpanoasetusta (EU) 2021/637 olisi muutettava,</w:t>
      </w:r>
    </w:p>
    <w:p w:rsidR="003C122C" w:rsidRPr="00BE63EF" w:rsidRDefault="003C122C" w:rsidP="004E1EF9">
      <w:pPr>
        <w:pStyle w:val="Formuledadoption"/>
        <w:rPr>
          <w:noProof/>
          <w:szCs w:val="24"/>
        </w:rPr>
      </w:pPr>
      <w:r w:rsidRPr="00BE63EF">
        <w:rPr>
          <w:noProof/>
        </w:rPr>
        <w:t>ON HYVÄKSYNYT TÄMÄN ASETUKSEN:</w:t>
      </w:r>
    </w:p>
    <w:p w:rsidR="003C122C" w:rsidRPr="00BE63EF" w:rsidRDefault="003C122C" w:rsidP="004E1EF9">
      <w:pPr>
        <w:pStyle w:val="Titrearticle"/>
        <w:rPr>
          <w:noProof/>
          <w:szCs w:val="24"/>
        </w:rPr>
      </w:pPr>
      <w:r w:rsidRPr="00BE63EF">
        <w:rPr>
          <w:noProof/>
        </w:rPr>
        <w:t>1 artikla</w:t>
      </w:r>
    </w:p>
    <w:p w:rsidR="007F4F83" w:rsidRPr="00BE63EF" w:rsidRDefault="007F4F83" w:rsidP="00D00193">
      <w:pPr>
        <w:pStyle w:val="Titrearticle"/>
        <w:spacing w:before="120"/>
        <w:rPr>
          <w:b/>
          <w:i w:val="0"/>
          <w:noProof/>
          <w:szCs w:val="24"/>
        </w:rPr>
      </w:pPr>
      <w:r w:rsidRPr="00BE63EF">
        <w:rPr>
          <w:b/>
          <w:i w:val="0"/>
          <w:noProof/>
        </w:rPr>
        <w:t>Täytäntöönpanoasetuksen (EU) 2021/637 muuttaminen</w:t>
      </w:r>
    </w:p>
    <w:p w:rsidR="007F4F83" w:rsidRPr="00BE63EF" w:rsidRDefault="007F4F83" w:rsidP="007F4F83">
      <w:pPr>
        <w:pStyle w:val="Titrearticle"/>
        <w:jc w:val="left"/>
        <w:rPr>
          <w:rFonts w:eastAsiaTheme="minorEastAsia"/>
          <w:i w:val="0"/>
          <w:noProof/>
          <w:szCs w:val="24"/>
        </w:rPr>
      </w:pPr>
      <w:r w:rsidRPr="00BE63EF">
        <w:rPr>
          <w:i w:val="0"/>
          <w:noProof/>
        </w:rPr>
        <w:t>Muutetaan täytäntöönpanoasetus (EU) 2021/637 seuraavasti:</w:t>
      </w:r>
    </w:p>
    <w:p w:rsidR="007F4F83" w:rsidRPr="00BE63EF" w:rsidRDefault="0018691B" w:rsidP="0018691B">
      <w:pPr>
        <w:pStyle w:val="Point0"/>
        <w:rPr>
          <w:noProof/>
        </w:rPr>
      </w:pPr>
      <w:r w:rsidRPr="0018691B">
        <w:t>(1)</w:t>
      </w:r>
      <w:r w:rsidRPr="0018691B">
        <w:tab/>
      </w:r>
      <w:r w:rsidR="007F4F83" w:rsidRPr="00BE63EF">
        <w:rPr>
          <w:noProof/>
        </w:rPr>
        <w:t>Lisätään 18 a artikla seuraavasti:</w:t>
      </w:r>
    </w:p>
    <w:p w:rsidR="007F4F83" w:rsidRPr="00BE63EF" w:rsidRDefault="006542E5" w:rsidP="004046D9">
      <w:pPr>
        <w:pStyle w:val="Titrearticle"/>
        <w:spacing w:before="120"/>
        <w:ind w:left="567" w:right="568"/>
        <w:rPr>
          <w:noProof/>
        </w:rPr>
      </w:pPr>
      <w:r w:rsidRPr="00BE63EF">
        <w:rPr>
          <w:noProof/>
        </w:rPr>
        <w:t>”18 a artikla</w:t>
      </w:r>
    </w:p>
    <w:p w:rsidR="007F4F83" w:rsidRPr="00BE63EF" w:rsidRDefault="007F4F83" w:rsidP="004046D9">
      <w:pPr>
        <w:pStyle w:val="Titrearticle"/>
        <w:spacing w:before="120"/>
        <w:ind w:left="567" w:right="568"/>
        <w:rPr>
          <w:b/>
          <w:i w:val="0"/>
          <w:noProof/>
        </w:rPr>
      </w:pPr>
      <w:r w:rsidRPr="00BE63EF">
        <w:rPr>
          <w:b/>
          <w:i w:val="0"/>
          <w:noProof/>
        </w:rPr>
        <w:t>Ympäristöön, yhteiskuntaan ja hyvään hallintotapaan liittyvä riskejä (ESG-riskejä) koskevien tietojen julkistaminen</w:t>
      </w:r>
    </w:p>
    <w:p w:rsidR="007F4F83" w:rsidRPr="00BE63EF" w:rsidRDefault="0018691B" w:rsidP="0018691B">
      <w:pPr>
        <w:pStyle w:val="ManualNumPar1"/>
        <w:rPr>
          <w:noProof/>
        </w:rPr>
      </w:pPr>
      <w:r w:rsidRPr="0018691B">
        <w:t>1.</w:t>
      </w:r>
      <w:r w:rsidRPr="0018691B">
        <w:tab/>
      </w:r>
      <w:r w:rsidR="007F4F83" w:rsidRPr="00BE63EF">
        <w:rPr>
          <w:noProof/>
        </w:rPr>
        <w:t>Laitosten on julkistettava asetuksen (EU) N:o 575/2013 449 a artiklassa tarkoitetut tiedot seuraavasti:</w:t>
      </w:r>
    </w:p>
    <w:p w:rsidR="002D1236" w:rsidRPr="00BE63EF" w:rsidRDefault="0018691B" w:rsidP="0018691B">
      <w:pPr>
        <w:pStyle w:val="Point1"/>
        <w:rPr>
          <w:noProof/>
        </w:rPr>
      </w:pPr>
      <w:r w:rsidRPr="0018691B">
        <w:t>(a)</w:t>
      </w:r>
      <w:r w:rsidRPr="0018691B">
        <w:tab/>
      </w:r>
      <w:r w:rsidR="002D1236" w:rsidRPr="00BE63EF">
        <w:rPr>
          <w:noProof/>
        </w:rPr>
        <w:t>laadulliset tiedot ympäristöön, yhteiskuntaan ja hyvään hallintotapaan liittyvistä riskeistä käyttämällä tämän asetuksen liitteessä XXXIX olevia taulukoita 1, 2 ja 3 ja noudattaen tämän asetuksen liitteessä XL annettuja ohjeita;</w:t>
      </w:r>
    </w:p>
    <w:p w:rsidR="002D1236" w:rsidRPr="00BE63EF" w:rsidRDefault="0018691B" w:rsidP="0018691B">
      <w:pPr>
        <w:pStyle w:val="Point1"/>
        <w:rPr>
          <w:noProof/>
        </w:rPr>
      </w:pPr>
      <w:r w:rsidRPr="0018691B">
        <w:t>(b)</w:t>
      </w:r>
      <w:r w:rsidRPr="0018691B">
        <w:tab/>
      </w:r>
      <w:r w:rsidR="002D1236" w:rsidRPr="00BE63EF">
        <w:rPr>
          <w:noProof/>
        </w:rPr>
        <w:t>määrälliset tiedot ilmastonmuutokseen liittyvästä siirtymäriskistä käyttämällä tämän asetuksen liitteessä XXXIX olevia lomakkeita 1–4 ja noudattaen tämän asetuksen liitteessä XL annettuja ohjeita;</w:t>
      </w:r>
    </w:p>
    <w:p w:rsidR="002D1236" w:rsidRPr="00BE63EF" w:rsidRDefault="0018691B" w:rsidP="0018691B">
      <w:pPr>
        <w:pStyle w:val="Point1"/>
        <w:rPr>
          <w:noProof/>
        </w:rPr>
      </w:pPr>
      <w:r w:rsidRPr="0018691B">
        <w:t>(c)</w:t>
      </w:r>
      <w:r w:rsidRPr="0018691B">
        <w:tab/>
      </w:r>
      <w:r w:rsidR="002D1236" w:rsidRPr="00BE63EF">
        <w:rPr>
          <w:noProof/>
        </w:rPr>
        <w:t>määrälliset tiedot ilmastonmuutokseen liittyvistä fyysisistä riskeistä käyttämällä tämän asetuksen liitteessä XXXIX olevaa lomaketta 5 ja noudattaen tämän asetuksen liitteessä XL annettuja ohjeita;</w:t>
      </w:r>
    </w:p>
    <w:p w:rsidR="002D1236" w:rsidRPr="00BE63EF" w:rsidRDefault="0018691B" w:rsidP="0018691B">
      <w:pPr>
        <w:pStyle w:val="Point1"/>
        <w:rPr>
          <w:noProof/>
        </w:rPr>
      </w:pPr>
      <w:r w:rsidRPr="0018691B">
        <w:t>(d)</w:t>
      </w:r>
      <w:r w:rsidRPr="0018691B">
        <w:tab/>
      </w:r>
      <w:r w:rsidR="002D1236" w:rsidRPr="00BE63EF">
        <w:rPr>
          <w:noProof/>
        </w:rPr>
        <w:t>määrälliset tiedot riskejä vähentävistä toimista, jotka liittyvät Euroopan parlamentin ja neuvoston asetuksen (EU) 2020/852*1 3 artiklan nojalla ympäristön kannalta kestävinä pidettäviin taloudellisiin toimintoihin ja vastapuoliin, joihin sovelletaan Euroopan parlamentin ja neuvoston direktiivin 2013/34/EU *2 19 a tai 29 a artiklaa, sekä kotitalouksiin ja komission täytäntöönpanoasetuksen (EU) 2021/451*3 liitteessä V olevan 1 osan 42 kohdan b alakohdassa tarkoitettuihin paikallishallintoihin, käyttämällä tämän asetuksen liitteessä XXXIX olevia lomakkeita 6, 7 ja 8 ja noudattaen tämän asetuksen liitteessä XL annettuja ohjeita</w:t>
      </w:r>
      <w:bookmarkStart w:id="1" w:name="_Hlk92470586"/>
      <w:bookmarkEnd w:id="1"/>
      <w:r w:rsidR="002D1236" w:rsidRPr="00BE63EF">
        <w:rPr>
          <w:noProof/>
        </w:rPr>
        <w:t>;</w:t>
      </w:r>
    </w:p>
    <w:p w:rsidR="00995098" w:rsidRPr="00BE63EF" w:rsidRDefault="0018691B" w:rsidP="0018691B">
      <w:pPr>
        <w:pStyle w:val="Point1"/>
        <w:rPr>
          <w:noProof/>
        </w:rPr>
      </w:pPr>
      <w:r w:rsidRPr="0018691B">
        <w:t>(e)</w:t>
      </w:r>
      <w:r w:rsidRPr="0018691B">
        <w:tab/>
      </w:r>
      <w:r w:rsidR="00995098" w:rsidRPr="00BE63EF">
        <w:rPr>
          <w:noProof/>
        </w:rPr>
        <w:t>määrälliset tiedot muista ilmastonmuutokseen liittyviä riskejä vähentävistä toimista ja tällaisten riskien kohteina olevista vastuista, jotka eivät liity (EU) 2020/852 3 artiklan nojalla ympäristön kannalta kestävinä pidettäviin taloudellisiin toimintoihin mutta joilla tuetaan vastapuolia siirtymä- tai sopeutumisprosessissa, jolla pyritään ilmastonmuutoksen hillintää ja ilmastonmuutokseen sopeutumista koskeviin tavoitteisiin, käyttämällä tämän asetuksen liitteessä XXXIX olevaa lomaketta 10 ja noudattaen tämän asetuksen liitteessä XL annettuja ohjeita.</w:t>
      </w:r>
    </w:p>
    <w:p w:rsidR="008D2E23" w:rsidRPr="00BE63EF" w:rsidRDefault="0018691B" w:rsidP="0018691B">
      <w:pPr>
        <w:pStyle w:val="ManualNumPar1"/>
        <w:rPr>
          <w:noProof/>
        </w:rPr>
      </w:pPr>
      <w:r w:rsidRPr="0018691B">
        <w:t>2.</w:t>
      </w:r>
      <w:r w:rsidRPr="0018691B">
        <w:tab/>
      </w:r>
      <w:r w:rsidR="000941B5" w:rsidRPr="00BE63EF">
        <w:rPr>
          <w:noProof/>
        </w:rPr>
        <w:t xml:space="preserve">Laitokset voivat halutessaan julkistaa määrällisiä tietoja ilmastonmuutokseen liittyviä riskejä vähentävistä toimista ja tällaisten riskien kohteina olevista vastuista, jotka liittyvät asetuksen (EU) 2020/852 3 artiklan nojalla ympäristön kannalta kestävinä pidettäviin taloudellisiin toimintoihin ja sellaisiin vastapuoliin, </w:t>
      </w:r>
      <w:bookmarkStart w:id="2" w:name="_Hlk92470606"/>
      <w:r w:rsidR="000941B5" w:rsidRPr="00BE63EF">
        <w:rPr>
          <w:noProof/>
        </w:rPr>
        <w:t xml:space="preserve">jotka ovat täytäntöönpanoasetuksen (EU) 2021/451 liitteessä V olevan 1 osan 42 kohdan e alakohdassa tarkoitettuja rahoitusalan ulkopuolisia yrityksiä, </w:t>
      </w:r>
      <w:bookmarkEnd w:id="2"/>
      <w:r w:rsidR="000941B5" w:rsidRPr="00BE63EF">
        <w:rPr>
          <w:noProof/>
        </w:rPr>
        <w:t>joihin ei sovelleta direktiivin 2013/34/EU 19 a tai 29 a artiklassa ja komission täytäntöönpanoasetuksessa (EU) 2021/2178</w:t>
      </w:r>
      <w:r w:rsidR="000941B5" w:rsidRPr="00BE63EF">
        <w:rPr>
          <w:noProof/>
          <w:vertAlign w:val="superscript"/>
        </w:rPr>
        <w:t>*4</w:t>
      </w:r>
      <w:r w:rsidR="000941B5" w:rsidRPr="00BE63EF">
        <w:rPr>
          <w:noProof/>
        </w:rPr>
        <w:t xml:space="preserve"> säädettyjä tiedonantovelvollisuuksia, käyttämällä tämän asetuksen liitteessä XXXIX olevaa lomaketta 9 ja noudattaen tämän asetuksen liitteessä XL annettuja ohjeita. </w:t>
      </w:r>
    </w:p>
    <w:p w:rsidR="002D1236" w:rsidRPr="00BE63EF" w:rsidRDefault="002D1236" w:rsidP="00353D88">
      <w:pPr>
        <w:pStyle w:val="Text1"/>
        <w:rPr>
          <w:noProof/>
        </w:rPr>
      </w:pPr>
      <w:r w:rsidRPr="00BE63EF">
        <w:rPr>
          <w:noProof/>
        </w:rPr>
        <w:t>Laskeakseen sellaisten vastuiden prosenttiosuuden, jotka liittyvät kyseisiin vastapuoliin ja asetuksen (EU) 2020/852 3 artiklassa säädettyjen vaatimusten mukaisiin toimintoihin (luokitusjärjestelmän mukaiset vastuut), laitokset</w:t>
      </w:r>
    </w:p>
    <w:p w:rsidR="00D23734" w:rsidRPr="00BE63EF" w:rsidRDefault="0018691B" w:rsidP="0018691B">
      <w:pPr>
        <w:pStyle w:val="Point1"/>
        <w:rPr>
          <w:noProof/>
        </w:rPr>
      </w:pPr>
      <w:r w:rsidRPr="0018691B">
        <w:t>(a)</w:t>
      </w:r>
      <w:r w:rsidRPr="0018691B">
        <w:tab/>
      </w:r>
      <w:r w:rsidR="008E7D06" w:rsidRPr="00BE63EF">
        <w:rPr>
          <w:noProof/>
        </w:rPr>
        <w:t>voivat käyttää tietoja, jotka niiden vastapuolet ovat antaneet vapaaehtoisesti ja kahdenvälisesti lainojen alullepanon sekä säännöllisten luottojentarkastus- ja luottojenseurantaprosessien yhteydessä, jos tällaisia tietoja on saatavilla;</w:t>
      </w:r>
    </w:p>
    <w:p w:rsidR="00D23734" w:rsidRPr="00BE63EF" w:rsidRDefault="0018691B" w:rsidP="0018691B">
      <w:pPr>
        <w:pStyle w:val="Point1"/>
        <w:rPr>
          <w:noProof/>
        </w:rPr>
      </w:pPr>
      <w:r w:rsidRPr="0018691B">
        <w:t>(b)</w:t>
      </w:r>
      <w:r w:rsidRPr="0018691B">
        <w:tab/>
      </w:r>
      <w:r w:rsidR="00B25755" w:rsidRPr="00BE63EF">
        <w:rPr>
          <w:noProof/>
        </w:rPr>
        <w:t>voivat, jos vastapuoli ei kykene toimittamaan tai halua toimittaa kyseisiä tietoja kahdenvälisesti, käyttää sisäisiä estimaatteja ja approksimaatioita ja selittää lomakkeeseen liitetyssä selostuksessa, missä määrin näitä sisäisiä estimaatteja ja approksimaatioita on käytetty ja mitä sisäisiä estimaatteja ja approksimaatioita on sovellettu;</w:t>
      </w:r>
    </w:p>
    <w:p w:rsidR="002D1236" w:rsidRPr="00BE63EF" w:rsidRDefault="0018691B" w:rsidP="0018691B">
      <w:pPr>
        <w:pStyle w:val="Point1"/>
        <w:rPr>
          <w:noProof/>
        </w:rPr>
      </w:pPr>
      <w:r w:rsidRPr="0018691B">
        <w:t>(c)</w:t>
      </w:r>
      <w:r w:rsidRPr="0018691B">
        <w:tab/>
      </w:r>
      <w:r w:rsidR="00D23734" w:rsidRPr="00BE63EF">
        <w:rPr>
          <w:noProof/>
        </w:rPr>
        <w:t>voivat, jos ne eivät kykene keräämään kyseisiä tietoja kahdenvälisesti tai käyttämään sisäisiä estimaatteja ja approksimaatioita taikka keräämään kyseisiä tietoja tai käyttämään kyseisiä estimaatteja ja approksimaatioita tavalla, joka ei ole niille tai niiden vastapuolille kohtuuttoman raskas, selittää kykenemättömyytensä lomakkeeseen liitetyssä selostuksessa.</w:t>
      </w:r>
    </w:p>
    <w:p w:rsidR="00320B78" w:rsidRPr="00BE63EF" w:rsidRDefault="00320B78" w:rsidP="00353D88">
      <w:pPr>
        <w:pStyle w:val="Text1"/>
        <w:rPr>
          <w:noProof/>
        </w:rPr>
      </w:pPr>
      <w:r w:rsidRPr="00BE63EF">
        <w:rPr>
          <w:noProof/>
        </w:rPr>
        <w:t>Sovellettaessa a alakohtaa laitosten on ilmoitettava vastapuolilleen, että tällaisten tietojen antaminen on vapaaehtoista.</w:t>
      </w:r>
    </w:p>
    <w:p w:rsidR="007F4F83" w:rsidRPr="00BE63EF" w:rsidRDefault="0018691B" w:rsidP="0018691B">
      <w:pPr>
        <w:pStyle w:val="ManualNumPar1"/>
        <w:rPr>
          <w:noProof/>
        </w:rPr>
      </w:pPr>
      <w:r w:rsidRPr="0018691B">
        <w:t>3.</w:t>
      </w:r>
      <w:r w:rsidRPr="0018691B">
        <w:tab/>
      </w:r>
      <w:r w:rsidR="006B71ED" w:rsidRPr="00BE63EF">
        <w:rPr>
          <w:noProof/>
        </w:rPr>
        <w:t>Jollei tämän asetuksen liitteessä XL olevissa ohjeissa toisin ilmoiteta, laitosten on 31 päivästä joulukuuta 2022 alkaen julkistettava asetuksen (EU) N:o 575/2013 449 a artiklassa tarkoitetut tiedot seuraavina päivinä:</w:t>
      </w:r>
    </w:p>
    <w:p w:rsidR="007F4F83" w:rsidRPr="00BE63EF" w:rsidRDefault="0018691B" w:rsidP="0018691B">
      <w:pPr>
        <w:pStyle w:val="Point1"/>
        <w:rPr>
          <w:noProof/>
        </w:rPr>
      </w:pPr>
      <w:r w:rsidRPr="0018691B">
        <w:t>(a)</w:t>
      </w:r>
      <w:r w:rsidRPr="0018691B">
        <w:tab/>
      </w:r>
      <w:r w:rsidR="007F4F83" w:rsidRPr="00BE63EF">
        <w:rPr>
          <w:noProof/>
        </w:rPr>
        <w:t>vuosittaiset julkistamiset: 31 päivänä joulukuuta;</w:t>
      </w:r>
    </w:p>
    <w:p w:rsidR="00D01D57" w:rsidRPr="00BE63EF" w:rsidRDefault="0018691B" w:rsidP="0018691B">
      <w:pPr>
        <w:pStyle w:val="Point1"/>
        <w:rPr>
          <w:noProof/>
        </w:rPr>
      </w:pPr>
      <w:r w:rsidRPr="0018691B">
        <w:t>(b)</w:t>
      </w:r>
      <w:r w:rsidRPr="0018691B">
        <w:tab/>
      </w:r>
      <w:r w:rsidR="007F4F83" w:rsidRPr="00BE63EF">
        <w:rPr>
          <w:noProof/>
        </w:rPr>
        <w:t>puolivuosittaiset julkistamiset: kunkin vuoden 30 päivänä kesäkuuta ja 31 päivänä joulukuuta.</w:t>
      </w:r>
    </w:p>
    <w:p w:rsidR="00086FAB" w:rsidRPr="00BE63EF" w:rsidRDefault="001904B5" w:rsidP="0087679B">
      <w:pPr>
        <w:pStyle w:val="Text2"/>
        <w:rPr>
          <w:noProof/>
        </w:rPr>
      </w:pPr>
      <w:r w:rsidRPr="00BE63EF">
        <w:rPr>
          <w:noProof/>
        </w:rPr>
        <w:tab/>
        <w:t>___________</w:t>
      </w:r>
    </w:p>
    <w:p w:rsidR="00086FAB" w:rsidRPr="00BE63EF" w:rsidRDefault="00086FAB" w:rsidP="0087679B">
      <w:pPr>
        <w:pStyle w:val="Text3"/>
        <w:rPr>
          <w:noProof/>
          <w:sz w:val="20"/>
          <w:szCs w:val="20"/>
        </w:rPr>
      </w:pPr>
      <w:r w:rsidRPr="00BE63EF">
        <w:rPr>
          <w:noProof/>
          <w:sz w:val="20"/>
          <w:vertAlign w:val="superscript"/>
        </w:rPr>
        <w:t>*1</w:t>
      </w:r>
      <w:r w:rsidRPr="00BE63EF">
        <w:rPr>
          <w:noProof/>
        </w:rPr>
        <w:tab/>
      </w:r>
      <w:r w:rsidRPr="00BE63EF">
        <w:rPr>
          <w:noProof/>
          <w:sz w:val="20"/>
        </w:rPr>
        <w:t>Euroopan parlamentin ja neuvoston asetus (EU) 2020/852, annettu 18 päivänä kesäkuuta 2020, kestävää sijoittamista helpottavasta kehyksestä ja asetuksen (EU) 2019/2088 muuttamisesta (EUVL L 198, 22.6.2020, s. 13).</w:t>
      </w:r>
    </w:p>
    <w:p w:rsidR="00086FAB" w:rsidRPr="00BE63EF" w:rsidRDefault="00086FAB" w:rsidP="004F6722">
      <w:pPr>
        <w:pStyle w:val="Text3"/>
        <w:rPr>
          <w:noProof/>
          <w:sz w:val="20"/>
          <w:szCs w:val="20"/>
        </w:rPr>
      </w:pPr>
      <w:r w:rsidRPr="00BE63EF">
        <w:rPr>
          <w:noProof/>
          <w:sz w:val="20"/>
          <w:vertAlign w:val="superscript"/>
        </w:rPr>
        <w:t>*2</w:t>
      </w:r>
      <w:r w:rsidRPr="00BE63EF">
        <w:rPr>
          <w:noProof/>
        </w:rPr>
        <w:tab/>
      </w:r>
      <w:r w:rsidRPr="00BE63EF">
        <w:rPr>
          <w:noProof/>
          <w:sz w:val="20"/>
        </w:rPr>
        <w:t>Euroopan parlamentin ja neuvoston direktiivi 2013/34/EU, annettu 26 päivänä kesäkuuta 2013, tietyntyyppisten yritysten vuositilinpäätöksistä, konsernitilinpäätöksistä ja niihin liittyvistä kertomuksista, Euroopan parlamentin ja neuvoston direktiivin 2006/43/EY muuttamisesta ja neuvoston direktiivien 78/660/ETY ja 83/349/ETY kumoamisesta (EUVL L 182, 29.6.2013, s. 19).</w:t>
      </w:r>
    </w:p>
    <w:p w:rsidR="00086FAB" w:rsidRPr="00BE63EF" w:rsidRDefault="00086FAB" w:rsidP="0087679B">
      <w:pPr>
        <w:pStyle w:val="Text3"/>
        <w:rPr>
          <w:noProof/>
          <w:sz w:val="20"/>
          <w:szCs w:val="20"/>
        </w:rPr>
      </w:pPr>
      <w:r w:rsidRPr="00BE63EF">
        <w:rPr>
          <w:noProof/>
          <w:sz w:val="20"/>
          <w:vertAlign w:val="superscript"/>
        </w:rPr>
        <w:t>*3</w:t>
      </w:r>
      <w:r w:rsidRPr="00BE63EF">
        <w:rPr>
          <w:noProof/>
        </w:rPr>
        <w:tab/>
      </w:r>
      <w:r w:rsidRPr="00BE63EF">
        <w:rPr>
          <w:noProof/>
          <w:sz w:val="20"/>
        </w:rPr>
        <w:t>Komission täytäntöönpanoasetus (EU) 2021/451, annettu 17 päivänä joulukuuta 2020, teknisistä täytäntöönpanostandardeista Euroopan parlamentin ja neuvoston asetuksen (EU) N:o 575/2013 soveltamiseksi laitosten vakavaraisuusvalvontaan liittyvän raportoinnin osalta ja täytäntöönpanoasetuksen (EU) N:o 680/2014 kumoamisesta (EUVL L 97, 19.3.2021, s. 1).</w:t>
      </w:r>
    </w:p>
    <w:p w:rsidR="00086FAB" w:rsidRPr="00BE63EF" w:rsidRDefault="00086FAB" w:rsidP="0087679B">
      <w:pPr>
        <w:pStyle w:val="Text3"/>
        <w:rPr>
          <w:noProof/>
          <w:sz w:val="20"/>
          <w:szCs w:val="20"/>
        </w:rPr>
      </w:pPr>
      <w:r w:rsidRPr="00BE63EF">
        <w:rPr>
          <w:noProof/>
          <w:sz w:val="20"/>
          <w:vertAlign w:val="superscript"/>
        </w:rPr>
        <w:t>*4</w:t>
      </w:r>
      <w:r w:rsidRPr="00BE63EF">
        <w:rPr>
          <w:noProof/>
        </w:rPr>
        <w:tab/>
      </w:r>
      <w:r w:rsidRPr="00BE63EF">
        <w:rPr>
          <w:noProof/>
          <w:sz w:val="20"/>
        </w:rPr>
        <w:t>Komission delegoitu asetus (EU) 2021/2178, annettu 6 päivänä heinäkuuta 2021, Euroopan parlamentin ja neuvoston asetuksen (EU) 2020/852 täydentämisestä täsmentämällä niiden tietojen sisältö ja esitystapa, jotka direktiivin 2013/34/EU 19 a tai 29 a artiklan soveltamisalaan kuuluvien yritysten on annettava ympäristön kannalta kestävistä taloudellisista toiminnoista, sekä kyseisen tiedonantovelvollisuuden noudattamiseksi käytettävä menetelmä (EUVL L 443, 10.12.2021, s. 9).”</w:t>
      </w:r>
    </w:p>
    <w:p w:rsidR="007F4F83" w:rsidRPr="00BE63EF" w:rsidRDefault="0018691B" w:rsidP="0018691B">
      <w:pPr>
        <w:pStyle w:val="Point0"/>
        <w:rPr>
          <w:noProof/>
        </w:rPr>
      </w:pPr>
      <w:r w:rsidRPr="0018691B">
        <w:t>(2)</w:t>
      </w:r>
      <w:r w:rsidRPr="0018691B">
        <w:tab/>
      </w:r>
      <w:r w:rsidR="00921483" w:rsidRPr="00BE63EF">
        <w:rPr>
          <w:noProof/>
        </w:rPr>
        <w:t xml:space="preserve">Lisätään tämän asetuksen liitteessä I oleva teksti liitteeksi XXXIX. </w:t>
      </w:r>
    </w:p>
    <w:p w:rsidR="007F4F83" w:rsidRPr="00BE63EF" w:rsidRDefault="0018691B" w:rsidP="0018691B">
      <w:pPr>
        <w:pStyle w:val="Point0"/>
        <w:rPr>
          <w:noProof/>
        </w:rPr>
      </w:pPr>
      <w:r w:rsidRPr="0018691B">
        <w:t>(3)</w:t>
      </w:r>
      <w:r w:rsidRPr="0018691B">
        <w:tab/>
      </w:r>
      <w:r w:rsidR="00921483" w:rsidRPr="00BE63EF">
        <w:rPr>
          <w:noProof/>
        </w:rPr>
        <w:t>Lisätään tämän asetuksen liitteessä II oleva teksti liitteeksi XL.</w:t>
      </w:r>
    </w:p>
    <w:p w:rsidR="007F4F83" w:rsidRPr="00BE63EF" w:rsidRDefault="007F4F83" w:rsidP="004046D9">
      <w:pPr>
        <w:pStyle w:val="Titrearticle"/>
        <w:rPr>
          <w:noProof/>
          <w:szCs w:val="24"/>
        </w:rPr>
      </w:pPr>
      <w:r w:rsidRPr="00BE63EF">
        <w:rPr>
          <w:noProof/>
        </w:rPr>
        <w:t>2 artikla</w:t>
      </w:r>
    </w:p>
    <w:p w:rsidR="007F4F83" w:rsidRPr="00BE63EF" w:rsidRDefault="007F4F83" w:rsidP="007F4F83">
      <w:pPr>
        <w:pStyle w:val="Titrearticle"/>
        <w:spacing w:before="120"/>
        <w:rPr>
          <w:b/>
          <w:i w:val="0"/>
          <w:noProof/>
          <w:szCs w:val="24"/>
        </w:rPr>
      </w:pPr>
      <w:r w:rsidRPr="00BE63EF">
        <w:rPr>
          <w:b/>
          <w:i w:val="0"/>
          <w:noProof/>
        </w:rPr>
        <w:t>Voimaantulo</w:t>
      </w:r>
    </w:p>
    <w:p w:rsidR="007F4F83" w:rsidRPr="00BE63EF" w:rsidRDefault="007F4F83" w:rsidP="007F4F83">
      <w:pPr>
        <w:rPr>
          <w:noProof/>
          <w:color w:val="000000" w:themeColor="text1"/>
          <w:szCs w:val="24"/>
        </w:rPr>
      </w:pPr>
      <w:r w:rsidRPr="00BE63EF">
        <w:rPr>
          <w:noProof/>
        </w:rPr>
        <w:t xml:space="preserve">Tämä asetus tulee voimaan kahdentenakymmenentenä päivänä sen jälkeen, kun se on julkaistu </w:t>
      </w:r>
      <w:r w:rsidRPr="00BE63EF">
        <w:rPr>
          <w:i/>
          <w:noProof/>
          <w:color w:val="000000" w:themeColor="text1"/>
        </w:rPr>
        <w:t>Euroopan unionin virallisessa lehdessä</w:t>
      </w:r>
      <w:r w:rsidRPr="00BE63EF">
        <w:rPr>
          <w:noProof/>
        </w:rPr>
        <w:t>.</w:t>
      </w:r>
      <w:r w:rsidRPr="00BE63EF">
        <w:rPr>
          <w:noProof/>
          <w:color w:val="000000" w:themeColor="text1"/>
        </w:rPr>
        <w:t xml:space="preserve"> </w:t>
      </w:r>
    </w:p>
    <w:p w:rsidR="007F4F83" w:rsidRPr="00BE63EF" w:rsidRDefault="007F4F83" w:rsidP="007F4F83">
      <w:pPr>
        <w:pStyle w:val="Applicationdirecte"/>
        <w:rPr>
          <w:noProof/>
          <w:color w:val="000000"/>
          <w:szCs w:val="24"/>
        </w:rPr>
      </w:pPr>
      <w:r w:rsidRPr="00BE63EF">
        <w:rPr>
          <w:noProof/>
          <w:color w:val="000000"/>
        </w:rPr>
        <w:t>Tämä asetus on kaikilta osiltaan velvoittava, ja sitä sovelletaan sellaisenaan kaikissa jäsenvaltioissa.</w:t>
      </w:r>
    </w:p>
    <w:p w:rsidR="003C122C" w:rsidRPr="00BE63EF" w:rsidRDefault="002F3CFE" w:rsidP="003D15B0">
      <w:pPr>
        <w:pStyle w:val="Fait"/>
        <w:rPr>
          <w:noProof/>
        </w:rPr>
      </w:pPr>
      <w:r w:rsidRPr="002F3CFE">
        <w:t>Tehty Brysselissä 30.11.2022</w:t>
      </w:r>
    </w:p>
    <w:p w:rsidR="003C122C" w:rsidRPr="00BE63EF" w:rsidRDefault="003C122C" w:rsidP="003D15B0">
      <w:pPr>
        <w:pStyle w:val="Institutionquisigne"/>
        <w:rPr>
          <w:noProof/>
          <w:szCs w:val="24"/>
        </w:rPr>
      </w:pPr>
      <w:r w:rsidRPr="00BE63EF">
        <w:rPr>
          <w:noProof/>
        </w:rPr>
        <w:tab/>
        <w:t>Komission puolesta</w:t>
      </w:r>
    </w:p>
    <w:p w:rsidR="00C32BCD" w:rsidRPr="00BE63EF" w:rsidRDefault="00494574" w:rsidP="003D15B0">
      <w:pPr>
        <w:pStyle w:val="Personnequisigne"/>
        <w:keepNext/>
        <w:rPr>
          <w:noProof/>
          <w:szCs w:val="24"/>
        </w:rPr>
      </w:pPr>
      <w:r>
        <w:tab/>
        <w:t>Puheenjohtaja</w:t>
      </w:r>
      <w:r>
        <w:br/>
      </w:r>
      <w:r>
        <w:tab/>
        <w:t>Ursula VON DER LEYEN</w:t>
      </w:r>
    </w:p>
    <w:p w:rsidR="00C32BCD" w:rsidRPr="00BE63EF" w:rsidRDefault="00C32BCD" w:rsidP="00C32BCD">
      <w:pPr>
        <w:pStyle w:val="Personnequisigne"/>
        <w:rPr>
          <w:noProof/>
          <w:szCs w:val="24"/>
        </w:rPr>
      </w:pPr>
    </w:p>
    <w:sectPr w:rsidR="00C32BCD" w:rsidRPr="00BE63EF" w:rsidSect="0047346C">
      <w:footerReference w:type="default" r:id="rId15"/>
      <w:footerReference w:type="first" r:id="rId16"/>
      <w:pgSz w:w="11907" w:h="16839"/>
      <w:pgMar w:top="1134" w:right="1417" w:bottom="1134" w:left="1417" w:header="709" w:footer="709"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55EBEA" w16cex:dateUtc="2022-06-16T15: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37DE51" w16cid:durableId="2655EBCB"/>
  <w16cid:commentId w16cid:paraId="7A29AA4B" w16cid:durableId="2655EBCC"/>
  <w16cid:commentId w16cid:paraId="3433952E" w16cid:durableId="2655EBCD"/>
  <w16cid:commentId w16cid:paraId="6EED3A3E" w16cid:durableId="2655EBCE"/>
  <w16cid:commentId w16cid:paraId="3EE02E5B" w16cid:durableId="2655EBCF"/>
  <w16cid:commentId w16cid:paraId="01A26344" w16cid:durableId="2655EBD0"/>
  <w16cid:commentId w16cid:paraId="39EDADD7" w16cid:durableId="2655EBD1"/>
  <w16cid:commentId w16cid:paraId="3AF162EE" w16cid:durableId="2628F6CF"/>
  <w16cid:commentId w16cid:paraId="6812BB0D" w16cid:durableId="2655EBD3"/>
  <w16cid:commentId w16cid:paraId="62E5038C" w16cid:durableId="2655EBD4"/>
  <w16cid:commentId w16cid:paraId="1F6C8177" w16cid:durableId="2655EBD5"/>
  <w16cid:commentId w16cid:paraId="0AE9DA68" w16cid:durableId="2655EBD6"/>
  <w16cid:commentId w16cid:paraId="596D06C5" w16cid:durableId="2628F6D1"/>
  <w16cid:commentId w16cid:paraId="46A9AA41" w16cid:durableId="2628F6D2"/>
  <w16cid:commentId w16cid:paraId="41CC9094" w16cid:durableId="2655EBD9"/>
  <w16cid:commentId w16cid:paraId="38880244" w16cid:durableId="2655EBDA"/>
  <w16cid:commentId w16cid:paraId="411E34EB" w16cid:durableId="2655EBDB"/>
  <w16cid:commentId w16cid:paraId="40899BBD" w16cid:durableId="2655EBEA"/>
  <w16cid:commentId w16cid:paraId="75EFCE6B" w16cid:durableId="2655EBDC"/>
  <w16cid:commentId w16cid:paraId="4EBEEE40" w16cid:durableId="2655EBDD"/>
  <w16cid:commentId w16cid:paraId="5ED79B6F" w16cid:durableId="2628F6D4"/>
  <w16cid:commentId w16cid:paraId="591736CE" w16cid:durableId="2655EBDF"/>
  <w16cid:commentId w16cid:paraId="1072DCD9" w16cid:durableId="2628F6D5"/>
  <w16cid:commentId w16cid:paraId="025BC4FA" w16cid:durableId="2655EBE1"/>
  <w16cid:commentId w16cid:paraId="218F3D69" w16cid:durableId="2628F6D6"/>
  <w16cid:commentId w16cid:paraId="0D916AAE" w16cid:durableId="2655EBE3"/>
  <w16cid:commentId w16cid:paraId="0F33B10D" w16cid:durableId="2628F6D7"/>
  <w16cid:commentId w16cid:paraId="01546E2B" w16cid:durableId="2655EBE5"/>
  <w16cid:commentId w16cid:paraId="44509D12" w16cid:durableId="2628F6D9"/>
  <w16cid:commentId w16cid:paraId="06BE4C89" w16cid:durableId="2655EBE7"/>
  <w16cid:commentId w16cid:paraId="63A690CE" w16cid:durableId="2628F6DA"/>
  <w16cid:commentId w16cid:paraId="268A51E3" w16cid:durableId="2655EBE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F55" w:rsidRDefault="004C7F55" w:rsidP="003C122C">
      <w:pPr>
        <w:spacing w:before="0" w:after="0"/>
      </w:pPr>
      <w:r>
        <w:separator/>
      </w:r>
    </w:p>
  </w:endnote>
  <w:endnote w:type="continuationSeparator" w:id="0">
    <w:p w:rsidR="004C7F55" w:rsidRDefault="004C7F55" w:rsidP="003C12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46C" w:rsidRPr="0047346C" w:rsidRDefault="0047346C" w:rsidP="004734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3EF" w:rsidRPr="0047346C" w:rsidRDefault="0047346C" w:rsidP="0047346C">
    <w:pPr>
      <w:pStyle w:val="Footer"/>
      <w:rPr>
        <w:rFonts w:ascii="Arial" w:hAnsi="Arial" w:cs="Arial"/>
        <w:b/>
        <w:sz w:val="48"/>
      </w:rPr>
    </w:pPr>
    <w:r w:rsidRPr="0047346C">
      <w:rPr>
        <w:rFonts w:ascii="Arial" w:hAnsi="Arial" w:cs="Arial"/>
        <w:b/>
        <w:sz w:val="48"/>
      </w:rPr>
      <w:t>FI</w:t>
    </w:r>
    <w:r w:rsidRPr="0047346C">
      <w:rPr>
        <w:rFonts w:ascii="Arial" w:hAnsi="Arial" w:cs="Arial"/>
        <w:b/>
        <w:sz w:val="48"/>
      </w:rPr>
      <w:tab/>
    </w:r>
    <w:r w:rsidRPr="0047346C">
      <w:rPr>
        <w:rFonts w:ascii="Arial" w:hAnsi="Arial" w:cs="Arial"/>
        <w:b/>
        <w:sz w:val="48"/>
      </w:rPr>
      <w:tab/>
    </w:r>
    <w:r w:rsidRPr="0047346C">
      <w:tab/>
    </w:r>
    <w:r w:rsidRPr="0047346C">
      <w:rPr>
        <w:rFonts w:ascii="Arial" w:hAnsi="Arial" w:cs="Arial"/>
        <w:b/>
        <w:sz w:val="48"/>
      </w:rPr>
      <w:t>FI</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46C" w:rsidRPr="0047346C" w:rsidRDefault="0047346C" w:rsidP="0047346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46C" w:rsidRPr="0047346C" w:rsidRDefault="0047346C" w:rsidP="0047346C">
    <w:pPr>
      <w:pStyle w:val="Footer"/>
      <w:rPr>
        <w:rFonts w:ascii="Arial" w:hAnsi="Arial" w:cs="Arial"/>
        <w:b/>
        <w:sz w:val="48"/>
      </w:rPr>
    </w:pPr>
    <w:r w:rsidRPr="0047346C">
      <w:rPr>
        <w:rFonts w:ascii="Arial" w:hAnsi="Arial" w:cs="Arial"/>
        <w:b/>
        <w:sz w:val="48"/>
      </w:rPr>
      <w:t>FI</w:t>
    </w:r>
    <w:r w:rsidRPr="0047346C">
      <w:rPr>
        <w:rFonts w:ascii="Arial" w:hAnsi="Arial" w:cs="Arial"/>
        <w:b/>
        <w:sz w:val="48"/>
      </w:rPr>
      <w:tab/>
    </w:r>
    <w:r>
      <w:fldChar w:fldCharType="begin"/>
    </w:r>
    <w:r>
      <w:instrText xml:space="preserve"> PAGE  \* MERGEFORMAT </w:instrText>
    </w:r>
    <w:r>
      <w:fldChar w:fldCharType="separate"/>
    </w:r>
    <w:r w:rsidR="003D15B0">
      <w:rPr>
        <w:noProof/>
      </w:rPr>
      <w:t>5</w:t>
    </w:r>
    <w:r>
      <w:fldChar w:fldCharType="end"/>
    </w:r>
    <w:r>
      <w:tab/>
    </w:r>
    <w:r w:rsidRPr="0047346C">
      <w:tab/>
    </w:r>
    <w:r w:rsidRPr="0047346C">
      <w:rPr>
        <w:rFonts w:ascii="Arial" w:hAnsi="Arial" w:cs="Arial"/>
        <w:b/>
        <w:sz w:val="48"/>
      </w:rPr>
      <w:t>FI</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46C" w:rsidRPr="0047346C" w:rsidRDefault="0047346C" w:rsidP="004734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F55" w:rsidRDefault="004C7F55" w:rsidP="003C122C">
      <w:pPr>
        <w:spacing w:before="0" w:after="0"/>
      </w:pPr>
      <w:r>
        <w:separator/>
      </w:r>
    </w:p>
  </w:footnote>
  <w:footnote w:type="continuationSeparator" w:id="0">
    <w:p w:rsidR="004C7F55" w:rsidRDefault="004C7F55" w:rsidP="003C122C">
      <w:pPr>
        <w:spacing w:before="0" w:after="0"/>
      </w:pPr>
      <w:r>
        <w:continuationSeparator/>
      </w:r>
    </w:p>
  </w:footnote>
  <w:footnote w:id="1">
    <w:p w:rsidR="003C122C" w:rsidRPr="00BE63EF" w:rsidRDefault="003C122C" w:rsidP="003C122C">
      <w:pPr>
        <w:pStyle w:val="FootnoteText"/>
      </w:pPr>
      <w:r>
        <w:rPr>
          <w:rStyle w:val="FootnoteReference"/>
        </w:rPr>
        <w:footnoteRef/>
      </w:r>
      <w:r w:rsidRPr="00BE63EF">
        <w:tab/>
        <w:t>EUVL L 176, 27.6.2013, s. 1.</w:t>
      </w:r>
    </w:p>
  </w:footnote>
  <w:footnote w:id="2">
    <w:p w:rsidR="007067A9" w:rsidRPr="00BE63EF" w:rsidRDefault="007067A9" w:rsidP="007067A9">
      <w:pPr>
        <w:pStyle w:val="FootnoteText"/>
      </w:pPr>
      <w:r>
        <w:rPr>
          <w:rStyle w:val="FootnoteReference"/>
        </w:rPr>
        <w:footnoteRef/>
      </w:r>
      <w:r w:rsidRPr="00BE63EF">
        <w:tab/>
        <w:t>Komission täytäntöönpanoasetus (EU) 2021/637, annettu 15 päivänä maaliskuuta 2021, Euroopan parlamentin ja neuvoston asetuksen (EU) N:o 575/2013 kahdeksannen osan II ja III osastossa tarkoitettujen tietojen julkistamista laitosten toimesta koskevista teknisistä täytäntöönpanostandardeista sekä komission täytäntöönpanoasetuksen (EU) N:o 1423/2013, komission delegoidun asetuksen (EU) 2015/1555, komission täytäntöönpanoasetuksen (EU) 2016/200 ja komission delegoidun asetuksen (EU) 2017/2295 kumoamisesta (EUVL L 136, 21.4.2021, s. 1).</w:t>
      </w:r>
    </w:p>
  </w:footnote>
  <w:footnote w:id="3">
    <w:p w:rsidR="007067A9" w:rsidRPr="00BE63EF" w:rsidRDefault="007067A9" w:rsidP="007067A9">
      <w:pPr>
        <w:pStyle w:val="FootnoteText"/>
      </w:pPr>
      <w:r>
        <w:rPr>
          <w:rStyle w:val="FootnoteReference"/>
        </w:rPr>
        <w:footnoteRef/>
      </w:r>
      <w:r w:rsidRPr="00BE63EF">
        <w:tab/>
        <w:t>Euroopan parlamentin ja neuvoston asetus (EU) 2019/876, annettu 20 päivänä toukokuuta 2019, asetuksen (EU) N:o 575/2013 muuttamisesta vähimmäisomavaraisuusasteen, pysyvän varainhankinnan vaatimuksen, omien varojen ja hyväksyttävien velkojen vaatimusten, vastapuoliriskin, markkinariskin, keskusvastapuoliin liittyvien vastuiden, yhteistä sijoitustoimintaa harjoittaviin yrityksiin liittyvien vastuiden, suurten asiakasriskien ja raportointi- ja julkistamisvaatimusten osalta sekä asetuksen (EU) N:o 648/2012 muuttamisesta (EUVL L 150, 7.6.2019, s. 1).</w:t>
      </w:r>
    </w:p>
  </w:footnote>
  <w:footnote w:id="4">
    <w:p w:rsidR="00410340" w:rsidRPr="00BE63EF" w:rsidRDefault="00410340" w:rsidP="008B3E83">
      <w:pPr>
        <w:pStyle w:val="FootnoteText"/>
      </w:pPr>
      <w:r>
        <w:rPr>
          <w:rStyle w:val="FootnoteReference"/>
        </w:rPr>
        <w:footnoteRef/>
      </w:r>
      <w:r w:rsidRPr="00BE63EF">
        <w:tab/>
        <w:t>Euroopan parlamentin ja neuvoston asetus (EU) 2020/852, annettu 18 päivänä kesäkuuta 2020, kestävää sijoittamista helpottavasta kehyksestä ja asetuksen (EU) 2019/2088 muuttamisesta (</w:t>
      </w:r>
      <w:r w:rsidRPr="00BE63EF">
        <w:rPr>
          <w:rStyle w:val="Emphasis"/>
          <w:i w:val="0"/>
        </w:rPr>
        <w:t>EUVL L 198, 22.6.2020, s. 13).</w:t>
      </w:r>
    </w:p>
  </w:footnote>
  <w:footnote w:id="5">
    <w:p w:rsidR="00410340" w:rsidRPr="00BE63EF" w:rsidRDefault="00410340" w:rsidP="008B3E83">
      <w:pPr>
        <w:pStyle w:val="FootnoteText"/>
        <w:rPr>
          <w:i/>
        </w:rPr>
      </w:pPr>
      <w:r>
        <w:rPr>
          <w:rStyle w:val="FootnoteReference"/>
        </w:rPr>
        <w:footnoteRef/>
      </w:r>
      <w:r w:rsidRPr="00BE63EF">
        <w:tab/>
        <w:t>Komission delegoitu asetus (EU) 2020/1818, annettu 17 päivänä heinäkuuta 2020, Euroopan parlamentin ja neuvoston asetuksen (EU) 2016/1011 täydentämisestä EU:n ilmastosiirtymää koskevien vertailuarvojen ja EU:n Pariisin sopimuksen mukaisten vertailuarvojen vähimmäisvaatimusten osalta (</w:t>
      </w:r>
      <w:r w:rsidRPr="00BE63EF">
        <w:rPr>
          <w:rStyle w:val="Emphasis"/>
          <w:i w:val="0"/>
        </w:rPr>
        <w:t>EUVL L 198, 22.6.2020, s. 13).</w:t>
      </w:r>
    </w:p>
  </w:footnote>
  <w:footnote w:id="6">
    <w:p w:rsidR="00410340" w:rsidRPr="00BE63EF" w:rsidRDefault="00410340" w:rsidP="008B3E83">
      <w:pPr>
        <w:pStyle w:val="FootnoteText"/>
        <w:rPr>
          <w:color w:val="444444"/>
        </w:rPr>
      </w:pPr>
      <w:r>
        <w:rPr>
          <w:rStyle w:val="FootnoteReference"/>
        </w:rPr>
        <w:footnoteRef/>
      </w:r>
      <w:r w:rsidRPr="00BE63EF">
        <w:tab/>
        <w:t>Euroopan parlamentin ja neuvoston direktiivi 2010/31/EU, annettu 19 päivänä toukokuuta 2010, rakennusten energiatehokkuudesta (</w:t>
      </w:r>
      <w:r w:rsidRPr="00BE63EF">
        <w:rPr>
          <w:rStyle w:val="Emphasis"/>
          <w:i w:val="0"/>
        </w:rPr>
        <w:t>EUVL L 153, 18.6.2010, s. 13).</w:t>
      </w:r>
    </w:p>
  </w:footnote>
  <w:footnote w:id="7">
    <w:p w:rsidR="00135CD4" w:rsidRPr="00BE63EF" w:rsidRDefault="00135CD4" w:rsidP="00135CD4">
      <w:pPr>
        <w:pStyle w:val="FootnoteText"/>
      </w:pPr>
      <w:r>
        <w:rPr>
          <w:rStyle w:val="FootnoteReference"/>
        </w:rPr>
        <w:footnoteRef/>
      </w:r>
      <w:r w:rsidRPr="00BE63EF">
        <w:tab/>
        <w:t>Euroopan parlamentin ja neuvoston direktiivi 2013/34/EU, annettu 26 päivänä kesäkuuta 2013, tietyntyyppisten yritysten vuositilinpäätöksistä, konsernitilinpäätöksistä ja niihin liittyvistä kertomuksista, Euroopan parlamentin ja neuvoston direktiivin 2006/43/EY muuttamisesta ja neuvoston direktiivien 78/660/ETY ja 83/349/ETY kumoamisesta (EUVL L 182, 29.6.2013, s. 19).</w:t>
      </w:r>
    </w:p>
  </w:footnote>
  <w:footnote w:id="8">
    <w:p w:rsidR="00410340" w:rsidRPr="00BE63EF" w:rsidRDefault="00410340" w:rsidP="00410340">
      <w:pPr>
        <w:pStyle w:val="FootnoteText"/>
      </w:pPr>
      <w:r>
        <w:rPr>
          <w:rStyle w:val="FootnoteReference"/>
        </w:rPr>
        <w:footnoteRef/>
      </w:r>
      <w:r w:rsidRPr="00BE63EF">
        <w:tab/>
        <w:t>Euroopan parlamentin ja neuvoston asetus (EU) N:o 1093/2010, annettu 24 päivänä marraskuuta 2010, Euroopan valvontaviranomaisen (Euroopan pankkiviranomainen) perustamisesta sekä päätöksen N:o 716/2009/EY muuttamisesta ja komission päätöksen 2009/78/EY kumoamisesta (EUVL L 331, 15.12.2010, s. 12).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46C" w:rsidRPr="0047346C" w:rsidRDefault="0047346C" w:rsidP="004734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46C" w:rsidRPr="0047346C" w:rsidRDefault="0047346C" w:rsidP="004734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46C" w:rsidRPr="0047346C" w:rsidRDefault="0047346C" w:rsidP="004734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986377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9F0D1A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C2082C4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45AAF272"/>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F94EE60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6104F90"/>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925C65D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FE8499E4"/>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0227369"/>
    <w:multiLevelType w:val="hybridMultilevel"/>
    <w:tmpl w:val="C2D88122"/>
    <w:lvl w:ilvl="0" w:tplc="4A2A8390">
      <w:start w:val="1"/>
      <w:numFmt w:val="decimal"/>
      <w:pStyle w:val="numberedparagraph"/>
      <w:lvlText w:val="%1."/>
      <w:lvlJc w:val="left"/>
      <w:pPr>
        <w:tabs>
          <w:tab w:val="num" w:pos="6947"/>
        </w:tabs>
        <w:ind w:left="6947" w:hanging="284"/>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7"/>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24"/>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21"/>
  </w:num>
  <w:num w:numId="18">
    <w:abstractNumId w:val="13"/>
  </w:num>
  <w:num w:numId="19">
    <w:abstractNumId w:val="23"/>
  </w:num>
  <w:num w:numId="20">
    <w:abstractNumId w:val="11"/>
  </w:num>
  <w:num w:numId="21">
    <w:abstractNumId w:val="14"/>
  </w:num>
  <w:num w:numId="22">
    <w:abstractNumId w:val="15"/>
  </w:num>
  <w:num w:numId="23">
    <w:abstractNumId w:val="9"/>
  </w:num>
  <w:num w:numId="24">
    <w:abstractNumId w:val="22"/>
  </w:num>
  <w:num w:numId="25">
    <w:abstractNumId w:val="8"/>
  </w:num>
  <w:num w:numId="26">
    <w:abstractNumId w:val="16"/>
  </w:num>
  <w:num w:numId="27">
    <w:abstractNumId w:val="19"/>
  </w:num>
  <w:num w:numId="28">
    <w:abstractNumId w:val="20"/>
  </w:num>
  <w:num w:numId="29">
    <w:abstractNumId w:val="10"/>
  </w:num>
  <w:num w:numId="30">
    <w:abstractNumId w:val="18"/>
  </w:num>
  <w:num w:numId="31">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i-FI" w:vendorID="64" w:dllVersion="131078" w:nlCheck="1" w:checkStyle="0"/>
  <w:attachedTemplate r:id="rId1"/>
  <w:revisionView w:markup="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2-11-27 19:32:23"/>
    <w:docVar w:name="DQCNUMB_1" w:val="33"/>
    <w:docVar w:name="DQCNUMB_2" w:val="34"/>
    <w:docVar w:name="DQCNUMB_3" w:val="35"/>
    <w:docVar w:name="DQCNUMB_4" w:val="30"/>
    <w:docVar w:name="DQCNUMB_5" w:val="31"/>
    <w:docVar w:name="DQCNUMB_6" w:val="32"/>
    <w:docVar w:name="DQCNUMB_7" w:val="44"/>
    <w:docVar w:name="DQCNUMB_8" w:val="45"/>
    <w:docVar w:name="DQCNUMB_9" w:val="46"/>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DEC8E253-21B9-4D33-9C1A-B39DDEDEFD67"/>
    <w:docVar w:name="LW_COVERPAGE_TYPE" w:val="1"/>
    <w:docVar w:name="LW_CROSSREFERENCE" w:val="&lt;UNUSED&gt;"/>
    <w:docVar w:name="LW_DATE.ADOPT.CP" w:val="annettu 30.11.2022,"/>
    <w:docVar w:name="LW_DATE.ADOPT.CP_DATEFORMAT" w:val="annettu %DATE%,"/>
    <w:docVar w:name="LW_DATE.ADOPT.CP_ISODATE" w:val="2022-11-30"/>
    <w:docVar w:name="LW_DocType" w:val="COM"/>
    <w:docVar w:name="LW_EMISSION" w:val="30.11.2022"/>
    <w:docVar w:name="LW_EMISSION_ISODATE" w:val="2022-11-30"/>
    <w:docVar w:name="LW_EMISSION_LOCATION" w:val="BRX"/>
    <w:docVar w:name="LW_EMISSION_PREFIX" w:val="Bryssel "/>
    <w:docVar w:name="LW_EMISSION_SUFFIX" w:val=" "/>
    <w:docVar w:name="LW_ID_DOCMODEL" w:val="SJ-004"/>
    <w:docVar w:name="LW_ID_DOCSIGNATURE" w:val="SJ-004"/>
    <w:docVar w:name="LW_ID_DOCSTRUCTURE" w:val="COM/AA"/>
    <w:docVar w:name="LW_ID_DOCTYPE" w:val="SJ-004"/>
    <w:docVar w:name="LW_INTERETEEE.CP" w:val="(ETA:n kannalta merkityksellinen teksti)"/>
    <w:docVar w:name="LW_LANGUE" w:val="FI"/>
    <w:docVar w:name="LW_LANGUESFAISANTFOI.CP" w:val="&lt;UNUSED&gt;"/>
    <w:docVar w:name="LW_LEVEL_OF_SENSITIVITY" w:val="Standard treatment"/>
    <w:docVar w:name="LW_NOM.INST" w:val="EUROOPAN KOMISSIO"/>
    <w:docVar w:name="LW_NOM.INST_JOINTDOC" w:val="&lt;EMPTY&gt;"/>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täytäntöönpanoasetuksessa (EU) 2021/637 säädettyjen teknisten täytäntöönpanostandardien muuttamisesta ympäristöön, yhteiskuntaan ja hyvään hallintotapaan liittyviä riskejä koskevien tietojen julkistamisen osalta _x000b_"/>
    <w:docVar w:name="LW_TYPE.DOC.CP" w:val="KOMISSION TÄYTÄNTÖÖNPANOASETUS (EU) …/…,"/>
    <w:docVar w:name="LwApiVersions" w:val="LW4CoDe 1.23.2.0; LW 8.0, Build 20211117"/>
  </w:docVars>
  <w:rsids>
    <w:rsidRoot w:val="003C122C"/>
    <w:rsid w:val="000057BA"/>
    <w:rsid w:val="00012369"/>
    <w:rsid w:val="00013965"/>
    <w:rsid w:val="00014B2C"/>
    <w:rsid w:val="000163E0"/>
    <w:rsid w:val="00022FD2"/>
    <w:rsid w:val="00024AB1"/>
    <w:rsid w:val="000337EA"/>
    <w:rsid w:val="000409AE"/>
    <w:rsid w:val="0004104A"/>
    <w:rsid w:val="0006070A"/>
    <w:rsid w:val="00066156"/>
    <w:rsid w:val="00083B2C"/>
    <w:rsid w:val="00086FAB"/>
    <w:rsid w:val="00092C7C"/>
    <w:rsid w:val="000941B5"/>
    <w:rsid w:val="00095049"/>
    <w:rsid w:val="000A39E5"/>
    <w:rsid w:val="000A7517"/>
    <w:rsid w:val="000B1F8E"/>
    <w:rsid w:val="000B76A4"/>
    <w:rsid w:val="000C0D47"/>
    <w:rsid w:val="000E198E"/>
    <w:rsid w:val="000F3F2A"/>
    <w:rsid w:val="000F5934"/>
    <w:rsid w:val="00103B22"/>
    <w:rsid w:val="0011495F"/>
    <w:rsid w:val="00124CBE"/>
    <w:rsid w:val="00135CD4"/>
    <w:rsid w:val="00145996"/>
    <w:rsid w:val="00154CCD"/>
    <w:rsid w:val="001645DB"/>
    <w:rsid w:val="00184181"/>
    <w:rsid w:val="001844EE"/>
    <w:rsid w:val="0018691B"/>
    <w:rsid w:val="001904B5"/>
    <w:rsid w:val="001A327A"/>
    <w:rsid w:val="001B18A5"/>
    <w:rsid w:val="001B1A73"/>
    <w:rsid w:val="001B1CE9"/>
    <w:rsid w:val="001B7BF1"/>
    <w:rsid w:val="001C015A"/>
    <w:rsid w:val="001C2816"/>
    <w:rsid w:val="001E4D6F"/>
    <w:rsid w:val="001E62ED"/>
    <w:rsid w:val="001F0712"/>
    <w:rsid w:val="001F230A"/>
    <w:rsid w:val="001F4DF3"/>
    <w:rsid w:val="002114F8"/>
    <w:rsid w:val="00225284"/>
    <w:rsid w:val="00227B00"/>
    <w:rsid w:val="002314F6"/>
    <w:rsid w:val="00232E98"/>
    <w:rsid w:val="00236D1F"/>
    <w:rsid w:val="00244967"/>
    <w:rsid w:val="0024497F"/>
    <w:rsid w:val="002522BC"/>
    <w:rsid w:val="002815D4"/>
    <w:rsid w:val="00282860"/>
    <w:rsid w:val="00286E16"/>
    <w:rsid w:val="002B16C1"/>
    <w:rsid w:val="002C526A"/>
    <w:rsid w:val="002D1236"/>
    <w:rsid w:val="002E6EC7"/>
    <w:rsid w:val="002F3CFE"/>
    <w:rsid w:val="00301900"/>
    <w:rsid w:val="00303A4B"/>
    <w:rsid w:val="0031532F"/>
    <w:rsid w:val="00317925"/>
    <w:rsid w:val="00320A76"/>
    <w:rsid w:val="00320B78"/>
    <w:rsid w:val="003226A9"/>
    <w:rsid w:val="0032597F"/>
    <w:rsid w:val="003276ED"/>
    <w:rsid w:val="00331719"/>
    <w:rsid w:val="0033740A"/>
    <w:rsid w:val="00353D88"/>
    <w:rsid w:val="003578D1"/>
    <w:rsid w:val="00362239"/>
    <w:rsid w:val="003965B3"/>
    <w:rsid w:val="00396F18"/>
    <w:rsid w:val="00397813"/>
    <w:rsid w:val="003A5DF1"/>
    <w:rsid w:val="003A6D93"/>
    <w:rsid w:val="003C122C"/>
    <w:rsid w:val="003C70D6"/>
    <w:rsid w:val="003D15B0"/>
    <w:rsid w:val="003D22F0"/>
    <w:rsid w:val="003D5E0A"/>
    <w:rsid w:val="003E1B7D"/>
    <w:rsid w:val="004046D9"/>
    <w:rsid w:val="00410340"/>
    <w:rsid w:val="0041104D"/>
    <w:rsid w:val="00413DA3"/>
    <w:rsid w:val="00414930"/>
    <w:rsid w:val="00414A4D"/>
    <w:rsid w:val="00436E6A"/>
    <w:rsid w:val="004376A0"/>
    <w:rsid w:val="004550A7"/>
    <w:rsid w:val="0047346C"/>
    <w:rsid w:val="00494574"/>
    <w:rsid w:val="004A6F3E"/>
    <w:rsid w:val="004C0BD0"/>
    <w:rsid w:val="004C21A2"/>
    <w:rsid w:val="004C6D12"/>
    <w:rsid w:val="004C74A9"/>
    <w:rsid w:val="004C7F55"/>
    <w:rsid w:val="004D65D2"/>
    <w:rsid w:val="004E25CB"/>
    <w:rsid w:val="004E41D0"/>
    <w:rsid w:val="004F0D71"/>
    <w:rsid w:val="004F6722"/>
    <w:rsid w:val="004F6DF7"/>
    <w:rsid w:val="00500AC9"/>
    <w:rsid w:val="005103F2"/>
    <w:rsid w:val="00524ADC"/>
    <w:rsid w:val="00530E44"/>
    <w:rsid w:val="00541DBA"/>
    <w:rsid w:val="00543602"/>
    <w:rsid w:val="00547071"/>
    <w:rsid w:val="005708C3"/>
    <w:rsid w:val="005743BA"/>
    <w:rsid w:val="00575FE5"/>
    <w:rsid w:val="00592619"/>
    <w:rsid w:val="00592E05"/>
    <w:rsid w:val="00595146"/>
    <w:rsid w:val="005B177F"/>
    <w:rsid w:val="005B5751"/>
    <w:rsid w:val="005C5191"/>
    <w:rsid w:val="005D1193"/>
    <w:rsid w:val="005D2409"/>
    <w:rsid w:val="005E5AED"/>
    <w:rsid w:val="00611F60"/>
    <w:rsid w:val="00635568"/>
    <w:rsid w:val="00635A91"/>
    <w:rsid w:val="00643DD1"/>
    <w:rsid w:val="006542E5"/>
    <w:rsid w:val="00657F0F"/>
    <w:rsid w:val="0066012A"/>
    <w:rsid w:val="00674F39"/>
    <w:rsid w:val="00686BCA"/>
    <w:rsid w:val="0069084C"/>
    <w:rsid w:val="006973D8"/>
    <w:rsid w:val="006B71ED"/>
    <w:rsid w:val="006C171D"/>
    <w:rsid w:val="006D6422"/>
    <w:rsid w:val="006E41D9"/>
    <w:rsid w:val="006E5628"/>
    <w:rsid w:val="0070128F"/>
    <w:rsid w:val="00701EE8"/>
    <w:rsid w:val="007067A9"/>
    <w:rsid w:val="007117D9"/>
    <w:rsid w:val="00713F5B"/>
    <w:rsid w:val="00715E6A"/>
    <w:rsid w:val="0071695E"/>
    <w:rsid w:val="00720FE7"/>
    <w:rsid w:val="00723CCB"/>
    <w:rsid w:val="00732259"/>
    <w:rsid w:val="00732CCA"/>
    <w:rsid w:val="00737997"/>
    <w:rsid w:val="007438A8"/>
    <w:rsid w:val="00756CA3"/>
    <w:rsid w:val="00763A70"/>
    <w:rsid w:val="00782B92"/>
    <w:rsid w:val="00785CE7"/>
    <w:rsid w:val="00792229"/>
    <w:rsid w:val="007C06F6"/>
    <w:rsid w:val="007C1792"/>
    <w:rsid w:val="007C6A9F"/>
    <w:rsid w:val="007D0388"/>
    <w:rsid w:val="007D62F0"/>
    <w:rsid w:val="007D7DBC"/>
    <w:rsid w:val="007E26C3"/>
    <w:rsid w:val="007F4F83"/>
    <w:rsid w:val="007F5860"/>
    <w:rsid w:val="00804148"/>
    <w:rsid w:val="008062B5"/>
    <w:rsid w:val="00817B8F"/>
    <w:rsid w:val="00821D7F"/>
    <w:rsid w:val="00832DCF"/>
    <w:rsid w:val="00847287"/>
    <w:rsid w:val="00851060"/>
    <w:rsid w:val="0085437D"/>
    <w:rsid w:val="0086052B"/>
    <w:rsid w:val="00865DA1"/>
    <w:rsid w:val="0087679B"/>
    <w:rsid w:val="00884A61"/>
    <w:rsid w:val="008968D2"/>
    <w:rsid w:val="008B3E83"/>
    <w:rsid w:val="008B4EA1"/>
    <w:rsid w:val="008B6B70"/>
    <w:rsid w:val="008B7323"/>
    <w:rsid w:val="008C6F3B"/>
    <w:rsid w:val="008C705E"/>
    <w:rsid w:val="008D169C"/>
    <w:rsid w:val="008D2E23"/>
    <w:rsid w:val="008E08C7"/>
    <w:rsid w:val="008E44ED"/>
    <w:rsid w:val="008E7033"/>
    <w:rsid w:val="008E7D06"/>
    <w:rsid w:val="00905BE0"/>
    <w:rsid w:val="00911BBB"/>
    <w:rsid w:val="00921483"/>
    <w:rsid w:val="00930B06"/>
    <w:rsid w:val="0093114D"/>
    <w:rsid w:val="00935E8E"/>
    <w:rsid w:val="0094232C"/>
    <w:rsid w:val="00957D55"/>
    <w:rsid w:val="0096046C"/>
    <w:rsid w:val="00973740"/>
    <w:rsid w:val="00973E9E"/>
    <w:rsid w:val="00974379"/>
    <w:rsid w:val="009818AA"/>
    <w:rsid w:val="009846A4"/>
    <w:rsid w:val="00986B33"/>
    <w:rsid w:val="00987AB6"/>
    <w:rsid w:val="00987AD5"/>
    <w:rsid w:val="00992A73"/>
    <w:rsid w:val="00994FD4"/>
    <w:rsid w:val="00995098"/>
    <w:rsid w:val="009A73D4"/>
    <w:rsid w:val="009B7138"/>
    <w:rsid w:val="009C5D3A"/>
    <w:rsid w:val="009D6EB9"/>
    <w:rsid w:val="009E16FF"/>
    <w:rsid w:val="009E62A6"/>
    <w:rsid w:val="009F48FD"/>
    <w:rsid w:val="009F72A3"/>
    <w:rsid w:val="00A03A3E"/>
    <w:rsid w:val="00A11076"/>
    <w:rsid w:val="00A238D6"/>
    <w:rsid w:val="00A34057"/>
    <w:rsid w:val="00A41AD1"/>
    <w:rsid w:val="00A45F9D"/>
    <w:rsid w:val="00A525E2"/>
    <w:rsid w:val="00A6077E"/>
    <w:rsid w:val="00A61544"/>
    <w:rsid w:val="00A86A28"/>
    <w:rsid w:val="00A87925"/>
    <w:rsid w:val="00A97285"/>
    <w:rsid w:val="00AA5C69"/>
    <w:rsid w:val="00AA6403"/>
    <w:rsid w:val="00AA6D36"/>
    <w:rsid w:val="00AA7317"/>
    <w:rsid w:val="00AB3561"/>
    <w:rsid w:val="00AD2CD3"/>
    <w:rsid w:val="00AE332F"/>
    <w:rsid w:val="00AE60C7"/>
    <w:rsid w:val="00AF4467"/>
    <w:rsid w:val="00B00A6D"/>
    <w:rsid w:val="00B137D8"/>
    <w:rsid w:val="00B25755"/>
    <w:rsid w:val="00B37F85"/>
    <w:rsid w:val="00B45C88"/>
    <w:rsid w:val="00B555F4"/>
    <w:rsid w:val="00B667EA"/>
    <w:rsid w:val="00B75C81"/>
    <w:rsid w:val="00B76A3B"/>
    <w:rsid w:val="00B8705E"/>
    <w:rsid w:val="00B87C8F"/>
    <w:rsid w:val="00B90FD9"/>
    <w:rsid w:val="00B94522"/>
    <w:rsid w:val="00BB2D64"/>
    <w:rsid w:val="00BB6E75"/>
    <w:rsid w:val="00BC21DD"/>
    <w:rsid w:val="00BE1E9F"/>
    <w:rsid w:val="00BE246D"/>
    <w:rsid w:val="00BE63EF"/>
    <w:rsid w:val="00BF0A20"/>
    <w:rsid w:val="00BF17AA"/>
    <w:rsid w:val="00BF7813"/>
    <w:rsid w:val="00C0016D"/>
    <w:rsid w:val="00C24556"/>
    <w:rsid w:val="00C250DE"/>
    <w:rsid w:val="00C30A6B"/>
    <w:rsid w:val="00C32BCD"/>
    <w:rsid w:val="00C436F2"/>
    <w:rsid w:val="00C43ADB"/>
    <w:rsid w:val="00C55C47"/>
    <w:rsid w:val="00C563F0"/>
    <w:rsid w:val="00C72EBC"/>
    <w:rsid w:val="00C73950"/>
    <w:rsid w:val="00C80003"/>
    <w:rsid w:val="00C90F4B"/>
    <w:rsid w:val="00C96986"/>
    <w:rsid w:val="00CA5E0A"/>
    <w:rsid w:val="00CA6131"/>
    <w:rsid w:val="00CB63D6"/>
    <w:rsid w:val="00CD2F69"/>
    <w:rsid w:val="00CD31F7"/>
    <w:rsid w:val="00CD7B29"/>
    <w:rsid w:val="00CF4110"/>
    <w:rsid w:val="00D00193"/>
    <w:rsid w:val="00D01D57"/>
    <w:rsid w:val="00D14E3E"/>
    <w:rsid w:val="00D1768F"/>
    <w:rsid w:val="00D23734"/>
    <w:rsid w:val="00D34B59"/>
    <w:rsid w:val="00D44382"/>
    <w:rsid w:val="00D56C86"/>
    <w:rsid w:val="00D6695E"/>
    <w:rsid w:val="00D7007A"/>
    <w:rsid w:val="00D753AD"/>
    <w:rsid w:val="00D819E9"/>
    <w:rsid w:val="00DA20D3"/>
    <w:rsid w:val="00DA6EF2"/>
    <w:rsid w:val="00DA7B32"/>
    <w:rsid w:val="00DB337F"/>
    <w:rsid w:val="00DC51F2"/>
    <w:rsid w:val="00DD0951"/>
    <w:rsid w:val="00DD4BB1"/>
    <w:rsid w:val="00DE6779"/>
    <w:rsid w:val="00E02264"/>
    <w:rsid w:val="00E16C32"/>
    <w:rsid w:val="00E227DA"/>
    <w:rsid w:val="00E27B5B"/>
    <w:rsid w:val="00E57103"/>
    <w:rsid w:val="00E621E8"/>
    <w:rsid w:val="00E80A1C"/>
    <w:rsid w:val="00E84919"/>
    <w:rsid w:val="00EB425C"/>
    <w:rsid w:val="00EC304C"/>
    <w:rsid w:val="00EC548B"/>
    <w:rsid w:val="00ED20D7"/>
    <w:rsid w:val="00ED7891"/>
    <w:rsid w:val="00EE28B6"/>
    <w:rsid w:val="00F007BC"/>
    <w:rsid w:val="00F170A6"/>
    <w:rsid w:val="00F20062"/>
    <w:rsid w:val="00F233CB"/>
    <w:rsid w:val="00F23798"/>
    <w:rsid w:val="00F45E0C"/>
    <w:rsid w:val="00F50B69"/>
    <w:rsid w:val="00F8179F"/>
    <w:rsid w:val="00F82E44"/>
    <w:rsid w:val="00F87C92"/>
    <w:rsid w:val="00F90B4C"/>
    <w:rsid w:val="00F93470"/>
    <w:rsid w:val="00FA40AE"/>
    <w:rsid w:val="00FB5D02"/>
    <w:rsid w:val="00FC42BE"/>
    <w:rsid w:val="00FD14DB"/>
    <w:rsid w:val="00FF14E9"/>
    <w:rsid w:val="00FF50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5D75711F-E1C8-47D3-A624-CE1780EDC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fi-FI"/>
    </w:rPr>
  </w:style>
  <w:style w:type="paragraph" w:styleId="Heading1">
    <w:name w:val="heading 1"/>
    <w:basedOn w:val="Normal"/>
    <w:next w:val="Text1"/>
    <w:link w:val="Heading1Char"/>
    <w:uiPriority w:val="9"/>
    <w:qFormat/>
    <w:pPr>
      <w:keepNext/>
      <w:numPr>
        <w:numId w:val="24"/>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24"/>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24"/>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24"/>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24"/>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24"/>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24"/>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7F4F83"/>
    <w:rPr>
      <w:i/>
      <w:iCs/>
    </w:rPr>
  </w:style>
  <w:style w:type="paragraph" w:styleId="NormalWeb">
    <w:name w:val="Normal (Web)"/>
    <w:basedOn w:val="Normal"/>
    <w:uiPriority w:val="99"/>
    <w:unhideWhenUsed/>
    <w:rsid w:val="007F4F83"/>
    <w:pPr>
      <w:spacing w:before="100" w:beforeAutospacing="1" w:after="100" w:afterAutospacing="1"/>
      <w:jc w:val="left"/>
    </w:pPr>
    <w:rPr>
      <w:rFonts w:eastAsia="Times New Roman"/>
      <w:szCs w:val="24"/>
      <w:lang w:eastAsia="en-GB"/>
    </w:rPr>
  </w:style>
  <w:style w:type="paragraph" w:customStyle="1" w:styleId="numberedparagraph">
    <w:name w:val="numbered paragraph"/>
    <w:basedOn w:val="Normal"/>
    <w:qFormat/>
    <w:rsid w:val="007F4F83"/>
    <w:pPr>
      <w:numPr>
        <w:numId w:val="1"/>
      </w:numPr>
      <w:tabs>
        <w:tab w:val="clear" w:pos="6947"/>
        <w:tab w:val="num" w:pos="284"/>
      </w:tabs>
      <w:spacing w:before="240" w:line="276" w:lineRule="auto"/>
      <w:ind w:left="284"/>
    </w:pPr>
    <w:rPr>
      <w:rFonts w:asciiTheme="minorHAnsi" w:eastAsiaTheme="minorEastAsia" w:hAnsiTheme="minorHAnsi" w:cstheme="minorBidi"/>
      <w:sz w:val="22"/>
      <w:szCs w:val="24"/>
    </w:rPr>
  </w:style>
  <w:style w:type="paragraph" w:customStyle="1" w:styleId="sti-art">
    <w:name w:val="sti-art"/>
    <w:basedOn w:val="Normal"/>
    <w:rsid w:val="007F4F83"/>
    <w:pPr>
      <w:spacing w:before="100" w:beforeAutospacing="1" w:after="100" w:afterAutospacing="1"/>
      <w:jc w:val="left"/>
    </w:pPr>
    <w:rPr>
      <w:rFonts w:eastAsia="Times New Roman"/>
      <w:szCs w:val="24"/>
      <w:lang w:eastAsia="en-GB"/>
    </w:rPr>
  </w:style>
  <w:style w:type="paragraph" w:styleId="ListBullet">
    <w:name w:val="List Bullet"/>
    <w:basedOn w:val="Normal"/>
    <w:uiPriority w:val="99"/>
    <w:semiHidden/>
    <w:unhideWhenUsed/>
    <w:rsid w:val="001B7BF1"/>
    <w:pPr>
      <w:numPr>
        <w:numId w:val="2"/>
      </w:numPr>
      <w:contextualSpacing/>
    </w:pPr>
  </w:style>
  <w:style w:type="paragraph" w:styleId="ListBullet2">
    <w:name w:val="List Bullet 2"/>
    <w:basedOn w:val="Normal"/>
    <w:uiPriority w:val="99"/>
    <w:semiHidden/>
    <w:unhideWhenUsed/>
    <w:rsid w:val="001B7BF1"/>
    <w:pPr>
      <w:numPr>
        <w:numId w:val="3"/>
      </w:numPr>
      <w:contextualSpacing/>
    </w:pPr>
  </w:style>
  <w:style w:type="paragraph" w:styleId="ListBullet3">
    <w:name w:val="List Bullet 3"/>
    <w:basedOn w:val="Normal"/>
    <w:uiPriority w:val="99"/>
    <w:semiHidden/>
    <w:unhideWhenUsed/>
    <w:rsid w:val="001B7BF1"/>
    <w:pPr>
      <w:numPr>
        <w:numId w:val="4"/>
      </w:numPr>
      <w:contextualSpacing/>
    </w:pPr>
  </w:style>
  <w:style w:type="paragraph" w:styleId="ListBullet4">
    <w:name w:val="List Bullet 4"/>
    <w:basedOn w:val="Normal"/>
    <w:uiPriority w:val="99"/>
    <w:semiHidden/>
    <w:unhideWhenUsed/>
    <w:rsid w:val="001B7BF1"/>
    <w:pPr>
      <w:numPr>
        <w:numId w:val="5"/>
      </w:numPr>
      <w:contextualSpacing/>
    </w:pPr>
  </w:style>
  <w:style w:type="paragraph" w:styleId="Caption">
    <w:name w:val="caption"/>
    <w:basedOn w:val="Normal"/>
    <w:next w:val="Normal"/>
    <w:uiPriority w:val="35"/>
    <w:semiHidden/>
    <w:unhideWhenUsed/>
    <w:qFormat/>
    <w:rsid w:val="0011495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1495F"/>
    <w:pPr>
      <w:spacing w:after="0"/>
    </w:pPr>
  </w:style>
  <w:style w:type="paragraph" w:styleId="ListNumber">
    <w:name w:val="List Number"/>
    <w:basedOn w:val="Normal"/>
    <w:uiPriority w:val="99"/>
    <w:semiHidden/>
    <w:unhideWhenUsed/>
    <w:rsid w:val="0011495F"/>
    <w:pPr>
      <w:numPr>
        <w:numId w:val="6"/>
      </w:numPr>
      <w:contextualSpacing/>
    </w:pPr>
  </w:style>
  <w:style w:type="paragraph" w:styleId="ListNumber2">
    <w:name w:val="List Number 2"/>
    <w:basedOn w:val="Normal"/>
    <w:uiPriority w:val="99"/>
    <w:semiHidden/>
    <w:unhideWhenUsed/>
    <w:rsid w:val="0011495F"/>
    <w:pPr>
      <w:numPr>
        <w:numId w:val="7"/>
      </w:numPr>
      <w:contextualSpacing/>
    </w:pPr>
  </w:style>
  <w:style w:type="paragraph" w:styleId="ListNumber3">
    <w:name w:val="List Number 3"/>
    <w:basedOn w:val="Normal"/>
    <w:uiPriority w:val="99"/>
    <w:semiHidden/>
    <w:unhideWhenUsed/>
    <w:rsid w:val="0011495F"/>
    <w:pPr>
      <w:numPr>
        <w:numId w:val="8"/>
      </w:numPr>
      <w:contextualSpacing/>
    </w:pPr>
  </w:style>
  <w:style w:type="paragraph" w:styleId="ListNumber4">
    <w:name w:val="List Number 4"/>
    <w:basedOn w:val="Normal"/>
    <w:uiPriority w:val="99"/>
    <w:semiHidden/>
    <w:unhideWhenUsed/>
    <w:rsid w:val="0011495F"/>
    <w:pPr>
      <w:numPr>
        <w:numId w:val="9"/>
      </w:numPr>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fi-FI"/>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524ADC"/>
    <w:rPr>
      <w:b/>
      <w:bCs/>
    </w:rPr>
  </w:style>
  <w:style w:type="character" w:customStyle="1" w:styleId="CommentSubjectChar">
    <w:name w:val="Comment Subject Char"/>
    <w:basedOn w:val="CommentTextChar"/>
    <w:link w:val="CommentSubject"/>
    <w:uiPriority w:val="99"/>
    <w:semiHidden/>
    <w:rsid w:val="00524ADC"/>
    <w:rPr>
      <w:rFonts w:ascii="Times New Roman" w:hAnsi="Times New Roman" w:cs="Times New Roman"/>
      <w:b/>
      <w:bCs/>
      <w:sz w:val="20"/>
      <w:szCs w:val="20"/>
      <w:lang w:val="fi-FI"/>
    </w:rPr>
  </w:style>
  <w:style w:type="character" w:styleId="Hyperlink">
    <w:name w:val="Hyperlink"/>
    <w:basedOn w:val="DefaultParagraphFont"/>
    <w:uiPriority w:val="99"/>
    <w:unhideWhenUsed/>
    <w:rsid w:val="00524ADC"/>
    <w:rPr>
      <w:color w:val="0000FF" w:themeColor="hyperlink"/>
      <w:u w:val="single"/>
    </w:rPr>
  </w:style>
  <w:style w:type="character" w:customStyle="1" w:styleId="UnresolvedMention1">
    <w:name w:val="Unresolved Mention1"/>
    <w:basedOn w:val="DefaultParagraphFont"/>
    <w:uiPriority w:val="99"/>
    <w:semiHidden/>
    <w:unhideWhenUsed/>
    <w:rsid w:val="00524ADC"/>
    <w:rPr>
      <w:color w:val="605E5C"/>
      <w:shd w:val="clear" w:color="auto" w:fill="E1DFDD"/>
    </w:rPr>
  </w:style>
  <w:style w:type="paragraph" w:styleId="ListParagraph">
    <w:name w:val="List Paragraph"/>
    <w:basedOn w:val="Normal"/>
    <w:uiPriority w:val="34"/>
    <w:qFormat/>
    <w:rsid w:val="004C6D12"/>
    <w:pPr>
      <w:ind w:left="720"/>
      <w:contextualSpacing/>
    </w:pPr>
  </w:style>
  <w:style w:type="paragraph" w:styleId="BalloonText">
    <w:name w:val="Balloon Text"/>
    <w:basedOn w:val="Normal"/>
    <w:link w:val="BalloonTextChar"/>
    <w:uiPriority w:val="99"/>
    <w:semiHidden/>
    <w:unhideWhenUsed/>
    <w:rsid w:val="000F593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5934"/>
    <w:rPr>
      <w:rFonts w:ascii="Segoe UI" w:hAnsi="Segoe UI" w:cs="Segoe UI"/>
      <w:sz w:val="18"/>
      <w:szCs w:val="18"/>
      <w:lang w:val="fi-FI"/>
    </w:rPr>
  </w:style>
  <w:style w:type="paragraph" w:customStyle="1" w:styleId="title-article-norm">
    <w:name w:val="title-article-norm"/>
    <w:basedOn w:val="Normal"/>
    <w:rsid w:val="00F82E44"/>
    <w:pPr>
      <w:spacing w:before="100" w:beforeAutospacing="1" w:after="100" w:afterAutospacing="1"/>
      <w:jc w:val="left"/>
    </w:pPr>
    <w:rPr>
      <w:rFonts w:eastAsia="Times New Roman"/>
      <w:szCs w:val="24"/>
    </w:rPr>
  </w:style>
  <w:style w:type="paragraph" w:customStyle="1" w:styleId="stitle-article-norm">
    <w:name w:val="stitle-article-norm"/>
    <w:basedOn w:val="Normal"/>
    <w:rsid w:val="00F82E44"/>
    <w:pPr>
      <w:spacing w:before="100" w:beforeAutospacing="1" w:after="100" w:afterAutospacing="1"/>
      <w:jc w:val="left"/>
    </w:pPr>
    <w:rPr>
      <w:rFonts w:eastAsia="Times New Roman"/>
      <w:szCs w:val="24"/>
    </w:rPr>
  </w:style>
  <w:style w:type="paragraph" w:customStyle="1" w:styleId="norm">
    <w:name w:val="norm"/>
    <w:basedOn w:val="Normal"/>
    <w:rsid w:val="00F82E44"/>
    <w:pPr>
      <w:spacing w:before="100" w:beforeAutospacing="1" w:after="100" w:afterAutospacing="1"/>
      <w:jc w:val="left"/>
    </w:pPr>
    <w:rPr>
      <w:rFonts w:eastAsia="Times New Roman"/>
      <w:szCs w:val="24"/>
    </w:rPr>
  </w:style>
  <w:style w:type="character" w:styleId="FollowedHyperlink">
    <w:name w:val="FollowedHyperlink"/>
    <w:basedOn w:val="DefaultParagraphFont"/>
    <w:uiPriority w:val="99"/>
    <w:semiHidden/>
    <w:unhideWhenUsed/>
    <w:rsid w:val="000941B5"/>
    <w:rPr>
      <w:color w:val="800080" w:themeColor="followedHyperlink"/>
      <w:u w:val="single"/>
    </w:rPr>
  </w:style>
  <w:style w:type="paragraph" w:styleId="Revision">
    <w:name w:val="Revision"/>
    <w:hidden/>
    <w:uiPriority w:val="99"/>
    <w:semiHidden/>
    <w:rsid w:val="00AD2CD3"/>
    <w:pPr>
      <w:spacing w:after="0" w:line="240" w:lineRule="auto"/>
    </w:pPr>
    <w:rPr>
      <w:rFonts w:ascii="Times New Roman" w:hAnsi="Times New Roman" w:cs="Times New Roman"/>
      <w:sz w:val="24"/>
    </w:rPr>
  </w:style>
  <w:style w:type="paragraph" w:customStyle="1" w:styleId="LegalNumPar">
    <w:name w:val="LegalNumPar"/>
    <w:basedOn w:val="Normal"/>
    <w:rsid w:val="008C6F3B"/>
    <w:pPr>
      <w:numPr>
        <w:numId w:val="16"/>
      </w:numPr>
      <w:spacing w:line="360" w:lineRule="auto"/>
    </w:pPr>
  </w:style>
  <w:style w:type="paragraph" w:customStyle="1" w:styleId="LegalNumPar2">
    <w:name w:val="LegalNumPar2"/>
    <w:basedOn w:val="Normal"/>
    <w:rsid w:val="008C6F3B"/>
    <w:pPr>
      <w:numPr>
        <w:ilvl w:val="1"/>
        <w:numId w:val="16"/>
      </w:numPr>
      <w:spacing w:line="360" w:lineRule="auto"/>
    </w:pPr>
  </w:style>
  <w:style w:type="paragraph" w:customStyle="1" w:styleId="LegalNumPar3">
    <w:name w:val="LegalNumPar3"/>
    <w:basedOn w:val="Normal"/>
    <w:rsid w:val="008C6F3B"/>
    <w:pPr>
      <w:numPr>
        <w:ilvl w:val="2"/>
        <w:numId w:val="16"/>
      </w:numPr>
      <w:spacing w:line="360" w:lineRule="auto"/>
    </w:pPr>
  </w:style>
  <w:style w:type="paragraph" w:styleId="Header">
    <w:name w:val="header"/>
    <w:basedOn w:val="Normal"/>
    <w:link w:val="HeaderChar"/>
    <w:uiPriority w:val="99"/>
    <w:unhideWhenUsed/>
    <w:rsid w:val="0047346C"/>
    <w:pPr>
      <w:tabs>
        <w:tab w:val="center" w:pos="4535"/>
        <w:tab w:val="right" w:pos="9071"/>
      </w:tabs>
      <w:spacing w:before="0"/>
    </w:pPr>
  </w:style>
  <w:style w:type="character" w:customStyle="1" w:styleId="HeaderChar">
    <w:name w:val="Header Char"/>
    <w:basedOn w:val="DefaultParagraphFont"/>
    <w:link w:val="Header"/>
    <w:uiPriority w:val="99"/>
    <w:rsid w:val="0047346C"/>
    <w:rPr>
      <w:rFonts w:ascii="Times New Roman" w:hAnsi="Times New Roman" w:cs="Times New Roman"/>
      <w:sz w:val="24"/>
      <w:lang w:val="fi-FI"/>
    </w:rPr>
  </w:style>
  <w:style w:type="paragraph" w:styleId="Footer">
    <w:name w:val="footer"/>
    <w:basedOn w:val="Normal"/>
    <w:link w:val="FooterChar"/>
    <w:uiPriority w:val="99"/>
    <w:unhideWhenUsed/>
    <w:rsid w:val="0047346C"/>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47346C"/>
    <w:rPr>
      <w:rFonts w:ascii="Times New Roman" w:hAnsi="Times New Roman" w:cs="Times New Roman"/>
      <w:sz w:val="24"/>
      <w:lang w:val="fi-FI"/>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fi-FI"/>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fi-FI"/>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fi-FI"/>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fi-FI"/>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fi-FI"/>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fi-FI"/>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fi-FI"/>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47346C"/>
    <w:pPr>
      <w:tabs>
        <w:tab w:val="center" w:pos="7285"/>
        <w:tab w:val="right" w:pos="14003"/>
      </w:tabs>
      <w:spacing w:before="0"/>
    </w:pPr>
  </w:style>
  <w:style w:type="paragraph" w:customStyle="1" w:styleId="FooterLandscape">
    <w:name w:val="FooterLandscape"/>
    <w:basedOn w:val="Normal"/>
    <w:rsid w:val="0047346C"/>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47346C"/>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47346C"/>
    <w:pPr>
      <w:spacing w:before="0"/>
      <w:jc w:val="right"/>
    </w:pPr>
    <w:rPr>
      <w:sz w:val="28"/>
    </w:rPr>
  </w:style>
  <w:style w:type="paragraph" w:customStyle="1" w:styleId="FooterSensitivity">
    <w:name w:val="Footer Sensitivity"/>
    <w:basedOn w:val="Normal"/>
    <w:rsid w:val="0047346C"/>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7"/>
      </w:numPr>
    </w:pPr>
  </w:style>
  <w:style w:type="paragraph" w:customStyle="1" w:styleId="Tiret1">
    <w:name w:val="Tiret 1"/>
    <w:basedOn w:val="Point1"/>
    <w:pPr>
      <w:numPr>
        <w:numId w:val="18"/>
      </w:numPr>
    </w:pPr>
  </w:style>
  <w:style w:type="paragraph" w:customStyle="1" w:styleId="Tiret2">
    <w:name w:val="Tiret 2"/>
    <w:basedOn w:val="Point2"/>
    <w:pPr>
      <w:numPr>
        <w:numId w:val="19"/>
      </w:numPr>
    </w:pPr>
  </w:style>
  <w:style w:type="paragraph" w:customStyle="1" w:styleId="Tiret3">
    <w:name w:val="Tiret 3"/>
    <w:basedOn w:val="Point3"/>
    <w:pPr>
      <w:numPr>
        <w:numId w:val="20"/>
      </w:numPr>
    </w:pPr>
  </w:style>
  <w:style w:type="paragraph" w:customStyle="1" w:styleId="Tiret4">
    <w:name w:val="Tiret 4"/>
    <w:basedOn w:val="Point4"/>
    <w:pPr>
      <w:numPr>
        <w:numId w:val="21"/>
      </w:numPr>
    </w:pPr>
  </w:style>
  <w:style w:type="paragraph" w:customStyle="1" w:styleId="Tiret5">
    <w:name w:val="Tiret 5"/>
    <w:basedOn w:val="Point5"/>
    <w:pPr>
      <w:numPr>
        <w:numId w:val="22"/>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3"/>
      </w:numPr>
    </w:pPr>
  </w:style>
  <w:style w:type="paragraph" w:customStyle="1" w:styleId="NumPar2">
    <w:name w:val="NumPar 2"/>
    <w:basedOn w:val="Normal"/>
    <w:next w:val="Text1"/>
    <w:pPr>
      <w:numPr>
        <w:ilvl w:val="1"/>
        <w:numId w:val="23"/>
      </w:numPr>
    </w:pPr>
  </w:style>
  <w:style w:type="paragraph" w:customStyle="1" w:styleId="NumPar3">
    <w:name w:val="NumPar 3"/>
    <w:basedOn w:val="Normal"/>
    <w:next w:val="Text1"/>
    <w:pPr>
      <w:numPr>
        <w:ilvl w:val="2"/>
        <w:numId w:val="23"/>
      </w:numPr>
    </w:pPr>
  </w:style>
  <w:style w:type="paragraph" w:customStyle="1" w:styleId="NumPar4">
    <w:name w:val="NumPar 4"/>
    <w:basedOn w:val="Normal"/>
    <w:next w:val="Text1"/>
    <w:pPr>
      <w:numPr>
        <w:ilvl w:val="3"/>
        <w:numId w:val="23"/>
      </w:numPr>
    </w:pPr>
  </w:style>
  <w:style w:type="paragraph" w:customStyle="1" w:styleId="NumPar5">
    <w:name w:val="NumPar 5"/>
    <w:basedOn w:val="Normal"/>
    <w:next w:val="Text2"/>
    <w:pPr>
      <w:numPr>
        <w:ilvl w:val="4"/>
        <w:numId w:val="23"/>
      </w:numPr>
    </w:pPr>
  </w:style>
  <w:style w:type="paragraph" w:customStyle="1" w:styleId="NumPar6">
    <w:name w:val="NumPar 6"/>
    <w:basedOn w:val="Normal"/>
    <w:next w:val="Text2"/>
    <w:pPr>
      <w:numPr>
        <w:ilvl w:val="5"/>
        <w:numId w:val="23"/>
      </w:numPr>
    </w:pPr>
  </w:style>
  <w:style w:type="paragraph" w:customStyle="1" w:styleId="NumPar7">
    <w:name w:val="NumPar 7"/>
    <w:basedOn w:val="Normal"/>
    <w:next w:val="Text2"/>
    <w:pPr>
      <w:numPr>
        <w:ilvl w:val="6"/>
        <w:numId w:val="23"/>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25"/>
      </w:numPr>
    </w:pPr>
  </w:style>
  <w:style w:type="paragraph" w:customStyle="1" w:styleId="Point1number">
    <w:name w:val="Point 1 (number)"/>
    <w:basedOn w:val="Normal"/>
    <w:pPr>
      <w:numPr>
        <w:ilvl w:val="2"/>
        <w:numId w:val="25"/>
      </w:numPr>
    </w:pPr>
  </w:style>
  <w:style w:type="paragraph" w:customStyle="1" w:styleId="Point2number">
    <w:name w:val="Point 2 (number)"/>
    <w:basedOn w:val="Normal"/>
    <w:pPr>
      <w:numPr>
        <w:ilvl w:val="4"/>
        <w:numId w:val="25"/>
      </w:numPr>
    </w:pPr>
  </w:style>
  <w:style w:type="paragraph" w:customStyle="1" w:styleId="Point3number">
    <w:name w:val="Point 3 (number)"/>
    <w:basedOn w:val="Normal"/>
    <w:pPr>
      <w:numPr>
        <w:ilvl w:val="6"/>
        <w:numId w:val="25"/>
      </w:numPr>
    </w:pPr>
  </w:style>
  <w:style w:type="paragraph" w:customStyle="1" w:styleId="Point0letter">
    <w:name w:val="Point 0 (letter)"/>
    <w:basedOn w:val="Normal"/>
    <w:pPr>
      <w:numPr>
        <w:ilvl w:val="1"/>
        <w:numId w:val="25"/>
      </w:numPr>
    </w:pPr>
  </w:style>
  <w:style w:type="paragraph" w:customStyle="1" w:styleId="Point1letter">
    <w:name w:val="Point 1 (letter)"/>
    <w:basedOn w:val="Normal"/>
    <w:pPr>
      <w:numPr>
        <w:ilvl w:val="3"/>
        <w:numId w:val="25"/>
      </w:numPr>
    </w:pPr>
  </w:style>
  <w:style w:type="paragraph" w:customStyle="1" w:styleId="Point2letter">
    <w:name w:val="Point 2 (letter)"/>
    <w:basedOn w:val="Normal"/>
    <w:pPr>
      <w:numPr>
        <w:ilvl w:val="5"/>
        <w:numId w:val="25"/>
      </w:numPr>
    </w:pPr>
  </w:style>
  <w:style w:type="paragraph" w:customStyle="1" w:styleId="Point3letter">
    <w:name w:val="Point 3 (letter)"/>
    <w:basedOn w:val="Normal"/>
    <w:pPr>
      <w:numPr>
        <w:ilvl w:val="7"/>
        <w:numId w:val="25"/>
      </w:numPr>
    </w:pPr>
  </w:style>
  <w:style w:type="paragraph" w:customStyle="1" w:styleId="Point4letter">
    <w:name w:val="Point 4 (letter)"/>
    <w:basedOn w:val="Normal"/>
    <w:pPr>
      <w:numPr>
        <w:ilvl w:val="8"/>
        <w:numId w:val="25"/>
      </w:numPr>
    </w:pPr>
  </w:style>
  <w:style w:type="paragraph" w:customStyle="1" w:styleId="Bullet0">
    <w:name w:val="Bullet 0"/>
    <w:basedOn w:val="Normal"/>
    <w:pPr>
      <w:numPr>
        <w:numId w:val="26"/>
      </w:numPr>
    </w:pPr>
  </w:style>
  <w:style w:type="paragraph" w:customStyle="1" w:styleId="Bullet1">
    <w:name w:val="Bullet 1"/>
    <w:basedOn w:val="Normal"/>
    <w:pPr>
      <w:numPr>
        <w:numId w:val="27"/>
      </w:numPr>
    </w:pPr>
  </w:style>
  <w:style w:type="paragraph" w:customStyle="1" w:styleId="Bullet2">
    <w:name w:val="Bullet 2"/>
    <w:basedOn w:val="Normal"/>
    <w:pPr>
      <w:numPr>
        <w:numId w:val="28"/>
      </w:numPr>
    </w:pPr>
  </w:style>
  <w:style w:type="paragraph" w:customStyle="1" w:styleId="Bullet3">
    <w:name w:val="Bullet 3"/>
    <w:basedOn w:val="Normal"/>
    <w:pPr>
      <w:numPr>
        <w:numId w:val="29"/>
      </w:numPr>
    </w:pPr>
  </w:style>
  <w:style w:type="paragraph" w:customStyle="1" w:styleId="Bullet4">
    <w:name w:val="Bullet 4"/>
    <w:basedOn w:val="Normal"/>
    <w:pPr>
      <w:numPr>
        <w:numId w:val="30"/>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1"/>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50970">
      <w:bodyDiv w:val="1"/>
      <w:marLeft w:val="0"/>
      <w:marRight w:val="0"/>
      <w:marTop w:val="0"/>
      <w:marBottom w:val="0"/>
      <w:divBdr>
        <w:top w:val="none" w:sz="0" w:space="0" w:color="auto"/>
        <w:left w:val="none" w:sz="0" w:space="0" w:color="auto"/>
        <w:bottom w:val="none" w:sz="0" w:space="0" w:color="auto"/>
        <w:right w:val="none" w:sz="0" w:space="0" w:color="auto"/>
      </w:divBdr>
    </w:div>
    <w:div w:id="145704158">
      <w:bodyDiv w:val="1"/>
      <w:marLeft w:val="0"/>
      <w:marRight w:val="0"/>
      <w:marTop w:val="0"/>
      <w:marBottom w:val="0"/>
      <w:divBdr>
        <w:top w:val="none" w:sz="0" w:space="0" w:color="auto"/>
        <w:left w:val="none" w:sz="0" w:space="0" w:color="auto"/>
        <w:bottom w:val="none" w:sz="0" w:space="0" w:color="auto"/>
        <w:right w:val="none" w:sz="0" w:space="0" w:color="auto"/>
      </w:divBdr>
    </w:div>
    <w:div w:id="384329967">
      <w:bodyDiv w:val="1"/>
      <w:marLeft w:val="0"/>
      <w:marRight w:val="0"/>
      <w:marTop w:val="0"/>
      <w:marBottom w:val="0"/>
      <w:divBdr>
        <w:top w:val="none" w:sz="0" w:space="0" w:color="auto"/>
        <w:left w:val="none" w:sz="0" w:space="0" w:color="auto"/>
        <w:bottom w:val="none" w:sz="0" w:space="0" w:color="auto"/>
        <w:right w:val="none" w:sz="0" w:space="0" w:color="auto"/>
      </w:divBdr>
    </w:div>
    <w:div w:id="570048077">
      <w:bodyDiv w:val="1"/>
      <w:marLeft w:val="0"/>
      <w:marRight w:val="0"/>
      <w:marTop w:val="0"/>
      <w:marBottom w:val="0"/>
      <w:divBdr>
        <w:top w:val="none" w:sz="0" w:space="0" w:color="auto"/>
        <w:left w:val="none" w:sz="0" w:space="0" w:color="auto"/>
        <w:bottom w:val="none" w:sz="0" w:space="0" w:color="auto"/>
        <w:right w:val="none" w:sz="0" w:space="0" w:color="auto"/>
      </w:divBdr>
    </w:div>
    <w:div w:id="777216793">
      <w:bodyDiv w:val="1"/>
      <w:marLeft w:val="0"/>
      <w:marRight w:val="0"/>
      <w:marTop w:val="0"/>
      <w:marBottom w:val="0"/>
      <w:divBdr>
        <w:top w:val="none" w:sz="0" w:space="0" w:color="auto"/>
        <w:left w:val="none" w:sz="0" w:space="0" w:color="auto"/>
        <w:bottom w:val="none" w:sz="0" w:space="0" w:color="auto"/>
        <w:right w:val="none" w:sz="0" w:space="0" w:color="auto"/>
      </w:divBdr>
    </w:div>
    <w:div w:id="848913542">
      <w:bodyDiv w:val="1"/>
      <w:marLeft w:val="0"/>
      <w:marRight w:val="0"/>
      <w:marTop w:val="0"/>
      <w:marBottom w:val="0"/>
      <w:divBdr>
        <w:top w:val="none" w:sz="0" w:space="0" w:color="auto"/>
        <w:left w:val="none" w:sz="0" w:space="0" w:color="auto"/>
        <w:bottom w:val="none" w:sz="0" w:space="0" w:color="auto"/>
        <w:right w:val="none" w:sz="0" w:space="0" w:color="auto"/>
      </w:divBdr>
    </w:div>
    <w:div w:id="949556650">
      <w:bodyDiv w:val="1"/>
      <w:marLeft w:val="0"/>
      <w:marRight w:val="0"/>
      <w:marTop w:val="0"/>
      <w:marBottom w:val="0"/>
      <w:divBdr>
        <w:top w:val="none" w:sz="0" w:space="0" w:color="auto"/>
        <w:left w:val="none" w:sz="0" w:space="0" w:color="auto"/>
        <w:bottom w:val="none" w:sz="0" w:space="0" w:color="auto"/>
        <w:right w:val="none" w:sz="0" w:space="0" w:color="auto"/>
      </w:divBdr>
    </w:div>
    <w:div w:id="988944312">
      <w:bodyDiv w:val="1"/>
      <w:marLeft w:val="0"/>
      <w:marRight w:val="0"/>
      <w:marTop w:val="0"/>
      <w:marBottom w:val="0"/>
      <w:divBdr>
        <w:top w:val="none" w:sz="0" w:space="0" w:color="auto"/>
        <w:left w:val="none" w:sz="0" w:space="0" w:color="auto"/>
        <w:bottom w:val="none" w:sz="0" w:space="0" w:color="auto"/>
        <w:right w:val="none" w:sz="0" w:space="0" w:color="auto"/>
      </w:divBdr>
    </w:div>
    <w:div w:id="1156654337">
      <w:bodyDiv w:val="1"/>
      <w:marLeft w:val="0"/>
      <w:marRight w:val="0"/>
      <w:marTop w:val="0"/>
      <w:marBottom w:val="0"/>
      <w:divBdr>
        <w:top w:val="none" w:sz="0" w:space="0" w:color="auto"/>
        <w:left w:val="none" w:sz="0" w:space="0" w:color="auto"/>
        <w:bottom w:val="none" w:sz="0" w:space="0" w:color="auto"/>
        <w:right w:val="none" w:sz="0" w:space="0" w:color="auto"/>
      </w:divBdr>
    </w:div>
    <w:div w:id="1385711701">
      <w:bodyDiv w:val="1"/>
      <w:marLeft w:val="0"/>
      <w:marRight w:val="0"/>
      <w:marTop w:val="0"/>
      <w:marBottom w:val="0"/>
      <w:divBdr>
        <w:top w:val="none" w:sz="0" w:space="0" w:color="auto"/>
        <w:left w:val="none" w:sz="0" w:space="0" w:color="auto"/>
        <w:bottom w:val="none" w:sz="0" w:space="0" w:color="auto"/>
        <w:right w:val="none" w:sz="0" w:space="0" w:color="auto"/>
      </w:divBdr>
    </w:div>
    <w:div w:id="2122334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FB3C47-441D-45A0-9ECA-ACB285CAF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8</TotalTime>
  <Pages>6</Pages>
  <Words>1368</Words>
  <Characters>10935</Characters>
  <Application>Microsoft Office Word</Application>
  <DocSecurity>0</DocSecurity>
  <Lines>182</Lines>
  <Paragraphs>58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48</cp:revision>
  <dcterms:created xsi:type="dcterms:W3CDTF">2022-10-28T13:10:00Z</dcterms:created>
  <dcterms:modified xsi:type="dcterms:W3CDTF">2022-11-27T18:32:00Z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8.1, Build 20220902</vt:lpwstr>
  </property>
  <property fmtid="{D5CDD505-2E9C-101B-9397-08002B2CF9AE}" pid="5" name="Part">
    <vt:lpwstr>1</vt:lpwstr>
  </property>
  <property fmtid="{D5CDD505-2E9C-101B-9397-08002B2CF9AE}" pid="6" name="Total parts">
    <vt:lpwstr>1</vt:lpwstr>
  </property>
  <property fmtid="{D5CDD505-2E9C-101B-9397-08002B2CF9AE}" pid="7" name="Level of sensitivity">
    <vt:lpwstr>Standard treatment</vt:lpwstr>
  </property>
  <property fmtid="{D5CDD505-2E9C-101B-9397-08002B2CF9AE}" pid="8" name="LWTemplateID">
    <vt:lpwstr>SJ-004</vt:lpwstr>
  </property>
  <property fmtid="{D5CDD505-2E9C-101B-9397-08002B2CF9AE}" pid="9" name="MSIP_Label_e66ba66e-8b7b-475b-ae81-4aab15d5f212_Enabled">
    <vt:lpwstr>true</vt:lpwstr>
  </property>
  <property fmtid="{D5CDD505-2E9C-101B-9397-08002B2CF9AE}" pid="10" name="MSIP_Label_e66ba66e-8b7b-475b-ae81-4aab15d5f212_SetDate">
    <vt:lpwstr>2022-01-19T13:29:43Z</vt:lpwstr>
  </property>
  <property fmtid="{D5CDD505-2E9C-101B-9397-08002B2CF9AE}" pid="11" name="MSIP_Label_e66ba66e-8b7b-475b-ae81-4aab15d5f212_Method">
    <vt:lpwstr>Privileged</vt:lpwstr>
  </property>
  <property fmtid="{D5CDD505-2E9C-101B-9397-08002B2CF9AE}" pid="12" name="MSIP_Label_e66ba66e-8b7b-475b-ae81-4aab15d5f212_Name">
    <vt:lpwstr>No Label</vt:lpwstr>
  </property>
  <property fmtid="{D5CDD505-2E9C-101B-9397-08002B2CF9AE}" pid="13" name="MSIP_Label_e66ba66e-8b7b-475b-ae81-4aab15d5f212_SiteId">
    <vt:lpwstr>3bacb4ff-f1a2-4c92-b96c-e99fec826b68</vt:lpwstr>
  </property>
  <property fmtid="{D5CDD505-2E9C-101B-9397-08002B2CF9AE}" pid="14" name="MSIP_Label_e66ba66e-8b7b-475b-ae81-4aab15d5f212_ActionId">
    <vt:lpwstr>c480b887-2e9a-4e7d-8134-419fc2e184a9</vt:lpwstr>
  </property>
  <property fmtid="{D5CDD505-2E9C-101B-9397-08002B2CF9AE}" pid="15" name="MSIP_Label_e66ba66e-8b7b-475b-ae81-4aab15d5f212_ContentBits">
    <vt:lpwstr>0</vt:lpwstr>
  </property>
  <property fmtid="{D5CDD505-2E9C-101B-9397-08002B2CF9AE}" pid="16" name="DQCStatus">
    <vt:lpwstr>Green (DQC version 03)</vt:lpwstr>
  </property>
</Properties>
</file>