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9F1F41" w:rsidRDefault="00F27639" w:rsidP="00F27639">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9DF981BF-B062-4CA2-9776-0F817E375F0C" style="width:455.25pt;height:399pt">
            <v:imagedata r:id="rId8" o:title=""/>
          </v:shape>
        </w:pict>
      </w:r>
    </w:p>
    <w:p w:rsidR="003C122C" w:rsidRPr="009F1F41" w:rsidRDefault="003C122C">
      <w:pPr>
        <w:rPr>
          <w:noProof/>
        </w:rPr>
        <w:sectPr w:rsidR="003C122C" w:rsidRPr="009F1F41" w:rsidSect="00F27639">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C122C" w:rsidRPr="009F1F41" w:rsidRDefault="009F1F41" w:rsidP="009F1F41">
      <w:pPr>
        <w:pStyle w:val="Typedudocument"/>
        <w:rPr>
          <w:noProof/>
        </w:rPr>
      </w:pPr>
      <w:bookmarkStart w:id="0" w:name="_GoBack"/>
      <w:bookmarkEnd w:id="0"/>
      <w:r w:rsidRPr="009F1F41">
        <w:rPr>
          <w:noProof/>
        </w:rPr>
        <w:lastRenderedPageBreak/>
        <w:t>PROVEDBENA UREDBA KOMISIJE (EU) …/...</w:t>
      </w:r>
    </w:p>
    <w:p w:rsidR="003C122C" w:rsidRPr="009F1F41" w:rsidRDefault="00F86459" w:rsidP="009F1F41">
      <w:pPr>
        <w:pStyle w:val="Datedadoption"/>
        <w:rPr>
          <w:noProof/>
        </w:rPr>
      </w:pPr>
      <w:r>
        <w:t>оd 30.11.2022.</w:t>
      </w:r>
    </w:p>
    <w:p w:rsidR="003C122C" w:rsidRPr="009F1F41" w:rsidRDefault="009F1F41" w:rsidP="009F1F41">
      <w:pPr>
        <w:pStyle w:val="Titreobjet"/>
        <w:rPr>
          <w:noProof/>
        </w:rPr>
      </w:pPr>
      <w:r w:rsidRPr="009F1F41">
        <w:rPr>
          <w:noProof/>
        </w:rPr>
        <w:t xml:space="preserve">o izmjeni provedbenih tehničkih standarda utvrđenih u Provedbenoj uredbi (EU) 2021/637 u vezi s objavom okolišnih, društvenih i upravljačkih rizika </w:t>
      </w:r>
      <w:r w:rsidRPr="009F1F41">
        <w:rPr>
          <w:noProof/>
        </w:rPr>
        <w:br/>
      </w:r>
    </w:p>
    <w:p w:rsidR="003C122C" w:rsidRPr="009F1F41" w:rsidRDefault="009F1F41" w:rsidP="009F1F41">
      <w:pPr>
        <w:pStyle w:val="IntrtEEE"/>
        <w:rPr>
          <w:noProof/>
        </w:rPr>
      </w:pPr>
      <w:r w:rsidRPr="009F1F41">
        <w:rPr>
          <w:noProof/>
        </w:rPr>
        <w:t>(Tekst značajan za EGP)</w:t>
      </w:r>
    </w:p>
    <w:p w:rsidR="003C122C" w:rsidRPr="009F1F41" w:rsidRDefault="003C122C" w:rsidP="004E1EF9">
      <w:pPr>
        <w:pStyle w:val="Institutionquiagit"/>
        <w:rPr>
          <w:noProof/>
        </w:rPr>
      </w:pPr>
      <w:r w:rsidRPr="009F1F41">
        <w:rPr>
          <w:noProof/>
        </w:rPr>
        <w:t>EUROPSKA KOMISIJA,</w:t>
      </w:r>
    </w:p>
    <w:p w:rsidR="003C122C" w:rsidRPr="009F1F41" w:rsidRDefault="003C122C" w:rsidP="003C122C">
      <w:pPr>
        <w:rPr>
          <w:noProof/>
          <w:color w:val="000000"/>
        </w:rPr>
      </w:pPr>
      <w:r w:rsidRPr="009F1F41">
        <w:rPr>
          <w:noProof/>
          <w:color w:val="000000"/>
        </w:rPr>
        <w:t>uzimajući u obzir Ugovor o funkcioniranju Europske unije,</w:t>
      </w:r>
    </w:p>
    <w:p w:rsidR="003C122C" w:rsidRPr="009F1F41" w:rsidRDefault="003C122C" w:rsidP="003C122C">
      <w:pPr>
        <w:rPr>
          <w:noProof/>
          <w:color w:val="000000"/>
        </w:rPr>
      </w:pPr>
      <w:r w:rsidRPr="009F1F41">
        <w:rPr>
          <w:noProof/>
          <w:color w:val="000000"/>
        </w:rPr>
        <w:t>uzimajući u obzir Uredbu (EU) br. 575/2013 Europskog parlamenta i Vijeća od 26. lipnja 2013. o bonitetnim zahtjevima za kreditne institucije i o izmjeni Uredbe (EU) br. 648/2012</w:t>
      </w:r>
      <w:r w:rsidRPr="009F1F41">
        <w:rPr>
          <w:rStyle w:val="FootnoteReference"/>
          <w:noProof/>
        </w:rPr>
        <w:footnoteReference w:id="1"/>
      </w:r>
      <w:r w:rsidRPr="009F1F41">
        <w:rPr>
          <w:noProof/>
          <w:color w:val="000000"/>
        </w:rPr>
        <w:t>, a posebno njezin članak 434.a,</w:t>
      </w:r>
    </w:p>
    <w:p w:rsidR="003C122C" w:rsidRPr="009F1F41" w:rsidRDefault="003C122C" w:rsidP="004E1EF9">
      <w:pPr>
        <w:rPr>
          <w:noProof/>
        </w:rPr>
      </w:pPr>
      <w:r w:rsidRPr="009F1F41">
        <w:rPr>
          <w:noProof/>
        </w:rPr>
        <w:t>budući da:</w:t>
      </w:r>
    </w:p>
    <w:p w:rsidR="00410340" w:rsidRPr="009F1F41" w:rsidRDefault="00B52B2B" w:rsidP="00B52B2B">
      <w:pPr>
        <w:pStyle w:val="ManualConsidrant"/>
        <w:rPr>
          <w:noProof/>
          <w:color w:val="000000"/>
        </w:rPr>
      </w:pPr>
      <w:r w:rsidRPr="00B52B2B">
        <w:t>(1)</w:t>
      </w:r>
      <w:r w:rsidRPr="00B52B2B">
        <w:tab/>
      </w:r>
      <w:r w:rsidR="007067A9" w:rsidRPr="009F1F41">
        <w:rPr>
          <w:noProof/>
        </w:rPr>
        <w:t>Provedbenom uredbom Komisije (EU) 2021/637</w:t>
      </w:r>
      <w:r w:rsidR="007067A9" w:rsidRPr="009F1F41">
        <w:rPr>
          <w:rStyle w:val="FootnoteReference"/>
          <w:noProof/>
        </w:rPr>
        <w:footnoteReference w:id="2"/>
      </w:r>
      <w:r w:rsidR="007067A9" w:rsidRPr="009F1F41">
        <w:rPr>
          <w:noProof/>
        </w:rPr>
        <w:t xml:space="preserve"> utvrđuju se jedinstveni formati za objavu i povezane upute za objavu propisani u glavama II. i III. Uredbe (EU) br. 575/2013. Uredba (EU) br. 575/2013 izmijenjena je Uredbom (EU) 2019/876</w:t>
      </w:r>
      <w:r w:rsidR="007067A9" w:rsidRPr="009F1F41">
        <w:rPr>
          <w:rStyle w:val="FootnoteReference"/>
          <w:noProof/>
        </w:rPr>
        <w:footnoteReference w:id="3"/>
      </w:r>
      <w:r w:rsidR="007067A9" w:rsidRPr="009F1F41">
        <w:rPr>
          <w:noProof/>
        </w:rPr>
        <w:t>, među ostalim radi uvođenja novog članka 449.a. Tim se člankom od velikih institucija koje su izdale vrijednosne papire uvrštene za trgovanje na uređenom tržištu bilo koje države članice zahtijeva da od 28. lipnja 2022. objavljuju informacije o okolišnim, društvenim i upravljačkim (ESG) rizicima, uključujući fizičke i tranzicijske rizike. Ta bi se izmjena Uredbe (EU) br. 575/2013 trebala odražavati u Provedbenoj uredbi Komisije (EU) 2021/637, u kojoj bi se, osim postojećih jedinstvenih formata za objavu i povezanih uputa, trebali utvrditi i dodatni jedinstveni formati za objavu ESG rizika i povezane upute.</w:t>
      </w:r>
    </w:p>
    <w:p w:rsidR="00410340" w:rsidRPr="009F1F41" w:rsidRDefault="00B52B2B" w:rsidP="00B52B2B">
      <w:pPr>
        <w:pStyle w:val="ManualConsidrant"/>
        <w:rPr>
          <w:noProof/>
        </w:rPr>
      </w:pPr>
      <w:r w:rsidRPr="00B52B2B">
        <w:t>(2)</w:t>
      </w:r>
      <w:r w:rsidRPr="00B52B2B">
        <w:tab/>
      </w:r>
      <w:r w:rsidR="00410340" w:rsidRPr="009F1F41">
        <w:rPr>
          <w:noProof/>
        </w:rPr>
        <w:t>Pri utvrđivanju jedinstvenih formata za objavu trebalo bi uzeti u obzir cjelokupnu značajnost informacija koje treba objaviti. To znači da bi objave institucija s jedne strane trebale obuhvaćati financijski utjecaj ESG čimbenika na ekonomske i financijske djelatnosti institucija (aspekt izvana prema unutra), a s druge strane ESG čimbenike koje mogu uzrokovati djelatnosti samih institucija, a koji pak postaju financijski značajni ako utječu na njihove dionike (aspekt iznutra prema van). Stoga bi tablice i obrasci koji se koriste za te objave trebali pružati dovoljno obuhvatne i usporedive informacije o ESG rizicima, na temelju kojih bi njihov korisnici mogli procijeniti profil rizičnosti institucija.</w:t>
      </w:r>
    </w:p>
    <w:p w:rsidR="00410340" w:rsidRPr="009F1F41" w:rsidRDefault="00B52B2B" w:rsidP="00B52B2B">
      <w:pPr>
        <w:pStyle w:val="ManualConsidrant"/>
        <w:rPr>
          <w:noProof/>
        </w:rPr>
      </w:pPr>
      <w:r w:rsidRPr="00B52B2B">
        <w:t>(3)</w:t>
      </w:r>
      <w:r w:rsidRPr="00B52B2B">
        <w:tab/>
      </w:r>
      <w:r w:rsidR="00A525E2" w:rsidRPr="009F1F41">
        <w:rPr>
          <w:noProof/>
        </w:rPr>
        <w:t>Potrebno je osigurati usklađenost i dosljednost s drugim propisima Unije u području ESG rizika. Pravilima o objavi ESG rizika stoga bi trebalo uzeti u obzir kriterije, klasifikacije i definicije utvrđene u tim propisima Unije. Tim bi pravilima osobito trebalo uzeti u obzir kriterije za utvrđivanje i klasifikaciju okolišno održivih ekonomskih djelatnosti, utvrđene u Uredbi (EU) 2020/852 Europskog parlamenta i Vijeća</w:t>
      </w:r>
      <w:r w:rsidR="00A525E2" w:rsidRPr="009F1F41">
        <w:rPr>
          <w:rStyle w:val="FootnoteReference"/>
          <w:noProof/>
        </w:rPr>
        <w:footnoteReference w:id="4"/>
      </w:r>
      <w:r w:rsidR="00A525E2" w:rsidRPr="009F1F41">
        <w:rPr>
          <w:noProof/>
        </w:rPr>
        <w:t xml:space="preserve"> i Delegiranoj uredbi Komisije (EU) 2020/1818</w:t>
      </w:r>
      <w:r w:rsidR="00A525E2" w:rsidRPr="009F1F41">
        <w:rPr>
          <w:rStyle w:val="FootnoteReference"/>
          <w:noProof/>
        </w:rPr>
        <w:footnoteReference w:id="5"/>
      </w:r>
      <w:r w:rsidR="00A525E2" w:rsidRPr="009F1F41">
        <w:rPr>
          <w:noProof/>
        </w:rPr>
        <w:t>. Pri objavi informacija o energetskoj učinkovitosti portfelja nekretnina institucija trebalo bi uzeti u obzir informacije iz energetskog certifikata, kako je definiran u članku 2. točki 12. Direktive 2010/31/EU Europskog parlamenta i Vijeća</w:t>
      </w:r>
      <w:r w:rsidR="00A525E2" w:rsidRPr="009F1F41">
        <w:rPr>
          <w:rStyle w:val="FootnoteReference"/>
          <w:noProof/>
        </w:rPr>
        <w:footnoteReference w:id="6"/>
      </w:r>
      <w:r w:rsidR="00A525E2" w:rsidRPr="009F1F41">
        <w:rPr>
          <w:noProof/>
        </w:rPr>
        <w:t>.</w:t>
      </w:r>
    </w:p>
    <w:p w:rsidR="00135CD4" w:rsidRPr="009F1F41" w:rsidRDefault="00B52B2B" w:rsidP="00B52B2B">
      <w:pPr>
        <w:pStyle w:val="ManualConsidrant"/>
        <w:rPr>
          <w:noProof/>
        </w:rPr>
      </w:pPr>
      <w:r w:rsidRPr="00B52B2B">
        <w:t>(4)</w:t>
      </w:r>
      <w:r w:rsidRPr="00B52B2B">
        <w:tab/>
      </w:r>
      <w:r w:rsidR="00135CD4" w:rsidRPr="009F1F41">
        <w:rPr>
          <w:noProof/>
        </w:rPr>
        <w:t>Člancima 19.a i 29.a Direktive 2013/34/EU Europskog parlamenta i Vijeća</w:t>
      </w:r>
      <w:r w:rsidR="00135CD4" w:rsidRPr="009F1F41">
        <w:rPr>
          <w:rStyle w:val="FootnoteReference"/>
          <w:noProof/>
        </w:rPr>
        <w:footnoteReference w:id="7"/>
      </w:r>
      <w:r w:rsidR="00135CD4" w:rsidRPr="009F1F41">
        <w:rPr>
          <w:noProof/>
        </w:rPr>
        <w:t xml:space="preserve"> propisano je da velika poduzeća koja su subjekti od javnog interesa odnosno subjekti od javnog interesa koji su matična poduzeća velike grupe u svoje izvješće poslovodstva ili konsolidirano izvješće poslovodstva uključuju informacije o utjecaju njihove djelatnosti na okolišna, socijalna i kadrovska pitanja, poštovanje ljudskih prava, borbu protiv korupcije i pitanja u vezi s podmićivanjem. Međutim, ta se obveza ne odnosi na druga poduzeća. Zbog toga poduzeća na koja se ne primjenjuju članci 19.a i 29.a Direktive 2013/34/EU nisu dužna objavljivati takve informacije i možda ne mogu pružiti takve informacije institucijama. Stoga se od takvih poduzeća, koja su druge ugovorne strane institucija, može očekivati da takve informacije i podatke pružaju samo dobrovoljno. Međutim, primjereno je tim poduzećima osigurati smjernice za izračun postotka izloženosti djelatnostima koje su okolišno održive ekonomske djelatnosti iz članka 3. Uredbe (EU) 2020/852 kako bi se te informacije i podaci mogli prikazati u standardiziranom i usporedivom formatu. Ako se te informacije i podaci ne daju dobrovoljno, institucije bi trebale moći izračunati postotak izloženosti usklađenih s taksonomijom upotrebom procjena ili zamjenskih vrijednosti.</w:t>
      </w:r>
    </w:p>
    <w:p w:rsidR="00921483" w:rsidRPr="009F1F41" w:rsidRDefault="00B52B2B" w:rsidP="00B52B2B">
      <w:pPr>
        <w:pStyle w:val="ManualConsidrant"/>
        <w:rPr>
          <w:noProof/>
        </w:rPr>
      </w:pPr>
      <w:r w:rsidRPr="00B52B2B">
        <w:t>(5)</w:t>
      </w:r>
      <w:r w:rsidRPr="00B52B2B">
        <w:tab/>
      </w:r>
      <w:r w:rsidR="00A97285" w:rsidRPr="009F1F41">
        <w:rPr>
          <w:noProof/>
        </w:rPr>
        <w:t>U skladu s člankom 449.a Uredbe (EU) br. 575/2013 informacije o ESG rizicima objavljuju se od 28. lipnja 2022., na godišnjoj osnovi za prvu godinu, a zatim dvaput godišnje. Stoga bi referentni datum prvog godišnjeg objavljivanja trebao biti 31. prosinca 2022.</w:t>
      </w:r>
    </w:p>
    <w:p w:rsidR="00ED20D7" w:rsidRPr="009F1F41" w:rsidRDefault="00B52B2B" w:rsidP="00B52B2B">
      <w:pPr>
        <w:pStyle w:val="ManualConsidrant"/>
        <w:rPr>
          <w:noProof/>
        </w:rPr>
      </w:pPr>
      <w:r w:rsidRPr="00B52B2B">
        <w:t>(6)</w:t>
      </w:r>
      <w:r w:rsidRPr="00B52B2B">
        <w:tab/>
      </w:r>
      <w:r w:rsidR="00410340" w:rsidRPr="009F1F41">
        <w:rPr>
          <w:noProof/>
        </w:rPr>
        <w:t xml:space="preserve">Ova Uredba temelji se na nacrtu provedbenih tehničkih standarda koji je Komisiji dostavilo Europsko nadzorno tijelo za bankarstvo. </w:t>
      </w:r>
    </w:p>
    <w:p w:rsidR="00410340" w:rsidRPr="009F1F41" w:rsidRDefault="00B52B2B" w:rsidP="00B52B2B">
      <w:pPr>
        <w:pStyle w:val="ManualConsidrant"/>
        <w:rPr>
          <w:noProof/>
        </w:rPr>
      </w:pPr>
      <w:r w:rsidRPr="00B52B2B">
        <w:t>(7)</w:t>
      </w:r>
      <w:r w:rsidRPr="00B52B2B">
        <w:tab/>
      </w:r>
      <w:r w:rsidR="00ED20D7" w:rsidRPr="009F1F41">
        <w:rPr>
          <w:noProof/>
        </w:rPr>
        <w:t>Europsko nadzorno tijelo za bankarstvo provelo je otvoreno javno savjetovanje o nacrtu provedbenih tehničkih standarda na kojem se temelji ova Uredba, analiziralo je moguće povezane troškove i koristi te zatražilo savjet Interesne skupine za bankarstvo osnovane u skladu s člankom 37. Uredbe (EU) br. 1093/2010 Europskog parlamenta i Vijeća</w:t>
      </w:r>
      <w:r w:rsidR="00ED20D7" w:rsidRPr="009F1F41">
        <w:rPr>
          <w:rStyle w:val="FootnoteReference"/>
          <w:noProof/>
        </w:rPr>
        <w:footnoteReference w:id="8"/>
      </w:r>
      <w:r w:rsidR="00ED20D7" w:rsidRPr="009F1F41">
        <w:rPr>
          <w:noProof/>
        </w:rPr>
        <w:t>.</w:t>
      </w:r>
    </w:p>
    <w:p w:rsidR="00410340" w:rsidRPr="009F1F41" w:rsidRDefault="00B52B2B" w:rsidP="00B52B2B">
      <w:pPr>
        <w:pStyle w:val="ManualConsidrant"/>
        <w:rPr>
          <w:noProof/>
        </w:rPr>
      </w:pPr>
      <w:r w:rsidRPr="00B52B2B">
        <w:t>(8)</w:t>
      </w:r>
      <w:r w:rsidRPr="00B52B2B">
        <w:tab/>
      </w:r>
      <w:r w:rsidR="00410340" w:rsidRPr="009F1F41">
        <w:rPr>
          <w:noProof/>
        </w:rPr>
        <w:t xml:space="preserve">Provedbenu uredbu (EU) </w:t>
      </w:r>
      <w:r w:rsidR="00410340" w:rsidRPr="009F1F41">
        <w:rPr>
          <w:noProof/>
          <w:sz w:val="22"/>
        </w:rPr>
        <w:t>2021/637</w:t>
      </w:r>
      <w:r w:rsidR="00410340" w:rsidRPr="009F1F41">
        <w:rPr>
          <w:noProof/>
        </w:rPr>
        <w:t xml:space="preserve"> trebalo bi stoga na odgovarajući način izmijeniti,</w:t>
      </w:r>
    </w:p>
    <w:p w:rsidR="003C122C" w:rsidRPr="009F1F41" w:rsidRDefault="003C122C" w:rsidP="004E1EF9">
      <w:pPr>
        <w:pStyle w:val="Formuledadoption"/>
        <w:rPr>
          <w:noProof/>
          <w:szCs w:val="24"/>
        </w:rPr>
      </w:pPr>
      <w:r w:rsidRPr="009F1F41">
        <w:rPr>
          <w:noProof/>
        </w:rPr>
        <w:t>DONIJELA JE OVU UREDBU:</w:t>
      </w:r>
    </w:p>
    <w:p w:rsidR="003C122C" w:rsidRPr="009F1F41" w:rsidRDefault="003C122C" w:rsidP="004E1EF9">
      <w:pPr>
        <w:pStyle w:val="Titrearticle"/>
        <w:rPr>
          <w:noProof/>
          <w:szCs w:val="24"/>
        </w:rPr>
      </w:pPr>
      <w:r w:rsidRPr="009F1F41">
        <w:rPr>
          <w:noProof/>
        </w:rPr>
        <w:t>Članak 1.</w:t>
      </w:r>
    </w:p>
    <w:p w:rsidR="007F4F83" w:rsidRPr="009F1F41" w:rsidRDefault="007F4F83" w:rsidP="00D00193">
      <w:pPr>
        <w:pStyle w:val="Titrearticle"/>
        <w:spacing w:before="120"/>
        <w:rPr>
          <w:b/>
          <w:i w:val="0"/>
          <w:noProof/>
          <w:szCs w:val="24"/>
        </w:rPr>
      </w:pPr>
      <w:r w:rsidRPr="009F1F41">
        <w:rPr>
          <w:b/>
          <w:i w:val="0"/>
          <w:noProof/>
        </w:rPr>
        <w:t>Izmjene Provedbene uredbe (EU) 2021/637</w:t>
      </w:r>
    </w:p>
    <w:p w:rsidR="007F4F83" w:rsidRPr="009F1F41" w:rsidRDefault="007F4F83" w:rsidP="007F4F83">
      <w:pPr>
        <w:pStyle w:val="Titrearticle"/>
        <w:jc w:val="left"/>
        <w:rPr>
          <w:rFonts w:eastAsiaTheme="minorEastAsia"/>
          <w:i w:val="0"/>
          <w:noProof/>
          <w:szCs w:val="24"/>
        </w:rPr>
      </w:pPr>
      <w:r w:rsidRPr="009F1F41">
        <w:rPr>
          <w:i w:val="0"/>
          <w:noProof/>
        </w:rPr>
        <w:t>Provedbena uredba (EU) 2021/637 mijenja se kako slijedi:</w:t>
      </w:r>
    </w:p>
    <w:p w:rsidR="007F4F83" w:rsidRPr="009F1F41" w:rsidRDefault="00B52B2B" w:rsidP="00B52B2B">
      <w:pPr>
        <w:pStyle w:val="Point0"/>
        <w:rPr>
          <w:noProof/>
        </w:rPr>
      </w:pPr>
      <w:r w:rsidRPr="00B52B2B">
        <w:t>(1)</w:t>
      </w:r>
      <w:r w:rsidRPr="00B52B2B">
        <w:tab/>
      </w:r>
      <w:r w:rsidR="007F4F83" w:rsidRPr="009F1F41">
        <w:rPr>
          <w:noProof/>
        </w:rPr>
        <w:t>umeće se sljedeći članak 18.a:</w:t>
      </w:r>
    </w:p>
    <w:p w:rsidR="007F4F83" w:rsidRPr="009F1F41" w:rsidRDefault="006542E5" w:rsidP="004046D9">
      <w:pPr>
        <w:pStyle w:val="Titrearticle"/>
        <w:spacing w:before="120"/>
        <w:ind w:left="567" w:right="568"/>
        <w:rPr>
          <w:noProof/>
        </w:rPr>
      </w:pPr>
      <w:r w:rsidRPr="009F1F41">
        <w:rPr>
          <w:noProof/>
        </w:rPr>
        <w:t>„Članak 18.a</w:t>
      </w:r>
    </w:p>
    <w:p w:rsidR="007F4F83" w:rsidRPr="009F1F41" w:rsidRDefault="007F4F83" w:rsidP="004046D9">
      <w:pPr>
        <w:pStyle w:val="Titrearticle"/>
        <w:spacing w:before="120"/>
        <w:ind w:left="567" w:right="568"/>
        <w:rPr>
          <w:b/>
          <w:i w:val="0"/>
          <w:noProof/>
        </w:rPr>
      </w:pPr>
      <w:r w:rsidRPr="009F1F41">
        <w:rPr>
          <w:b/>
          <w:i w:val="0"/>
          <w:noProof/>
        </w:rPr>
        <w:t>Objava informacija o okolišnim, društvenim i upravljačkim rizicima (ESG rizici)</w:t>
      </w:r>
    </w:p>
    <w:p w:rsidR="007F4F83" w:rsidRPr="009F1F41" w:rsidRDefault="00B52B2B" w:rsidP="00B52B2B">
      <w:pPr>
        <w:pStyle w:val="ManualNumPar1"/>
        <w:rPr>
          <w:noProof/>
        </w:rPr>
      </w:pPr>
      <w:r w:rsidRPr="00B52B2B">
        <w:t>1.</w:t>
      </w:r>
      <w:r w:rsidRPr="00B52B2B">
        <w:tab/>
      </w:r>
      <w:r w:rsidR="007F4F83" w:rsidRPr="009F1F41">
        <w:rPr>
          <w:noProof/>
        </w:rPr>
        <w:t>Institucije objavljuju informacije iz članka 449.a Uredbe (EU) br. 575/2013 kako slijedi:</w:t>
      </w:r>
    </w:p>
    <w:p w:rsidR="002D1236" w:rsidRPr="009F1F41" w:rsidRDefault="00B52B2B" w:rsidP="00B52B2B">
      <w:pPr>
        <w:pStyle w:val="Point1"/>
        <w:rPr>
          <w:noProof/>
        </w:rPr>
      </w:pPr>
      <w:r w:rsidRPr="00B52B2B">
        <w:t>(a)</w:t>
      </w:r>
      <w:r w:rsidRPr="00B52B2B">
        <w:tab/>
      </w:r>
      <w:r w:rsidR="002D1236" w:rsidRPr="009F1F41">
        <w:rPr>
          <w:noProof/>
        </w:rPr>
        <w:t>kvalitativne informacije o okolišnim, društvenim i upravljačkim rizicima koristeći tablice 1., 2. i 3. iz Priloga XXXIX. ovoj Uredbi prema uputama iz Priloga XL. ovoj Uredbi;</w:t>
      </w:r>
    </w:p>
    <w:p w:rsidR="002D1236" w:rsidRPr="009F1F41" w:rsidRDefault="00B52B2B" w:rsidP="00B52B2B">
      <w:pPr>
        <w:pStyle w:val="Point1"/>
        <w:rPr>
          <w:noProof/>
        </w:rPr>
      </w:pPr>
      <w:r w:rsidRPr="00B52B2B">
        <w:t>(b)</w:t>
      </w:r>
      <w:r w:rsidRPr="00B52B2B">
        <w:tab/>
      </w:r>
      <w:r w:rsidR="002D1236" w:rsidRPr="009F1F41">
        <w:rPr>
          <w:noProof/>
        </w:rPr>
        <w:t>kvantitativne informacije o tranzicijskom riziku klimatskih promjena koristeći obrasce od 1. do 4. iz Priloga XXXIX. ovoj Uredbi prema uputama iz Priloga XL. ovoj Uredbi;</w:t>
      </w:r>
    </w:p>
    <w:p w:rsidR="002D1236" w:rsidRPr="009F1F41" w:rsidRDefault="00B52B2B" w:rsidP="00B52B2B">
      <w:pPr>
        <w:pStyle w:val="Point1"/>
        <w:rPr>
          <w:noProof/>
        </w:rPr>
      </w:pPr>
      <w:r w:rsidRPr="00B52B2B">
        <w:t>(c)</w:t>
      </w:r>
      <w:r w:rsidRPr="00B52B2B">
        <w:tab/>
      </w:r>
      <w:r w:rsidR="002D1236" w:rsidRPr="009F1F41">
        <w:rPr>
          <w:noProof/>
        </w:rPr>
        <w:t>kvantitativne informacije o fizičkim rizicima klimatskih promjena koristeći obrazac 5. iz Priloga XXXIX. ovoj Uredbi prema uputama iz Priloga XL. ovoj Uredbi;</w:t>
      </w:r>
    </w:p>
    <w:p w:rsidR="002D1236" w:rsidRPr="009F1F41" w:rsidRDefault="00B52B2B" w:rsidP="00B52B2B">
      <w:pPr>
        <w:pStyle w:val="Point1"/>
        <w:rPr>
          <w:noProof/>
        </w:rPr>
      </w:pPr>
      <w:r w:rsidRPr="00B52B2B">
        <w:t>(d)</w:t>
      </w:r>
      <w:r w:rsidRPr="00B52B2B">
        <w:tab/>
      </w:r>
      <w:r w:rsidR="002D1236" w:rsidRPr="009F1F41">
        <w:rPr>
          <w:noProof/>
        </w:rPr>
        <w:t>kvantitativne informacije o mjerama ublažavanja povezanima s ekonomskim djelatnostima koje se smatraju okolišno održivima na temelju članka 3. Uredbe (EU) 2020/852 Europskog parlamenta i Vijeća</w:t>
      </w:r>
      <w:r w:rsidR="002D1236" w:rsidRPr="009F1F41">
        <w:rPr>
          <w:noProof/>
          <w:vertAlign w:val="superscript"/>
        </w:rPr>
        <w:t>*1</w:t>
      </w:r>
      <w:r w:rsidR="002D1236" w:rsidRPr="009F1F41">
        <w:rPr>
          <w:noProof/>
        </w:rPr>
        <w:t xml:space="preserve"> prema drugim ugovornim stranama na koje se primjenjuje članak 19.a ili članak 29.a Direktive 2013/34/EU Europskog parlamenta i Vijeća</w:t>
      </w:r>
      <w:r w:rsidR="002D1236" w:rsidRPr="009F1F41">
        <w:rPr>
          <w:noProof/>
          <w:vertAlign w:val="superscript"/>
        </w:rPr>
        <w:t>*2</w:t>
      </w:r>
      <w:r w:rsidR="002D1236" w:rsidRPr="009F1F41">
        <w:rPr>
          <w:noProof/>
        </w:rPr>
        <w:t xml:space="preserve">, </w:t>
      </w:r>
      <w:bookmarkStart w:id="1" w:name="_Hlk92470586"/>
      <w:r w:rsidR="002D1236" w:rsidRPr="009F1F41">
        <w:rPr>
          <w:noProof/>
        </w:rPr>
        <w:t xml:space="preserve">prema kućanstvima i prema tijelima lokalne samouprave, </w:t>
      </w:r>
      <w:bookmarkEnd w:id="1"/>
      <w:r w:rsidR="002D1236" w:rsidRPr="009F1F41">
        <w:rPr>
          <w:noProof/>
        </w:rPr>
        <w:t>kako je navedeno u dijelu 1.42.(b) Priloga V. Provedbenoj uredbi Komisije (EU) 2021/451</w:t>
      </w:r>
      <w:r w:rsidR="002D1236" w:rsidRPr="009F1F41">
        <w:rPr>
          <w:noProof/>
          <w:vertAlign w:val="superscript"/>
        </w:rPr>
        <w:t>*3</w:t>
      </w:r>
      <w:r w:rsidR="002D1236" w:rsidRPr="009F1F41">
        <w:rPr>
          <w:noProof/>
        </w:rPr>
        <w:t>, koristeći obrasce 6., 7. i 8. iz Priloga XXXIX. ovoj Uredbi prema uputama iz Priloga XL. ovoj Uredbi;</w:t>
      </w:r>
    </w:p>
    <w:p w:rsidR="00995098" w:rsidRPr="009F1F41" w:rsidRDefault="00B52B2B" w:rsidP="00B52B2B">
      <w:pPr>
        <w:pStyle w:val="Point1"/>
        <w:rPr>
          <w:noProof/>
        </w:rPr>
      </w:pPr>
      <w:r w:rsidRPr="00B52B2B">
        <w:t>(e)</w:t>
      </w:r>
      <w:r w:rsidRPr="00B52B2B">
        <w:tab/>
      </w:r>
      <w:r w:rsidR="00995098" w:rsidRPr="009F1F41">
        <w:rPr>
          <w:noProof/>
        </w:rPr>
        <w:t>kvantitativne informacije o drugim mjerama ublažavanja i izloženostima rizicima klimatskih promjena koje se ne smatraju okolišno održivim ekonomskim djelatnostima na temelju članka 3. Uredbe (EU) 2020/852, ali kojima se druge ugovorne strane podupiru u procesu tranzicije ili prilagodbe s obzirom na ciljeve ublažavanja klimatskih promjena i prilagodbe klimatskim promjenama, koristeći obrazac 10. iz Priloga XXXIX. ovoj Uredbi prema uputama iz Priloga XL. ovoj Uredbi.</w:t>
      </w:r>
    </w:p>
    <w:p w:rsidR="008D2E23" w:rsidRPr="009F1F41" w:rsidRDefault="00B52B2B" w:rsidP="00B52B2B">
      <w:pPr>
        <w:pStyle w:val="ManualNumPar1"/>
        <w:rPr>
          <w:noProof/>
        </w:rPr>
      </w:pPr>
      <w:r w:rsidRPr="00B52B2B">
        <w:t>2.</w:t>
      </w:r>
      <w:r w:rsidRPr="00B52B2B">
        <w:tab/>
      </w:r>
      <w:r w:rsidR="000941B5" w:rsidRPr="009F1F41">
        <w:rPr>
          <w:noProof/>
        </w:rPr>
        <w:t xml:space="preserve">Institucije mogu odlučiti objaviti kvantitativne informacije o mjerama ublažavanja i izloženostima rizicima klimatskih promjena povezanima s ekonomskim djelatnostima koje se smatraju okolišno održivima na temelju članka 3. Uredbe (EU) 2020/852 prema drugim ugovornim stranama </w:t>
      </w:r>
      <w:bookmarkStart w:id="2" w:name="_Hlk92470606"/>
      <w:r w:rsidR="000941B5" w:rsidRPr="009F1F41">
        <w:rPr>
          <w:noProof/>
        </w:rPr>
        <w:t xml:space="preserve">koje su nefinancijska društva </w:t>
      </w:r>
      <w:bookmarkEnd w:id="2"/>
      <w:r w:rsidR="000941B5" w:rsidRPr="009F1F41">
        <w:rPr>
          <w:noProof/>
        </w:rPr>
        <w:t>iz dijela 1.42.(e) Priloga V. Provedbenoj uredbi (EU) 2021/451, na koje se ne primjenjuju obveze objavljivanja utvrđene u članku 19.a ili članku 29.a Direktive 2013/34/EU i na koje se ne primjenjuju obveze objavljivanja utvrđene u Provedbenoj uredbi Komisije (EU) 2021/2178</w:t>
      </w:r>
      <w:r w:rsidR="000941B5" w:rsidRPr="009F1F41">
        <w:rPr>
          <w:noProof/>
          <w:vertAlign w:val="superscript"/>
        </w:rPr>
        <w:t>*4</w:t>
      </w:r>
      <w:r w:rsidR="000941B5" w:rsidRPr="009F1F41">
        <w:rPr>
          <w:noProof/>
        </w:rPr>
        <w:t xml:space="preserve">, koristeći obrazac 9. iz Priloga XXXIX. ovoj Uredbi prema uputama iz Priloga XL. ovoj Uredbi. </w:t>
      </w:r>
    </w:p>
    <w:p w:rsidR="002D1236" w:rsidRPr="009F1F41" w:rsidRDefault="002D1236" w:rsidP="00353D88">
      <w:pPr>
        <w:pStyle w:val="Text1"/>
        <w:rPr>
          <w:noProof/>
        </w:rPr>
      </w:pPr>
      <w:r w:rsidRPr="009F1F41">
        <w:rPr>
          <w:noProof/>
        </w:rPr>
        <w:t>Za izračunavanje postotka izloženosti djelatnostima koje su u skladu sa zahtjevima iz članka 3. Uredbe (EU) 2020/852 (izloženosti usklađene s taksonomijom) prema tim drugim ugovornim stranama, institucije:</w:t>
      </w:r>
    </w:p>
    <w:p w:rsidR="00D23734" w:rsidRPr="009F1F41" w:rsidRDefault="00B52B2B" w:rsidP="00B52B2B">
      <w:pPr>
        <w:pStyle w:val="Point1"/>
        <w:rPr>
          <w:noProof/>
        </w:rPr>
      </w:pPr>
      <w:r w:rsidRPr="00B52B2B">
        <w:t>(a)</w:t>
      </w:r>
      <w:r w:rsidRPr="00B52B2B">
        <w:tab/>
      </w:r>
      <w:r w:rsidR="008E7D06" w:rsidRPr="009F1F41">
        <w:rPr>
          <w:noProof/>
        </w:rPr>
        <w:t>mogu upotrijebiti, ako su dostupne, informacije dobivene od svojih drugih ugovornih strana na dobrovoljnoj i bilateralnoj osnovi u okviru postupka odobravanja kredita, redovnog pregleda kredita i postupka praćenja;</w:t>
      </w:r>
    </w:p>
    <w:p w:rsidR="00D23734" w:rsidRPr="009F1F41" w:rsidRDefault="00B52B2B" w:rsidP="00B52B2B">
      <w:pPr>
        <w:pStyle w:val="Point1"/>
        <w:rPr>
          <w:noProof/>
        </w:rPr>
      </w:pPr>
      <w:r w:rsidRPr="00B52B2B">
        <w:t>(b)</w:t>
      </w:r>
      <w:r w:rsidRPr="00B52B2B">
        <w:tab/>
      </w:r>
      <w:r w:rsidR="00B25755" w:rsidRPr="009F1F41">
        <w:rPr>
          <w:noProof/>
        </w:rPr>
        <w:t>ako druga ugovorna strana ne može ili nije voljna dostaviti predmetne podatke na bilateralnoj osnovi, mogu upotrijebiti interne procjene i zamjenske vrijednosti, a u opisu koji se prilaže obrascu objasniti u kojoj su mjeri korištene te interne procjene i zamjenske vrijednosti te o kojim je internim procjenama i zamjenskim vrijednostima riječ;</w:t>
      </w:r>
    </w:p>
    <w:p w:rsidR="002D1236" w:rsidRPr="009F1F41" w:rsidRDefault="00B52B2B" w:rsidP="00B52B2B">
      <w:pPr>
        <w:pStyle w:val="Point1"/>
        <w:rPr>
          <w:noProof/>
        </w:rPr>
      </w:pPr>
      <w:r w:rsidRPr="00B52B2B">
        <w:t>(c)</w:t>
      </w:r>
      <w:r w:rsidRPr="00B52B2B">
        <w:tab/>
      </w:r>
      <w:r w:rsidR="00D23734" w:rsidRPr="009F1F41">
        <w:rPr>
          <w:noProof/>
        </w:rPr>
        <w:t>ako ne mogu prikupiti predmetne informacije na bilateralnoj osnovi ili ne mogu upotrijebiti interne procjene i zamjenske vrijednosti ili ako ne mogu prikupiti te informacije niti upotrijebiti te procjene i zamjenske vrijednosti na način koji ne uzrokuje prekomjerno opterećenje za njih ili njihove druge ugovorne strane, to mogu objasniti u opisu koji se prilaže obrascu.</w:t>
      </w:r>
    </w:p>
    <w:p w:rsidR="00320B78" w:rsidRPr="009F1F41" w:rsidRDefault="00320B78" w:rsidP="00353D88">
      <w:pPr>
        <w:pStyle w:val="Text1"/>
        <w:rPr>
          <w:noProof/>
        </w:rPr>
      </w:pPr>
      <w:r w:rsidRPr="009F1F41">
        <w:rPr>
          <w:noProof/>
        </w:rPr>
        <w:t>Za potrebe točke (a) institucije obavješćuju svoje druge ugovorne strane da je pružanje takvih informacija dobrovoljno.</w:t>
      </w:r>
    </w:p>
    <w:p w:rsidR="007F4F83" w:rsidRPr="009F1F41" w:rsidRDefault="00B52B2B" w:rsidP="00B52B2B">
      <w:pPr>
        <w:pStyle w:val="ManualNumPar1"/>
        <w:rPr>
          <w:noProof/>
        </w:rPr>
      </w:pPr>
      <w:r w:rsidRPr="00B52B2B">
        <w:t>3.</w:t>
      </w:r>
      <w:r w:rsidRPr="00B52B2B">
        <w:tab/>
      </w:r>
      <w:r w:rsidR="006B71ED" w:rsidRPr="009F1F41">
        <w:rPr>
          <w:noProof/>
        </w:rPr>
        <w:t>Osim ako je drukčije navedeno u uputama iz Priloga XL. ovoj Uredbi, institucije od 31. prosinca 2022. objavljuju informacije iz članka 449.a Uredbe (EU) br. 575/2013 na sljedeće datume:</w:t>
      </w:r>
    </w:p>
    <w:p w:rsidR="007F4F83" w:rsidRPr="009F1F41" w:rsidRDefault="00B52B2B" w:rsidP="00B52B2B">
      <w:pPr>
        <w:pStyle w:val="Point1"/>
        <w:rPr>
          <w:noProof/>
        </w:rPr>
      </w:pPr>
      <w:r w:rsidRPr="00B52B2B">
        <w:t>(a)</w:t>
      </w:r>
      <w:r w:rsidRPr="00B52B2B">
        <w:tab/>
      </w:r>
      <w:r w:rsidR="007F4F83" w:rsidRPr="009F1F41">
        <w:rPr>
          <w:noProof/>
        </w:rPr>
        <w:t>za godišnje objavljivanje: 31. prosinca;</w:t>
      </w:r>
    </w:p>
    <w:p w:rsidR="00D01D57" w:rsidRPr="009F1F41" w:rsidRDefault="00B52B2B" w:rsidP="00B52B2B">
      <w:pPr>
        <w:pStyle w:val="Point1"/>
        <w:rPr>
          <w:noProof/>
        </w:rPr>
      </w:pPr>
      <w:r w:rsidRPr="00B52B2B">
        <w:t>(b)</w:t>
      </w:r>
      <w:r w:rsidRPr="00B52B2B">
        <w:tab/>
      </w:r>
      <w:r w:rsidR="007F4F83" w:rsidRPr="009F1F41">
        <w:rPr>
          <w:noProof/>
        </w:rPr>
        <w:t>za polugodišnje objavljivanje: 30. lipnja i 31. prosinca svake godine.</w:t>
      </w:r>
    </w:p>
    <w:p w:rsidR="00086FAB" w:rsidRPr="009F1F41" w:rsidRDefault="001904B5" w:rsidP="0087679B">
      <w:pPr>
        <w:pStyle w:val="Text2"/>
        <w:rPr>
          <w:noProof/>
        </w:rPr>
      </w:pPr>
      <w:r w:rsidRPr="009F1F41">
        <w:rPr>
          <w:noProof/>
        </w:rPr>
        <w:tab/>
        <w:t>___________</w:t>
      </w:r>
    </w:p>
    <w:p w:rsidR="00086FAB" w:rsidRPr="009F1F41" w:rsidRDefault="00086FAB" w:rsidP="0087679B">
      <w:pPr>
        <w:pStyle w:val="Text3"/>
        <w:rPr>
          <w:noProof/>
          <w:sz w:val="20"/>
          <w:szCs w:val="20"/>
        </w:rPr>
      </w:pPr>
      <w:r w:rsidRPr="009F1F41">
        <w:rPr>
          <w:noProof/>
          <w:sz w:val="20"/>
          <w:vertAlign w:val="superscript"/>
        </w:rPr>
        <w:t>*1</w:t>
      </w:r>
      <w:r w:rsidRPr="009F1F41">
        <w:rPr>
          <w:noProof/>
        </w:rPr>
        <w:tab/>
      </w:r>
      <w:r w:rsidRPr="009F1F41">
        <w:rPr>
          <w:noProof/>
          <w:sz w:val="20"/>
        </w:rPr>
        <w:t>Uredba (EU) 2020/852 Europskog parlamenta i Vijeća od 18. lipnja 2020. o uspostavi okvira za olakšavanje održivih ulaganja i izmjeni Uredbe (EU) 2019/2088 (SL L 198, 22.6.2020., str. 13.).</w:t>
      </w:r>
    </w:p>
    <w:p w:rsidR="00086FAB" w:rsidRPr="009F1F41" w:rsidRDefault="00086FAB" w:rsidP="004F6722">
      <w:pPr>
        <w:pStyle w:val="Text3"/>
        <w:rPr>
          <w:noProof/>
          <w:sz w:val="20"/>
          <w:szCs w:val="20"/>
        </w:rPr>
      </w:pPr>
      <w:r w:rsidRPr="009F1F41">
        <w:rPr>
          <w:noProof/>
          <w:sz w:val="20"/>
          <w:vertAlign w:val="superscript"/>
        </w:rPr>
        <w:t>*2</w:t>
      </w:r>
      <w:r w:rsidRPr="009F1F41">
        <w:rPr>
          <w:noProof/>
        </w:rPr>
        <w:tab/>
      </w:r>
      <w:r w:rsidRPr="009F1F41">
        <w:rPr>
          <w:noProof/>
          <w:sz w:val="20"/>
        </w:rPr>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p w:rsidR="00086FAB" w:rsidRPr="009F1F41" w:rsidRDefault="00086FAB" w:rsidP="0087679B">
      <w:pPr>
        <w:pStyle w:val="Text3"/>
        <w:rPr>
          <w:noProof/>
          <w:sz w:val="20"/>
          <w:szCs w:val="20"/>
        </w:rPr>
      </w:pPr>
      <w:r w:rsidRPr="009F1F41">
        <w:rPr>
          <w:noProof/>
          <w:sz w:val="20"/>
          <w:vertAlign w:val="superscript"/>
        </w:rPr>
        <w:t>*3</w:t>
      </w:r>
      <w:r w:rsidRPr="009F1F41">
        <w:rPr>
          <w:noProof/>
        </w:rPr>
        <w:tab/>
      </w:r>
      <w:r w:rsidRPr="009F1F41">
        <w:rPr>
          <w:noProof/>
          <w:sz w:val="20"/>
        </w:rPr>
        <w:t>Provedbena uredba Komisije (EU) 2021/451 od 17. prosinca 2020. o utvrđivanju provedbenih tehničkih standarda za primjenu Uredbe (EU) br. 575/2013 Europskog parlamenta i Vijeća u pogledu nadzornog izvješćivanja institucija i stavljanju izvan snage Provedbene uredbe (EU) br. 680/2014 (SL L 97, 19.3.2021., str. 1.).</w:t>
      </w:r>
    </w:p>
    <w:p w:rsidR="00086FAB" w:rsidRPr="009F1F41" w:rsidRDefault="00086FAB" w:rsidP="0087679B">
      <w:pPr>
        <w:pStyle w:val="Text3"/>
        <w:rPr>
          <w:noProof/>
          <w:sz w:val="20"/>
          <w:szCs w:val="20"/>
        </w:rPr>
      </w:pPr>
      <w:r w:rsidRPr="009F1F41">
        <w:rPr>
          <w:noProof/>
          <w:sz w:val="20"/>
          <w:vertAlign w:val="superscript"/>
        </w:rPr>
        <w:t>*4</w:t>
      </w:r>
      <w:r w:rsidRPr="009F1F41">
        <w:rPr>
          <w:noProof/>
        </w:rPr>
        <w:tab/>
      </w:r>
      <w:r w:rsidRPr="009F1F41">
        <w:rPr>
          <w:noProof/>
          <w:sz w:val="20"/>
        </w:rPr>
        <w:t>Delegirana uredba Komisije (EU) 2021/2178 od 6. srpnja 2021. o dopuni Uredbe (EU) 2020/852 Europskog parlamenta i Vijeća utvrđivanjem sadržaja i prikaza informacija o okolišno održivim ekonomskim djelatnostima koje objavljuju poduzeća na koja se primjenjuje članak 19.a ili članak 29.a Direktive 2013/34/EU i utvrđivanjem metodologije obveznog objavljivanja informacija (SL L 443, 10.12.2021., str. 9.).”;</w:t>
      </w:r>
    </w:p>
    <w:p w:rsidR="007F4F83" w:rsidRPr="009F1F41" w:rsidRDefault="00B52B2B" w:rsidP="00B52B2B">
      <w:pPr>
        <w:pStyle w:val="Point0"/>
        <w:rPr>
          <w:noProof/>
        </w:rPr>
      </w:pPr>
      <w:r w:rsidRPr="00B52B2B">
        <w:t>(2)</w:t>
      </w:r>
      <w:r w:rsidRPr="00B52B2B">
        <w:tab/>
      </w:r>
      <w:r w:rsidR="00921483" w:rsidRPr="009F1F41">
        <w:rPr>
          <w:noProof/>
        </w:rPr>
        <w:t xml:space="preserve">tekst iz Priloga I. ovoj Uredbi dodaje se kao Prilog XXXIX.; </w:t>
      </w:r>
    </w:p>
    <w:p w:rsidR="007F4F83" w:rsidRPr="009F1F41" w:rsidRDefault="00B52B2B" w:rsidP="00B52B2B">
      <w:pPr>
        <w:pStyle w:val="Point0"/>
        <w:rPr>
          <w:noProof/>
        </w:rPr>
      </w:pPr>
      <w:r w:rsidRPr="00B52B2B">
        <w:t>(3)</w:t>
      </w:r>
      <w:r w:rsidRPr="00B52B2B">
        <w:tab/>
      </w:r>
      <w:r w:rsidR="00921483" w:rsidRPr="009F1F41">
        <w:rPr>
          <w:noProof/>
        </w:rPr>
        <w:t>tekst iz Priloga II. ovoj Uredbi dodaje se kao Prilog XL.</w:t>
      </w:r>
    </w:p>
    <w:p w:rsidR="007F4F83" w:rsidRPr="009F1F41" w:rsidRDefault="007F4F83" w:rsidP="004046D9">
      <w:pPr>
        <w:pStyle w:val="Titrearticle"/>
        <w:rPr>
          <w:noProof/>
          <w:szCs w:val="24"/>
        </w:rPr>
      </w:pPr>
      <w:r w:rsidRPr="009F1F41">
        <w:rPr>
          <w:noProof/>
        </w:rPr>
        <w:t>Članak 2.</w:t>
      </w:r>
    </w:p>
    <w:p w:rsidR="007F4F83" w:rsidRPr="009F1F41" w:rsidRDefault="007F4F83" w:rsidP="007F4F83">
      <w:pPr>
        <w:pStyle w:val="Titrearticle"/>
        <w:spacing w:before="120"/>
        <w:rPr>
          <w:b/>
          <w:i w:val="0"/>
          <w:noProof/>
          <w:szCs w:val="24"/>
        </w:rPr>
      </w:pPr>
      <w:r w:rsidRPr="009F1F41">
        <w:rPr>
          <w:b/>
          <w:i w:val="0"/>
          <w:noProof/>
        </w:rPr>
        <w:t>Stupanje na snagu</w:t>
      </w:r>
    </w:p>
    <w:p w:rsidR="007F4F83" w:rsidRPr="009F1F41" w:rsidRDefault="007F4F83" w:rsidP="007F4F83">
      <w:pPr>
        <w:rPr>
          <w:noProof/>
          <w:color w:val="000000" w:themeColor="text1"/>
          <w:szCs w:val="24"/>
        </w:rPr>
      </w:pPr>
      <w:r w:rsidRPr="009F1F41">
        <w:rPr>
          <w:noProof/>
        </w:rPr>
        <w:t xml:space="preserve">Ova Uredba stupa na snagu dvadesetog dana od dana objave u </w:t>
      </w:r>
      <w:r w:rsidRPr="009F1F41">
        <w:rPr>
          <w:i/>
          <w:noProof/>
        </w:rPr>
        <w:t>Službenom listu Europske unije</w:t>
      </w:r>
      <w:r w:rsidRPr="009F1F41">
        <w:rPr>
          <w:noProof/>
        </w:rPr>
        <w:t>.</w:t>
      </w:r>
      <w:r w:rsidRPr="009F1F41">
        <w:rPr>
          <w:noProof/>
          <w:color w:val="000000" w:themeColor="text1"/>
        </w:rPr>
        <w:t xml:space="preserve"> </w:t>
      </w:r>
    </w:p>
    <w:p w:rsidR="007F4F83" w:rsidRPr="009F1F41" w:rsidRDefault="007F4F83" w:rsidP="007F4F83">
      <w:pPr>
        <w:pStyle w:val="Applicationdirecte"/>
        <w:rPr>
          <w:noProof/>
          <w:color w:val="000000"/>
          <w:szCs w:val="24"/>
        </w:rPr>
      </w:pPr>
      <w:r w:rsidRPr="009F1F41">
        <w:rPr>
          <w:noProof/>
          <w:color w:val="000000"/>
        </w:rPr>
        <w:t>Ova je Uredba u cijelosti obvezujuća i izravno se primjenjuje u svim državama članicama.</w:t>
      </w:r>
    </w:p>
    <w:p w:rsidR="003C122C" w:rsidRPr="009F1F41" w:rsidRDefault="003D1B1C" w:rsidP="006766BE">
      <w:pPr>
        <w:pStyle w:val="Fait"/>
        <w:rPr>
          <w:noProof/>
        </w:rPr>
      </w:pPr>
      <w:r w:rsidRPr="003D1B1C">
        <w:t>Sastavljeno u Bruxellesu 30.11.2022.</w:t>
      </w:r>
    </w:p>
    <w:p w:rsidR="003C122C" w:rsidRPr="009F1F41" w:rsidRDefault="003C122C" w:rsidP="006766BE">
      <w:pPr>
        <w:pStyle w:val="Institutionquisigne"/>
        <w:rPr>
          <w:noProof/>
          <w:szCs w:val="24"/>
        </w:rPr>
      </w:pPr>
      <w:r w:rsidRPr="009F1F41">
        <w:rPr>
          <w:noProof/>
        </w:rPr>
        <w:tab/>
        <w:t>Za Komisiju</w:t>
      </w:r>
    </w:p>
    <w:p w:rsidR="00C32BCD" w:rsidRPr="009F1F41" w:rsidRDefault="00C65AAC" w:rsidP="006766BE">
      <w:pPr>
        <w:pStyle w:val="Personnequisigne"/>
        <w:keepNext/>
        <w:rPr>
          <w:noProof/>
          <w:szCs w:val="24"/>
        </w:rPr>
      </w:pPr>
      <w:r>
        <w:tab/>
        <w:t>Predsjednica</w:t>
      </w:r>
      <w:r>
        <w:br/>
      </w:r>
      <w:r>
        <w:tab/>
        <w:t>Ursula VON DER LEYEN</w:t>
      </w:r>
    </w:p>
    <w:p w:rsidR="00C32BCD" w:rsidRPr="009F1F41" w:rsidRDefault="00C32BCD" w:rsidP="00C32BCD">
      <w:pPr>
        <w:pStyle w:val="Personnequisigne"/>
        <w:rPr>
          <w:noProof/>
          <w:szCs w:val="24"/>
        </w:rPr>
      </w:pPr>
    </w:p>
    <w:sectPr w:rsidR="00C32BCD" w:rsidRPr="009F1F41" w:rsidSect="00F27639">
      <w:footerReference w:type="default" r:id="rId15"/>
      <w:footerReference w:type="first" r:id="rId16"/>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39" w:rsidRPr="00F27639" w:rsidRDefault="00F27639" w:rsidP="00F276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F27639" w:rsidRDefault="00F27639" w:rsidP="00F27639">
    <w:pPr>
      <w:pStyle w:val="Footer"/>
      <w:rPr>
        <w:rFonts w:ascii="Arial" w:hAnsi="Arial" w:cs="Arial"/>
        <w:b/>
        <w:sz w:val="48"/>
      </w:rPr>
    </w:pPr>
    <w:r w:rsidRPr="00F27639">
      <w:rPr>
        <w:rFonts w:ascii="Arial" w:hAnsi="Arial" w:cs="Arial"/>
        <w:b/>
        <w:sz w:val="48"/>
      </w:rPr>
      <w:t>HR</w:t>
    </w:r>
    <w:r w:rsidRPr="00F27639">
      <w:rPr>
        <w:rFonts w:ascii="Arial" w:hAnsi="Arial" w:cs="Arial"/>
        <w:b/>
        <w:sz w:val="48"/>
      </w:rPr>
      <w:tab/>
    </w:r>
    <w:r w:rsidRPr="00F27639">
      <w:rPr>
        <w:rFonts w:ascii="Arial" w:hAnsi="Arial" w:cs="Arial"/>
        <w:b/>
        <w:sz w:val="48"/>
      </w:rPr>
      <w:tab/>
    </w:r>
    <w:r w:rsidRPr="00F27639">
      <w:tab/>
    </w:r>
    <w:r w:rsidRPr="00F27639">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39" w:rsidRPr="00F27639" w:rsidRDefault="00F27639" w:rsidP="00F276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39" w:rsidRPr="00F27639" w:rsidRDefault="00F27639" w:rsidP="00F27639">
    <w:pPr>
      <w:pStyle w:val="Footer"/>
      <w:rPr>
        <w:rFonts w:ascii="Arial" w:hAnsi="Arial" w:cs="Arial"/>
        <w:b/>
        <w:sz w:val="48"/>
      </w:rPr>
    </w:pPr>
    <w:r w:rsidRPr="00F27639">
      <w:rPr>
        <w:rFonts w:ascii="Arial" w:hAnsi="Arial" w:cs="Arial"/>
        <w:b/>
        <w:sz w:val="48"/>
      </w:rPr>
      <w:t>HR</w:t>
    </w:r>
    <w:r w:rsidRPr="00F27639">
      <w:rPr>
        <w:rFonts w:ascii="Arial" w:hAnsi="Arial" w:cs="Arial"/>
        <w:b/>
        <w:sz w:val="48"/>
      </w:rPr>
      <w:tab/>
    </w:r>
    <w:r>
      <w:fldChar w:fldCharType="begin"/>
    </w:r>
    <w:r>
      <w:instrText xml:space="preserve"> PAGE  \* MERGEFORMAT </w:instrText>
    </w:r>
    <w:r>
      <w:fldChar w:fldCharType="separate"/>
    </w:r>
    <w:r w:rsidR="006766BE">
      <w:rPr>
        <w:noProof/>
      </w:rPr>
      <w:t>5</w:t>
    </w:r>
    <w:r>
      <w:fldChar w:fldCharType="end"/>
    </w:r>
    <w:r>
      <w:tab/>
    </w:r>
    <w:r w:rsidRPr="00F27639">
      <w:tab/>
    </w:r>
    <w:r w:rsidRPr="00F27639">
      <w:rPr>
        <w:rFonts w:ascii="Arial" w:hAnsi="Arial" w:cs="Arial"/>
        <w:b/>
        <w:sz w:val="48"/>
      </w:rPr>
      <w:t>HR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39" w:rsidRPr="00F27639" w:rsidRDefault="00F27639" w:rsidP="00F27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SL L 176, 27.6.2013., str. 1.</w:t>
      </w:r>
    </w:p>
  </w:footnote>
  <w:footnote w:id="2">
    <w:p w:rsidR="007067A9" w:rsidRPr="00FC42BE" w:rsidRDefault="007067A9" w:rsidP="007067A9">
      <w:pPr>
        <w:pStyle w:val="FootnoteText"/>
      </w:pPr>
      <w:r>
        <w:rPr>
          <w:rStyle w:val="FootnoteReference"/>
        </w:rPr>
        <w:footnoteRef/>
      </w:r>
      <w:r>
        <w:tab/>
        <w:t>Provedbena uredba Komisije (EU) 2021/637 od 15. ožujka 2021. o utvrđivanju provedbenih tehničkih standarda za institucije o javnoj objavi informacija iz dijela osmog glava II. i III. Uredbe (EU) br. 575/2013 Europskog parlamenta i Vijeća i stavljanju izvan snage Provedbene uredbe Komisije (EU) br. 1423/2013, Delegirane uredbe Komisije (EU) 2015/1555, Provedbene uredbe Komisije (EU) 2016/200 i Delegirane uredbe Komisije (EU) 2017/2295 (SL L 136, 21.4.2021., str. 1.).</w:t>
      </w:r>
    </w:p>
  </w:footnote>
  <w:footnote w:id="3">
    <w:p w:rsidR="007067A9" w:rsidRPr="007067A9" w:rsidRDefault="007067A9" w:rsidP="007067A9">
      <w:pPr>
        <w:pStyle w:val="FootnoteText"/>
      </w:pPr>
      <w:r>
        <w:rPr>
          <w:rStyle w:val="FootnoteReference"/>
        </w:rPr>
        <w:footnoteRef/>
      </w:r>
      <w:r>
        <w:tab/>
        <w:t>Uredba (EU) 2019/876 Europskog parlamenta i Vijeća od 20. svibnja 2019. o izmjeni Uredbe (EU) br. 575/2013 u pogledu omjera financijske poluge, omjera neto stabilnih izvora financiranja, zahtjeva za regulatorni kapital i prihvatljive obveze, kreditnog rizika druge ugovorne strane, tržišnog rizika, izloženosti prema središnjim drugim ugovornim stranama, izloženosti prema subjektima za zajednička ulaganja, velikih izloženosti, zahtjeva za izvješćivanje i objavu, i Uredbe (EU) br. 648/2012 (SL L 150, 7.6.2019., str. 1.).</w:t>
      </w:r>
    </w:p>
  </w:footnote>
  <w:footnote w:id="4">
    <w:p w:rsidR="00410340" w:rsidRPr="007067A9" w:rsidRDefault="00410340" w:rsidP="008B3E83">
      <w:pPr>
        <w:pStyle w:val="FootnoteText"/>
      </w:pPr>
      <w:r>
        <w:rPr>
          <w:rStyle w:val="FootnoteReference"/>
        </w:rPr>
        <w:footnoteRef/>
      </w:r>
      <w:r>
        <w:tab/>
        <w:t>Uredba (EU) 2020/852 Europskog parlamenta i Vijeća od 18. lipnja 2020. o uspostavi okvira za olakšavanje održivih ulaganja i izmjeni Uredbe (EU) 2019/2088 (</w:t>
      </w:r>
      <w:r>
        <w:rPr>
          <w:rStyle w:val="Emphasis"/>
          <w:i w:val="0"/>
        </w:rPr>
        <w:t>SL L 198, 22.6.2020., str. 13.).</w:t>
      </w:r>
    </w:p>
  </w:footnote>
  <w:footnote w:id="5">
    <w:p w:rsidR="00410340" w:rsidRPr="007067A9" w:rsidRDefault="00410340" w:rsidP="008B3E83">
      <w:pPr>
        <w:pStyle w:val="FootnoteText"/>
        <w:rPr>
          <w:i/>
        </w:rPr>
      </w:pPr>
      <w:r>
        <w:rPr>
          <w:rStyle w:val="FootnoteReference"/>
        </w:rPr>
        <w:footnoteRef/>
      </w:r>
      <w:r>
        <w:tab/>
        <w:t>Delegirana uredba Komisije (EU) 2020/1818 od 17. srpnja 2020. o dopuni Uredbe (EU) 2016/1011 Europskog parlamenta i Vijeća u pogledu minimalnih standarda za referentne vrijednosti EU-a za klimatsku tranziciju i referentne vrijednosti EU-a usklađene s Pariškim sporazumom (</w:t>
      </w:r>
      <w:r>
        <w:rPr>
          <w:rStyle w:val="Emphasis"/>
          <w:i w:val="0"/>
        </w:rPr>
        <w:t>SL L 406, 3.12.2020., str. 17.).</w:t>
      </w:r>
    </w:p>
  </w:footnote>
  <w:footnote w:id="6">
    <w:p w:rsidR="00410340" w:rsidRPr="007067A9" w:rsidRDefault="00410340" w:rsidP="008B3E83">
      <w:pPr>
        <w:pStyle w:val="FootnoteText"/>
        <w:rPr>
          <w:color w:val="444444"/>
        </w:rPr>
      </w:pPr>
      <w:r>
        <w:rPr>
          <w:rStyle w:val="FootnoteReference"/>
        </w:rPr>
        <w:footnoteRef/>
      </w:r>
      <w:r>
        <w:tab/>
        <w:t>Direktiva 2010/31/EU Europskog parlamenta i Vijeća od 19. svibnja 2010. o energetskim svojstvima zgrada (</w:t>
      </w:r>
      <w:r>
        <w:rPr>
          <w:rStyle w:val="Emphasis"/>
          <w:i w:val="0"/>
        </w:rPr>
        <w:t>SL L 153, 18.6.2010., str. 13.).</w:t>
      </w:r>
    </w:p>
  </w:footnote>
  <w:footnote w:id="7">
    <w:p w:rsidR="00135CD4" w:rsidRPr="00135CD4" w:rsidRDefault="00135CD4" w:rsidP="00135CD4">
      <w:pPr>
        <w:pStyle w:val="FootnoteText"/>
      </w:pPr>
      <w:r>
        <w:rPr>
          <w:rStyle w:val="FootnoteReference"/>
        </w:rPr>
        <w:footnoteRef/>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8">
    <w:p w:rsidR="00410340" w:rsidRPr="007067A9" w:rsidRDefault="00410340" w:rsidP="00410340">
      <w:pPr>
        <w:pStyle w:val="FootnoteText"/>
      </w:pPr>
      <w:r>
        <w:rPr>
          <w:rStyle w:val="FootnoteReference"/>
        </w:rPr>
        <w:footnoteRef/>
      </w:r>
      <w:r>
        <w:tab/>
        <w:t>Uredba (EU) br. 1093/2010 Europskog parlamenta i Vijeća od 24. studenoga 2010. o osnivanju europskog nadzornog tijela (Europskog nadzornog tijela za bankarstvo), kojom se izmjenjuje Odluka br. 716/2009/EZ i stavlja izvan snage Odluka Komisije 2009/78/EZ (SL L 331, 15.12.2010., str.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39" w:rsidRPr="00F27639" w:rsidRDefault="00F27639" w:rsidP="00F276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39" w:rsidRPr="00F27639" w:rsidRDefault="00F27639" w:rsidP="00F276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639" w:rsidRPr="00F27639" w:rsidRDefault="00F27639" w:rsidP="00F276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3:02"/>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9DF981BF-B062-4CA2-9776-0F817E375F0C"/>
    <w:docVar w:name="LW_COVERPAGE_TYPE" w:val="1"/>
    <w:docVar w:name="LW_CROSSREFERENCE" w:val="&lt;UNUSED&gt;"/>
    <w:docVar w:name="LW_DATE.ADOPT.CP" w:val="\u1086?d 30.11.2022."/>
    <w:docVar w:name="LW_DATE.ADOPT.CP_DATEFORMAT" w:val="\u1086?d %DATE%"/>
    <w:docVar w:name="LW_DATE.ADOPT.CP_ISODATE" w:val="2022-11-30"/>
    <w:docVar w:name="LW_DocType" w:val="COM"/>
    <w:docVar w:name="LW_EMISSION" w:val="30.11.2022."/>
    <w:docVar w:name="LW_EMISSION_ISODATE" w:val="2022-11-30"/>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kst znač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izmjeni provedbenih tehničkih standarda utvrđenih u Provedbenoj uredbi (EU) 2021/637 u vezi s objavom okolišnih, društvenih i upravljačkih rizika _x000b_"/>
    <w:docVar w:name="LW_TYPE.DOC.CP" w:val="PROVEDBENA UREDBA KOMISIJE (EU) …/..."/>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0827"/>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66B5"/>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047"/>
    <w:rsid w:val="003A6D93"/>
    <w:rsid w:val="003C122C"/>
    <w:rsid w:val="003C70D6"/>
    <w:rsid w:val="003D1B1C"/>
    <w:rsid w:val="003D22F0"/>
    <w:rsid w:val="003D5E0A"/>
    <w:rsid w:val="003E1B7D"/>
    <w:rsid w:val="004046D9"/>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B62B2"/>
    <w:rsid w:val="005C5191"/>
    <w:rsid w:val="005D1193"/>
    <w:rsid w:val="005D2409"/>
    <w:rsid w:val="005E5AED"/>
    <w:rsid w:val="00635568"/>
    <w:rsid w:val="00635A91"/>
    <w:rsid w:val="00643DD1"/>
    <w:rsid w:val="006542E5"/>
    <w:rsid w:val="00657F0F"/>
    <w:rsid w:val="0066012A"/>
    <w:rsid w:val="00674F39"/>
    <w:rsid w:val="006766BE"/>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27D43"/>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265"/>
    <w:rsid w:val="00865DA1"/>
    <w:rsid w:val="0087679B"/>
    <w:rsid w:val="00884A61"/>
    <w:rsid w:val="008968D2"/>
    <w:rsid w:val="008B3E83"/>
    <w:rsid w:val="008B4EA1"/>
    <w:rsid w:val="008B6B70"/>
    <w:rsid w:val="008B7323"/>
    <w:rsid w:val="008C2391"/>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2D12"/>
    <w:rsid w:val="00957D55"/>
    <w:rsid w:val="0096046C"/>
    <w:rsid w:val="00973740"/>
    <w:rsid w:val="00973E9E"/>
    <w:rsid w:val="00974379"/>
    <w:rsid w:val="009846A4"/>
    <w:rsid w:val="00986B33"/>
    <w:rsid w:val="00987AD5"/>
    <w:rsid w:val="00992A73"/>
    <w:rsid w:val="00994FD4"/>
    <w:rsid w:val="00995098"/>
    <w:rsid w:val="00995480"/>
    <w:rsid w:val="009A73D4"/>
    <w:rsid w:val="009B7138"/>
    <w:rsid w:val="009C5D3A"/>
    <w:rsid w:val="009D6EB9"/>
    <w:rsid w:val="009E16FF"/>
    <w:rsid w:val="009E62A6"/>
    <w:rsid w:val="009F1F41"/>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2B2B"/>
    <w:rsid w:val="00B555F4"/>
    <w:rsid w:val="00B667EA"/>
    <w:rsid w:val="00B75C81"/>
    <w:rsid w:val="00B76A3B"/>
    <w:rsid w:val="00B8705E"/>
    <w:rsid w:val="00B87C8F"/>
    <w:rsid w:val="00B90FD9"/>
    <w:rsid w:val="00B94522"/>
    <w:rsid w:val="00BB6E75"/>
    <w:rsid w:val="00BC21DD"/>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65AAC"/>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A3290"/>
    <w:rsid w:val="00EB425C"/>
    <w:rsid w:val="00EC304C"/>
    <w:rsid w:val="00EC548B"/>
    <w:rsid w:val="00ED20D7"/>
    <w:rsid w:val="00ED7891"/>
    <w:rsid w:val="00EE28B6"/>
    <w:rsid w:val="00F007BC"/>
    <w:rsid w:val="00F170A6"/>
    <w:rsid w:val="00F20062"/>
    <w:rsid w:val="00F233CB"/>
    <w:rsid w:val="00F23798"/>
    <w:rsid w:val="00F27639"/>
    <w:rsid w:val="00F45E0C"/>
    <w:rsid w:val="00F50B69"/>
    <w:rsid w:val="00F638D5"/>
    <w:rsid w:val="00F8179F"/>
    <w:rsid w:val="00F82E44"/>
    <w:rsid w:val="00F86459"/>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hr-H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hr-HR"/>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hr-HR"/>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F27639"/>
    <w:pPr>
      <w:tabs>
        <w:tab w:val="center" w:pos="4535"/>
        <w:tab w:val="right" w:pos="9071"/>
      </w:tabs>
      <w:spacing w:before="0"/>
    </w:pPr>
  </w:style>
  <w:style w:type="character" w:customStyle="1" w:styleId="HeaderChar">
    <w:name w:val="Header Char"/>
    <w:basedOn w:val="DefaultParagraphFont"/>
    <w:link w:val="Header"/>
    <w:uiPriority w:val="99"/>
    <w:rsid w:val="00F27639"/>
    <w:rPr>
      <w:rFonts w:ascii="Times New Roman" w:hAnsi="Times New Roman" w:cs="Times New Roman"/>
      <w:sz w:val="24"/>
      <w:lang w:val="hr-HR"/>
    </w:rPr>
  </w:style>
  <w:style w:type="paragraph" w:styleId="Footer">
    <w:name w:val="footer"/>
    <w:basedOn w:val="Normal"/>
    <w:link w:val="FooterChar"/>
    <w:uiPriority w:val="99"/>
    <w:unhideWhenUsed/>
    <w:rsid w:val="00F27639"/>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F27639"/>
    <w:rPr>
      <w:rFonts w:ascii="Times New Roman" w:hAnsi="Times New Roman" w:cs="Times New Roman"/>
      <w:sz w:val="24"/>
      <w:lang w:val="hr-H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hr-H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hr-H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hr-H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hr-H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hr-H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hr-H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hr-H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F27639"/>
    <w:pPr>
      <w:tabs>
        <w:tab w:val="center" w:pos="7285"/>
        <w:tab w:val="right" w:pos="14003"/>
      </w:tabs>
      <w:spacing w:before="0"/>
    </w:pPr>
  </w:style>
  <w:style w:type="paragraph" w:customStyle="1" w:styleId="FooterLandscape">
    <w:name w:val="FooterLandscape"/>
    <w:basedOn w:val="Normal"/>
    <w:rsid w:val="00F27639"/>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2763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27639"/>
    <w:pPr>
      <w:spacing w:before="0"/>
      <w:jc w:val="right"/>
    </w:pPr>
    <w:rPr>
      <w:sz w:val="28"/>
    </w:rPr>
  </w:style>
  <w:style w:type="paragraph" w:customStyle="1" w:styleId="FooterSensitivity">
    <w:name w:val="Footer Sensitivity"/>
    <w:basedOn w:val="Normal"/>
    <w:rsid w:val="00F2763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Tiret5">
    <w:name w:val="Tiret 5"/>
    <w:basedOn w:val="Point5"/>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NumPar5">
    <w:name w:val="NumPar 5"/>
    <w:basedOn w:val="Normal"/>
    <w:next w:val="Text2"/>
    <w:pPr>
      <w:numPr>
        <w:ilvl w:val="4"/>
        <w:numId w:val="23"/>
      </w:numPr>
    </w:pPr>
  </w:style>
  <w:style w:type="paragraph" w:customStyle="1" w:styleId="NumPar6">
    <w:name w:val="NumPar 6"/>
    <w:basedOn w:val="Normal"/>
    <w:next w:val="Text2"/>
    <w:pPr>
      <w:numPr>
        <w:ilvl w:val="5"/>
        <w:numId w:val="23"/>
      </w:numPr>
    </w:pPr>
  </w:style>
  <w:style w:type="paragraph" w:customStyle="1" w:styleId="NumPar7">
    <w:name w:val="NumPar 7"/>
    <w:basedOn w:val="Normal"/>
    <w:next w:val="Text2"/>
    <w:pPr>
      <w:numPr>
        <w:ilvl w:val="6"/>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06EE4-C93D-4173-B4B6-1E102B0A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11</TotalTime>
  <Pages>6</Pages>
  <Words>1563</Words>
  <Characters>9300</Characters>
  <Application>Microsoft Office Word</Application>
  <DocSecurity>0</DocSecurity>
  <Lines>169</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49</cp:revision>
  <dcterms:created xsi:type="dcterms:W3CDTF">2022-10-28T13:10:00Z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