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082E47" w:rsidRDefault="0003135D" w:rsidP="0003135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762036E5-6DDE-4584-84B9-CEDD4A0CA317" style="width:455.25pt;height:399pt">
            <v:imagedata r:id="rId8" o:title=""/>
          </v:shape>
        </w:pict>
      </w:r>
    </w:p>
    <w:p w:rsidR="003C122C" w:rsidRPr="00082E47" w:rsidRDefault="003C122C">
      <w:pPr>
        <w:rPr>
          <w:noProof/>
        </w:rPr>
        <w:sectPr w:rsidR="003C122C" w:rsidRPr="00082E47" w:rsidSect="0003135D">
          <w:footerReference w:type="default" r:id="rId9"/>
          <w:pgSz w:w="11907" w:h="16839"/>
          <w:pgMar w:top="1134" w:right="1417" w:bottom="1134" w:left="1417" w:header="709" w:footer="709" w:gutter="0"/>
          <w:pgNumType w:start="0"/>
          <w:cols w:space="720"/>
          <w:docGrid w:linePitch="360"/>
        </w:sectPr>
      </w:pPr>
    </w:p>
    <w:p w:rsidR="003C122C" w:rsidRPr="00082E47" w:rsidRDefault="00DE45C5" w:rsidP="00DE45C5">
      <w:pPr>
        <w:pStyle w:val="Typedudocument"/>
        <w:rPr>
          <w:noProof/>
        </w:rPr>
      </w:pPr>
      <w:bookmarkStart w:id="0" w:name="_GoBack"/>
      <w:bookmarkEnd w:id="0"/>
      <w:r w:rsidRPr="00DE45C5">
        <w:rPr>
          <w:noProof/>
        </w:rPr>
        <w:lastRenderedPageBreak/>
        <w:t>RÈGLEMENT D’EXÉCUTION (UE) …/... DE LA COMMISSION</w:t>
      </w:r>
    </w:p>
    <w:p w:rsidR="003C122C" w:rsidRPr="00082E47" w:rsidRDefault="002E648F" w:rsidP="00DE45C5">
      <w:pPr>
        <w:pStyle w:val="Datedadoption"/>
        <w:rPr>
          <w:noProof/>
        </w:rPr>
      </w:pPr>
      <w:r>
        <w:t>du 30.11.2022</w:t>
      </w:r>
    </w:p>
    <w:p w:rsidR="003C122C" w:rsidRPr="00082E47" w:rsidRDefault="00DE45C5" w:rsidP="00DE45C5">
      <w:pPr>
        <w:pStyle w:val="Titreobjet"/>
        <w:rPr>
          <w:noProof/>
        </w:rPr>
      </w:pPr>
      <w:r w:rsidRPr="00DE45C5">
        <w:rPr>
          <w:noProof/>
        </w:rPr>
        <w:t>modifiant les normes techniques d’exécution définies dans le règlement d’exécution (UE) 2021/637 en ce qui concerne la publication d’informations sur les risques environnementaux, sociaux et de gouvernance</w:t>
      </w:r>
    </w:p>
    <w:p w:rsidR="003C122C" w:rsidRPr="00082E47" w:rsidRDefault="00DE45C5" w:rsidP="00DE45C5">
      <w:pPr>
        <w:pStyle w:val="IntrtEEE"/>
        <w:rPr>
          <w:noProof/>
        </w:rPr>
      </w:pPr>
      <w:r w:rsidRPr="00DE45C5">
        <w:rPr>
          <w:noProof/>
        </w:rPr>
        <w:t>(Texte présentant de l’intérêt pour l’EEE)</w:t>
      </w:r>
    </w:p>
    <w:p w:rsidR="003C122C" w:rsidRPr="00082E47" w:rsidRDefault="003C122C" w:rsidP="004E1EF9">
      <w:pPr>
        <w:pStyle w:val="Institutionquiagit"/>
        <w:rPr>
          <w:noProof/>
        </w:rPr>
      </w:pPr>
      <w:r w:rsidRPr="00082E47">
        <w:rPr>
          <w:noProof/>
        </w:rPr>
        <w:t>LA COMMISSION EUROPÉENNE,</w:t>
      </w:r>
    </w:p>
    <w:p w:rsidR="003C122C" w:rsidRPr="00082E47" w:rsidRDefault="003C122C" w:rsidP="003C122C">
      <w:pPr>
        <w:rPr>
          <w:noProof/>
          <w:color w:val="000000"/>
        </w:rPr>
      </w:pPr>
      <w:r w:rsidRPr="00082E47">
        <w:rPr>
          <w:noProof/>
          <w:color w:val="000000"/>
        </w:rPr>
        <w:t>vu le traité sur le fonctionnement de l’Union européenne,</w:t>
      </w:r>
    </w:p>
    <w:p w:rsidR="003C122C" w:rsidRPr="00082E47" w:rsidRDefault="003C122C" w:rsidP="003C122C">
      <w:pPr>
        <w:rPr>
          <w:noProof/>
          <w:color w:val="000000"/>
        </w:rPr>
      </w:pPr>
      <w:r w:rsidRPr="00082E47">
        <w:rPr>
          <w:noProof/>
          <w:color w:val="000000"/>
        </w:rPr>
        <w:t>vu le règlement (UE) nº 575/2013 du Parlement européen et du Conseil du 26 juin 2013 concernant les exigences prudentielles applicables aux établissements de crédit et modifiant le règlement (UE) nº 648/2012</w:t>
      </w:r>
      <w:r w:rsidRPr="00082E47">
        <w:rPr>
          <w:rStyle w:val="FootnoteReference"/>
          <w:noProof/>
        </w:rPr>
        <w:footnoteReference w:id="1"/>
      </w:r>
      <w:r w:rsidRPr="00082E47">
        <w:rPr>
          <w:noProof/>
          <w:color w:val="000000"/>
        </w:rPr>
        <w:t>, et notamment son article 434 </w:t>
      </w:r>
      <w:r w:rsidRPr="00082E47">
        <w:rPr>
          <w:i/>
          <w:noProof/>
          <w:color w:val="000000"/>
        </w:rPr>
        <w:t>bis</w:t>
      </w:r>
      <w:r w:rsidRPr="00082E47">
        <w:rPr>
          <w:noProof/>
          <w:color w:val="000000"/>
        </w:rPr>
        <w:t>,</w:t>
      </w:r>
    </w:p>
    <w:p w:rsidR="003C122C" w:rsidRPr="00082E47" w:rsidRDefault="003C122C" w:rsidP="004E1EF9">
      <w:pPr>
        <w:rPr>
          <w:noProof/>
        </w:rPr>
      </w:pPr>
      <w:r w:rsidRPr="00082E47">
        <w:rPr>
          <w:noProof/>
        </w:rPr>
        <w:t>considérant ce qui suit:</w:t>
      </w:r>
    </w:p>
    <w:p w:rsidR="00410340" w:rsidRPr="00082E47" w:rsidRDefault="00265C16" w:rsidP="00265C16">
      <w:pPr>
        <w:pStyle w:val="ManualConsidrant"/>
        <w:rPr>
          <w:noProof/>
          <w:color w:val="000000"/>
        </w:rPr>
      </w:pPr>
      <w:r w:rsidRPr="00265C16">
        <w:t>(1)</w:t>
      </w:r>
      <w:r w:rsidRPr="00265C16">
        <w:tab/>
      </w:r>
      <w:r w:rsidR="007067A9" w:rsidRPr="00082E47">
        <w:rPr>
          <w:noProof/>
        </w:rPr>
        <w:t>Le règlement d’exécution (UE) 2021/637 de la Commission</w:t>
      </w:r>
      <w:r w:rsidR="007067A9" w:rsidRPr="00082E47">
        <w:rPr>
          <w:rStyle w:val="FootnoteReference"/>
          <w:noProof/>
        </w:rPr>
        <w:footnoteReference w:id="2"/>
      </w:r>
      <w:r w:rsidR="007067A9" w:rsidRPr="00082E47">
        <w:rPr>
          <w:noProof/>
        </w:rPr>
        <w:t xml:space="preserve"> prévoit des formats de publication uniformes et les instructions correspondantes pour les publications requises par les titres II et III du règlement (UE) nº 575/2013. Le règlement (UE) nº 575/2013 a été modifié par le règlement (UE) 2019/876</w:t>
      </w:r>
      <w:r w:rsidR="007067A9" w:rsidRPr="00082E47">
        <w:rPr>
          <w:rStyle w:val="FootnoteReference"/>
          <w:noProof/>
        </w:rPr>
        <w:footnoteReference w:id="3"/>
      </w:r>
      <w:r w:rsidR="007067A9" w:rsidRPr="00082E47">
        <w:rPr>
          <w:noProof/>
        </w:rPr>
        <w:t>, qui y a notamment introduit un nouvel article 449 </w:t>
      </w:r>
      <w:r w:rsidR="007067A9" w:rsidRPr="00082E47">
        <w:rPr>
          <w:i/>
          <w:noProof/>
        </w:rPr>
        <w:t>bis</w:t>
      </w:r>
      <w:r w:rsidR="007067A9" w:rsidRPr="00082E47">
        <w:rPr>
          <w:noProof/>
        </w:rPr>
        <w:t>. Cet article impose aux grands établissements qui ont émis des valeurs mobilières admises à la négociation sur un marché réglementé d’un État membre de publier, à partir du 28 juin 2022, des informations sur les risques environnementaux, sociaux et de gouvernance (ESG), y compris les risques physiques et les risques de transition. Cette modification apportée au règlement (UE) nº 575/2013 devrait être prise en compte dans le règlement d’exécution (UE) 2021/637 de la Commission, qui devrait prévoir, outre les formats de publication uniformes et les instructions correspondantes existants, des formats de publication uniformes et des instructions correspondantes supplémentaires pour la publication d’informations sur les risques ESG.</w:t>
      </w:r>
    </w:p>
    <w:p w:rsidR="00410340" w:rsidRPr="00082E47" w:rsidRDefault="00265C16" w:rsidP="00265C16">
      <w:pPr>
        <w:pStyle w:val="ManualConsidrant"/>
        <w:rPr>
          <w:noProof/>
        </w:rPr>
      </w:pPr>
      <w:r w:rsidRPr="00265C16">
        <w:t>(2)</w:t>
      </w:r>
      <w:r w:rsidRPr="00265C16">
        <w:tab/>
      </w:r>
      <w:r w:rsidR="00410340" w:rsidRPr="00082E47">
        <w:rPr>
          <w:noProof/>
        </w:rPr>
        <w:t>Lors de l’établissement de formats de publication uniformes, il conviendrait de tenir compte de l’importance des informations à publier dans toutes leurs dimensions. Cela implique que les informations publiées par les établissements devraient porter, d’une part, sur l’incidence financière des facteurs ESG sur leurs activités économiques et financières (point de vue interne ou «outside-in») et, d’autre part, sur les facteurs ESG susceptibles d’être déclenchés par leurs propres activités, lesquels deviennent à leur tour financièrement importants lorsqu’ils affectent leurs parties prenantes (point de vue externe ou «inside-out»). En conséquence, les modèles et tableaux utilisés pour la publication de ces informations devraient garantir la fourniture d’informations sur les risques ESG suffisamment complètes et comparables pour permettre à leurs utilisateurs d’évaluer le profil de risque des établissements.</w:t>
      </w:r>
    </w:p>
    <w:p w:rsidR="00410340" w:rsidRPr="00082E47" w:rsidRDefault="00265C16" w:rsidP="00265C16">
      <w:pPr>
        <w:pStyle w:val="ManualConsidrant"/>
        <w:rPr>
          <w:noProof/>
        </w:rPr>
      </w:pPr>
      <w:r w:rsidRPr="00265C16">
        <w:t>(3)</w:t>
      </w:r>
      <w:r w:rsidRPr="00265C16">
        <w:tab/>
      </w:r>
      <w:r w:rsidR="00A525E2" w:rsidRPr="00082E47">
        <w:rPr>
          <w:noProof/>
        </w:rPr>
        <w:t>Il est nécessaire de garantir la cohérence avec les autres actes législatifs de l’Union traitant des risques ESG. Les règles relatives à la publication d’informations sur les risques ESG devraient dès lors tenir compte des critères, classifications et définitions établis dans ces autres actes législatifs de l’Union. Elles devraient, en particulier, tenir compte des critères d’identification et de classification des activités économiques durables sur le plan environnemental, tels qu’ils sont définis dans le règlement (UE) 2020/852 du Parlement européen et du Conseil</w:t>
      </w:r>
      <w:r w:rsidR="00A525E2" w:rsidRPr="00082E47">
        <w:rPr>
          <w:rStyle w:val="FootnoteReference"/>
          <w:noProof/>
        </w:rPr>
        <w:footnoteReference w:id="4"/>
      </w:r>
      <w:r w:rsidR="00A525E2" w:rsidRPr="00082E47">
        <w:rPr>
          <w:noProof/>
        </w:rPr>
        <w:t xml:space="preserve"> et dans le règlement délégué (UE) 2020/1818 de la Commission</w:t>
      </w:r>
      <w:r w:rsidR="00A525E2" w:rsidRPr="00082E47">
        <w:rPr>
          <w:rStyle w:val="FootnoteReference"/>
          <w:noProof/>
        </w:rPr>
        <w:footnoteReference w:id="5"/>
      </w:r>
      <w:r w:rsidR="00A525E2" w:rsidRPr="00082E47">
        <w:rPr>
          <w:noProof/>
        </w:rPr>
        <w:t>. En ce qui concerne la publication d’informations sur la performance énergétique du portefeuille immobilier des établissements, les informations fournies par le certificat de performance énergétique au sens de l’article 2, point 12), de la directive 2010/31/UE du Parlement européen et du Conseil</w:t>
      </w:r>
      <w:r w:rsidR="00A525E2" w:rsidRPr="00082E47">
        <w:rPr>
          <w:rStyle w:val="FootnoteReference"/>
          <w:noProof/>
        </w:rPr>
        <w:footnoteReference w:id="6"/>
      </w:r>
      <w:r w:rsidR="00A525E2" w:rsidRPr="00082E47">
        <w:rPr>
          <w:noProof/>
        </w:rPr>
        <w:t xml:space="preserve"> devraient être prises en considération.</w:t>
      </w:r>
    </w:p>
    <w:p w:rsidR="00135CD4" w:rsidRPr="00082E47" w:rsidRDefault="00265C16" w:rsidP="00265C16">
      <w:pPr>
        <w:pStyle w:val="ManualConsidrant"/>
        <w:rPr>
          <w:noProof/>
        </w:rPr>
      </w:pPr>
      <w:r w:rsidRPr="00265C16">
        <w:t>(4)</w:t>
      </w:r>
      <w:r w:rsidRPr="00265C16">
        <w:tab/>
      </w:r>
      <w:r w:rsidR="00135CD4" w:rsidRPr="00082E47">
        <w:rPr>
          <w:noProof/>
        </w:rPr>
        <w:t>Les articles 19 </w:t>
      </w:r>
      <w:r w:rsidR="00135CD4" w:rsidRPr="00082E47">
        <w:rPr>
          <w:i/>
          <w:noProof/>
        </w:rPr>
        <w:t>bis</w:t>
      </w:r>
      <w:r w:rsidR="00135CD4" w:rsidRPr="00082E47">
        <w:rPr>
          <w:noProof/>
        </w:rPr>
        <w:t xml:space="preserve"> et 29 </w:t>
      </w:r>
      <w:r w:rsidR="00135CD4" w:rsidRPr="00082E47">
        <w:rPr>
          <w:i/>
          <w:noProof/>
        </w:rPr>
        <w:t>bis</w:t>
      </w:r>
      <w:r w:rsidR="00135CD4" w:rsidRPr="00082E47">
        <w:rPr>
          <w:noProof/>
        </w:rPr>
        <w:t xml:space="preserve"> de la directive 2013/34/UE du Parlement européen et du Conseil</w:t>
      </w:r>
      <w:r w:rsidR="00135CD4" w:rsidRPr="00082E47">
        <w:rPr>
          <w:rStyle w:val="FootnoteReference"/>
          <w:noProof/>
        </w:rPr>
        <w:footnoteReference w:id="7"/>
      </w:r>
      <w:r w:rsidR="00135CD4" w:rsidRPr="00082E47">
        <w:rPr>
          <w:noProof/>
        </w:rPr>
        <w:t xml:space="preserve"> imposent respectivement à certaines grandes entreprises qui sont des entités d’intérêt public d’inclure dans leur rapport de gestion, et aux entités d’intérêt public qui sont des entreprises mères d’un grand groupe d’inclure dans leur rapport consolidé de gestion, des informations sur l’incidence de leurs activités sur les questions environnementales, sociales et de personnel, de respect des droits de l’homme et de lutte contre la corruption. Cette obligation ne s’applique toutefois pas aux autres entreprises. En conséquence, les entreprises qui ne relèvent pas de l’article 19 </w:t>
      </w:r>
      <w:r w:rsidR="00135CD4" w:rsidRPr="00082E47">
        <w:rPr>
          <w:i/>
          <w:noProof/>
        </w:rPr>
        <w:t>bis</w:t>
      </w:r>
      <w:r w:rsidR="00135CD4" w:rsidRPr="00082E47">
        <w:rPr>
          <w:noProof/>
        </w:rPr>
        <w:t xml:space="preserve"> ou de l’article 29 </w:t>
      </w:r>
      <w:r w:rsidR="00135CD4" w:rsidRPr="00082E47">
        <w:rPr>
          <w:i/>
          <w:noProof/>
        </w:rPr>
        <w:t>bis</w:t>
      </w:r>
      <w:r w:rsidR="00135CD4" w:rsidRPr="00082E47">
        <w:rPr>
          <w:noProof/>
        </w:rPr>
        <w:t xml:space="preserve"> de la directive 2013/34/UE ne sont pas tenues de publier ces informations et pourraient ne pas être en mesure de les fournir aux établissements. On peut donc seulement attendre de telles entreprises qui sont des contreparties d’établissements qu’elles fournissent ces informations et données spontanément. Il convient néanmoins de leur fournir des orientations sur la manière de calculer le pourcentage de leurs expositions à des activités économiques durables sur le plan environnemental au sens l’article 3 du règlement (UE) 2020/852, afin que ces informations et données puissent être présentées dans un format normalisé et comparable. Lorsque ces informations et données ne sont pas fournies spontanément, les établissements devraient pouvoir utiliser des estimations ou des approximations pour calculer le pourcentage d’expositions alignées sur la taxinomie.</w:t>
      </w:r>
    </w:p>
    <w:p w:rsidR="00921483" w:rsidRPr="00082E47" w:rsidRDefault="00265C16" w:rsidP="00265C16">
      <w:pPr>
        <w:pStyle w:val="ManualConsidrant"/>
        <w:rPr>
          <w:noProof/>
        </w:rPr>
      </w:pPr>
      <w:r w:rsidRPr="00265C16">
        <w:t>(5)</w:t>
      </w:r>
      <w:r w:rsidRPr="00265C16">
        <w:tab/>
      </w:r>
      <w:r w:rsidR="00A97285" w:rsidRPr="00082E47">
        <w:rPr>
          <w:noProof/>
        </w:rPr>
        <w:t>L’article 449 </w:t>
      </w:r>
      <w:r w:rsidR="00A97285" w:rsidRPr="00082E47">
        <w:rPr>
          <w:i/>
          <w:noProof/>
        </w:rPr>
        <w:t>bis</w:t>
      </w:r>
      <w:r w:rsidR="00A97285" w:rsidRPr="00082E47">
        <w:rPr>
          <w:noProof/>
        </w:rPr>
        <w:t xml:space="preserve"> du règlement (UE) nº 575/2013 exige la publication d’informations sur les risques ESG à partir du 28 juin 2022, sur une base annuelle la première année, puis deux fois par an. Pour ces raisons, il conviendrait de fixer au 31 décembre 2022 la première date de référence de publication annuelle.</w:t>
      </w:r>
    </w:p>
    <w:p w:rsidR="00ED20D7" w:rsidRPr="00082E47" w:rsidRDefault="00265C16" w:rsidP="00265C16">
      <w:pPr>
        <w:pStyle w:val="ManualConsidrant"/>
        <w:rPr>
          <w:noProof/>
        </w:rPr>
      </w:pPr>
      <w:r w:rsidRPr="00265C16">
        <w:t>(6)</w:t>
      </w:r>
      <w:r w:rsidRPr="00265C16">
        <w:tab/>
      </w:r>
      <w:r w:rsidR="00410340" w:rsidRPr="00082E47">
        <w:rPr>
          <w:noProof/>
        </w:rPr>
        <w:t xml:space="preserve">Le présent règlement se fonde sur le projet de normes techniques d’exécution soumis à la Commission par l’Autorité bancaire européenne. </w:t>
      </w:r>
    </w:p>
    <w:p w:rsidR="00410340" w:rsidRPr="00082E47" w:rsidRDefault="00265C16" w:rsidP="00265C16">
      <w:pPr>
        <w:pStyle w:val="ManualConsidrant"/>
        <w:rPr>
          <w:noProof/>
        </w:rPr>
      </w:pPr>
      <w:r w:rsidRPr="00265C16">
        <w:t>(7)</w:t>
      </w:r>
      <w:r w:rsidRPr="00265C16">
        <w:tab/>
      </w:r>
      <w:r w:rsidR="00ED20D7" w:rsidRPr="00082E47">
        <w:rPr>
          <w:noProof/>
        </w:rPr>
        <w:t>L’Autorité bancaire européenne a procédé à des consultations publiques ouvertes sur le projet de normes techniques d’exécution sur lequel se fonde le présent règlement, analysé les coûts et avantages potentiels qu’il implique et sollicité l’avis du groupe des parties intéressées au secteur bancaire institué par l’article 37 du règlement (UE) nº 1093/2010 du Parlement européen et du Conseil</w:t>
      </w:r>
      <w:r w:rsidR="00ED20D7" w:rsidRPr="00082E47">
        <w:rPr>
          <w:rStyle w:val="FootnoteReference"/>
          <w:noProof/>
        </w:rPr>
        <w:footnoteReference w:id="8"/>
      </w:r>
      <w:r w:rsidR="00ED20D7" w:rsidRPr="00082E47">
        <w:rPr>
          <w:noProof/>
        </w:rPr>
        <w:t>.</w:t>
      </w:r>
    </w:p>
    <w:p w:rsidR="00410340" w:rsidRPr="00082E47" w:rsidRDefault="00265C16" w:rsidP="00265C16">
      <w:pPr>
        <w:pStyle w:val="ManualConsidrant"/>
        <w:rPr>
          <w:noProof/>
        </w:rPr>
      </w:pPr>
      <w:r w:rsidRPr="00265C16">
        <w:t>(8)</w:t>
      </w:r>
      <w:r w:rsidRPr="00265C16">
        <w:tab/>
      </w:r>
      <w:r w:rsidR="00410340" w:rsidRPr="00082E47">
        <w:rPr>
          <w:noProof/>
        </w:rPr>
        <w:t>Il convient dès lors de modifier le règlement d’exécution (UE) 2021/637 en conséquence,</w:t>
      </w:r>
    </w:p>
    <w:p w:rsidR="003C122C" w:rsidRPr="00082E47" w:rsidRDefault="003C122C" w:rsidP="004E1EF9">
      <w:pPr>
        <w:pStyle w:val="Formuledadoption"/>
        <w:rPr>
          <w:noProof/>
          <w:szCs w:val="24"/>
        </w:rPr>
      </w:pPr>
      <w:r w:rsidRPr="00082E47">
        <w:rPr>
          <w:noProof/>
        </w:rPr>
        <w:t>A ADOPTÉ LE PRÉSENT RÈGLEMENT:</w:t>
      </w:r>
    </w:p>
    <w:p w:rsidR="003C122C" w:rsidRPr="00082E47" w:rsidRDefault="003C122C" w:rsidP="004E1EF9">
      <w:pPr>
        <w:pStyle w:val="Titrearticle"/>
        <w:rPr>
          <w:noProof/>
          <w:szCs w:val="24"/>
        </w:rPr>
      </w:pPr>
      <w:r w:rsidRPr="00082E47">
        <w:rPr>
          <w:noProof/>
        </w:rPr>
        <w:t>Article premier</w:t>
      </w:r>
    </w:p>
    <w:p w:rsidR="007F4F83" w:rsidRPr="00082E47" w:rsidRDefault="007F4F83" w:rsidP="00D00193">
      <w:pPr>
        <w:pStyle w:val="Titrearticle"/>
        <w:spacing w:before="120"/>
        <w:rPr>
          <w:b/>
          <w:i w:val="0"/>
          <w:noProof/>
          <w:szCs w:val="24"/>
        </w:rPr>
      </w:pPr>
      <w:r w:rsidRPr="00082E47">
        <w:rPr>
          <w:b/>
          <w:i w:val="0"/>
          <w:noProof/>
        </w:rPr>
        <w:t>Modifications du règlement d’exécution (UE) 2021/637</w:t>
      </w:r>
    </w:p>
    <w:p w:rsidR="007F4F83" w:rsidRPr="00082E47" w:rsidRDefault="007F4F83" w:rsidP="007F4F83">
      <w:pPr>
        <w:pStyle w:val="Titrearticle"/>
        <w:jc w:val="left"/>
        <w:rPr>
          <w:rFonts w:eastAsiaTheme="minorEastAsia"/>
          <w:i w:val="0"/>
          <w:noProof/>
          <w:szCs w:val="24"/>
        </w:rPr>
      </w:pPr>
      <w:r w:rsidRPr="00082E47">
        <w:rPr>
          <w:i w:val="0"/>
          <w:noProof/>
        </w:rPr>
        <w:t>Le règlement d’exécution (UE) 2021/637 est modifié comme suit:</w:t>
      </w:r>
    </w:p>
    <w:p w:rsidR="007F4F83" w:rsidRPr="00082E47" w:rsidRDefault="00265C16" w:rsidP="00265C16">
      <w:pPr>
        <w:pStyle w:val="Point0"/>
        <w:rPr>
          <w:noProof/>
        </w:rPr>
      </w:pPr>
      <w:r w:rsidRPr="00265C16">
        <w:t>(1)</w:t>
      </w:r>
      <w:r w:rsidRPr="00265C16">
        <w:tab/>
      </w:r>
      <w:r w:rsidR="007F4F83" w:rsidRPr="00082E47">
        <w:rPr>
          <w:noProof/>
        </w:rPr>
        <w:t>L’article 18 </w:t>
      </w:r>
      <w:r w:rsidR="007F4F83" w:rsidRPr="00082E47">
        <w:rPr>
          <w:i/>
          <w:noProof/>
        </w:rPr>
        <w:t>bis</w:t>
      </w:r>
      <w:r w:rsidR="007F4F83" w:rsidRPr="00082E47">
        <w:rPr>
          <w:noProof/>
        </w:rPr>
        <w:t xml:space="preserve"> suivant est inséré:</w:t>
      </w:r>
    </w:p>
    <w:p w:rsidR="007F4F83" w:rsidRPr="00082E47" w:rsidRDefault="006542E5" w:rsidP="004046D9">
      <w:pPr>
        <w:pStyle w:val="Titrearticle"/>
        <w:spacing w:before="120"/>
        <w:ind w:left="567" w:right="568"/>
        <w:rPr>
          <w:noProof/>
        </w:rPr>
      </w:pPr>
      <w:r w:rsidRPr="00082E47">
        <w:rPr>
          <w:noProof/>
        </w:rPr>
        <w:t>«Article 18 </w:t>
      </w:r>
      <w:r w:rsidRPr="00082E47">
        <w:rPr>
          <w:i w:val="0"/>
          <w:noProof/>
        </w:rPr>
        <w:t>bis</w:t>
      </w:r>
    </w:p>
    <w:p w:rsidR="007F4F83" w:rsidRPr="00082E47" w:rsidRDefault="007F4F83" w:rsidP="004046D9">
      <w:pPr>
        <w:pStyle w:val="Titrearticle"/>
        <w:spacing w:before="120"/>
        <w:ind w:left="567" w:right="568"/>
        <w:rPr>
          <w:b/>
          <w:i w:val="0"/>
          <w:noProof/>
        </w:rPr>
      </w:pPr>
      <w:r w:rsidRPr="00082E47">
        <w:rPr>
          <w:b/>
          <w:i w:val="0"/>
          <w:noProof/>
        </w:rPr>
        <w:t>Publication d’informations sur les risques environnementaux, sociaux et de gouvernance (risques ESG)</w:t>
      </w:r>
    </w:p>
    <w:p w:rsidR="007F4F83" w:rsidRPr="00082E47" w:rsidRDefault="00265C16" w:rsidP="00265C16">
      <w:pPr>
        <w:pStyle w:val="ManualNumPar1"/>
        <w:rPr>
          <w:noProof/>
        </w:rPr>
      </w:pPr>
      <w:r w:rsidRPr="00265C16">
        <w:t>1.</w:t>
      </w:r>
      <w:r w:rsidRPr="00265C16">
        <w:tab/>
      </w:r>
      <w:r w:rsidR="007F4F83" w:rsidRPr="00082E47">
        <w:rPr>
          <w:noProof/>
        </w:rPr>
        <w:t>Les établissements publient les informations visées à l’article 449 </w:t>
      </w:r>
      <w:r w:rsidR="007F4F83" w:rsidRPr="00082E47">
        <w:rPr>
          <w:i/>
          <w:noProof/>
        </w:rPr>
        <w:t>bis</w:t>
      </w:r>
      <w:r w:rsidR="007F4F83" w:rsidRPr="00082E47">
        <w:rPr>
          <w:noProof/>
        </w:rPr>
        <w:t xml:space="preserve"> du règlement (UE) nº 575/2013 comme suit:</w:t>
      </w:r>
    </w:p>
    <w:p w:rsidR="002D1236" w:rsidRPr="00082E47" w:rsidRDefault="00265C16" w:rsidP="00265C16">
      <w:pPr>
        <w:pStyle w:val="Point1"/>
        <w:rPr>
          <w:noProof/>
        </w:rPr>
      </w:pPr>
      <w:r w:rsidRPr="00265C16">
        <w:t>(a)</w:t>
      </w:r>
      <w:r w:rsidRPr="00265C16">
        <w:tab/>
      </w:r>
      <w:r w:rsidR="002D1236" w:rsidRPr="00082E47">
        <w:rPr>
          <w:noProof/>
        </w:rPr>
        <w:t>les informations qualitatives sur les risques environnementaux, sociaux et de gouvernance, au moyen des tableaux 1, 2 et 3 de l’annexe XXXIX du présent règlement et conformément aux instructions données à l’annexe XL du présent règlement;</w:t>
      </w:r>
    </w:p>
    <w:p w:rsidR="002D1236" w:rsidRPr="00082E47" w:rsidRDefault="00265C16" w:rsidP="00265C16">
      <w:pPr>
        <w:pStyle w:val="Point1"/>
        <w:rPr>
          <w:noProof/>
        </w:rPr>
      </w:pPr>
      <w:r w:rsidRPr="00265C16">
        <w:t>(b)</w:t>
      </w:r>
      <w:r w:rsidRPr="00265C16">
        <w:tab/>
      </w:r>
      <w:r w:rsidR="002D1236" w:rsidRPr="00082E47">
        <w:rPr>
          <w:noProof/>
        </w:rPr>
        <w:t>les informations quantitatives sur le risque de transition lié au changement climatique, au moyen des modèles 1 à 4 de l’annexe XXXIX du présent règlement et conformément aux instructions données à l’annexe XL du présent règlement;</w:t>
      </w:r>
    </w:p>
    <w:p w:rsidR="002D1236" w:rsidRPr="00082E47" w:rsidRDefault="00265C16" w:rsidP="00265C16">
      <w:pPr>
        <w:pStyle w:val="Point1"/>
        <w:rPr>
          <w:noProof/>
        </w:rPr>
      </w:pPr>
      <w:r w:rsidRPr="00265C16">
        <w:t>(c)</w:t>
      </w:r>
      <w:r w:rsidRPr="00265C16">
        <w:tab/>
      </w:r>
      <w:r w:rsidR="002D1236" w:rsidRPr="00082E47">
        <w:rPr>
          <w:noProof/>
        </w:rPr>
        <w:t>les informations quantitatives sur les risques physiques liés au changement climatique, au moyen du tableau 5 de l’annexe XXXIX du présent règlement et conformément aux instructions données à l’annexe XL du présent règlement.</w:t>
      </w:r>
    </w:p>
    <w:p w:rsidR="002D1236" w:rsidRPr="00082E47" w:rsidRDefault="00265C16" w:rsidP="00265C16">
      <w:pPr>
        <w:pStyle w:val="Point1"/>
        <w:rPr>
          <w:noProof/>
        </w:rPr>
      </w:pPr>
      <w:r w:rsidRPr="00265C16">
        <w:t>(d)</w:t>
      </w:r>
      <w:r w:rsidRPr="00265C16">
        <w:tab/>
      </w:r>
      <w:r w:rsidR="002D1236" w:rsidRPr="00082E47">
        <w:rPr>
          <w:noProof/>
        </w:rPr>
        <w:t>les informations quantitatives sur les mesures d’atténuation liées à des activités économiques considérées comme durables sur le plan environnemental, au sens de l’article 3 du règlement (UE) 2020/852 du Parlement européen et du Conseil</w:t>
      </w:r>
      <w:r w:rsidR="002D1236" w:rsidRPr="00082E47">
        <w:rPr>
          <w:noProof/>
          <w:vertAlign w:val="superscript"/>
        </w:rPr>
        <w:t>*1</w:t>
      </w:r>
      <w:r w:rsidR="002D1236" w:rsidRPr="00082E47">
        <w:rPr>
          <w:noProof/>
        </w:rPr>
        <w:t>, qui sont prises à l’égard des contreparties relevant de l’article 19 </w:t>
      </w:r>
      <w:r w:rsidR="002D1236" w:rsidRPr="00082E47">
        <w:rPr>
          <w:i/>
          <w:iCs/>
          <w:noProof/>
        </w:rPr>
        <w:t>bis</w:t>
      </w:r>
      <w:r w:rsidR="002D1236" w:rsidRPr="00082E47">
        <w:rPr>
          <w:noProof/>
        </w:rPr>
        <w:t xml:space="preserve"> ou de l’article 29 </w:t>
      </w:r>
      <w:r w:rsidR="002D1236" w:rsidRPr="00082E47">
        <w:rPr>
          <w:i/>
          <w:iCs/>
          <w:noProof/>
        </w:rPr>
        <w:t>bis</w:t>
      </w:r>
      <w:r w:rsidR="002D1236" w:rsidRPr="00082E47">
        <w:rPr>
          <w:noProof/>
        </w:rPr>
        <w:t xml:space="preserve"> de la directive 2013/34/UE du Parlement européen et du Conseil</w:t>
      </w:r>
      <w:r w:rsidR="002D1236" w:rsidRPr="00082E47">
        <w:rPr>
          <w:noProof/>
          <w:vertAlign w:val="superscript"/>
        </w:rPr>
        <w:t>*2</w:t>
      </w:r>
      <w:r w:rsidR="002D1236" w:rsidRPr="00082E47">
        <w:rPr>
          <w:noProof/>
        </w:rPr>
        <w:t xml:space="preserve">, </w:t>
      </w:r>
      <w:bookmarkStart w:id="1" w:name="_Hlk92470586"/>
      <w:r w:rsidR="002D1236" w:rsidRPr="00082E47">
        <w:rPr>
          <w:noProof/>
        </w:rPr>
        <w:t>à l’égard des ménages et à l’égard des administrations locales</w:t>
      </w:r>
      <w:bookmarkEnd w:id="1"/>
      <w:r w:rsidR="002D1236" w:rsidRPr="00082E47">
        <w:rPr>
          <w:noProof/>
        </w:rPr>
        <w:t xml:space="preserve"> visées à l’annexe V, partie 1, point 42 b), du règlement d’exécution (UE) 2021/451 de la Commission</w:t>
      </w:r>
      <w:r w:rsidR="002D1236" w:rsidRPr="00082E47">
        <w:rPr>
          <w:noProof/>
          <w:vertAlign w:val="superscript"/>
        </w:rPr>
        <w:t>*3</w:t>
      </w:r>
      <w:r w:rsidR="002D1236" w:rsidRPr="00082E47">
        <w:rPr>
          <w:noProof/>
        </w:rPr>
        <w:t>, au moyen des modèles 6, 7 et 8 de l’annexe XXXIX du présent règlement et conformément aux instructions données à l’annexe XL du présent règlement;</w:t>
      </w:r>
    </w:p>
    <w:p w:rsidR="00995098" w:rsidRPr="00082E47" w:rsidRDefault="00265C16" w:rsidP="00265C16">
      <w:pPr>
        <w:pStyle w:val="Point1"/>
        <w:rPr>
          <w:noProof/>
        </w:rPr>
      </w:pPr>
      <w:r w:rsidRPr="00265C16">
        <w:t>(e)</w:t>
      </w:r>
      <w:r w:rsidRPr="00265C16">
        <w:tab/>
      </w:r>
      <w:r w:rsidR="00995098" w:rsidRPr="00082E47">
        <w:rPr>
          <w:noProof/>
        </w:rPr>
        <w:t>les informations quantitatives sur les autres mesures d’atténuation, et sur les expositions à des risques liés au changement climatique, associées à des activités économiques qui ne sont pas considérées comme durables sur le plan environnemental au sens de l’article 3 du règlement (UE) 2020/852, mais qui soutiennent les contreparties dans leur processus de transition ou d’adaptation aux objectifs d’atténuation du changement climatique et d’adaptation à celui-ci, au moyen du modèle 10 de l’annexe XXXIX du présent règlement et conformément aux instructions données à l’annexe XL du présent règlement.</w:t>
      </w:r>
    </w:p>
    <w:p w:rsidR="008D2E23" w:rsidRPr="00082E47" w:rsidRDefault="00265C16" w:rsidP="00265C16">
      <w:pPr>
        <w:pStyle w:val="ManualNumPar1"/>
        <w:rPr>
          <w:noProof/>
        </w:rPr>
      </w:pPr>
      <w:r w:rsidRPr="00265C16">
        <w:t>2.</w:t>
      </w:r>
      <w:r w:rsidRPr="00265C16">
        <w:tab/>
      </w:r>
      <w:r w:rsidR="000941B5" w:rsidRPr="00082E47">
        <w:rPr>
          <w:noProof/>
        </w:rPr>
        <w:t xml:space="preserve">Les établissements peuvent choisir de publier les informations quantitatives sur des mesures d’atténuation, et sur des expositions à des risques liés au changement climatique, associées à des activités économiques qui sont considérées comme durables sur le plan environnemental au sens de l’article 3 du règlement (UE) 2020/852, à l’égard de contreparties </w:t>
      </w:r>
      <w:bookmarkStart w:id="2" w:name="_Hlk92470606"/>
      <w:r w:rsidR="000941B5" w:rsidRPr="00082E47">
        <w:rPr>
          <w:noProof/>
        </w:rPr>
        <w:t>qui sont des sociétés non financières</w:t>
      </w:r>
      <w:bookmarkEnd w:id="2"/>
      <w:r w:rsidR="000941B5" w:rsidRPr="00082E47">
        <w:rPr>
          <w:noProof/>
        </w:rPr>
        <w:t xml:space="preserve"> visées à l’annexe V, partie 1, point 42 e), du règlement d’exécution (UE) 2021/451, non soumises aux obligations de publication prévues à l’article 19 </w:t>
      </w:r>
      <w:r w:rsidR="000941B5" w:rsidRPr="00082E47">
        <w:rPr>
          <w:i/>
          <w:iCs/>
          <w:noProof/>
        </w:rPr>
        <w:t>bis</w:t>
      </w:r>
      <w:r w:rsidR="000941B5" w:rsidRPr="00082E47">
        <w:rPr>
          <w:noProof/>
        </w:rPr>
        <w:t xml:space="preserve"> ou à l’article 29 </w:t>
      </w:r>
      <w:r w:rsidR="000941B5" w:rsidRPr="00082E47">
        <w:rPr>
          <w:i/>
          <w:iCs/>
          <w:noProof/>
        </w:rPr>
        <w:t>bis</w:t>
      </w:r>
      <w:r w:rsidR="000941B5" w:rsidRPr="00082E47">
        <w:rPr>
          <w:noProof/>
        </w:rPr>
        <w:t xml:space="preserve"> de la directive 2013/34/UE ni aux obligations de publication prévues par le règlement d’exécution (UE) 2021/2178 de la Commission</w:t>
      </w:r>
      <w:r w:rsidR="000941B5" w:rsidRPr="00082E47">
        <w:rPr>
          <w:noProof/>
          <w:vertAlign w:val="superscript"/>
        </w:rPr>
        <w:t>*4</w:t>
      </w:r>
      <w:r w:rsidR="000941B5" w:rsidRPr="00082E47">
        <w:rPr>
          <w:noProof/>
        </w:rPr>
        <w:t xml:space="preserve">, au moyen du modèle 9 de l’annexe XXXIX du présent règlement et conformément aux instructions données à l’annexe XL du présent règlement. </w:t>
      </w:r>
    </w:p>
    <w:p w:rsidR="002D1236" w:rsidRPr="00082E47" w:rsidRDefault="002D1236" w:rsidP="00353D88">
      <w:pPr>
        <w:pStyle w:val="Text1"/>
        <w:rPr>
          <w:noProof/>
        </w:rPr>
      </w:pPr>
      <w:r w:rsidRPr="00082E47">
        <w:rPr>
          <w:noProof/>
        </w:rPr>
        <w:t>Pour le calcul du pourcentage d’expositions, à l’égard de telles contreparties, sur des activités satisfaisant aux exigences prévues à l’article 3 du règlement (UE) 2020/852 (expositions alignées sur la taxinomie), les établissements peuvent:</w:t>
      </w:r>
    </w:p>
    <w:p w:rsidR="00D23734" w:rsidRPr="00082E47" w:rsidRDefault="00265C16" w:rsidP="00265C16">
      <w:pPr>
        <w:pStyle w:val="Point1"/>
        <w:rPr>
          <w:noProof/>
        </w:rPr>
      </w:pPr>
      <w:r w:rsidRPr="00265C16">
        <w:t>(a)</w:t>
      </w:r>
      <w:r w:rsidRPr="00265C16">
        <w:tab/>
      </w:r>
      <w:r w:rsidR="008E7D06" w:rsidRPr="00082E47">
        <w:rPr>
          <w:noProof/>
        </w:rPr>
        <w:t>lorsque ces informations sont disponibles, utiliser les informations fournies par leurs contreparties sur une base volontaire et bilatérale dans le cadre de l’octroi du prêt et des processus réguliers d’examen et de suivi du crédit;</w:t>
      </w:r>
    </w:p>
    <w:p w:rsidR="00D23734" w:rsidRPr="00082E47" w:rsidRDefault="00265C16" w:rsidP="00265C16">
      <w:pPr>
        <w:pStyle w:val="Point1"/>
        <w:rPr>
          <w:noProof/>
        </w:rPr>
      </w:pPr>
      <w:r w:rsidRPr="00265C16">
        <w:t>(b)</w:t>
      </w:r>
      <w:r w:rsidRPr="00265C16">
        <w:tab/>
      </w:r>
      <w:r w:rsidR="00B25755" w:rsidRPr="00082E47">
        <w:rPr>
          <w:noProof/>
        </w:rPr>
        <w:t>lorsque la contrepartie n’est pas en mesure de fournir les informations concernées sur une base bilatérale ou n’y est pas disposée, utiliser des estimations et des approximations internes et expliquer, dans les explications qu’ils joignent au modèle, dans quelle mesure ils ont recouru à des estimations et approximations internes, et quelles estimations et approximations internes ont été appliquées;</w:t>
      </w:r>
    </w:p>
    <w:p w:rsidR="002D1236" w:rsidRPr="00082E47" w:rsidRDefault="00265C16" w:rsidP="00265C16">
      <w:pPr>
        <w:pStyle w:val="Point1"/>
        <w:rPr>
          <w:noProof/>
        </w:rPr>
      </w:pPr>
      <w:r w:rsidRPr="00265C16">
        <w:t>(c)</w:t>
      </w:r>
      <w:r w:rsidRPr="00265C16">
        <w:tab/>
      </w:r>
      <w:r w:rsidR="00D23734" w:rsidRPr="00082E47">
        <w:rPr>
          <w:noProof/>
        </w:rPr>
        <w:t>lorsqu’ils ne sont pas en mesure de collecter les informations concernées sur une base bilatérale, ni d’utiliser des estimations et des approximations internes, ou lorsqu’ils ne sont pas en mesure de collecter ces informations ou d’utiliser de telles estimations et approximations d’une manière qui ne représenterait pas une charge excessive pour eux-mêmes ou leurs contreparties, expliquer cette incapacité dans les explications qu’ils joignent au modèle.</w:t>
      </w:r>
    </w:p>
    <w:p w:rsidR="00320B78" w:rsidRPr="00082E47" w:rsidRDefault="00320B78" w:rsidP="00353D88">
      <w:pPr>
        <w:pStyle w:val="Text1"/>
        <w:rPr>
          <w:noProof/>
        </w:rPr>
      </w:pPr>
      <w:r w:rsidRPr="00082E47">
        <w:rPr>
          <w:noProof/>
        </w:rPr>
        <w:t>Aux fins du point a), les établissements informent leurs contreparties que la fourniture de ces informations s’effectue sur une base volontaire.</w:t>
      </w:r>
    </w:p>
    <w:p w:rsidR="007F4F83" w:rsidRPr="00082E47" w:rsidRDefault="00265C16" w:rsidP="00265C16">
      <w:pPr>
        <w:pStyle w:val="ManualNumPar1"/>
        <w:rPr>
          <w:noProof/>
        </w:rPr>
      </w:pPr>
      <w:r w:rsidRPr="00265C16">
        <w:t>3.</w:t>
      </w:r>
      <w:r w:rsidRPr="00265C16">
        <w:tab/>
      </w:r>
      <w:r w:rsidR="006B71ED" w:rsidRPr="00082E47">
        <w:rPr>
          <w:noProof/>
        </w:rPr>
        <w:t>Sauf indication contraire contenue dans les instructions données à l’annexe XL du présent règlement, à partir du 31 décembre 2022, les établissements publient les informations visées à l’article 449 </w:t>
      </w:r>
      <w:r w:rsidR="006B71ED" w:rsidRPr="00082E47">
        <w:rPr>
          <w:i/>
          <w:noProof/>
        </w:rPr>
        <w:t>bis</w:t>
      </w:r>
      <w:r w:rsidR="006B71ED" w:rsidRPr="00082E47">
        <w:rPr>
          <w:noProof/>
        </w:rPr>
        <w:t xml:space="preserve"> du règlement (UE) nº 575/2013 aux dates suivantes:</w:t>
      </w:r>
    </w:p>
    <w:p w:rsidR="007F4F83" w:rsidRPr="00082E47" w:rsidRDefault="00265C16" w:rsidP="00265C16">
      <w:pPr>
        <w:pStyle w:val="Point1"/>
        <w:rPr>
          <w:noProof/>
        </w:rPr>
      </w:pPr>
      <w:r w:rsidRPr="00265C16">
        <w:t>(a)</w:t>
      </w:r>
      <w:r w:rsidRPr="00265C16">
        <w:tab/>
      </w:r>
      <w:r w:rsidR="007F4F83" w:rsidRPr="00082E47">
        <w:rPr>
          <w:noProof/>
        </w:rPr>
        <w:t>pour les publications annuelles: le 31 décembre;</w:t>
      </w:r>
    </w:p>
    <w:p w:rsidR="00D01D57" w:rsidRPr="00082E47" w:rsidRDefault="00265C16" w:rsidP="00265C16">
      <w:pPr>
        <w:pStyle w:val="Point1"/>
        <w:rPr>
          <w:noProof/>
        </w:rPr>
      </w:pPr>
      <w:r w:rsidRPr="00265C16">
        <w:t>(b)</w:t>
      </w:r>
      <w:r w:rsidRPr="00265C16">
        <w:tab/>
      </w:r>
      <w:r w:rsidR="007F4F83" w:rsidRPr="00082E47">
        <w:rPr>
          <w:noProof/>
        </w:rPr>
        <w:t>pour les publications semestrielles: le 30 juin et le 31 décembre de chaque année.</w:t>
      </w:r>
    </w:p>
    <w:p w:rsidR="00086FAB" w:rsidRPr="00082E47" w:rsidRDefault="001904B5" w:rsidP="0087679B">
      <w:pPr>
        <w:pStyle w:val="Text2"/>
        <w:rPr>
          <w:noProof/>
        </w:rPr>
      </w:pPr>
      <w:r w:rsidRPr="00082E47">
        <w:rPr>
          <w:noProof/>
        </w:rPr>
        <w:tab/>
        <w:t>___________</w:t>
      </w:r>
    </w:p>
    <w:p w:rsidR="00086FAB" w:rsidRPr="00082E47" w:rsidRDefault="00086FAB" w:rsidP="0087679B">
      <w:pPr>
        <w:pStyle w:val="Text3"/>
        <w:rPr>
          <w:noProof/>
          <w:sz w:val="20"/>
          <w:szCs w:val="20"/>
        </w:rPr>
      </w:pPr>
      <w:r w:rsidRPr="00082E47">
        <w:rPr>
          <w:noProof/>
          <w:sz w:val="20"/>
          <w:vertAlign w:val="superscript"/>
        </w:rPr>
        <w:t>*1</w:t>
      </w:r>
      <w:r w:rsidRPr="00082E47">
        <w:rPr>
          <w:noProof/>
        </w:rPr>
        <w:tab/>
      </w:r>
      <w:r w:rsidRPr="00082E47">
        <w:rPr>
          <w:noProof/>
          <w:sz w:val="20"/>
        </w:rPr>
        <w:t>Règlement (UE) 2020/852 du Parlement européen et du Conseil du 18 juin 2020 sur l’établissement d’un cadre visant à favoriser les investissements durables et modifiant le règlement (UE) 2019/2088 (JO L 198 du 22.6.2020, p. 13).</w:t>
      </w:r>
    </w:p>
    <w:p w:rsidR="00086FAB" w:rsidRPr="00082E47" w:rsidRDefault="00086FAB" w:rsidP="004F6722">
      <w:pPr>
        <w:pStyle w:val="Text3"/>
        <w:rPr>
          <w:noProof/>
          <w:sz w:val="20"/>
          <w:szCs w:val="20"/>
        </w:rPr>
      </w:pPr>
      <w:r w:rsidRPr="00082E47">
        <w:rPr>
          <w:noProof/>
          <w:sz w:val="20"/>
          <w:vertAlign w:val="superscript"/>
        </w:rPr>
        <w:t>*2</w:t>
      </w:r>
      <w:r w:rsidRPr="00082E47">
        <w:rPr>
          <w:noProof/>
        </w:rPr>
        <w:tab/>
      </w:r>
      <w:r w:rsidRPr="00082E47">
        <w:rPr>
          <w:noProof/>
          <w:sz w:val="20"/>
        </w:rPr>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p w:rsidR="00086FAB" w:rsidRPr="00082E47" w:rsidRDefault="00086FAB" w:rsidP="0087679B">
      <w:pPr>
        <w:pStyle w:val="Text3"/>
        <w:rPr>
          <w:noProof/>
          <w:sz w:val="20"/>
          <w:szCs w:val="20"/>
        </w:rPr>
      </w:pPr>
      <w:r w:rsidRPr="00082E47">
        <w:rPr>
          <w:noProof/>
          <w:sz w:val="20"/>
          <w:vertAlign w:val="superscript"/>
        </w:rPr>
        <w:t>*3</w:t>
      </w:r>
      <w:r w:rsidRPr="00082E47">
        <w:rPr>
          <w:noProof/>
        </w:rPr>
        <w:tab/>
      </w:r>
      <w:r w:rsidRPr="00082E47">
        <w:rPr>
          <w:noProof/>
          <w:sz w:val="20"/>
        </w:rPr>
        <w:t>Règlement d’exécution (UE) 2021/451 de la Commission du 17 décembre 2020 définissant des normes techniques d’exécution pour l’application du règlement (UE) nº 575/2013 du Parlement européen et du Conseil en ce qui concerne l’information prudentielle à fournir par les établissements, et abrogeant le règlement d’exécution (UE) nº 680/2014 (JO L 97 du 19.3.2021, p. 1).</w:t>
      </w:r>
    </w:p>
    <w:p w:rsidR="00086FAB" w:rsidRPr="00082E47" w:rsidRDefault="00086FAB" w:rsidP="0087679B">
      <w:pPr>
        <w:pStyle w:val="Text3"/>
        <w:rPr>
          <w:noProof/>
          <w:sz w:val="20"/>
          <w:szCs w:val="20"/>
        </w:rPr>
      </w:pPr>
      <w:r w:rsidRPr="00082E47">
        <w:rPr>
          <w:noProof/>
          <w:sz w:val="20"/>
          <w:vertAlign w:val="superscript"/>
        </w:rPr>
        <w:t>*4</w:t>
      </w:r>
      <w:r w:rsidRPr="00082E47">
        <w:rPr>
          <w:noProof/>
        </w:rPr>
        <w:tab/>
      </w:r>
      <w:r w:rsidRPr="00082E47">
        <w:rPr>
          <w:noProof/>
          <w:sz w:val="20"/>
        </w:rPr>
        <w:t>Règlement délégué (UE) 2021/2178 de la Commission du 6 juillet 2021 complétant le règlement (UE) 2020/852 du Parlement européen et du Conseil par des précisions concernant le contenu et la présentation des informations que doivent publier les entreprises soumises à l’article 19 bis ou à l’article 29 bis de la directive 2013/34/UE sur leurs activités économiques durables sur le plan environnemental, ainsi que la méthode à suivre pour se conformer à cette obligation d’information (JO L 443 du 10.12.2021, p. 9).</w:t>
      </w:r>
    </w:p>
    <w:p w:rsidR="007F4F83" w:rsidRPr="00082E47" w:rsidRDefault="00265C16" w:rsidP="00265C16">
      <w:pPr>
        <w:pStyle w:val="Point0"/>
        <w:rPr>
          <w:noProof/>
        </w:rPr>
      </w:pPr>
      <w:r w:rsidRPr="00265C16">
        <w:t>(2)</w:t>
      </w:r>
      <w:r w:rsidRPr="00265C16">
        <w:tab/>
      </w:r>
      <w:r w:rsidR="00921483" w:rsidRPr="00082E47">
        <w:rPr>
          <w:noProof/>
        </w:rPr>
        <w:t xml:space="preserve">Le texte figurant à l’annexe I du présent règlement est ajouté en tant qu’annexe XXXIX. </w:t>
      </w:r>
    </w:p>
    <w:p w:rsidR="007F4F83" w:rsidRPr="00082E47" w:rsidRDefault="00265C16" w:rsidP="00265C16">
      <w:pPr>
        <w:pStyle w:val="Point0"/>
        <w:rPr>
          <w:noProof/>
        </w:rPr>
      </w:pPr>
      <w:r w:rsidRPr="00265C16">
        <w:t>(3)</w:t>
      </w:r>
      <w:r w:rsidRPr="00265C16">
        <w:tab/>
      </w:r>
      <w:r w:rsidR="00921483" w:rsidRPr="00082E47">
        <w:rPr>
          <w:noProof/>
        </w:rPr>
        <w:t>Le texte figurant à l’annexe II du présent règlement est ajouté en tant qu’annexe XL.</w:t>
      </w:r>
    </w:p>
    <w:p w:rsidR="007F4F83" w:rsidRPr="00082E47" w:rsidRDefault="007F4F83" w:rsidP="004046D9">
      <w:pPr>
        <w:pStyle w:val="Titrearticle"/>
        <w:rPr>
          <w:noProof/>
          <w:szCs w:val="24"/>
        </w:rPr>
      </w:pPr>
      <w:r w:rsidRPr="00082E47">
        <w:rPr>
          <w:noProof/>
        </w:rPr>
        <w:t>Article 2</w:t>
      </w:r>
    </w:p>
    <w:p w:rsidR="007F4F83" w:rsidRPr="00082E47" w:rsidRDefault="007F4F83" w:rsidP="007F4F83">
      <w:pPr>
        <w:pStyle w:val="Titrearticle"/>
        <w:spacing w:before="120"/>
        <w:rPr>
          <w:b/>
          <w:i w:val="0"/>
          <w:noProof/>
          <w:szCs w:val="24"/>
        </w:rPr>
      </w:pPr>
      <w:r w:rsidRPr="00082E47">
        <w:rPr>
          <w:b/>
          <w:i w:val="0"/>
          <w:noProof/>
        </w:rPr>
        <w:t>Entrée en vigueur</w:t>
      </w:r>
    </w:p>
    <w:p w:rsidR="007F4F83" w:rsidRPr="00082E47" w:rsidRDefault="007F4F83" w:rsidP="007F4F83">
      <w:pPr>
        <w:rPr>
          <w:noProof/>
          <w:color w:val="000000" w:themeColor="text1"/>
          <w:szCs w:val="24"/>
        </w:rPr>
      </w:pPr>
      <w:r w:rsidRPr="00082E47">
        <w:rPr>
          <w:noProof/>
        </w:rPr>
        <w:t xml:space="preserve">Le présent règlement entre en vigueur le vingtième jour suivant celui de sa publication au </w:t>
      </w:r>
      <w:r w:rsidRPr="00082E47">
        <w:rPr>
          <w:i/>
          <w:noProof/>
        </w:rPr>
        <w:t>Journal officiel de l’Union européenne</w:t>
      </w:r>
      <w:r w:rsidRPr="00082E47">
        <w:rPr>
          <w:noProof/>
        </w:rPr>
        <w:t>.</w:t>
      </w:r>
      <w:r w:rsidRPr="00082E47">
        <w:rPr>
          <w:noProof/>
          <w:color w:val="000000" w:themeColor="text1"/>
        </w:rPr>
        <w:t xml:space="preserve"> </w:t>
      </w:r>
    </w:p>
    <w:p w:rsidR="007F4F83" w:rsidRPr="00082E47" w:rsidRDefault="007F4F83" w:rsidP="007F4F83">
      <w:pPr>
        <w:pStyle w:val="Applicationdirecte"/>
        <w:rPr>
          <w:noProof/>
          <w:color w:val="000000"/>
          <w:szCs w:val="24"/>
        </w:rPr>
      </w:pPr>
      <w:r w:rsidRPr="00082E47">
        <w:rPr>
          <w:noProof/>
          <w:color w:val="000000"/>
        </w:rPr>
        <w:t>Le présent règlement est obligatoire dans tous ses éléments et directement applicable dans tout État membre.</w:t>
      </w:r>
    </w:p>
    <w:p w:rsidR="003C122C" w:rsidRPr="00082E47" w:rsidRDefault="004945DD" w:rsidP="00FA6DE4">
      <w:pPr>
        <w:pStyle w:val="Fait"/>
        <w:rPr>
          <w:noProof/>
        </w:rPr>
      </w:pPr>
      <w:r w:rsidRPr="004945DD">
        <w:t>Fait à Bruxelles, le 30.11.2022</w:t>
      </w:r>
    </w:p>
    <w:p w:rsidR="003C122C" w:rsidRPr="00082E47" w:rsidRDefault="003C122C" w:rsidP="00FA6DE4">
      <w:pPr>
        <w:pStyle w:val="Institutionquisigne"/>
        <w:rPr>
          <w:noProof/>
          <w:szCs w:val="24"/>
        </w:rPr>
      </w:pPr>
      <w:r w:rsidRPr="00082E47">
        <w:rPr>
          <w:noProof/>
        </w:rPr>
        <w:tab/>
        <w:t>Par la Commission</w:t>
      </w:r>
    </w:p>
    <w:p w:rsidR="00C32BCD" w:rsidRPr="00082E47" w:rsidRDefault="00AA4026" w:rsidP="00FA6DE4">
      <w:pPr>
        <w:pStyle w:val="Personnequisigne"/>
        <w:keepNext/>
        <w:rPr>
          <w:noProof/>
          <w:szCs w:val="24"/>
        </w:rPr>
      </w:pPr>
      <w:r>
        <w:tab/>
        <w:t>La présidente</w:t>
      </w:r>
      <w:r>
        <w:br/>
      </w:r>
      <w:r>
        <w:tab/>
        <w:t>Ursula VON DER LEYEN</w:t>
      </w:r>
    </w:p>
    <w:p w:rsidR="00C32BCD" w:rsidRPr="00082E47" w:rsidRDefault="00C32BCD" w:rsidP="00C32BCD">
      <w:pPr>
        <w:pStyle w:val="Personnequisigne"/>
        <w:rPr>
          <w:noProof/>
          <w:szCs w:val="24"/>
        </w:rPr>
      </w:pPr>
    </w:p>
    <w:sectPr w:rsidR="00C32BCD" w:rsidRPr="00082E47" w:rsidSect="0003135D">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5C5" w:rsidRPr="0003135D" w:rsidRDefault="0003135D" w:rsidP="0003135D">
    <w:pPr>
      <w:pStyle w:val="Footer"/>
      <w:rPr>
        <w:rFonts w:ascii="Arial" w:hAnsi="Arial" w:cs="Arial"/>
        <w:b/>
        <w:sz w:val="48"/>
      </w:rPr>
    </w:pPr>
    <w:r w:rsidRPr="0003135D">
      <w:rPr>
        <w:rFonts w:ascii="Arial" w:hAnsi="Arial" w:cs="Arial"/>
        <w:b/>
        <w:sz w:val="48"/>
      </w:rPr>
      <w:t>FR</w:t>
    </w:r>
    <w:r w:rsidRPr="0003135D">
      <w:rPr>
        <w:rFonts w:ascii="Arial" w:hAnsi="Arial" w:cs="Arial"/>
        <w:b/>
        <w:sz w:val="48"/>
      </w:rPr>
      <w:tab/>
    </w:r>
    <w:r w:rsidRPr="0003135D">
      <w:rPr>
        <w:rFonts w:ascii="Arial" w:hAnsi="Arial" w:cs="Arial"/>
        <w:b/>
        <w:sz w:val="48"/>
      </w:rPr>
      <w:tab/>
    </w:r>
    <w:r w:rsidRPr="0003135D">
      <w:tab/>
    </w:r>
    <w:r w:rsidRPr="0003135D">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35D" w:rsidRPr="0003135D" w:rsidRDefault="0003135D" w:rsidP="0003135D">
    <w:pPr>
      <w:pStyle w:val="Footer"/>
      <w:rPr>
        <w:rFonts w:ascii="Arial" w:hAnsi="Arial" w:cs="Arial"/>
        <w:b/>
        <w:sz w:val="48"/>
      </w:rPr>
    </w:pPr>
    <w:r w:rsidRPr="0003135D">
      <w:rPr>
        <w:rFonts w:ascii="Arial" w:hAnsi="Arial" w:cs="Arial"/>
        <w:b/>
        <w:sz w:val="48"/>
      </w:rPr>
      <w:t>FR</w:t>
    </w:r>
    <w:r w:rsidRPr="0003135D">
      <w:rPr>
        <w:rFonts w:ascii="Arial" w:hAnsi="Arial" w:cs="Arial"/>
        <w:b/>
        <w:sz w:val="48"/>
      </w:rPr>
      <w:tab/>
    </w:r>
    <w:r>
      <w:fldChar w:fldCharType="begin"/>
    </w:r>
    <w:r>
      <w:instrText xml:space="preserve"> PAGE  \* MERGEFORMAT </w:instrText>
    </w:r>
    <w:r>
      <w:fldChar w:fldCharType="separate"/>
    </w:r>
    <w:r w:rsidR="00FA6DE4">
      <w:rPr>
        <w:noProof/>
      </w:rPr>
      <w:t>5</w:t>
    </w:r>
    <w:r>
      <w:fldChar w:fldCharType="end"/>
    </w:r>
    <w:r>
      <w:tab/>
    </w:r>
    <w:r w:rsidRPr="0003135D">
      <w:tab/>
    </w:r>
    <w:r w:rsidRPr="0003135D">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35D" w:rsidRPr="0003135D" w:rsidRDefault="0003135D" w:rsidP="000313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JO L 176 du 27.6.2013, p. 1.</w:t>
      </w:r>
    </w:p>
  </w:footnote>
  <w:footnote w:id="2">
    <w:p w:rsidR="007067A9" w:rsidRPr="00FC42BE" w:rsidRDefault="007067A9" w:rsidP="007067A9">
      <w:pPr>
        <w:pStyle w:val="FootnoteText"/>
      </w:pPr>
      <w:r>
        <w:rPr>
          <w:rStyle w:val="FootnoteReference"/>
        </w:rPr>
        <w:footnoteRef/>
      </w:r>
      <w:r>
        <w:tab/>
        <w:t>Règlement d’exécution (UE) 2021/637 de la Commission du 15 mars 2021 définissant des normes techniques d’exécution en ce qui concerne la publication, par les établissements, des informations visées aux titres II et III de la huitième partie du règlement (UE) nº 575/2013 du Parlement européen et du Conseil et abrogeant le règlement d’exécution (UE) nº 1423/2013 de la Commission, le règlement délégué (UE) 2015/1555 de la Commission, le règlement d’exécution (UE) 2016/200 de la Commission et le règlement délégué (UE) 2017/2295 de la Commission (JO L 136 du 21.4.2021, p. 1).</w:t>
      </w:r>
    </w:p>
  </w:footnote>
  <w:footnote w:id="3">
    <w:p w:rsidR="007067A9" w:rsidRPr="007067A9" w:rsidRDefault="007067A9" w:rsidP="007067A9">
      <w:pPr>
        <w:pStyle w:val="FootnoteText"/>
      </w:pPr>
      <w:r>
        <w:rPr>
          <w:rStyle w:val="FootnoteReference"/>
        </w:rPr>
        <w:footnoteRef/>
      </w:r>
      <w:r>
        <w:tab/>
        <w:t>Règlement (UE) 2019/876 du Parlement européen et du Conseil du 20 mai 2019 modifiant le règlement (UE) nº 575/2013 en ce qui concerne le ratio de levier, le ratio de financement stable net, les exigences en matière de fonds propres et d’engagements éligibles, le risque de crédit de contrepartie, le risque de marché, les expositions sur contreparties centrales, les expositions sur organismes de placement collectif, les grands risques et les exigences de déclaration et de publication, et le règlement (UE) nº 648/2012 (JO L 150 du 7.6.2019, p. 1).</w:t>
      </w:r>
    </w:p>
  </w:footnote>
  <w:footnote w:id="4">
    <w:p w:rsidR="00410340" w:rsidRPr="007067A9" w:rsidRDefault="00410340" w:rsidP="008B3E83">
      <w:pPr>
        <w:pStyle w:val="FootnoteText"/>
      </w:pPr>
      <w:r>
        <w:rPr>
          <w:rStyle w:val="FootnoteReference"/>
        </w:rPr>
        <w:footnoteRef/>
      </w:r>
      <w:r>
        <w:tab/>
        <w:t>Règlement (UE) 2020/852 du Parlement européen et du Conseil du 18 juin 2020 sur l’établissement d’un cadre visant à favoriser les investissements durables et modifiant le règlement (UE) 2019/2088 (</w:t>
      </w:r>
      <w:r>
        <w:rPr>
          <w:rStyle w:val="Emphasis"/>
          <w:i w:val="0"/>
        </w:rPr>
        <w:t>JO L 198 du 22.6.2020, p. 13</w:t>
      </w:r>
      <w:r>
        <w:t>).</w:t>
      </w:r>
    </w:p>
  </w:footnote>
  <w:footnote w:id="5">
    <w:p w:rsidR="00410340" w:rsidRPr="007067A9" w:rsidRDefault="00410340" w:rsidP="008B3E83">
      <w:pPr>
        <w:pStyle w:val="FootnoteText"/>
        <w:rPr>
          <w:i/>
        </w:rPr>
      </w:pPr>
      <w:r>
        <w:rPr>
          <w:rStyle w:val="FootnoteReference"/>
        </w:rPr>
        <w:footnoteRef/>
      </w:r>
      <w:r>
        <w:tab/>
        <w:t>Règlement délégué (UE) 2020/1818 de la Commission du 17 juillet 2020 complétant le règlement (UE) 2016/1011 du Parlement européen et du Conseil par des normes minimales pour les indices de référence «transition climatique» de l’Union et les indices de référence «accord de Paris» de l’Union (</w:t>
      </w:r>
      <w:r>
        <w:rPr>
          <w:rStyle w:val="Emphasis"/>
          <w:i w:val="0"/>
        </w:rPr>
        <w:t>JO L 406 du 3.12.2020, p. 17</w:t>
      </w:r>
      <w:r>
        <w:t>).</w:t>
      </w:r>
    </w:p>
  </w:footnote>
  <w:footnote w:id="6">
    <w:p w:rsidR="00410340" w:rsidRPr="007067A9" w:rsidRDefault="00410340" w:rsidP="008B3E83">
      <w:pPr>
        <w:pStyle w:val="FootnoteText"/>
        <w:rPr>
          <w:color w:val="444444"/>
        </w:rPr>
      </w:pPr>
      <w:r>
        <w:rPr>
          <w:rStyle w:val="FootnoteReference"/>
        </w:rPr>
        <w:footnoteRef/>
      </w:r>
      <w:r>
        <w:tab/>
        <w:t>Directive 2010/31/UE du Parlement européen et du Conseil du 19 mai 2010 sur la performance énergétique des bâtiments (</w:t>
      </w:r>
      <w:r>
        <w:rPr>
          <w:rStyle w:val="Emphasis"/>
          <w:i w:val="0"/>
        </w:rPr>
        <w:t>JO L 153 du 18.6.2010, p. 13</w:t>
      </w:r>
      <w:r>
        <w:t>).</w:t>
      </w:r>
    </w:p>
  </w:footnote>
  <w:footnote w:id="7">
    <w:p w:rsidR="00135CD4" w:rsidRPr="00135CD4" w:rsidRDefault="00135CD4" w:rsidP="00135CD4">
      <w:pPr>
        <w:pStyle w:val="FootnoteText"/>
      </w:pPr>
      <w:r>
        <w:rPr>
          <w:rStyle w:val="FootnoteReference"/>
        </w:rPr>
        <w:footnoteRef/>
      </w:r>
      <w: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footnote>
  <w:footnote w:id="8">
    <w:p w:rsidR="00410340" w:rsidRPr="007067A9" w:rsidRDefault="00410340" w:rsidP="00410340">
      <w:pPr>
        <w:pStyle w:val="FootnoteText"/>
      </w:pPr>
      <w:r>
        <w:rPr>
          <w:rStyle w:val="FootnoteReference"/>
        </w:rPr>
        <w:footnoteRef/>
      </w:r>
      <w:r>
        <w:tab/>
        <w:t>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 w:numId="32">
    <w:abstractNumId w:val="21"/>
  </w:num>
  <w:num w:numId="33">
    <w:abstractNumId w:val="13"/>
  </w:num>
  <w:num w:numId="34">
    <w:abstractNumId w:val="23"/>
  </w:num>
  <w:num w:numId="35">
    <w:abstractNumId w:val="11"/>
  </w:num>
  <w:num w:numId="36">
    <w:abstractNumId w:val="14"/>
  </w:num>
  <w:num w:numId="37">
    <w:abstractNumId w:val="15"/>
  </w:num>
  <w:num w:numId="38">
    <w:abstractNumId w:val="9"/>
  </w:num>
  <w:num w:numId="39">
    <w:abstractNumId w:val="22"/>
  </w:num>
  <w:num w:numId="40">
    <w:abstractNumId w:val="8"/>
  </w:num>
  <w:num w:numId="41">
    <w:abstractNumId w:val="16"/>
  </w:num>
  <w:num w:numId="42">
    <w:abstractNumId w:val="19"/>
  </w:num>
  <w:num w:numId="43">
    <w:abstractNumId w:val="20"/>
  </w:num>
  <w:num w:numId="44">
    <w:abstractNumId w:val="10"/>
  </w:num>
  <w:num w:numId="45">
    <w:abstractNumId w:val="18"/>
  </w:num>
  <w:num w:numId="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ttachedTemplate r:id="rId1"/>
  <w:revisionView w:markup="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24"/>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762036E5-6DDE-4584-84B9-CEDD4A0CA317"/>
    <w:docVar w:name="LW_COVERPAGE_TYPE" w:val="1"/>
    <w:docVar w:name="LW_CROSSREFERENCE" w:val="&lt;UNUSED&gt;"/>
    <w:docVar w:name="LW_DATE.ADOPT.CP" w:val="du 30.11.2022"/>
    <w:docVar w:name="LW_DATE.ADOPT.CP_DATEFORMAT" w:val="du %DATE%"/>
    <w:docVar w:name="LW_DATE.ADOPT.CP_ISODATE" w:val="2022-11-30"/>
    <w:docVar w:name="LW_DocType" w:val="COM"/>
    <w:docVar w:name="LW_EMISSION" w:val="30.11.2022"/>
    <w:docVar w:name="LW_EMISSION_ISODATE" w:val="2022-11-30"/>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CP" w:val="(Texte présentant de l’intérêt pour l’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odifiant les normes techniques d’exécution définies dans le règlement d’exécution (UE) 2021/637 en ce qui concerne la publication d’informations sur les risques environnementaux, sociaux et de gouvernance"/>
    <w:docVar w:name="LW_TYPE.DOC.CP" w:val="RÈGLEMENT D’EXÉCUTION (UE) …/... DE LA COMMISSION"/>
    <w:docVar w:name="LwApiVersions" w:val="LW4CoDe 1.23.2.0; LW 8.0, Build 20211117"/>
  </w:docVars>
  <w:rsids>
    <w:rsidRoot w:val="003C122C"/>
    <w:rsid w:val="000057BA"/>
    <w:rsid w:val="000112E9"/>
    <w:rsid w:val="00012369"/>
    <w:rsid w:val="00013965"/>
    <w:rsid w:val="00014B2C"/>
    <w:rsid w:val="000163E0"/>
    <w:rsid w:val="00022FD2"/>
    <w:rsid w:val="00024AB1"/>
    <w:rsid w:val="0003135D"/>
    <w:rsid w:val="000337EA"/>
    <w:rsid w:val="0004104A"/>
    <w:rsid w:val="0006070A"/>
    <w:rsid w:val="00065DBC"/>
    <w:rsid w:val="00066156"/>
    <w:rsid w:val="00082E47"/>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01D2"/>
    <w:rsid w:val="0011495F"/>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048CD"/>
    <w:rsid w:val="002114F8"/>
    <w:rsid w:val="00225284"/>
    <w:rsid w:val="00227B00"/>
    <w:rsid w:val="002314F6"/>
    <w:rsid w:val="00232E98"/>
    <w:rsid w:val="00236D1F"/>
    <w:rsid w:val="00244967"/>
    <w:rsid w:val="0024497F"/>
    <w:rsid w:val="002522BC"/>
    <w:rsid w:val="00265C16"/>
    <w:rsid w:val="002815D4"/>
    <w:rsid w:val="00282860"/>
    <w:rsid w:val="00286E16"/>
    <w:rsid w:val="002B16C1"/>
    <w:rsid w:val="002C526A"/>
    <w:rsid w:val="002C53FB"/>
    <w:rsid w:val="002D1236"/>
    <w:rsid w:val="002E648F"/>
    <w:rsid w:val="002E6EC7"/>
    <w:rsid w:val="002F40F2"/>
    <w:rsid w:val="00301900"/>
    <w:rsid w:val="00303A4B"/>
    <w:rsid w:val="0031532F"/>
    <w:rsid w:val="00317925"/>
    <w:rsid w:val="00320A76"/>
    <w:rsid w:val="00320B78"/>
    <w:rsid w:val="003226A9"/>
    <w:rsid w:val="0032597F"/>
    <w:rsid w:val="003276ED"/>
    <w:rsid w:val="00331719"/>
    <w:rsid w:val="0033740A"/>
    <w:rsid w:val="003514D0"/>
    <w:rsid w:val="00353D88"/>
    <w:rsid w:val="003578D1"/>
    <w:rsid w:val="00362239"/>
    <w:rsid w:val="00381C22"/>
    <w:rsid w:val="003965B3"/>
    <w:rsid w:val="00396F18"/>
    <w:rsid w:val="00397813"/>
    <w:rsid w:val="003A5DF1"/>
    <w:rsid w:val="003A6D93"/>
    <w:rsid w:val="003C122C"/>
    <w:rsid w:val="003C70D6"/>
    <w:rsid w:val="003D22F0"/>
    <w:rsid w:val="003D5E0A"/>
    <w:rsid w:val="003E1B7D"/>
    <w:rsid w:val="004046D9"/>
    <w:rsid w:val="00410340"/>
    <w:rsid w:val="0041104D"/>
    <w:rsid w:val="00413DA3"/>
    <w:rsid w:val="00414930"/>
    <w:rsid w:val="00414A4D"/>
    <w:rsid w:val="00436E6A"/>
    <w:rsid w:val="004376A0"/>
    <w:rsid w:val="004550A7"/>
    <w:rsid w:val="004945DD"/>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5F5579"/>
    <w:rsid w:val="00635568"/>
    <w:rsid w:val="00635A91"/>
    <w:rsid w:val="00643DD1"/>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16EC2"/>
    <w:rsid w:val="00720FE7"/>
    <w:rsid w:val="00723CCB"/>
    <w:rsid w:val="007252E2"/>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4026"/>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5C81"/>
    <w:rsid w:val="00B75F6E"/>
    <w:rsid w:val="00B76A3B"/>
    <w:rsid w:val="00B8705E"/>
    <w:rsid w:val="00B87C8F"/>
    <w:rsid w:val="00B90FD9"/>
    <w:rsid w:val="00B94522"/>
    <w:rsid w:val="00BB6E75"/>
    <w:rsid w:val="00BC21DD"/>
    <w:rsid w:val="00BE1E9F"/>
    <w:rsid w:val="00BE246D"/>
    <w:rsid w:val="00BF0A20"/>
    <w:rsid w:val="00BF17AA"/>
    <w:rsid w:val="00BF7813"/>
    <w:rsid w:val="00C0016D"/>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45C5"/>
    <w:rsid w:val="00DE6779"/>
    <w:rsid w:val="00E02264"/>
    <w:rsid w:val="00E16C32"/>
    <w:rsid w:val="00E227DA"/>
    <w:rsid w:val="00E27B5B"/>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A6DE4"/>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r-F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fr-FR"/>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fr-FR"/>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03135D"/>
    <w:pPr>
      <w:tabs>
        <w:tab w:val="center" w:pos="4535"/>
        <w:tab w:val="right" w:pos="9071"/>
      </w:tabs>
      <w:spacing w:before="0"/>
    </w:pPr>
  </w:style>
  <w:style w:type="character" w:customStyle="1" w:styleId="HeaderChar">
    <w:name w:val="Header Char"/>
    <w:basedOn w:val="DefaultParagraphFont"/>
    <w:link w:val="Header"/>
    <w:uiPriority w:val="99"/>
    <w:rsid w:val="0003135D"/>
    <w:rPr>
      <w:rFonts w:ascii="Times New Roman" w:hAnsi="Times New Roman" w:cs="Times New Roman"/>
      <w:sz w:val="24"/>
      <w:lang w:val="fr-FR"/>
    </w:rPr>
  </w:style>
  <w:style w:type="paragraph" w:styleId="Footer">
    <w:name w:val="footer"/>
    <w:basedOn w:val="Normal"/>
    <w:link w:val="FooterChar"/>
    <w:uiPriority w:val="99"/>
    <w:unhideWhenUsed/>
    <w:rsid w:val="0003135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3135D"/>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03135D"/>
    <w:pPr>
      <w:tabs>
        <w:tab w:val="center" w:pos="7285"/>
        <w:tab w:val="right" w:pos="14003"/>
      </w:tabs>
      <w:spacing w:before="0"/>
    </w:pPr>
  </w:style>
  <w:style w:type="paragraph" w:customStyle="1" w:styleId="FooterLandscape">
    <w:name w:val="FooterLandscape"/>
    <w:basedOn w:val="Normal"/>
    <w:rsid w:val="0003135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3135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3135D"/>
    <w:pPr>
      <w:spacing w:before="0"/>
      <w:jc w:val="right"/>
    </w:pPr>
    <w:rPr>
      <w:sz w:val="28"/>
    </w:rPr>
  </w:style>
  <w:style w:type="paragraph" w:customStyle="1" w:styleId="FooterSensitivity">
    <w:name w:val="Footer Sensitivity"/>
    <w:basedOn w:val="Normal"/>
    <w:rsid w:val="0003135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2"/>
      </w:numPr>
    </w:pPr>
  </w:style>
  <w:style w:type="paragraph" w:customStyle="1" w:styleId="Tiret1">
    <w:name w:val="Tiret 1"/>
    <w:basedOn w:val="Point1"/>
    <w:pPr>
      <w:numPr>
        <w:numId w:val="33"/>
      </w:numPr>
    </w:pPr>
  </w:style>
  <w:style w:type="paragraph" w:customStyle="1" w:styleId="Tiret2">
    <w:name w:val="Tiret 2"/>
    <w:basedOn w:val="Point2"/>
    <w:pPr>
      <w:numPr>
        <w:numId w:val="34"/>
      </w:numPr>
    </w:pPr>
  </w:style>
  <w:style w:type="paragraph" w:customStyle="1" w:styleId="Tiret3">
    <w:name w:val="Tiret 3"/>
    <w:basedOn w:val="Point3"/>
    <w:pPr>
      <w:numPr>
        <w:numId w:val="35"/>
      </w:numPr>
    </w:pPr>
  </w:style>
  <w:style w:type="paragraph" w:customStyle="1" w:styleId="Tiret4">
    <w:name w:val="Tiret 4"/>
    <w:basedOn w:val="Point4"/>
    <w:pPr>
      <w:numPr>
        <w:numId w:val="36"/>
      </w:numPr>
    </w:pPr>
  </w:style>
  <w:style w:type="paragraph" w:customStyle="1" w:styleId="Tiret5">
    <w:name w:val="Tiret 5"/>
    <w:basedOn w:val="Point5"/>
    <w:pPr>
      <w:numPr>
        <w:numId w:val="3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8"/>
      </w:numPr>
    </w:pPr>
  </w:style>
  <w:style w:type="paragraph" w:customStyle="1" w:styleId="NumPar2">
    <w:name w:val="NumPar 2"/>
    <w:basedOn w:val="Normal"/>
    <w:next w:val="Text1"/>
    <w:pPr>
      <w:numPr>
        <w:ilvl w:val="1"/>
        <w:numId w:val="38"/>
      </w:numPr>
    </w:pPr>
  </w:style>
  <w:style w:type="paragraph" w:customStyle="1" w:styleId="NumPar3">
    <w:name w:val="NumPar 3"/>
    <w:basedOn w:val="Normal"/>
    <w:next w:val="Text1"/>
    <w:pPr>
      <w:numPr>
        <w:ilvl w:val="2"/>
        <w:numId w:val="38"/>
      </w:numPr>
    </w:pPr>
  </w:style>
  <w:style w:type="paragraph" w:customStyle="1" w:styleId="NumPar4">
    <w:name w:val="NumPar 4"/>
    <w:basedOn w:val="Normal"/>
    <w:next w:val="Text1"/>
    <w:pPr>
      <w:numPr>
        <w:ilvl w:val="3"/>
        <w:numId w:val="38"/>
      </w:numPr>
    </w:pPr>
  </w:style>
  <w:style w:type="paragraph" w:customStyle="1" w:styleId="NumPar5">
    <w:name w:val="NumPar 5"/>
    <w:basedOn w:val="Normal"/>
    <w:next w:val="Text2"/>
    <w:pPr>
      <w:numPr>
        <w:ilvl w:val="4"/>
        <w:numId w:val="38"/>
      </w:numPr>
    </w:pPr>
  </w:style>
  <w:style w:type="paragraph" w:customStyle="1" w:styleId="NumPar6">
    <w:name w:val="NumPar 6"/>
    <w:basedOn w:val="Normal"/>
    <w:next w:val="Text2"/>
    <w:pPr>
      <w:numPr>
        <w:ilvl w:val="5"/>
        <w:numId w:val="38"/>
      </w:numPr>
    </w:pPr>
  </w:style>
  <w:style w:type="paragraph" w:customStyle="1" w:styleId="NumPar7">
    <w:name w:val="NumPar 7"/>
    <w:basedOn w:val="Normal"/>
    <w:next w:val="Text2"/>
    <w:pPr>
      <w:numPr>
        <w:ilvl w:val="6"/>
        <w:numId w:val="3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0"/>
      </w:numPr>
    </w:pPr>
  </w:style>
  <w:style w:type="paragraph" w:customStyle="1" w:styleId="Point1number">
    <w:name w:val="Point 1 (number)"/>
    <w:basedOn w:val="Normal"/>
    <w:pPr>
      <w:numPr>
        <w:ilvl w:val="2"/>
        <w:numId w:val="40"/>
      </w:numPr>
    </w:pPr>
  </w:style>
  <w:style w:type="paragraph" w:customStyle="1" w:styleId="Point2number">
    <w:name w:val="Point 2 (number)"/>
    <w:basedOn w:val="Normal"/>
    <w:pPr>
      <w:numPr>
        <w:ilvl w:val="4"/>
        <w:numId w:val="40"/>
      </w:numPr>
    </w:pPr>
  </w:style>
  <w:style w:type="paragraph" w:customStyle="1" w:styleId="Point3number">
    <w:name w:val="Point 3 (number)"/>
    <w:basedOn w:val="Normal"/>
    <w:pPr>
      <w:numPr>
        <w:ilvl w:val="6"/>
        <w:numId w:val="40"/>
      </w:numPr>
    </w:pPr>
  </w:style>
  <w:style w:type="paragraph" w:customStyle="1" w:styleId="Point0letter">
    <w:name w:val="Point 0 (letter)"/>
    <w:basedOn w:val="Normal"/>
    <w:pPr>
      <w:numPr>
        <w:ilvl w:val="1"/>
        <w:numId w:val="40"/>
      </w:numPr>
    </w:pPr>
  </w:style>
  <w:style w:type="paragraph" w:customStyle="1" w:styleId="Point1letter">
    <w:name w:val="Point 1 (letter)"/>
    <w:basedOn w:val="Normal"/>
    <w:pPr>
      <w:numPr>
        <w:ilvl w:val="3"/>
        <w:numId w:val="40"/>
      </w:numPr>
    </w:pPr>
  </w:style>
  <w:style w:type="paragraph" w:customStyle="1" w:styleId="Point2letter">
    <w:name w:val="Point 2 (letter)"/>
    <w:basedOn w:val="Normal"/>
    <w:pPr>
      <w:numPr>
        <w:ilvl w:val="5"/>
        <w:numId w:val="40"/>
      </w:numPr>
    </w:pPr>
  </w:style>
  <w:style w:type="paragraph" w:customStyle="1" w:styleId="Point3letter">
    <w:name w:val="Point 3 (letter)"/>
    <w:basedOn w:val="Normal"/>
    <w:pPr>
      <w:numPr>
        <w:ilvl w:val="7"/>
        <w:numId w:val="40"/>
      </w:numPr>
    </w:pPr>
  </w:style>
  <w:style w:type="paragraph" w:customStyle="1" w:styleId="Point4letter">
    <w:name w:val="Point 4 (letter)"/>
    <w:basedOn w:val="Normal"/>
    <w:pPr>
      <w:numPr>
        <w:ilvl w:val="8"/>
        <w:numId w:val="40"/>
      </w:numPr>
    </w:pPr>
  </w:style>
  <w:style w:type="paragraph" w:customStyle="1" w:styleId="Bullet0">
    <w:name w:val="Bullet 0"/>
    <w:basedOn w:val="Normal"/>
    <w:pPr>
      <w:numPr>
        <w:numId w:val="41"/>
      </w:numPr>
    </w:pPr>
  </w:style>
  <w:style w:type="paragraph" w:customStyle="1" w:styleId="Bullet1">
    <w:name w:val="Bullet 1"/>
    <w:basedOn w:val="Normal"/>
    <w:pPr>
      <w:numPr>
        <w:numId w:val="42"/>
      </w:numPr>
    </w:pPr>
  </w:style>
  <w:style w:type="paragraph" w:customStyle="1" w:styleId="Bullet2">
    <w:name w:val="Bullet 2"/>
    <w:basedOn w:val="Normal"/>
    <w:pPr>
      <w:numPr>
        <w:numId w:val="43"/>
      </w:numPr>
    </w:pPr>
  </w:style>
  <w:style w:type="paragraph" w:customStyle="1" w:styleId="Bullet3">
    <w:name w:val="Bullet 3"/>
    <w:basedOn w:val="Normal"/>
    <w:pPr>
      <w:numPr>
        <w:numId w:val="44"/>
      </w:numPr>
    </w:pPr>
  </w:style>
  <w:style w:type="paragraph" w:customStyle="1" w:styleId="Bullet4">
    <w:name w:val="Bullet 4"/>
    <w:basedOn w:val="Normal"/>
    <w:pPr>
      <w:numPr>
        <w:numId w:val="4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49626-4571-497A-BCEE-27F20D3D4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20</TotalTime>
  <Pages>6</Pages>
  <Words>2012</Words>
  <Characters>11433</Characters>
  <Application>Microsoft Office Word</Application>
  <DocSecurity>0</DocSecurity>
  <Lines>197</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51</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