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3C13E5" w:rsidRDefault="00D41E65" w:rsidP="00D41E6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42A05A88-D0C3-4335-80CB-8102330CA230" style="width:455.25pt;height:414pt">
            <v:imagedata r:id="rId8" o:title=""/>
          </v:shape>
        </w:pict>
      </w:r>
    </w:p>
    <w:p w:rsidR="003C122C" w:rsidRPr="003C13E5" w:rsidRDefault="003C122C">
      <w:pPr>
        <w:rPr>
          <w:noProof/>
        </w:rPr>
        <w:sectPr w:rsidR="003C122C" w:rsidRPr="003C13E5" w:rsidSect="00D41E65">
          <w:footerReference w:type="default" r:id="rId9"/>
          <w:pgSz w:w="11907" w:h="16839"/>
          <w:pgMar w:top="1134" w:right="1417" w:bottom="1134" w:left="1417" w:header="709" w:footer="709" w:gutter="0"/>
          <w:pgNumType w:start="0"/>
          <w:cols w:space="720"/>
          <w:docGrid w:linePitch="360"/>
        </w:sectPr>
      </w:pPr>
    </w:p>
    <w:p w:rsidR="003C122C" w:rsidRPr="003C13E5" w:rsidRDefault="00FB1BFB" w:rsidP="00FB1BFB">
      <w:pPr>
        <w:pStyle w:val="Typedudocument"/>
        <w:rPr>
          <w:noProof/>
        </w:rPr>
      </w:pPr>
      <w:bookmarkStart w:id="0" w:name="_GoBack"/>
      <w:bookmarkEnd w:id="0"/>
      <w:r w:rsidRPr="00FB1BFB">
        <w:rPr>
          <w:noProof/>
        </w:rPr>
        <w:lastRenderedPageBreak/>
        <w:t>РЕГЛАМЕНТ ЗА ИЗПЪЛНЕНИЕ (ЕС) .../… НА КОМИСИЯТА</w:t>
      </w:r>
    </w:p>
    <w:p w:rsidR="003C122C" w:rsidRPr="003C13E5" w:rsidRDefault="005911EC" w:rsidP="00FB1BFB">
      <w:pPr>
        <w:pStyle w:val="Datedadoption"/>
        <w:rPr>
          <w:noProof/>
        </w:rPr>
      </w:pPr>
      <w:r>
        <w:t>от 30.11.2022 година</w:t>
      </w:r>
    </w:p>
    <w:p w:rsidR="003C122C" w:rsidRPr="003C13E5" w:rsidRDefault="00FB1BFB" w:rsidP="00FB1BFB">
      <w:pPr>
        <w:pStyle w:val="Titreobjet"/>
        <w:rPr>
          <w:noProof/>
        </w:rPr>
      </w:pPr>
      <w:r w:rsidRPr="00FB1BFB">
        <w:rPr>
          <w:noProof/>
        </w:rPr>
        <w:t xml:space="preserve">за изменение на техническите стандарти за изпълнение, определени в Регламент за изпълнение (ЕС) 2021/637, по отношение на оповестяването на екологичните, социалните и управленските рискове </w:t>
      </w:r>
      <w:r w:rsidRPr="00FB1BFB">
        <w:rPr>
          <w:noProof/>
        </w:rPr>
        <w:br/>
      </w:r>
    </w:p>
    <w:p w:rsidR="003C122C" w:rsidRPr="003C13E5" w:rsidRDefault="00FB1BFB" w:rsidP="00FB1BFB">
      <w:pPr>
        <w:pStyle w:val="IntrtEEE"/>
        <w:rPr>
          <w:noProof/>
        </w:rPr>
      </w:pPr>
      <w:r w:rsidRPr="00FB1BFB">
        <w:rPr>
          <w:noProof/>
        </w:rPr>
        <w:t>(текст от значение за ЕИП)</w:t>
      </w:r>
    </w:p>
    <w:p w:rsidR="003C122C" w:rsidRPr="003C13E5" w:rsidRDefault="003C122C" w:rsidP="004E1EF9">
      <w:pPr>
        <w:pStyle w:val="Institutionquiagit"/>
        <w:rPr>
          <w:noProof/>
        </w:rPr>
      </w:pPr>
      <w:r w:rsidRPr="003C13E5">
        <w:rPr>
          <w:noProof/>
        </w:rPr>
        <w:t>ЕВРОПЕЙСКАТА КОМИСИЯ,</w:t>
      </w:r>
    </w:p>
    <w:p w:rsidR="003C122C" w:rsidRPr="003C13E5" w:rsidRDefault="003C122C" w:rsidP="003C122C">
      <w:pPr>
        <w:rPr>
          <w:noProof/>
          <w:color w:val="000000"/>
        </w:rPr>
      </w:pPr>
      <w:r w:rsidRPr="003C13E5">
        <w:rPr>
          <w:noProof/>
          <w:color w:val="000000"/>
        </w:rPr>
        <w:t>като взе предвид Договора за функционирането на Европейския съюз,</w:t>
      </w:r>
    </w:p>
    <w:p w:rsidR="003C122C" w:rsidRPr="003C13E5" w:rsidRDefault="003C122C" w:rsidP="003C122C">
      <w:pPr>
        <w:rPr>
          <w:noProof/>
          <w:color w:val="000000"/>
        </w:rPr>
      </w:pPr>
      <w:r w:rsidRPr="003C13E5">
        <w:rPr>
          <w:noProof/>
          <w:color w:val="000000"/>
        </w:rPr>
        <w:t>като взе предвид Регламент (ЕС) № 575/2013 на Европейския парламент и на Съвета от 26 юни 2013 г. относно пруденциалните изисквания за кредитните институции и за изменение на Регламент (ЕС) № 648/2012</w:t>
      </w:r>
      <w:r w:rsidRPr="003C13E5">
        <w:rPr>
          <w:rStyle w:val="FootnoteReference"/>
          <w:noProof/>
        </w:rPr>
        <w:footnoteReference w:id="1"/>
      </w:r>
      <w:r w:rsidRPr="003C13E5">
        <w:rPr>
          <w:noProof/>
          <w:color w:val="000000"/>
        </w:rPr>
        <w:t>, и по-специално член 434а от него,</w:t>
      </w:r>
    </w:p>
    <w:p w:rsidR="003C122C" w:rsidRPr="003C13E5" w:rsidRDefault="003C122C" w:rsidP="004E1EF9">
      <w:pPr>
        <w:rPr>
          <w:noProof/>
        </w:rPr>
      </w:pPr>
      <w:r w:rsidRPr="003C13E5">
        <w:rPr>
          <w:noProof/>
        </w:rPr>
        <w:t>като има предвид, че:</w:t>
      </w:r>
    </w:p>
    <w:p w:rsidR="00410340" w:rsidRPr="003C13E5" w:rsidRDefault="000D7128" w:rsidP="000D7128">
      <w:pPr>
        <w:pStyle w:val="ManualConsidrant"/>
        <w:rPr>
          <w:noProof/>
          <w:color w:val="000000"/>
        </w:rPr>
      </w:pPr>
      <w:r w:rsidRPr="000D7128">
        <w:t>(1)</w:t>
      </w:r>
      <w:r w:rsidRPr="000D7128">
        <w:tab/>
      </w:r>
      <w:r w:rsidR="007067A9" w:rsidRPr="003C13E5">
        <w:rPr>
          <w:noProof/>
        </w:rPr>
        <w:t>С Регламент за изпълнение (ЕС) 2021/637 на Комисията</w:t>
      </w:r>
      <w:r w:rsidR="007067A9" w:rsidRPr="003C13E5">
        <w:rPr>
          <w:rStyle w:val="FootnoteReference"/>
          <w:noProof/>
        </w:rPr>
        <w:footnoteReference w:id="2"/>
      </w:r>
      <w:r w:rsidR="007067A9" w:rsidRPr="003C13E5">
        <w:rPr>
          <w:noProof/>
        </w:rPr>
        <w:t xml:space="preserve"> се определят единни формати и съответни указания за оповестяването на информация, изисквано съгласно дялове II и III от Регламент (ЕС) № 575/2013. Регламент (ЕС) № 575/2013 беше изменен с Регламент (ЕС) 2019/876</w:t>
      </w:r>
      <w:r w:rsidR="007067A9" w:rsidRPr="003C13E5">
        <w:rPr>
          <w:rStyle w:val="FootnoteReference"/>
          <w:noProof/>
        </w:rPr>
        <w:footnoteReference w:id="3"/>
      </w:r>
      <w:r w:rsidR="007067A9" w:rsidRPr="003C13E5">
        <w:rPr>
          <w:noProof/>
        </w:rPr>
        <w:t>, за да се въведе, наред с другото, нов член 449а. С този член се изисква големите институции, които са емитирали ценни книжа, допуснати до търговия на регулиран пазар на която и да е държава членка, да оповестяват, считано от 28 юни 2022 г., информация относно екологичните, социалните и управленските (ЕСУ) рискове, включително за физическите рискове и рисковете, свързани с прехода. Това изменение на Регламент (ЕС) № 575/2013 следва да бъде отразено в Регламент за изпълнение (ЕС) 2021/637 на Комисията, с който — в допълнение към вече съществуващите единни формати и съответни указания за оповестяване — следва да се определят допълнителни единни формати и съответни указания за оповестяване по отношение на ЕСУ рисковете.</w:t>
      </w:r>
    </w:p>
    <w:p w:rsidR="00410340" w:rsidRPr="003C13E5" w:rsidRDefault="000D7128" w:rsidP="000D7128">
      <w:pPr>
        <w:pStyle w:val="ManualConsidrant"/>
        <w:rPr>
          <w:noProof/>
        </w:rPr>
      </w:pPr>
      <w:r w:rsidRPr="000D7128">
        <w:t>(2)</w:t>
      </w:r>
      <w:r w:rsidRPr="000D7128">
        <w:tab/>
      </w:r>
      <w:r w:rsidR="00410340" w:rsidRPr="003C13E5">
        <w:rPr>
          <w:noProof/>
        </w:rPr>
        <w:t>При определянето на единните формати за оповестяване следва да се вземат предвид всички съществени аспекти на оповестяваната информация. Това означава, че оповестяванията на институциите следва да обхващат, от една страна, финансовото въздействие, което ЕСУ факторите оказват върху икономическите и финансовите дейности на институциите (външна перспектива), а от друга страна — ЕСУ факторите, които може да бъдат задействани в резултат на самите дейности на институциите, които на свой ред придобиват същественост от финансово естество, когато засягат заинтересованите страни на институциите (вътрешна перспектива). Поради това използваните за тези оповестявания таблици и образци следва да предоставят достатъчно изчерпателна и сравнима информация относно ЕСУ рисковете, осигурявайки възможност на ползвателите на информацията да оценят рисковия профил на институциите.</w:t>
      </w:r>
    </w:p>
    <w:p w:rsidR="00410340" w:rsidRPr="003C13E5" w:rsidRDefault="000D7128" w:rsidP="000D7128">
      <w:pPr>
        <w:pStyle w:val="ManualConsidrant"/>
        <w:rPr>
          <w:noProof/>
        </w:rPr>
      </w:pPr>
      <w:r w:rsidRPr="000D7128">
        <w:t>(3)</w:t>
      </w:r>
      <w:r w:rsidRPr="000D7128">
        <w:tab/>
      </w:r>
      <w:r w:rsidR="00A525E2" w:rsidRPr="003C13E5">
        <w:rPr>
          <w:noProof/>
        </w:rPr>
        <w:t>Необходимо е да се осигури последователност, както и съгласуваност с други законодателни актове на Съюза в областта на ЕСУ рисковете. Затова правилата за оповестяване на тези рискове следва да отчитат критериите, класификациите и определенията, установени в тези законодателни актове на Съюза. Тези правила следва по-специално да вземат под внимание критериите за установяване и класифициране на екологично устойчивите икономически дейности, определени в Регламент (ЕС) 2020/852 на Европейския парламент и на Съвета</w:t>
      </w:r>
      <w:r w:rsidR="00A525E2" w:rsidRPr="003C13E5">
        <w:rPr>
          <w:rStyle w:val="FootnoteReference"/>
          <w:noProof/>
        </w:rPr>
        <w:footnoteReference w:id="4"/>
      </w:r>
      <w:r w:rsidR="00A525E2" w:rsidRPr="003C13E5">
        <w:rPr>
          <w:noProof/>
        </w:rPr>
        <w:t xml:space="preserve"> и в Делегиран регламент (ЕС) 2020/1818 на Комисията</w:t>
      </w:r>
      <w:r w:rsidR="00A525E2" w:rsidRPr="003C13E5">
        <w:rPr>
          <w:rStyle w:val="FootnoteReference"/>
          <w:noProof/>
        </w:rPr>
        <w:footnoteReference w:id="5"/>
      </w:r>
      <w:r w:rsidR="00A525E2" w:rsidRPr="003C13E5">
        <w:rPr>
          <w:noProof/>
        </w:rPr>
        <w:t>. Що се отнася до оповестяването на информация за енергийните характеристики на портфейла от недвижими имоти на институциите, следва да се вземе предвид информацията, съдържаща се в сертификата за енергийните характеристики съгласно определението в член 2, точка 12 от Директива 2010/31/ЕС на Европейския парламент и на Съвета</w:t>
      </w:r>
      <w:r w:rsidR="00A525E2" w:rsidRPr="003C13E5">
        <w:rPr>
          <w:rStyle w:val="FootnoteReference"/>
          <w:noProof/>
        </w:rPr>
        <w:footnoteReference w:id="6"/>
      </w:r>
      <w:r w:rsidR="00A525E2" w:rsidRPr="003C13E5">
        <w:rPr>
          <w:noProof/>
        </w:rPr>
        <w:t>.</w:t>
      </w:r>
    </w:p>
    <w:p w:rsidR="00135CD4" w:rsidRPr="003C13E5" w:rsidRDefault="000D7128" w:rsidP="000D7128">
      <w:pPr>
        <w:pStyle w:val="ManualConsidrant"/>
        <w:rPr>
          <w:noProof/>
        </w:rPr>
      </w:pPr>
      <w:r w:rsidRPr="000D7128">
        <w:t>(4)</w:t>
      </w:r>
      <w:r w:rsidRPr="000D7128">
        <w:tab/>
      </w:r>
      <w:r w:rsidR="00135CD4" w:rsidRPr="003C13E5">
        <w:rPr>
          <w:noProof/>
        </w:rPr>
        <w:t>По силата на членове 19а и 29а от Директива 2013/34/ЕС на Европейския парламент и на Съвета</w:t>
      </w:r>
      <w:r w:rsidR="00135CD4" w:rsidRPr="003C13E5">
        <w:rPr>
          <w:rStyle w:val="FootnoteReference"/>
          <w:noProof/>
        </w:rPr>
        <w:footnoteReference w:id="7"/>
      </w:r>
      <w:r w:rsidR="00135CD4" w:rsidRPr="003C13E5">
        <w:rPr>
          <w:noProof/>
        </w:rPr>
        <w:t xml:space="preserve"> се изисква някои големи предприятия от обществен интерес или съответно предприятия от обществен интерес, които са предприятия майки на голяма група, да включват в своя доклад за дейността или в своя консолидиран доклад за дейността информация относно въздействието на тяхната дейност върху екологичните и социалните въпроси и въпросите, свързани със служителите, зачитането на правата на човека, борбата с корупцията и подкупите. Това задължение обаче не се прилага за други предприятия.  В резултат на това предприятията, които не са обхванати от членове 19а и 29а от Директива 2013/34/ЕС, не са задължени и може да не са в състояние да предоставят такава информация на институциите.  Следователно от предприятията, които са контрагенти на институциите, може да се очаква да предоставят тази информация и данни само на доброволен принцип.  Целесъобразно е обаче на тези предприятия да бъдат предоставени насоки, съгласно които да изчисляват процента на експозициите към дейности, представляващи екологично устойчиви икономически дейности съгласно член 3 от Регламент (ЕС) 2020/852, така че тази информация и тези данни да може да бъдат представени в стандартизиран и съпоставим формат. Когато тази информация и тези данни не се предоставят доброволно, институциите следва да могат да изчисляват процента на съобразените с таксономията експозиции, като използват приблизителни оценки или аналози.</w:t>
      </w:r>
    </w:p>
    <w:p w:rsidR="00921483" w:rsidRPr="003C13E5" w:rsidRDefault="000D7128" w:rsidP="000D7128">
      <w:pPr>
        <w:pStyle w:val="ManualConsidrant"/>
        <w:rPr>
          <w:noProof/>
        </w:rPr>
      </w:pPr>
      <w:r w:rsidRPr="000D7128">
        <w:t>(5)</w:t>
      </w:r>
      <w:r w:rsidRPr="000D7128">
        <w:tab/>
      </w:r>
      <w:r w:rsidR="00A97285" w:rsidRPr="003C13E5">
        <w:rPr>
          <w:noProof/>
        </w:rPr>
        <w:t>По силата на член 449а от Регламент (ЕС) № 575/2013 се изисква информацията за ЕСУ рисковете да се оповестява, считано от 28 юни 2022 г., веднъж през първата година и на шестмесечие след това. Затова първата референтна дата за годишно оповестяване следва да бъде 31 декември 2022 г.</w:t>
      </w:r>
    </w:p>
    <w:p w:rsidR="00ED20D7" w:rsidRPr="003C13E5" w:rsidRDefault="000D7128" w:rsidP="000D7128">
      <w:pPr>
        <w:pStyle w:val="ManualConsidrant"/>
        <w:rPr>
          <w:noProof/>
        </w:rPr>
      </w:pPr>
      <w:r w:rsidRPr="000D7128">
        <w:t>(6)</w:t>
      </w:r>
      <w:r w:rsidRPr="000D7128">
        <w:tab/>
      </w:r>
      <w:r w:rsidR="00410340" w:rsidRPr="003C13E5">
        <w:rPr>
          <w:noProof/>
        </w:rPr>
        <w:t xml:space="preserve">Настоящият регламент е изготвен въз основа на проектите на технически стандарти за изпълнение, представени на Комисията от Европейския банков орган. </w:t>
      </w:r>
    </w:p>
    <w:p w:rsidR="00410340" w:rsidRPr="003C13E5" w:rsidRDefault="000D7128" w:rsidP="000D7128">
      <w:pPr>
        <w:pStyle w:val="ManualConsidrant"/>
        <w:rPr>
          <w:noProof/>
        </w:rPr>
      </w:pPr>
      <w:r w:rsidRPr="000D7128">
        <w:t>(7)</w:t>
      </w:r>
      <w:r w:rsidRPr="000D7128">
        <w:tab/>
      </w:r>
      <w:r w:rsidR="00ED20D7" w:rsidRPr="003C13E5">
        <w:rPr>
          <w:noProof/>
        </w:rPr>
        <w:t>Европейският банков орган проведе открити обществени консултации по проектите на техническите стандарти за изпълнение, въз основа на които е изготвен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w:t>
      </w:r>
      <w:r w:rsidR="00ED20D7" w:rsidRPr="003C13E5">
        <w:rPr>
          <w:rStyle w:val="FootnoteReference"/>
          <w:noProof/>
        </w:rPr>
        <w:footnoteReference w:id="8"/>
      </w:r>
      <w:r w:rsidR="00ED20D7" w:rsidRPr="003C13E5">
        <w:rPr>
          <w:noProof/>
        </w:rPr>
        <w:t>.</w:t>
      </w:r>
    </w:p>
    <w:p w:rsidR="00410340" w:rsidRPr="003C13E5" w:rsidRDefault="000D7128" w:rsidP="000D7128">
      <w:pPr>
        <w:pStyle w:val="ManualConsidrant"/>
        <w:rPr>
          <w:noProof/>
        </w:rPr>
      </w:pPr>
      <w:r w:rsidRPr="000D7128">
        <w:t>(8)</w:t>
      </w:r>
      <w:r w:rsidRPr="000D7128">
        <w:tab/>
      </w:r>
      <w:r w:rsidR="00410340" w:rsidRPr="003C13E5">
        <w:rPr>
          <w:noProof/>
        </w:rPr>
        <w:t>Поради това Регламент за изпълнение (ЕС) 2021/637 следва да бъде съответно изменен,</w:t>
      </w:r>
    </w:p>
    <w:p w:rsidR="003C122C" w:rsidRPr="003C13E5" w:rsidRDefault="003C122C" w:rsidP="004E1EF9">
      <w:pPr>
        <w:pStyle w:val="Formuledadoption"/>
        <w:rPr>
          <w:noProof/>
          <w:szCs w:val="24"/>
        </w:rPr>
      </w:pPr>
      <w:r w:rsidRPr="003C13E5">
        <w:rPr>
          <w:noProof/>
        </w:rPr>
        <w:t>ПРИЕ НАСТОЯЩИЯ РЕГЛАМЕНТ:</w:t>
      </w:r>
    </w:p>
    <w:p w:rsidR="003C122C" w:rsidRPr="003C13E5" w:rsidRDefault="003C122C" w:rsidP="004E1EF9">
      <w:pPr>
        <w:pStyle w:val="Titrearticle"/>
        <w:rPr>
          <w:noProof/>
          <w:szCs w:val="24"/>
        </w:rPr>
      </w:pPr>
      <w:r w:rsidRPr="003C13E5">
        <w:rPr>
          <w:noProof/>
        </w:rPr>
        <w:t>Член 1</w:t>
      </w:r>
    </w:p>
    <w:p w:rsidR="007F4F83" w:rsidRPr="003C13E5" w:rsidRDefault="007F4F83" w:rsidP="00D00193">
      <w:pPr>
        <w:pStyle w:val="Titrearticle"/>
        <w:spacing w:before="120"/>
        <w:rPr>
          <w:b/>
          <w:i w:val="0"/>
          <w:noProof/>
          <w:szCs w:val="24"/>
        </w:rPr>
      </w:pPr>
      <w:r w:rsidRPr="003C13E5">
        <w:rPr>
          <w:b/>
          <w:i w:val="0"/>
          <w:noProof/>
        </w:rPr>
        <w:t>Изменения на Регламент за изпълнение (ЕС) 2021/637</w:t>
      </w:r>
    </w:p>
    <w:p w:rsidR="007F4F83" w:rsidRPr="003C13E5" w:rsidRDefault="007F4F83" w:rsidP="007F4F83">
      <w:pPr>
        <w:pStyle w:val="Titrearticle"/>
        <w:jc w:val="left"/>
        <w:rPr>
          <w:rFonts w:eastAsiaTheme="minorEastAsia"/>
          <w:i w:val="0"/>
          <w:noProof/>
          <w:szCs w:val="24"/>
        </w:rPr>
      </w:pPr>
      <w:r w:rsidRPr="003C13E5">
        <w:rPr>
          <w:i w:val="0"/>
          <w:noProof/>
        </w:rPr>
        <w:t>Регламент за изпълнение (ЕС) 2021/637 се изменя, както следва:</w:t>
      </w:r>
    </w:p>
    <w:p w:rsidR="007F4F83" w:rsidRPr="003C13E5" w:rsidRDefault="00C57B73" w:rsidP="00C57B73">
      <w:pPr>
        <w:pStyle w:val="Point0"/>
        <w:rPr>
          <w:noProof/>
        </w:rPr>
      </w:pPr>
      <w:r>
        <w:rPr>
          <w:noProof/>
        </w:rPr>
        <w:t>1)</w:t>
      </w:r>
      <w:r>
        <w:rPr>
          <w:noProof/>
        </w:rPr>
        <w:tab/>
      </w:r>
      <w:r w:rsidR="007F4F83" w:rsidRPr="003C13E5">
        <w:rPr>
          <w:noProof/>
        </w:rPr>
        <w:t>вмъква се следният член 18a:</w:t>
      </w:r>
    </w:p>
    <w:p w:rsidR="007F4F83" w:rsidRPr="003C13E5" w:rsidRDefault="006542E5" w:rsidP="004046D9">
      <w:pPr>
        <w:pStyle w:val="Titrearticle"/>
        <w:spacing w:before="120"/>
        <w:ind w:left="567" w:right="568"/>
        <w:rPr>
          <w:noProof/>
        </w:rPr>
      </w:pPr>
      <w:r w:rsidRPr="003C13E5">
        <w:rPr>
          <w:noProof/>
        </w:rPr>
        <w:t>„Член 18a</w:t>
      </w:r>
    </w:p>
    <w:p w:rsidR="007F4F83" w:rsidRPr="003C13E5" w:rsidRDefault="007F4F83" w:rsidP="004046D9">
      <w:pPr>
        <w:pStyle w:val="Titrearticle"/>
        <w:spacing w:before="120"/>
        <w:ind w:left="567" w:right="568"/>
        <w:rPr>
          <w:b/>
          <w:i w:val="0"/>
          <w:noProof/>
        </w:rPr>
      </w:pPr>
      <w:r w:rsidRPr="003C13E5">
        <w:rPr>
          <w:b/>
          <w:i w:val="0"/>
          <w:noProof/>
        </w:rPr>
        <w:t>Оповестяване на екологичните, социалните и управленските (ЕСУ) рискове</w:t>
      </w:r>
    </w:p>
    <w:p w:rsidR="007F4F83" w:rsidRPr="003C13E5" w:rsidRDefault="000D7128" w:rsidP="000D7128">
      <w:pPr>
        <w:pStyle w:val="ManualNumPar1"/>
        <w:rPr>
          <w:noProof/>
        </w:rPr>
      </w:pPr>
      <w:r w:rsidRPr="000D7128">
        <w:t>1.</w:t>
      </w:r>
      <w:r w:rsidRPr="000D7128">
        <w:tab/>
      </w:r>
      <w:r w:rsidR="007F4F83" w:rsidRPr="003C13E5">
        <w:rPr>
          <w:noProof/>
        </w:rPr>
        <w:t>Институциите оповестяват информацията, посочена в член 449а от Регламент (ЕС) № 575/2013, както следва:</w:t>
      </w:r>
    </w:p>
    <w:p w:rsidR="002D1236" w:rsidRPr="003C13E5" w:rsidRDefault="00C57B73" w:rsidP="00C57B73">
      <w:pPr>
        <w:pStyle w:val="Point1"/>
        <w:rPr>
          <w:noProof/>
        </w:rPr>
      </w:pPr>
      <w:r>
        <w:rPr>
          <w:noProof/>
        </w:rPr>
        <w:t>а)</w:t>
      </w:r>
      <w:r>
        <w:rPr>
          <w:noProof/>
        </w:rPr>
        <w:tab/>
      </w:r>
      <w:r w:rsidR="002D1236" w:rsidRPr="003C13E5">
        <w:rPr>
          <w:noProof/>
        </w:rPr>
        <w:t>качествена информация за рисковете от екологичен, социален и управленски характер, като използват таблици 1, 2 и 3 от приложение XXXIX към настоящия регламент и следват указанията в приложение XL към настоящия регламент;</w:t>
      </w:r>
    </w:p>
    <w:p w:rsidR="002D1236" w:rsidRPr="003C13E5" w:rsidRDefault="00C57B73" w:rsidP="00C57B73">
      <w:pPr>
        <w:pStyle w:val="Point1"/>
        <w:rPr>
          <w:noProof/>
        </w:rPr>
      </w:pPr>
      <w:r>
        <w:rPr>
          <w:noProof/>
        </w:rPr>
        <w:t>б)</w:t>
      </w:r>
      <w:r>
        <w:rPr>
          <w:noProof/>
        </w:rPr>
        <w:tab/>
      </w:r>
      <w:r w:rsidR="002D1236" w:rsidRPr="003C13E5">
        <w:rPr>
          <w:noProof/>
        </w:rPr>
        <w:t>количествена информация за риска от прехода  във връзка с изменението на климата, като използват образци 1—4 от приложение XXXIX  към настоящия регламент и следват указанията в приложение XL към настоящия регламент;</w:t>
      </w:r>
    </w:p>
    <w:p w:rsidR="002D1236" w:rsidRPr="003C13E5" w:rsidRDefault="00C57B73" w:rsidP="00C57B73">
      <w:pPr>
        <w:pStyle w:val="Point1"/>
        <w:rPr>
          <w:noProof/>
        </w:rPr>
      </w:pPr>
      <w:r>
        <w:rPr>
          <w:noProof/>
        </w:rPr>
        <w:t>в)</w:t>
      </w:r>
      <w:r>
        <w:rPr>
          <w:noProof/>
        </w:rPr>
        <w:tab/>
      </w:r>
      <w:r w:rsidR="002D1236" w:rsidRPr="003C13E5">
        <w:rPr>
          <w:noProof/>
        </w:rPr>
        <w:t>количествена информация за физическите рискове, свързани с изменението на климата, като използват образец 5 от приложение XXXIX към настоящия регламент и следват указанията в приложение XL към настоящия регламент;</w:t>
      </w:r>
    </w:p>
    <w:p w:rsidR="002D1236" w:rsidRPr="003C13E5" w:rsidRDefault="00C57B73" w:rsidP="00C57B73">
      <w:pPr>
        <w:pStyle w:val="Point1"/>
        <w:rPr>
          <w:noProof/>
        </w:rPr>
      </w:pPr>
      <w:r>
        <w:rPr>
          <w:noProof/>
        </w:rPr>
        <w:t>г)</w:t>
      </w:r>
      <w:r>
        <w:rPr>
          <w:noProof/>
        </w:rPr>
        <w:tab/>
      </w:r>
      <w:r w:rsidR="002D1236" w:rsidRPr="003C13E5">
        <w:rPr>
          <w:noProof/>
        </w:rPr>
        <w:t xml:space="preserve">количествена информация за смекчаващите действия, свързани с икономически дейности, които се определят като екологично устойчиви съгласно член 3 от Регламент (ЕС) 2020/852 на Европейския парламент и на Съвета*1 по отношение на контрагентите, за които се прилагат членове 19а или 29а от Директива 2013/34/ЕС на Европейския парламент и на Съвета *2, </w:t>
      </w:r>
      <w:bookmarkStart w:id="1" w:name="_Hlk92470586"/>
      <w:r w:rsidR="002D1236" w:rsidRPr="003C13E5">
        <w:rPr>
          <w:noProof/>
        </w:rPr>
        <w:t>по отношение на домакинствата и по отношение на местните органи на власт</w:t>
      </w:r>
      <w:bookmarkEnd w:id="1"/>
      <w:r w:rsidR="002D1236" w:rsidRPr="003C13E5">
        <w:rPr>
          <w:noProof/>
        </w:rPr>
        <w:t>, както е посочено в част 1, точка 42, буква б) от приложение V към Регламент за изпълнение (ЕС) 2021/451 на Комисията*3, като използват образци 6, 7 и 8 от приложение XXXIX към настоящия регламент и следват указанията в приложение XL към настоящия регламент;</w:t>
      </w:r>
    </w:p>
    <w:p w:rsidR="00995098" w:rsidRPr="003C13E5" w:rsidRDefault="00C57B73" w:rsidP="00C57B73">
      <w:pPr>
        <w:pStyle w:val="Point1"/>
        <w:rPr>
          <w:noProof/>
        </w:rPr>
      </w:pPr>
      <w:r>
        <w:rPr>
          <w:noProof/>
        </w:rPr>
        <w:t>д)</w:t>
      </w:r>
      <w:r>
        <w:rPr>
          <w:noProof/>
        </w:rPr>
        <w:tab/>
      </w:r>
      <w:r w:rsidR="00995098" w:rsidRPr="003C13E5">
        <w:rPr>
          <w:noProof/>
        </w:rPr>
        <w:t>количествена информация за другите смекчаващи действия и експозициите към рискове, свързани с изменението на климата, които не се определят като екологично устойчиви икономически дейности съгласно член 3 от Регламент (ЕС) 2020/852, но подпомагат контрагентите в процеса на преход или адаптиране към изменението на климата по целите за смекчаване на изменението на климата и за адаптиране към него, като използват образец 10 от приложение XXXIX към настоящия регламент и следват указанията в приложение XL към настоящия регламент.</w:t>
      </w:r>
    </w:p>
    <w:p w:rsidR="008D2E23" w:rsidRPr="003C13E5" w:rsidRDefault="000D7128" w:rsidP="000D7128">
      <w:pPr>
        <w:pStyle w:val="ManualNumPar1"/>
        <w:rPr>
          <w:noProof/>
        </w:rPr>
      </w:pPr>
      <w:r w:rsidRPr="000D7128">
        <w:t>2.</w:t>
      </w:r>
      <w:r w:rsidRPr="000D7128">
        <w:tab/>
      </w:r>
      <w:r w:rsidR="000941B5" w:rsidRPr="003C13E5">
        <w:rPr>
          <w:noProof/>
        </w:rPr>
        <w:t xml:space="preserve">Институциите могат да изберат да оповестяват количествена информация за смекчаващите действия и експозициите по рискове, свързани с изменението на климата, във връзка с икономически дейности, които се определят като екологично устойчиви съгласно член 3 от Регламент (ЕС) 2020/852, към контрагенти, </w:t>
      </w:r>
      <w:bookmarkStart w:id="2" w:name="_Hlk92470606"/>
      <w:r w:rsidR="000941B5" w:rsidRPr="003C13E5">
        <w:rPr>
          <w:noProof/>
        </w:rPr>
        <w:t>които са нефинансови предприятия,</w:t>
      </w:r>
      <w:bookmarkEnd w:id="2"/>
      <w:r w:rsidR="000941B5" w:rsidRPr="003C13E5">
        <w:rPr>
          <w:noProof/>
        </w:rPr>
        <w:t xml:space="preserve"> както е посочено в част 1, точка 42, буква д) от приложение V към Регламент за изпълнение (ЕС) 2021/451, за които не се прилагат задълженията за оповестяване, предвидени в членове 19а или 29а от Директива 2013/34/ЕС, и за които не се прилагат задълженията за оповестяване, предвидени в Регламент за изпълнение (ЕС) 2021/2178 на Комисията</w:t>
      </w:r>
      <w:r w:rsidR="000941B5" w:rsidRPr="003C13E5">
        <w:rPr>
          <w:noProof/>
          <w:vertAlign w:val="superscript"/>
        </w:rPr>
        <w:t>*4</w:t>
      </w:r>
      <w:r w:rsidR="000941B5" w:rsidRPr="003C13E5">
        <w:rPr>
          <w:noProof/>
        </w:rPr>
        <w:t xml:space="preserve">, като използват образец 9 от приложение XXXIX към настоящия регламент и следват указанията в приложение XL към настоящия регламент. </w:t>
      </w:r>
    </w:p>
    <w:p w:rsidR="002D1236" w:rsidRPr="003C13E5" w:rsidRDefault="002D1236" w:rsidP="00353D88">
      <w:pPr>
        <w:pStyle w:val="Text1"/>
        <w:rPr>
          <w:noProof/>
        </w:rPr>
      </w:pPr>
      <w:r w:rsidRPr="003C13E5">
        <w:rPr>
          <w:noProof/>
        </w:rPr>
        <w:t>За изчисляването на процента на експозициите по дейности, които отговарят на изискванията по член 3 от Регламент (ЕС) 2020/852 (съобразени с таксономията експозиции), към тези контрагенти, институциите:</w:t>
      </w:r>
    </w:p>
    <w:p w:rsidR="00D23734" w:rsidRPr="003C13E5" w:rsidRDefault="00C57B73" w:rsidP="00C57B73">
      <w:pPr>
        <w:pStyle w:val="Point1"/>
        <w:rPr>
          <w:noProof/>
        </w:rPr>
      </w:pPr>
      <w:r>
        <w:rPr>
          <w:noProof/>
        </w:rPr>
        <w:t>а)</w:t>
      </w:r>
      <w:r>
        <w:rPr>
          <w:noProof/>
        </w:rPr>
        <w:tab/>
      </w:r>
      <w:r w:rsidR="008E7D06" w:rsidRPr="003C13E5">
        <w:rPr>
          <w:noProof/>
        </w:rPr>
        <w:t>могат да използват информацията, получена от техните контрагенти на доброволна и двустранна основа при процесите на отпускане на кредити и на редовен преглед и наблюдение на кредитите, ако такава информация е налична;</w:t>
      </w:r>
    </w:p>
    <w:p w:rsidR="00D23734" w:rsidRPr="003C13E5" w:rsidRDefault="00C57B73" w:rsidP="00C57B73">
      <w:pPr>
        <w:pStyle w:val="Point1"/>
        <w:rPr>
          <w:noProof/>
        </w:rPr>
      </w:pPr>
      <w:r>
        <w:rPr>
          <w:noProof/>
        </w:rPr>
        <w:t>б)</w:t>
      </w:r>
      <w:r>
        <w:rPr>
          <w:noProof/>
        </w:rPr>
        <w:tab/>
      </w:r>
      <w:r w:rsidR="00B25755" w:rsidRPr="003C13E5">
        <w:rPr>
          <w:noProof/>
        </w:rPr>
        <w:t>могат да използват вътрешни приблизителни оценки и аналози, ако контрагентът не е в състояние или не желае да предостави съответните данни на двустранна основа, като в описанието, придружаващо образеца, посочат кои вътрешни приблизителни оценки и аналози са използвани и до каква степен;</w:t>
      </w:r>
    </w:p>
    <w:p w:rsidR="002D1236" w:rsidRPr="003C13E5" w:rsidRDefault="00C57B73" w:rsidP="00C57B73">
      <w:pPr>
        <w:pStyle w:val="Point1"/>
        <w:rPr>
          <w:noProof/>
        </w:rPr>
      </w:pPr>
      <w:r>
        <w:rPr>
          <w:noProof/>
        </w:rPr>
        <w:t>в)</w:t>
      </w:r>
      <w:r>
        <w:rPr>
          <w:noProof/>
        </w:rPr>
        <w:tab/>
      </w:r>
      <w:r w:rsidR="00D23734" w:rsidRPr="003C13E5">
        <w:rPr>
          <w:noProof/>
        </w:rPr>
        <w:t>могат в описанието, придружаващо образеца, да обяснят случаите, в които те не са в състояние да съберат съответната информация на двустранна основа или не могат да използват вътрешни приблизителни оценки и аналози, или не могат да съберат тази информация или да използват приблизителните оценки и аналозите по начин, който не е твърде обременяващ за тях или за техните контрагенти.</w:t>
      </w:r>
    </w:p>
    <w:p w:rsidR="00320B78" w:rsidRPr="003C13E5" w:rsidRDefault="00320B78" w:rsidP="00353D88">
      <w:pPr>
        <w:pStyle w:val="Text1"/>
        <w:rPr>
          <w:noProof/>
        </w:rPr>
      </w:pPr>
      <w:r w:rsidRPr="003C13E5">
        <w:rPr>
          <w:noProof/>
        </w:rPr>
        <w:t xml:space="preserve">За целите на буква а) институциите информират контрагентите си, че предоставянето на такава информация е доброволно. </w:t>
      </w:r>
    </w:p>
    <w:p w:rsidR="007F4F83" w:rsidRPr="003C13E5" w:rsidRDefault="000D7128" w:rsidP="000D7128">
      <w:pPr>
        <w:pStyle w:val="ManualNumPar1"/>
        <w:rPr>
          <w:noProof/>
        </w:rPr>
      </w:pPr>
      <w:r w:rsidRPr="000D7128">
        <w:t>3.</w:t>
      </w:r>
      <w:r w:rsidRPr="000D7128">
        <w:tab/>
      </w:r>
      <w:r w:rsidR="006B71ED" w:rsidRPr="003C13E5">
        <w:rPr>
          <w:noProof/>
        </w:rPr>
        <w:t>Освен ако в указанията в приложение XL към настоящия регламент не е посочено друго, институциите оповестяват, считано от 31 декември 2022 г.,  информацията, посочена в член 449а от Регламент (ЕС) № 575/2013, на следните дати:</w:t>
      </w:r>
    </w:p>
    <w:p w:rsidR="007F4F83" w:rsidRPr="003C13E5" w:rsidRDefault="00C57B73" w:rsidP="00C57B73">
      <w:pPr>
        <w:pStyle w:val="Point1"/>
        <w:rPr>
          <w:noProof/>
        </w:rPr>
      </w:pPr>
      <w:r>
        <w:rPr>
          <w:noProof/>
        </w:rPr>
        <w:t>а)</w:t>
      </w:r>
      <w:r>
        <w:rPr>
          <w:noProof/>
        </w:rPr>
        <w:tab/>
      </w:r>
      <w:r w:rsidR="007F4F83" w:rsidRPr="003C13E5">
        <w:rPr>
          <w:noProof/>
        </w:rPr>
        <w:t>за годишните оповестявания: 31 декември;</w:t>
      </w:r>
    </w:p>
    <w:p w:rsidR="00D01D57" w:rsidRPr="003C13E5" w:rsidRDefault="00C57B73" w:rsidP="00C57B73">
      <w:pPr>
        <w:pStyle w:val="Point1"/>
        <w:rPr>
          <w:noProof/>
        </w:rPr>
      </w:pPr>
      <w:r>
        <w:rPr>
          <w:noProof/>
        </w:rPr>
        <w:t>б)</w:t>
      </w:r>
      <w:r>
        <w:rPr>
          <w:noProof/>
        </w:rPr>
        <w:tab/>
      </w:r>
      <w:r w:rsidR="007F4F83" w:rsidRPr="003C13E5">
        <w:rPr>
          <w:noProof/>
        </w:rPr>
        <w:t>за оповестяванията на шестмесечие: 30 юни и 31 декември всяка година.</w:t>
      </w:r>
    </w:p>
    <w:p w:rsidR="00086FAB" w:rsidRPr="003C13E5" w:rsidRDefault="001904B5" w:rsidP="0087679B">
      <w:pPr>
        <w:pStyle w:val="Text2"/>
        <w:rPr>
          <w:noProof/>
        </w:rPr>
      </w:pPr>
      <w:r w:rsidRPr="003C13E5">
        <w:rPr>
          <w:noProof/>
        </w:rPr>
        <w:tab/>
        <w:t>___________</w:t>
      </w:r>
    </w:p>
    <w:p w:rsidR="00086FAB" w:rsidRPr="003C13E5" w:rsidRDefault="00086FAB" w:rsidP="0087679B">
      <w:pPr>
        <w:pStyle w:val="Text3"/>
        <w:rPr>
          <w:noProof/>
          <w:sz w:val="20"/>
          <w:szCs w:val="20"/>
        </w:rPr>
      </w:pPr>
      <w:r w:rsidRPr="003C13E5">
        <w:rPr>
          <w:noProof/>
          <w:sz w:val="20"/>
          <w:vertAlign w:val="superscript"/>
        </w:rPr>
        <w:t>*1</w:t>
      </w:r>
      <w:r w:rsidRPr="003C13E5">
        <w:rPr>
          <w:noProof/>
        </w:rPr>
        <w:tab/>
      </w:r>
      <w:r w:rsidRPr="003C13E5">
        <w:rPr>
          <w:noProof/>
          <w:sz w:val="20"/>
        </w:rP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стp. 13).</w:t>
      </w:r>
    </w:p>
    <w:p w:rsidR="00086FAB" w:rsidRPr="003C13E5" w:rsidRDefault="00086FAB" w:rsidP="004F6722">
      <w:pPr>
        <w:pStyle w:val="Text3"/>
        <w:rPr>
          <w:noProof/>
          <w:sz w:val="20"/>
          <w:szCs w:val="20"/>
        </w:rPr>
      </w:pPr>
      <w:r w:rsidRPr="003C13E5">
        <w:rPr>
          <w:noProof/>
          <w:sz w:val="20"/>
          <w:vertAlign w:val="superscript"/>
        </w:rPr>
        <w:t>*2</w:t>
      </w:r>
      <w:r w:rsidRPr="003C13E5">
        <w:rPr>
          <w:noProof/>
        </w:rPr>
        <w:tab/>
      </w:r>
      <w:r w:rsidRPr="003C13E5">
        <w:rPr>
          <w:noProof/>
          <w:sz w:val="20"/>
        </w:rP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p w:rsidR="00086FAB" w:rsidRPr="003C13E5" w:rsidRDefault="00086FAB" w:rsidP="0087679B">
      <w:pPr>
        <w:pStyle w:val="Text3"/>
        <w:rPr>
          <w:noProof/>
          <w:sz w:val="20"/>
          <w:szCs w:val="20"/>
        </w:rPr>
      </w:pPr>
      <w:r w:rsidRPr="003C13E5">
        <w:rPr>
          <w:noProof/>
          <w:sz w:val="20"/>
          <w:vertAlign w:val="superscript"/>
        </w:rPr>
        <w:t>*3</w:t>
      </w:r>
      <w:r w:rsidRPr="003C13E5">
        <w:rPr>
          <w:noProof/>
        </w:rPr>
        <w:tab/>
      </w:r>
      <w:r w:rsidRPr="003C13E5">
        <w:rPr>
          <w:noProof/>
          <w:sz w:val="20"/>
        </w:rPr>
        <w:t>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w:t>
      </w:r>
    </w:p>
    <w:p w:rsidR="00086FAB" w:rsidRPr="003C13E5" w:rsidRDefault="00086FAB" w:rsidP="0087679B">
      <w:pPr>
        <w:pStyle w:val="Text3"/>
        <w:rPr>
          <w:noProof/>
          <w:sz w:val="20"/>
          <w:szCs w:val="20"/>
        </w:rPr>
      </w:pPr>
      <w:r w:rsidRPr="003C13E5">
        <w:rPr>
          <w:noProof/>
          <w:sz w:val="20"/>
          <w:vertAlign w:val="superscript"/>
        </w:rPr>
        <w:t>*4</w:t>
      </w:r>
      <w:r w:rsidRPr="003C13E5">
        <w:rPr>
          <w:noProof/>
        </w:rPr>
        <w:tab/>
      </w:r>
      <w:r w:rsidRPr="003C13E5">
        <w:rPr>
          <w:noProof/>
          <w:sz w:val="20"/>
        </w:rPr>
        <w:t>Делегиран регламент (ЕС) 2021/2178 на Комисията от 6 юли 2021 г. за допълнение на Регламент (ЕС) 2020/852 на Европейския парламент и на Съвета чрез определяне на съдържанието и представянето на информацията, която трябва да бъде оповестявана от предприятията, обхванати от член 19а или 29а от Директива 2013/34/ЕС, по отношение на екологично устойчивите икономически дейности, и чрез определяне на методиката за изпълнение на това задължение за оповестяване (ОВ L 443, 10.12.2021 г., стр. 9)</w:t>
      </w:r>
    </w:p>
    <w:p w:rsidR="007F4F83" w:rsidRPr="003C13E5" w:rsidRDefault="00C57B73" w:rsidP="00C57B73">
      <w:pPr>
        <w:pStyle w:val="Point0"/>
        <w:rPr>
          <w:noProof/>
        </w:rPr>
      </w:pPr>
      <w:r>
        <w:rPr>
          <w:noProof/>
        </w:rPr>
        <w:t>2)</w:t>
      </w:r>
      <w:r>
        <w:rPr>
          <w:noProof/>
        </w:rPr>
        <w:tab/>
      </w:r>
      <w:r w:rsidR="00921483" w:rsidRPr="003C13E5">
        <w:rPr>
          <w:noProof/>
        </w:rPr>
        <w:t xml:space="preserve">текстът на приложение I към настоящия регламент се добавя като приложение XXXIX; </w:t>
      </w:r>
    </w:p>
    <w:p w:rsidR="007F4F83" w:rsidRPr="003C13E5" w:rsidRDefault="00C57B73" w:rsidP="00C57B73">
      <w:pPr>
        <w:pStyle w:val="Point0"/>
        <w:rPr>
          <w:noProof/>
        </w:rPr>
      </w:pPr>
      <w:r>
        <w:rPr>
          <w:noProof/>
        </w:rPr>
        <w:t>3)</w:t>
      </w:r>
      <w:r>
        <w:rPr>
          <w:noProof/>
        </w:rPr>
        <w:tab/>
      </w:r>
      <w:r w:rsidR="00921483" w:rsidRPr="003C13E5">
        <w:rPr>
          <w:noProof/>
        </w:rPr>
        <w:t>текстът на приложение II към настоящия регламент се добавя като приложение XL.“.</w:t>
      </w:r>
    </w:p>
    <w:p w:rsidR="007F4F83" w:rsidRPr="003C13E5" w:rsidRDefault="007F4F83" w:rsidP="004046D9">
      <w:pPr>
        <w:pStyle w:val="Titrearticle"/>
        <w:rPr>
          <w:noProof/>
          <w:szCs w:val="24"/>
        </w:rPr>
      </w:pPr>
      <w:r w:rsidRPr="003C13E5">
        <w:rPr>
          <w:noProof/>
        </w:rPr>
        <w:t>Член 2</w:t>
      </w:r>
    </w:p>
    <w:p w:rsidR="007F4F83" w:rsidRPr="003C13E5" w:rsidRDefault="007F4F83" w:rsidP="007F4F83">
      <w:pPr>
        <w:pStyle w:val="Titrearticle"/>
        <w:spacing w:before="120"/>
        <w:rPr>
          <w:b/>
          <w:i w:val="0"/>
          <w:noProof/>
          <w:szCs w:val="24"/>
        </w:rPr>
      </w:pPr>
      <w:r w:rsidRPr="003C13E5">
        <w:rPr>
          <w:b/>
          <w:i w:val="0"/>
          <w:noProof/>
        </w:rPr>
        <w:t>Влизане в сила</w:t>
      </w:r>
    </w:p>
    <w:p w:rsidR="007F4F83" w:rsidRPr="003C13E5" w:rsidRDefault="007F4F83" w:rsidP="007F4F83">
      <w:pPr>
        <w:rPr>
          <w:noProof/>
          <w:color w:val="000000" w:themeColor="text1"/>
          <w:szCs w:val="24"/>
        </w:rPr>
      </w:pPr>
      <w:r w:rsidRPr="003C13E5">
        <w:rPr>
          <w:noProof/>
        </w:rPr>
        <w:t xml:space="preserve">Настоящият регламент влиза в сила на двадесетия ден след деня на публикуването му в </w:t>
      </w:r>
      <w:r w:rsidRPr="003C13E5">
        <w:rPr>
          <w:i/>
          <w:noProof/>
        </w:rPr>
        <w:t>Официален вестник на Европейския съюз</w:t>
      </w:r>
      <w:r w:rsidRPr="003C13E5">
        <w:rPr>
          <w:noProof/>
        </w:rPr>
        <w:t>.</w:t>
      </w:r>
      <w:r w:rsidRPr="003C13E5">
        <w:rPr>
          <w:noProof/>
          <w:color w:val="000000" w:themeColor="text1"/>
        </w:rPr>
        <w:t xml:space="preserve"> </w:t>
      </w:r>
    </w:p>
    <w:p w:rsidR="007F4F83" w:rsidRPr="003C13E5" w:rsidRDefault="007F4F83" w:rsidP="007F4F83">
      <w:pPr>
        <w:pStyle w:val="Applicationdirecte"/>
        <w:rPr>
          <w:noProof/>
          <w:color w:val="000000"/>
          <w:szCs w:val="24"/>
        </w:rPr>
      </w:pPr>
      <w:r w:rsidRPr="003C13E5">
        <w:rPr>
          <w:noProof/>
          <w:color w:val="000000"/>
        </w:rPr>
        <w:t>Настоящият регламент е задължителен в своята цялост и се прилага пряко във всички държави членки.</w:t>
      </w:r>
    </w:p>
    <w:p w:rsidR="003C122C" w:rsidRPr="003C13E5" w:rsidRDefault="0005260E" w:rsidP="00A51C38">
      <w:pPr>
        <w:pStyle w:val="Fait"/>
        <w:rPr>
          <w:noProof/>
        </w:rPr>
      </w:pPr>
      <w:r w:rsidRPr="0005260E">
        <w:t>Съставено в Брюксел на 30.11.2022 година.</w:t>
      </w:r>
    </w:p>
    <w:p w:rsidR="003C122C" w:rsidRPr="003C13E5" w:rsidRDefault="003C122C" w:rsidP="00A51C38">
      <w:pPr>
        <w:pStyle w:val="Institutionquisigne"/>
        <w:rPr>
          <w:noProof/>
          <w:szCs w:val="24"/>
        </w:rPr>
      </w:pPr>
      <w:r w:rsidRPr="003C13E5">
        <w:rPr>
          <w:noProof/>
        </w:rPr>
        <w:tab/>
        <w:t>За Комисията</w:t>
      </w:r>
    </w:p>
    <w:p w:rsidR="00C32BCD" w:rsidRPr="003C13E5" w:rsidRDefault="00EC72EE" w:rsidP="00A51C38">
      <w:pPr>
        <w:pStyle w:val="Personnequisigne"/>
        <w:keepNext/>
        <w:rPr>
          <w:noProof/>
          <w:szCs w:val="24"/>
        </w:rPr>
      </w:pPr>
      <w:r>
        <w:tab/>
        <w:t>Председател</w:t>
      </w:r>
      <w:r>
        <w:br/>
      </w:r>
      <w:r>
        <w:tab/>
        <w:t>Ursula VON DER LEYEN</w:t>
      </w:r>
    </w:p>
    <w:p w:rsidR="00C32BCD" w:rsidRPr="003C13E5" w:rsidRDefault="00C32BCD" w:rsidP="00C32BCD">
      <w:pPr>
        <w:pStyle w:val="Personnequisigne"/>
        <w:rPr>
          <w:noProof/>
          <w:szCs w:val="24"/>
        </w:rPr>
      </w:pPr>
    </w:p>
    <w:sectPr w:rsidR="00C32BCD" w:rsidRPr="003C13E5" w:rsidSect="00D41E65">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BFB" w:rsidRPr="00D41E65" w:rsidRDefault="00D41E65" w:rsidP="00D41E65">
    <w:pPr>
      <w:pStyle w:val="Footer"/>
      <w:rPr>
        <w:rFonts w:ascii="Arial" w:hAnsi="Arial" w:cs="Arial"/>
        <w:b/>
        <w:sz w:val="48"/>
      </w:rPr>
    </w:pPr>
    <w:r w:rsidRPr="00D41E65">
      <w:rPr>
        <w:rFonts w:ascii="Arial" w:hAnsi="Arial" w:cs="Arial"/>
        <w:b/>
        <w:sz w:val="48"/>
      </w:rPr>
      <w:t>BG</w:t>
    </w:r>
    <w:r w:rsidRPr="00D41E65">
      <w:rPr>
        <w:rFonts w:ascii="Arial" w:hAnsi="Arial" w:cs="Arial"/>
        <w:b/>
        <w:sz w:val="48"/>
      </w:rPr>
      <w:tab/>
    </w:r>
    <w:r w:rsidRPr="00D41E65">
      <w:rPr>
        <w:rFonts w:ascii="Arial" w:hAnsi="Arial" w:cs="Arial"/>
        <w:b/>
        <w:sz w:val="48"/>
      </w:rPr>
      <w:tab/>
    </w:r>
    <w:r w:rsidRPr="00D41E65">
      <w:tab/>
    </w:r>
    <w:r w:rsidRPr="00D41E65">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65" w:rsidRPr="00D41E65" w:rsidRDefault="00D41E65" w:rsidP="00D41E65">
    <w:pPr>
      <w:pStyle w:val="Footer"/>
      <w:rPr>
        <w:rFonts w:ascii="Arial" w:hAnsi="Arial" w:cs="Arial"/>
        <w:b/>
        <w:sz w:val="48"/>
      </w:rPr>
    </w:pPr>
    <w:r w:rsidRPr="00D41E65">
      <w:rPr>
        <w:rFonts w:ascii="Arial" w:hAnsi="Arial" w:cs="Arial"/>
        <w:b/>
        <w:sz w:val="48"/>
      </w:rPr>
      <w:t>BG</w:t>
    </w:r>
    <w:r w:rsidRPr="00D41E65">
      <w:rPr>
        <w:rFonts w:ascii="Arial" w:hAnsi="Arial" w:cs="Arial"/>
        <w:b/>
        <w:sz w:val="48"/>
      </w:rPr>
      <w:tab/>
    </w:r>
    <w:r>
      <w:fldChar w:fldCharType="begin"/>
    </w:r>
    <w:r>
      <w:instrText xml:space="preserve"> PAGE  \* MERGEFORMAT </w:instrText>
    </w:r>
    <w:r>
      <w:fldChar w:fldCharType="separate"/>
    </w:r>
    <w:r w:rsidR="00A51C38">
      <w:rPr>
        <w:noProof/>
      </w:rPr>
      <w:t>6</w:t>
    </w:r>
    <w:r>
      <w:fldChar w:fldCharType="end"/>
    </w:r>
    <w:r>
      <w:tab/>
    </w:r>
    <w:r w:rsidRPr="00D41E65">
      <w:tab/>
    </w:r>
    <w:r w:rsidRPr="00D41E65">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65" w:rsidRPr="00D41E65" w:rsidRDefault="00D41E65" w:rsidP="00D41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ОВ L 176, 27.6.2013 г., стр. 1.</w:t>
      </w:r>
    </w:p>
  </w:footnote>
  <w:footnote w:id="2">
    <w:p w:rsidR="007067A9" w:rsidRPr="00FC42BE" w:rsidRDefault="007067A9" w:rsidP="007067A9">
      <w:pPr>
        <w:pStyle w:val="FootnoteText"/>
      </w:pPr>
      <w:r>
        <w:rPr>
          <w:rStyle w:val="FootnoteReference"/>
        </w:rPr>
        <w:footnoteRef/>
      </w:r>
      <w:r>
        <w:tab/>
        <w:t>Регламент за изпълнение (ЕС) 2021/637 на Комисията от 15 март 2021 г. за определяне на техническите стандарти за изпълнение за публичното оповестяване от страна на институциите на информацията, посочена в осма част, дялове II и III от Регламент (ЕС) № 575/2013 на Европейския парламент и на Съвета, и за отмяна на Регламент за изпълнение (ЕС) № 1423/2013 на Комисията, Делегиран регламент (ЕС) 2015/1555 на Комисията, Регламент за изпълнение (ЕС) 2016/200 на Комисията и Делегиран регламент (ЕС) 2017/2295 на Комисията (ОВ L 136, 21.4.2021 г., стр. 1).</w:t>
      </w:r>
    </w:p>
  </w:footnote>
  <w:footnote w:id="3">
    <w:p w:rsidR="007067A9" w:rsidRPr="007067A9" w:rsidRDefault="007067A9" w:rsidP="007067A9">
      <w:pPr>
        <w:pStyle w:val="FootnoteText"/>
      </w:pPr>
      <w:r>
        <w:rPr>
          <w:rStyle w:val="FootnoteReference"/>
        </w:rPr>
        <w:footnoteRef/>
      </w:r>
      <w:r>
        <w:tab/>
        <w:t>Регламент (ЕС) 2019/876 на Европейския парламент и на Съвета от 20 май 2019 г. за изменение на Регламент (ЕС) № 575/2013 по отношение на отношението на ливъридж, отношението на нетното стабилно финансиране, капиталовите изисквания и изискванията за приемливи задължения, кредитния риск от контрагента, пазарния риск, експозициите към централни контрагенти, експозициите към предприятия за колективно инвестиране, големите експозиции, изискванията за отчетност и оповестяване и на Регламент (ЕС) № 648/2012 (ОВ L 150, 7.6.2019 г., стр. 1).</w:t>
      </w:r>
    </w:p>
  </w:footnote>
  <w:footnote w:id="4">
    <w:p w:rsidR="00410340" w:rsidRPr="007067A9" w:rsidRDefault="00410340" w:rsidP="008B3E83">
      <w:pPr>
        <w:pStyle w:val="FootnoteText"/>
      </w:pPr>
      <w:r>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w:t>
      </w:r>
      <w:r>
        <w:rPr>
          <w:rStyle w:val="Emphasis"/>
          <w:i w:val="0"/>
        </w:rPr>
        <w:t>ОВ L 198, 22.6.2020 г., стр. 13)</w:t>
      </w:r>
      <w:r>
        <w:t>.</w:t>
      </w:r>
    </w:p>
  </w:footnote>
  <w:footnote w:id="5">
    <w:p w:rsidR="00410340" w:rsidRPr="007067A9" w:rsidRDefault="00410340" w:rsidP="008B3E83">
      <w:pPr>
        <w:pStyle w:val="FootnoteText"/>
        <w:rPr>
          <w:i/>
        </w:rPr>
      </w:pPr>
      <w:r>
        <w:rPr>
          <w:rStyle w:val="FootnoteReference"/>
        </w:rPr>
        <w:footnoteRef/>
      </w:r>
      <w:r>
        <w:tab/>
        <w:t>Делегиран регламент (ЕС) 2020/1818 на Комисията от 17 юли 2020 г. за допълнение на Регламент (ЕС) 2016/1011 на Европейския парламент и на Съвета по отношение на минималните стандарти за бенчмарковете на ЕС за климатичен преход и бенчмарковете на ЕС, съответстващи на Парижкото споразумение (</w:t>
      </w:r>
      <w:r>
        <w:rPr>
          <w:rStyle w:val="Emphasis"/>
          <w:i w:val="0"/>
        </w:rPr>
        <w:t>ОВ L 406, 3.12.2020 г., стр. 17</w:t>
      </w:r>
      <w:r>
        <w:t>).</w:t>
      </w:r>
    </w:p>
  </w:footnote>
  <w:footnote w:id="6">
    <w:p w:rsidR="00410340" w:rsidRPr="007067A9" w:rsidRDefault="00410340" w:rsidP="008B3E83">
      <w:pPr>
        <w:pStyle w:val="FootnoteText"/>
        <w:rPr>
          <w:color w:val="444444"/>
        </w:rPr>
      </w:pPr>
      <w:r>
        <w:rPr>
          <w:rStyle w:val="FootnoteReference"/>
        </w:rPr>
        <w:footnoteRef/>
      </w:r>
      <w:r>
        <w:tab/>
        <w:t>Директива 2010/31/ЕС на Европейския парламент и на Съвета от 19 май 2010 г. относно енергийните характеристики на сградите (</w:t>
      </w:r>
      <w:r>
        <w:rPr>
          <w:rStyle w:val="Emphasis"/>
          <w:i w:val="0"/>
        </w:rPr>
        <w:t>ОВ L 153, 18.6.2010 г., стр. 13</w:t>
      </w:r>
      <w:r>
        <w:t>).</w:t>
      </w:r>
    </w:p>
  </w:footnote>
  <w:footnote w:id="7">
    <w:p w:rsidR="00135CD4" w:rsidRPr="00135CD4" w:rsidRDefault="00135CD4" w:rsidP="00135CD4">
      <w:pPr>
        <w:pStyle w:val="FootnoteText"/>
      </w:pPr>
      <w:r>
        <w:rPr>
          <w:rStyle w:val="FootnoteReference"/>
        </w:rPr>
        <w:footnoteRef/>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8">
    <w:p w:rsidR="00410340" w:rsidRPr="007067A9" w:rsidRDefault="00410340" w:rsidP="00410340">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1"/>
  </w:num>
  <w:num w:numId="14">
    <w:abstractNumId w:val="13"/>
  </w:num>
  <w:num w:numId="15">
    <w:abstractNumId w:val="23"/>
  </w:num>
  <w:num w:numId="16">
    <w:abstractNumId w:val="11"/>
  </w:num>
  <w:num w:numId="17">
    <w:abstractNumId w:val="14"/>
  </w:num>
  <w:num w:numId="18">
    <w:abstractNumId w:val="15"/>
  </w:num>
  <w:num w:numId="19">
    <w:abstractNumId w:val="9"/>
  </w:num>
  <w:num w:numId="20">
    <w:abstractNumId w:val="22"/>
  </w:num>
  <w:num w:numId="21">
    <w:abstractNumId w:val="8"/>
  </w:num>
  <w:num w:numId="22">
    <w:abstractNumId w:val="16"/>
  </w:num>
  <w:num w:numId="23">
    <w:abstractNumId w:val="19"/>
  </w:num>
  <w:num w:numId="24">
    <w:abstractNumId w:val="20"/>
  </w:num>
  <w:num w:numId="25">
    <w:abstractNumId w:val="10"/>
  </w:num>
  <w:num w:numId="26">
    <w:abstractNumId w:val="18"/>
  </w:num>
  <w:num w:numId="27">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3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2A05A88-D0C3-4335-80CB-8102330CA230"/>
    <w:docVar w:name="LW_COVERPAGE_TYPE" w:val="1"/>
    <w:docVar w:name="LW_CROSSREFERENCE" w:val="&lt;UNUSED&gt;"/>
    <w:docVar w:name="LW_DATE.ADOPT.CP" w:val="\u1086?\u1090? 30.11.2022 \u1075?\u1086?\u1076?\u1080?\u1085?\u1072?"/>
    <w:docVar w:name="LW_DATE.ADOPT.CP_DATEFORMAT" w:val="\u1086?\u1090? %DATE% \u1075?\u1086?\u1076?\u1080?\u1085?\u1072?"/>
    <w:docVar w:name="LW_DATE.ADOPT.CP_ISODATE" w:val="2022-11-30"/>
    <w:docVar w:name="LW_DocType" w:val="COM"/>
    <w:docVar w:name="LW_EMISSION" w:val="30.11.2022"/>
    <w:docVar w:name="LW_EMISSION_ISODATE" w:val="2022-11-30"/>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текст от значение за ЕИП)"/>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за изменение на техническите стандарти за изпълнение, определени в Регламент за изпълнение (ЕС) 2021/637, по отношение на оповестяването на екологичните, социалните и управленските рискове _x000b_"/>
    <w:docVar w:name="LW_TYPE.DOC.CP" w:val="РЕГЛАМЕНТ ЗА ИЗПЪЛНЕНИЕ (ЕС) .../… НА КОМИСИЯТА"/>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5260E"/>
    <w:rsid w:val="0006070A"/>
    <w:rsid w:val="00066156"/>
    <w:rsid w:val="000663F2"/>
    <w:rsid w:val="00083B2C"/>
    <w:rsid w:val="00086FAB"/>
    <w:rsid w:val="00092C7C"/>
    <w:rsid w:val="000941B5"/>
    <w:rsid w:val="00095049"/>
    <w:rsid w:val="000A39E5"/>
    <w:rsid w:val="000A7517"/>
    <w:rsid w:val="000B1F8E"/>
    <w:rsid w:val="000B76A4"/>
    <w:rsid w:val="000C0D47"/>
    <w:rsid w:val="000D7128"/>
    <w:rsid w:val="000E198E"/>
    <w:rsid w:val="000F3F2A"/>
    <w:rsid w:val="000F5934"/>
    <w:rsid w:val="00103B22"/>
    <w:rsid w:val="0011495F"/>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597F"/>
    <w:rsid w:val="003276ED"/>
    <w:rsid w:val="00331719"/>
    <w:rsid w:val="0033740A"/>
    <w:rsid w:val="00351382"/>
    <w:rsid w:val="00353D88"/>
    <w:rsid w:val="003578D1"/>
    <w:rsid w:val="00362239"/>
    <w:rsid w:val="003965B3"/>
    <w:rsid w:val="00396F18"/>
    <w:rsid w:val="00397813"/>
    <w:rsid w:val="003A5DF1"/>
    <w:rsid w:val="003A6D93"/>
    <w:rsid w:val="003C122C"/>
    <w:rsid w:val="003C13E5"/>
    <w:rsid w:val="003C70D6"/>
    <w:rsid w:val="003D22F0"/>
    <w:rsid w:val="003D5E0A"/>
    <w:rsid w:val="003E10E2"/>
    <w:rsid w:val="003E1B7D"/>
    <w:rsid w:val="003F5E67"/>
    <w:rsid w:val="004046D9"/>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12B2D"/>
    <w:rsid w:val="00524ADC"/>
    <w:rsid w:val="00530E44"/>
    <w:rsid w:val="00541DBA"/>
    <w:rsid w:val="00543602"/>
    <w:rsid w:val="00547071"/>
    <w:rsid w:val="005708C3"/>
    <w:rsid w:val="005743BA"/>
    <w:rsid w:val="005911EC"/>
    <w:rsid w:val="00592619"/>
    <w:rsid w:val="00592E05"/>
    <w:rsid w:val="00595146"/>
    <w:rsid w:val="005B177F"/>
    <w:rsid w:val="005B5751"/>
    <w:rsid w:val="005C5191"/>
    <w:rsid w:val="005D1193"/>
    <w:rsid w:val="005D2409"/>
    <w:rsid w:val="005E5AED"/>
    <w:rsid w:val="005F05EA"/>
    <w:rsid w:val="00635568"/>
    <w:rsid w:val="00635A91"/>
    <w:rsid w:val="00643DD1"/>
    <w:rsid w:val="006542E5"/>
    <w:rsid w:val="00657F0F"/>
    <w:rsid w:val="0066012A"/>
    <w:rsid w:val="00674F39"/>
    <w:rsid w:val="00686BCA"/>
    <w:rsid w:val="0069084C"/>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C06F6"/>
    <w:rsid w:val="007C1792"/>
    <w:rsid w:val="007C6A9F"/>
    <w:rsid w:val="007D0388"/>
    <w:rsid w:val="007D62F0"/>
    <w:rsid w:val="007D7DBC"/>
    <w:rsid w:val="007E26C3"/>
    <w:rsid w:val="007E57E7"/>
    <w:rsid w:val="007F4F83"/>
    <w:rsid w:val="007F5860"/>
    <w:rsid w:val="00804148"/>
    <w:rsid w:val="008062B5"/>
    <w:rsid w:val="00817B8F"/>
    <w:rsid w:val="00821D7F"/>
    <w:rsid w:val="00832DCF"/>
    <w:rsid w:val="00847287"/>
    <w:rsid w:val="00851060"/>
    <w:rsid w:val="0085437D"/>
    <w:rsid w:val="0086052B"/>
    <w:rsid w:val="00865DA1"/>
    <w:rsid w:val="0087679B"/>
    <w:rsid w:val="00884A61"/>
    <w:rsid w:val="008968D2"/>
    <w:rsid w:val="008B3E83"/>
    <w:rsid w:val="008B4EA1"/>
    <w:rsid w:val="008B6B70"/>
    <w:rsid w:val="008B7323"/>
    <w:rsid w:val="008C6F3B"/>
    <w:rsid w:val="008C705E"/>
    <w:rsid w:val="008D169C"/>
    <w:rsid w:val="008D2E23"/>
    <w:rsid w:val="008E08C7"/>
    <w:rsid w:val="008E0971"/>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52A5"/>
    <w:rsid w:val="009B7138"/>
    <w:rsid w:val="009C5D3A"/>
    <w:rsid w:val="009D6EB9"/>
    <w:rsid w:val="009E16FF"/>
    <w:rsid w:val="009E62A6"/>
    <w:rsid w:val="009F48FD"/>
    <w:rsid w:val="009F72A3"/>
    <w:rsid w:val="00A03A3E"/>
    <w:rsid w:val="00A11076"/>
    <w:rsid w:val="00A238D6"/>
    <w:rsid w:val="00A34057"/>
    <w:rsid w:val="00A41AD1"/>
    <w:rsid w:val="00A45F9D"/>
    <w:rsid w:val="00A51C38"/>
    <w:rsid w:val="00A525E2"/>
    <w:rsid w:val="00A6077E"/>
    <w:rsid w:val="00A61544"/>
    <w:rsid w:val="00A87925"/>
    <w:rsid w:val="00A97285"/>
    <w:rsid w:val="00AA3887"/>
    <w:rsid w:val="00AA5C69"/>
    <w:rsid w:val="00AA6403"/>
    <w:rsid w:val="00AA6D36"/>
    <w:rsid w:val="00AA7317"/>
    <w:rsid w:val="00AC5C9F"/>
    <w:rsid w:val="00AD2CD3"/>
    <w:rsid w:val="00AE332F"/>
    <w:rsid w:val="00AE60C7"/>
    <w:rsid w:val="00AF4467"/>
    <w:rsid w:val="00B00A6D"/>
    <w:rsid w:val="00B137D8"/>
    <w:rsid w:val="00B25755"/>
    <w:rsid w:val="00B37F85"/>
    <w:rsid w:val="00B45C88"/>
    <w:rsid w:val="00B555F4"/>
    <w:rsid w:val="00B667EA"/>
    <w:rsid w:val="00B75C81"/>
    <w:rsid w:val="00B76A3B"/>
    <w:rsid w:val="00B8705E"/>
    <w:rsid w:val="00B87C8F"/>
    <w:rsid w:val="00B90FD9"/>
    <w:rsid w:val="00B94522"/>
    <w:rsid w:val="00BB6E75"/>
    <w:rsid w:val="00BC190B"/>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57B73"/>
    <w:rsid w:val="00C72EBC"/>
    <w:rsid w:val="00C73950"/>
    <w:rsid w:val="00C80003"/>
    <w:rsid w:val="00C90F4B"/>
    <w:rsid w:val="00C96986"/>
    <w:rsid w:val="00CA5E0A"/>
    <w:rsid w:val="00CA6131"/>
    <w:rsid w:val="00CB63D6"/>
    <w:rsid w:val="00CD0917"/>
    <w:rsid w:val="00CD2F69"/>
    <w:rsid w:val="00CD31F7"/>
    <w:rsid w:val="00CD7B29"/>
    <w:rsid w:val="00CF4110"/>
    <w:rsid w:val="00D00193"/>
    <w:rsid w:val="00D01D57"/>
    <w:rsid w:val="00D14E3E"/>
    <w:rsid w:val="00D1768F"/>
    <w:rsid w:val="00D23734"/>
    <w:rsid w:val="00D34B59"/>
    <w:rsid w:val="00D41E65"/>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57103"/>
    <w:rsid w:val="00E621E8"/>
    <w:rsid w:val="00E80A1C"/>
    <w:rsid w:val="00E84919"/>
    <w:rsid w:val="00E87916"/>
    <w:rsid w:val="00E920E8"/>
    <w:rsid w:val="00EB425C"/>
    <w:rsid w:val="00EC304C"/>
    <w:rsid w:val="00EC548B"/>
    <w:rsid w:val="00EC72EE"/>
    <w:rsid w:val="00ED20D7"/>
    <w:rsid w:val="00ED7891"/>
    <w:rsid w:val="00EE28B6"/>
    <w:rsid w:val="00F007BC"/>
    <w:rsid w:val="00F170A6"/>
    <w:rsid w:val="00F20062"/>
    <w:rsid w:val="00F233CB"/>
    <w:rsid w:val="00F23798"/>
    <w:rsid w:val="00F367C9"/>
    <w:rsid w:val="00F45E0C"/>
    <w:rsid w:val="00F50B69"/>
    <w:rsid w:val="00F8179F"/>
    <w:rsid w:val="00F82E44"/>
    <w:rsid w:val="00F87C92"/>
    <w:rsid w:val="00F90B4C"/>
    <w:rsid w:val="00F93470"/>
    <w:rsid w:val="00FA40AE"/>
    <w:rsid w:val="00FB1BFB"/>
    <w:rsid w:val="00FB5D02"/>
    <w:rsid w:val="00FB6A8F"/>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2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bg-BG"/>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bg-BG"/>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bg-BG"/>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2"/>
      </w:numPr>
      <w:spacing w:line="360" w:lineRule="auto"/>
    </w:pPr>
  </w:style>
  <w:style w:type="paragraph" w:customStyle="1" w:styleId="LegalNumPar2">
    <w:name w:val="LegalNumPar2"/>
    <w:basedOn w:val="Normal"/>
    <w:rsid w:val="008C6F3B"/>
    <w:pPr>
      <w:numPr>
        <w:ilvl w:val="1"/>
        <w:numId w:val="12"/>
      </w:numPr>
      <w:spacing w:line="360" w:lineRule="auto"/>
    </w:pPr>
  </w:style>
  <w:style w:type="paragraph" w:customStyle="1" w:styleId="LegalNumPar3">
    <w:name w:val="LegalNumPar3"/>
    <w:basedOn w:val="Normal"/>
    <w:rsid w:val="008C6F3B"/>
    <w:pPr>
      <w:numPr>
        <w:ilvl w:val="2"/>
        <w:numId w:val="12"/>
      </w:numPr>
      <w:spacing w:line="360" w:lineRule="auto"/>
    </w:pPr>
  </w:style>
  <w:style w:type="paragraph" w:styleId="Header">
    <w:name w:val="header"/>
    <w:basedOn w:val="Normal"/>
    <w:link w:val="HeaderChar"/>
    <w:uiPriority w:val="99"/>
    <w:unhideWhenUsed/>
    <w:rsid w:val="00D41E65"/>
    <w:pPr>
      <w:tabs>
        <w:tab w:val="center" w:pos="4535"/>
        <w:tab w:val="right" w:pos="9071"/>
      </w:tabs>
      <w:spacing w:before="0"/>
    </w:pPr>
  </w:style>
  <w:style w:type="character" w:customStyle="1" w:styleId="HeaderChar">
    <w:name w:val="Header Char"/>
    <w:basedOn w:val="DefaultParagraphFont"/>
    <w:link w:val="Header"/>
    <w:uiPriority w:val="99"/>
    <w:rsid w:val="00D41E65"/>
    <w:rPr>
      <w:rFonts w:ascii="Times New Roman" w:hAnsi="Times New Roman" w:cs="Times New Roman"/>
      <w:sz w:val="24"/>
      <w:lang w:val="bg-BG"/>
    </w:rPr>
  </w:style>
  <w:style w:type="paragraph" w:styleId="Footer">
    <w:name w:val="footer"/>
    <w:basedOn w:val="Normal"/>
    <w:link w:val="FooterChar"/>
    <w:uiPriority w:val="99"/>
    <w:unhideWhenUsed/>
    <w:rsid w:val="00D41E6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41E65"/>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bg-BG"/>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bg-BG"/>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bg-BG"/>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bg-BG"/>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bg-BG"/>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bg-BG"/>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bg-BG"/>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41E65"/>
    <w:pPr>
      <w:tabs>
        <w:tab w:val="center" w:pos="7285"/>
        <w:tab w:val="right" w:pos="14003"/>
      </w:tabs>
      <w:spacing w:before="0"/>
    </w:pPr>
  </w:style>
  <w:style w:type="paragraph" w:customStyle="1" w:styleId="FooterLandscape">
    <w:name w:val="FooterLandscape"/>
    <w:basedOn w:val="Normal"/>
    <w:rsid w:val="00D41E6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41E6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41E65"/>
    <w:pPr>
      <w:spacing w:before="0"/>
      <w:jc w:val="right"/>
    </w:pPr>
    <w:rPr>
      <w:sz w:val="28"/>
    </w:rPr>
  </w:style>
  <w:style w:type="paragraph" w:customStyle="1" w:styleId="FooterSensitivity">
    <w:name w:val="Footer Sensitivity"/>
    <w:basedOn w:val="Normal"/>
    <w:rsid w:val="00D41E6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3"/>
      </w:numPr>
    </w:pPr>
  </w:style>
  <w:style w:type="paragraph" w:customStyle="1" w:styleId="Tiret1">
    <w:name w:val="Tiret 1"/>
    <w:basedOn w:val="Point1"/>
    <w:pPr>
      <w:numPr>
        <w:numId w:val="14"/>
      </w:numPr>
    </w:pPr>
  </w:style>
  <w:style w:type="paragraph" w:customStyle="1" w:styleId="Tiret2">
    <w:name w:val="Tiret 2"/>
    <w:basedOn w:val="Point2"/>
    <w:pPr>
      <w:numPr>
        <w:numId w:val="15"/>
      </w:numPr>
    </w:pPr>
  </w:style>
  <w:style w:type="paragraph" w:customStyle="1" w:styleId="Tiret3">
    <w:name w:val="Tiret 3"/>
    <w:basedOn w:val="Point3"/>
    <w:pPr>
      <w:numPr>
        <w:numId w:val="16"/>
      </w:numPr>
    </w:pPr>
  </w:style>
  <w:style w:type="paragraph" w:customStyle="1" w:styleId="Tiret4">
    <w:name w:val="Tiret 4"/>
    <w:basedOn w:val="Point4"/>
    <w:pPr>
      <w:numPr>
        <w:numId w:val="17"/>
      </w:numPr>
    </w:pPr>
  </w:style>
  <w:style w:type="paragraph" w:customStyle="1" w:styleId="Tiret5">
    <w:name w:val="Tiret 5"/>
    <w:basedOn w:val="Point5"/>
    <w:pPr>
      <w:numPr>
        <w:numId w:val="1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9"/>
      </w:numPr>
    </w:pPr>
  </w:style>
  <w:style w:type="paragraph" w:customStyle="1" w:styleId="NumPar2">
    <w:name w:val="NumPar 2"/>
    <w:basedOn w:val="Normal"/>
    <w:next w:val="Text1"/>
    <w:pPr>
      <w:numPr>
        <w:ilvl w:val="1"/>
        <w:numId w:val="19"/>
      </w:numPr>
    </w:pPr>
  </w:style>
  <w:style w:type="paragraph" w:customStyle="1" w:styleId="NumPar3">
    <w:name w:val="NumPar 3"/>
    <w:basedOn w:val="Normal"/>
    <w:next w:val="Text1"/>
    <w:pPr>
      <w:numPr>
        <w:ilvl w:val="2"/>
        <w:numId w:val="19"/>
      </w:numPr>
    </w:pPr>
  </w:style>
  <w:style w:type="paragraph" w:customStyle="1" w:styleId="NumPar4">
    <w:name w:val="NumPar 4"/>
    <w:basedOn w:val="Normal"/>
    <w:next w:val="Text1"/>
    <w:pPr>
      <w:numPr>
        <w:ilvl w:val="3"/>
        <w:numId w:val="19"/>
      </w:numPr>
    </w:pPr>
  </w:style>
  <w:style w:type="paragraph" w:customStyle="1" w:styleId="NumPar5">
    <w:name w:val="NumPar 5"/>
    <w:basedOn w:val="Normal"/>
    <w:next w:val="Text2"/>
    <w:pPr>
      <w:numPr>
        <w:ilvl w:val="4"/>
        <w:numId w:val="19"/>
      </w:numPr>
    </w:pPr>
  </w:style>
  <w:style w:type="paragraph" w:customStyle="1" w:styleId="NumPar6">
    <w:name w:val="NumPar 6"/>
    <w:basedOn w:val="Normal"/>
    <w:next w:val="Text2"/>
    <w:pPr>
      <w:numPr>
        <w:ilvl w:val="5"/>
        <w:numId w:val="19"/>
      </w:numPr>
    </w:pPr>
  </w:style>
  <w:style w:type="paragraph" w:customStyle="1" w:styleId="NumPar7">
    <w:name w:val="NumPar 7"/>
    <w:basedOn w:val="Normal"/>
    <w:next w:val="Text2"/>
    <w:pPr>
      <w:numPr>
        <w:ilvl w:val="6"/>
        <w:numId w:val="1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sid w:val="005F05EA"/>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1"/>
      </w:numPr>
    </w:pPr>
  </w:style>
  <w:style w:type="paragraph" w:customStyle="1" w:styleId="Point1number">
    <w:name w:val="Point 1 (number)"/>
    <w:basedOn w:val="Normal"/>
    <w:pPr>
      <w:numPr>
        <w:ilvl w:val="2"/>
        <w:numId w:val="21"/>
      </w:numPr>
    </w:pPr>
  </w:style>
  <w:style w:type="paragraph" w:customStyle="1" w:styleId="Point2number">
    <w:name w:val="Point 2 (number)"/>
    <w:basedOn w:val="Normal"/>
    <w:pPr>
      <w:numPr>
        <w:ilvl w:val="4"/>
        <w:numId w:val="21"/>
      </w:numPr>
    </w:pPr>
  </w:style>
  <w:style w:type="paragraph" w:customStyle="1" w:styleId="Point3number">
    <w:name w:val="Point 3 (number)"/>
    <w:basedOn w:val="Normal"/>
    <w:pPr>
      <w:numPr>
        <w:ilvl w:val="6"/>
        <w:numId w:val="21"/>
      </w:numPr>
    </w:pPr>
  </w:style>
  <w:style w:type="paragraph" w:customStyle="1" w:styleId="Point0letter">
    <w:name w:val="Point 0 (letter)"/>
    <w:basedOn w:val="Normal"/>
    <w:pPr>
      <w:numPr>
        <w:ilvl w:val="1"/>
        <w:numId w:val="21"/>
      </w:numPr>
    </w:pPr>
  </w:style>
  <w:style w:type="paragraph" w:customStyle="1" w:styleId="Point1letter">
    <w:name w:val="Point 1 (letter)"/>
    <w:basedOn w:val="Normal"/>
    <w:pPr>
      <w:numPr>
        <w:ilvl w:val="3"/>
        <w:numId w:val="21"/>
      </w:numPr>
    </w:pPr>
  </w:style>
  <w:style w:type="paragraph" w:customStyle="1" w:styleId="Point2letter">
    <w:name w:val="Point 2 (letter)"/>
    <w:basedOn w:val="Normal"/>
    <w:pPr>
      <w:numPr>
        <w:ilvl w:val="5"/>
        <w:numId w:val="21"/>
      </w:numPr>
    </w:pPr>
  </w:style>
  <w:style w:type="paragraph" w:customStyle="1" w:styleId="Point3letter">
    <w:name w:val="Point 3 (letter)"/>
    <w:basedOn w:val="Normal"/>
    <w:pPr>
      <w:numPr>
        <w:ilvl w:val="7"/>
        <w:numId w:val="21"/>
      </w:numPr>
    </w:pPr>
  </w:style>
  <w:style w:type="paragraph" w:customStyle="1" w:styleId="Point4letter">
    <w:name w:val="Point 4 (letter)"/>
    <w:basedOn w:val="Normal"/>
    <w:pPr>
      <w:numPr>
        <w:ilvl w:val="8"/>
        <w:numId w:val="21"/>
      </w:numPr>
    </w:pPr>
  </w:style>
  <w:style w:type="paragraph" w:customStyle="1" w:styleId="Bullet0">
    <w:name w:val="Bullet 0"/>
    <w:basedOn w:val="Normal"/>
    <w:pPr>
      <w:numPr>
        <w:numId w:val="22"/>
      </w:numPr>
    </w:pPr>
  </w:style>
  <w:style w:type="paragraph" w:customStyle="1" w:styleId="Bullet1">
    <w:name w:val="Bullet 1"/>
    <w:basedOn w:val="Normal"/>
    <w:pPr>
      <w:numPr>
        <w:numId w:val="23"/>
      </w:numPr>
    </w:pPr>
  </w:style>
  <w:style w:type="paragraph" w:customStyle="1" w:styleId="Bullet2">
    <w:name w:val="Bullet 2"/>
    <w:basedOn w:val="Normal"/>
    <w:pPr>
      <w:numPr>
        <w:numId w:val="24"/>
      </w:numPr>
    </w:pPr>
  </w:style>
  <w:style w:type="paragraph" w:customStyle="1" w:styleId="Bullet3">
    <w:name w:val="Bullet 3"/>
    <w:basedOn w:val="Normal"/>
    <w:pPr>
      <w:numPr>
        <w:numId w:val="25"/>
      </w:numPr>
    </w:pPr>
  </w:style>
  <w:style w:type="paragraph" w:customStyle="1" w:styleId="Bullet4">
    <w:name w:val="Bullet 4"/>
    <w:basedOn w:val="Normal"/>
    <w:pPr>
      <w:numPr>
        <w:numId w:val="2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1E631-9055-4255-A50C-DD50B025B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10</TotalTime>
  <Pages>7</Pages>
  <Words>1837</Words>
  <Characters>10567</Characters>
  <Application>Microsoft Office Word</Application>
  <DocSecurity>0</DocSecurity>
  <Lines>207</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56</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