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A46E30" w:rsidRDefault="007D3113" w:rsidP="007D3113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59C76F2A-C00C-465C-B723-D512F616C1F6" style="width:455.25pt;height:414pt">
            <v:imagedata r:id="rId8" o:title=""/>
          </v:shape>
        </w:pict>
      </w:r>
    </w:p>
    <w:p w:rsidR="003C122C" w:rsidRPr="00A46E30" w:rsidRDefault="003C122C">
      <w:pPr>
        <w:rPr>
          <w:noProof/>
        </w:rPr>
        <w:sectPr w:rsidR="003C122C" w:rsidRPr="00A46E30" w:rsidSect="007D3113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3C122C" w:rsidRPr="00A46E30" w:rsidRDefault="00A46E30" w:rsidP="00A46E30">
      <w:pPr>
        <w:pStyle w:val="Typedudocument"/>
        <w:rPr>
          <w:noProof/>
        </w:rPr>
      </w:pPr>
      <w:bookmarkStart w:id="0" w:name="_GoBack"/>
      <w:bookmarkEnd w:id="0"/>
      <w:r w:rsidRPr="00A46E30">
        <w:rPr>
          <w:noProof/>
        </w:rPr>
        <w:lastRenderedPageBreak/>
        <w:t>REGOLAMENT TA’ IMPLIMENTAZZJONI TAL-KUMMISSJONI (UE) .../...</w:t>
      </w:r>
    </w:p>
    <w:p w:rsidR="003C122C" w:rsidRPr="00A46E30" w:rsidRDefault="000B721F" w:rsidP="00A46E30">
      <w:pPr>
        <w:pStyle w:val="Datedadoption"/>
        <w:rPr>
          <w:noProof/>
        </w:rPr>
      </w:pPr>
      <w:r>
        <w:t>ta’ 30.11.2022</w:t>
      </w:r>
    </w:p>
    <w:p w:rsidR="003C122C" w:rsidRPr="00A46E30" w:rsidRDefault="00A46E30" w:rsidP="00A46E30">
      <w:pPr>
        <w:pStyle w:val="Titreobjet"/>
        <w:rPr>
          <w:noProof/>
        </w:rPr>
      </w:pPr>
      <w:r w:rsidRPr="00A46E30">
        <w:rPr>
          <w:noProof/>
        </w:rPr>
        <w:t xml:space="preserve">li jemenda l-istandards tekniċi ta’ implimentazzjoni stabbiliti fir-Regolament ta’ Implimentazzjoni (UE) 2021/637 fir-rigward tad-divulgazzjoni tar-riskji ambjentali, soċjali u ta’ governanza </w:t>
      </w:r>
      <w:r w:rsidRPr="00A46E30">
        <w:rPr>
          <w:noProof/>
        </w:rPr>
        <w:br/>
      </w:r>
    </w:p>
    <w:p w:rsidR="003C122C" w:rsidRPr="00A46E30" w:rsidRDefault="00A46E30" w:rsidP="00A46E30">
      <w:pPr>
        <w:pStyle w:val="IntrtEEE"/>
        <w:rPr>
          <w:noProof/>
        </w:rPr>
      </w:pPr>
      <w:r w:rsidRPr="00A46E30">
        <w:rPr>
          <w:noProof/>
        </w:rPr>
        <w:t>(Test b’rilevanza għaż-ŻEE)</w:t>
      </w:r>
    </w:p>
    <w:p w:rsidR="003C122C" w:rsidRPr="00A46E30" w:rsidRDefault="003C122C" w:rsidP="004E1EF9">
      <w:pPr>
        <w:pStyle w:val="Institutionquiagit"/>
        <w:rPr>
          <w:noProof/>
        </w:rPr>
      </w:pPr>
      <w:r w:rsidRPr="00A46E30">
        <w:rPr>
          <w:noProof/>
        </w:rPr>
        <w:t>IL-KUMMISSJONI EWROPEA,</w:t>
      </w:r>
    </w:p>
    <w:p w:rsidR="003C122C" w:rsidRPr="00A46E30" w:rsidRDefault="003C122C" w:rsidP="003C122C">
      <w:pPr>
        <w:rPr>
          <w:noProof/>
          <w:color w:val="000000"/>
        </w:rPr>
      </w:pPr>
      <w:r w:rsidRPr="00A46E30">
        <w:rPr>
          <w:noProof/>
          <w:color w:val="000000"/>
        </w:rPr>
        <w:t>Wara li kkunsidrat it-Trattat dwar il-Funzjonament tal-Unjoni Ewropea,</w:t>
      </w:r>
    </w:p>
    <w:p w:rsidR="003C122C" w:rsidRPr="00A46E30" w:rsidRDefault="003C122C" w:rsidP="003C122C">
      <w:pPr>
        <w:rPr>
          <w:noProof/>
          <w:color w:val="000000"/>
        </w:rPr>
      </w:pPr>
      <w:r w:rsidRPr="00A46E30">
        <w:rPr>
          <w:noProof/>
          <w:color w:val="000000"/>
        </w:rPr>
        <w:t>Wara li kkunsidrat ir-Regolament (UE) Nru 575/2013 tal-Parlament Ewropew u tal-Kunsill tas-26 ta’ Ġunju 2013 dwar ir-rekwiżiti prudenzjali għall-istituzzjonijiet ta’ kreditu u li jemenda r-Regolament (UE) Nru 648/2012</w:t>
      </w:r>
      <w:r w:rsidRPr="00A46E30">
        <w:rPr>
          <w:rStyle w:val="FootnoteReference"/>
          <w:noProof/>
        </w:rPr>
        <w:footnoteReference w:id="1"/>
      </w:r>
      <w:r w:rsidRPr="00A46E30">
        <w:rPr>
          <w:noProof/>
          <w:color w:val="000000"/>
        </w:rPr>
        <w:t xml:space="preserve"> u b’mod partikolari l-Artikolu 434a tiegħu,</w:t>
      </w:r>
    </w:p>
    <w:p w:rsidR="003C122C" w:rsidRPr="00A46E30" w:rsidRDefault="003C122C" w:rsidP="004E1EF9">
      <w:pPr>
        <w:rPr>
          <w:noProof/>
        </w:rPr>
      </w:pPr>
      <w:r w:rsidRPr="00A46E30">
        <w:rPr>
          <w:noProof/>
        </w:rPr>
        <w:t>Billi:</w:t>
      </w:r>
    </w:p>
    <w:p w:rsidR="00410340" w:rsidRPr="00A46E30" w:rsidRDefault="00265AA5" w:rsidP="00265AA5">
      <w:pPr>
        <w:pStyle w:val="ManualConsidrant"/>
        <w:rPr>
          <w:noProof/>
          <w:color w:val="000000"/>
        </w:rPr>
      </w:pPr>
      <w:r w:rsidRPr="00265AA5">
        <w:t>(1)</w:t>
      </w:r>
      <w:r w:rsidRPr="00265AA5">
        <w:tab/>
      </w:r>
      <w:r w:rsidR="007067A9" w:rsidRPr="00A46E30">
        <w:rPr>
          <w:noProof/>
        </w:rPr>
        <w:t>Ir-Regolament ta’ Implimentazzjoni tal-Kummissjoni (UE) 2021/637</w:t>
      </w:r>
      <w:r w:rsidR="007067A9" w:rsidRPr="00A46E30">
        <w:rPr>
          <w:rStyle w:val="FootnoteReference"/>
          <w:noProof/>
        </w:rPr>
        <w:footnoteReference w:id="2"/>
      </w:r>
      <w:r w:rsidR="007067A9" w:rsidRPr="00A46E30">
        <w:rPr>
          <w:noProof/>
        </w:rPr>
        <w:t xml:space="preserve"> jispeċifika formati uniformi ta’ divulgazzjoni u struzzjonijiet assoċjati għad-divulgazzjonijiet meħtieġa skont it-Titoli II u III tar-Regolament (UE) Nru 575/2013. Ir-Regolament (UE) Nru 575/2013 ġie emendat bir-Regolament (UE) 2019/876</w:t>
      </w:r>
      <w:r w:rsidR="007067A9" w:rsidRPr="00A46E30">
        <w:rPr>
          <w:rStyle w:val="FootnoteReference"/>
          <w:noProof/>
        </w:rPr>
        <w:footnoteReference w:id="3"/>
      </w:r>
      <w:r w:rsidR="007067A9" w:rsidRPr="00A46E30">
        <w:rPr>
          <w:noProof/>
        </w:rPr>
        <w:t xml:space="preserve">, </w:t>
      </w:r>
      <w:r w:rsidR="007067A9" w:rsidRPr="00A46E30">
        <w:rPr>
          <w:i/>
          <w:noProof/>
        </w:rPr>
        <w:t>inter alia</w:t>
      </w:r>
      <w:r w:rsidR="007067A9" w:rsidRPr="00A46E30">
        <w:rPr>
          <w:noProof/>
        </w:rPr>
        <w:t xml:space="preserve"> biex jintroduċi Artikolu 449a ġdid. Dak l-Artikolu jirrikjedi li istituzzjonijiet kbar li jkunu ħarġu titoli li huma ammessi għan-negozjar f’suq regolat ta’ kwalunkwe Stat Membru jiddivulgaw, mit-28 ta’ Ġunju 2022, informazzjoni dwar ir-riskji ambjentali, soċjali u ta’ governanza (ESG), inklużi r-riskji fiżiċi u r-riskji ta’ tranżizzjoni. Dik l-emenda għar-Regolament (UE) Nru 575/2013 jenħtieġ li tiġi riflessa fir-Regolament ta’ Implimentazzjoni tal-Kummissjoni (UE) 2021/637, li jenħtieġ li jistabbilixxi, minbarra l-formati ta’ divulgazzjoni uniformi eżistenti u l-istruzzjonijiet assoċjati, formati ta’ divulgazzjoni uniformi addizzjonali u struzzjonijiet assoċjati għad-divulgazzjonijiet tar-riskji ESG.</w:t>
      </w:r>
    </w:p>
    <w:p w:rsidR="00410340" w:rsidRPr="00A46E30" w:rsidRDefault="00265AA5" w:rsidP="00265AA5">
      <w:pPr>
        <w:pStyle w:val="ManualConsidrant"/>
        <w:rPr>
          <w:noProof/>
        </w:rPr>
      </w:pPr>
      <w:r w:rsidRPr="00265AA5">
        <w:t>(2)</w:t>
      </w:r>
      <w:r w:rsidRPr="00265AA5">
        <w:tab/>
      </w:r>
      <w:r w:rsidR="00410340" w:rsidRPr="00A46E30">
        <w:rPr>
          <w:noProof/>
        </w:rPr>
        <w:t>Meta jiġu stabbiliti formati uniformi ta’ divulgazzjoni, għandha titqies il-materjalità sħiħa tal-informazzjoni li għandha tiġi ddivulgata. Dan ifisser li d-divulgazzjonijiet mill-istituzzjonijiet jenħtieġ li jkopru, minn naħa waħda, l-impatt finanzjarju tal-fatturi ESG fuq l-attivitajiet ekonomiċi u finanzjarji tal-istituzzjonijiet (perspettiva minn barra għal ġewwa), u, min-naħa l-oħra, il-fatturi ESG li jistgħu jiġu skattati mill-attivitajiet proprji tal-istituzzjonijiet, li min-naħa tagħhom isiru finanzjarjament materjali meta jaffettwaw lill-partijiet ikkonċernati tal-istituzzjonijiet (perspettiva minn ġewwa għal barra). B’riżultat ta’ dan, jenħtieġ li t-tabelli u l-mudelli użati għal dawk id-divulgazzjonijiet jagħtu informazzjoni komprensiva u komparabbli biżżejjed dwar ir-riskji ESG, u b’hekk l-utenti ta’ dik l-informazzjoni jkunu jistgħu jivvalutaw il-profil tar-riskju tal-istituzzjonijiet.</w:t>
      </w:r>
    </w:p>
    <w:p w:rsidR="00410340" w:rsidRPr="00A46E30" w:rsidRDefault="00265AA5" w:rsidP="00265AA5">
      <w:pPr>
        <w:pStyle w:val="ManualConsidrant"/>
        <w:rPr>
          <w:noProof/>
        </w:rPr>
      </w:pPr>
      <w:r w:rsidRPr="00265AA5">
        <w:t>(3)</w:t>
      </w:r>
      <w:r w:rsidRPr="00265AA5">
        <w:tab/>
      </w:r>
      <w:r w:rsidR="00A525E2" w:rsidRPr="00A46E30">
        <w:rPr>
          <w:noProof/>
        </w:rPr>
        <w:t>Huwa meħtieġ li jiġu żgurati l-koerenza u l-konsistenza ma’ leġiżlazzjoni oħra tal-Unjoni fil-qasam tar-riskji ESG. Ir-regoli dwar id-divulgazzjoni tar-riskji ESG għandhom għalhekk iqisu l-kriterji, il-klassifikazzjonijiet u d-definizzjonijiet stabbiliti f’dik il-leġiżlazzjoni tal-Unjoni. Dawk ir-regoli jenħtieġ li jqisu b’mod partikolari l-kriterji għall-identifikazzjoni u l-klassifikazzjoni ta’ attivitajiet ekonomiċi ambjentalment sostenibbli, kif stabbilit fir-Regolament (UE) 2020/852 tal-Parlament Ewropew u tal-Kunsill</w:t>
      </w:r>
      <w:r w:rsidR="00A525E2" w:rsidRPr="00A46E30">
        <w:rPr>
          <w:rStyle w:val="FootnoteReference"/>
          <w:noProof/>
        </w:rPr>
        <w:footnoteReference w:id="4"/>
      </w:r>
      <w:r w:rsidR="00A525E2" w:rsidRPr="00A46E30">
        <w:rPr>
          <w:noProof/>
        </w:rPr>
        <w:t xml:space="preserve"> u fir-Regolament Delegat tal-Kummissjoni (UE) 2020/1818</w:t>
      </w:r>
      <w:r w:rsidR="00A525E2" w:rsidRPr="00A46E30">
        <w:rPr>
          <w:rStyle w:val="FootnoteReference"/>
          <w:noProof/>
        </w:rPr>
        <w:footnoteReference w:id="5"/>
      </w:r>
      <w:r w:rsidR="00A525E2" w:rsidRPr="00A46E30">
        <w:rPr>
          <w:noProof/>
        </w:rPr>
        <w:t>. Fir-rigward tad-divulgazzjoni ta’ informazzjoni dwar il-prestazzjoni tal-enerġija tal-portafoll tal-proprjetà immobbli tal-istituzzjonijiet, jenħtieġ li titqies l-informazzjoni pprovduta miċ-ċertifikat tar-rendiment fl-użu tal-enerġija kif definit fil-punt 12 tal-Artikolu 2 tad-Direttiva 2010/31/UE tal-Parlament Ewropew u tal-Kunsill</w:t>
      </w:r>
      <w:r w:rsidR="00A525E2" w:rsidRPr="00A46E30">
        <w:rPr>
          <w:rStyle w:val="FootnoteReference"/>
          <w:noProof/>
        </w:rPr>
        <w:footnoteReference w:id="6"/>
      </w:r>
      <w:r w:rsidR="00A525E2" w:rsidRPr="00A46E30">
        <w:rPr>
          <w:noProof/>
        </w:rPr>
        <w:t>.</w:t>
      </w:r>
    </w:p>
    <w:p w:rsidR="00135CD4" w:rsidRPr="00A46E30" w:rsidRDefault="00265AA5" w:rsidP="00265AA5">
      <w:pPr>
        <w:pStyle w:val="ManualConsidrant"/>
        <w:rPr>
          <w:noProof/>
        </w:rPr>
      </w:pPr>
      <w:r w:rsidRPr="00265AA5">
        <w:t>(4)</w:t>
      </w:r>
      <w:r w:rsidRPr="00265AA5">
        <w:tab/>
      </w:r>
      <w:r w:rsidR="00135CD4" w:rsidRPr="00A46E30">
        <w:rPr>
          <w:noProof/>
        </w:rPr>
        <w:t>L-Artikoli 19a u 29a tad-Direttiva 2013/34/UE tal-Parlament Ewropew u tal-Kunsill</w:t>
      </w:r>
      <w:r w:rsidR="00135CD4" w:rsidRPr="00A46E30">
        <w:rPr>
          <w:rStyle w:val="FootnoteReference"/>
          <w:noProof/>
        </w:rPr>
        <w:footnoteReference w:id="7"/>
      </w:r>
      <w:r w:rsidR="00135CD4" w:rsidRPr="00A46E30">
        <w:rPr>
          <w:noProof/>
        </w:rPr>
        <w:t xml:space="preserve"> jirrikjedu li ċerti impriżi kbar li huma entitajiet ta’ interess pubbliku, jew entitajiet ta’ interess pubbliku li huma impriżi prinċipali ta’ grupp kbir, rispettivament, jinkludu fir-rapport ta’ ġestjoni tagħhom jew fir-rapport ta’ ġestjoni kkonsolidat tagħhom informazzjoni dwar l-impatt tal-attività tagħhom fuq kwistjonijiet ambjentali, soċjali u tal-impjegati, ir-rispett għad-drittijiet tal-bniedem, kwistjonijiet kontra l-korruzzjoni u t-tixħim. Madankollu, dan l-obbligu ma japplikax għal impriżi oħra. B’riżultat ta’ dan, l-impriżi li mhumiex soġġetti għall-Artikoli 19a u 29a tad-Direttiva 2013/34/UE mhumiex meħtieġa jiddivulgaw tali informazzjoni u jistgħu ma jkunux jistgħu jipprovdu tali informazzjoni lill-istituzzjonijiet. Dawk l-impriżi li huma kontropartijiet għal istituzzjonijiet jistgħu għalhekk ikunu mistennija biss li jipprovdu dik l-informazzjoni u </w:t>
      </w:r>
      <w:r w:rsidR="00135CD4" w:rsidRPr="00A46E30">
        <w:rPr>
          <w:i/>
          <w:noProof/>
        </w:rPr>
        <w:t>data</w:t>
      </w:r>
      <w:r w:rsidR="00135CD4" w:rsidRPr="00A46E30">
        <w:rPr>
          <w:noProof/>
        </w:rPr>
        <w:t xml:space="preserve"> fuq bażi volontarja. Madankollu, huwa xieraq li dawk l-impriżi jingħataw gwida dwar il-kalkolu tal-perċentwal tal-iskoperturi għal attivitajiet li huma attivitajiet ekonomiċi ambjentalment sostenibbli kif imsemmi fl-Artikolu 3 tar-Regolament (UE) 2020/852, sabiex dik l-informazzjoni u dik id-data jkunu jistgħu jiġu ppreżentati f’format standardizzat u komparabbli. Meta dik l-informazzjoni u dik id-</w:t>
      </w:r>
      <w:r w:rsidR="00135CD4" w:rsidRPr="00A46E30">
        <w:rPr>
          <w:i/>
          <w:noProof/>
        </w:rPr>
        <w:t>data</w:t>
      </w:r>
      <w:r w:rsidR="00135CD4" w:rsidRPr="00A46E30">
        <w:rPr>
          <w:noProof/>
        </w:rPr>
        <w:t xml:space="preserve"> ma jiġux ipprovduti b’mod volontarju, l-istituzzjonijiet jenħtieġ li jkunu jistgħu jikkalkulaw il-perċentwal ta’ skoperturi allinjati mat-tassonomija billi jużaw stimi jew indikaturi.</w:t>
      </w:r>
    </w:p>
    <w:p w:rsidR="00921483" w:rsidRPr="00A46E30" w:rsidRDefault="00265AA5" w:rsidP="00265AA5">
      <w:pPr>
        <w:pStyle w:val="ManualConsidrant"/>
        <w:rPr>
          <w:noProof/>
        </w:rPr>
      </w:pPr>
      <w:r w:rsidRPr="00265AA5">
        <w:t>(5)</w:t>
      </w:r>
      <w:r w:rsidRPr="00265AA5">
        <w:tab/>
      </w:r>
      <w:r w:rsidR="00A97285" w:rsidRPr="00A46E30">
        <w:rPr>
          <w:noProof/>
        </w:rPr>
        <w:t>L-Artikolu 449a tar-Regolament (UE) Nru 575/2013 jirrikjedi li l-informazzjoni dwar ir-riskji ESG tiġi ddivulgata mit-28 ta’ Ġunju 2022, u minn hemm’ il quddiem fuq bażi annwali għall-ewwel sena u darbtejn fis-sena minn hemm ’il quddiem. Għal dawk ir-raġunijiet, l-ewwel data ta’ referenza tad-divulgazzjoni annwali jenħtieġ li tiġi stabbilita mill-31 ta’ Diċembru 2022.</w:t>
      </w:r>
    </w:p>
    <w:p w:rsidR="00ED20D7" w:rsidRPr="00A46E30" w:rsidRDefault="00265AA5" w:rsidP="00265AA5">
      <w:pPr>
        <w:pStyle w:val="ManualConsidrant"/>
        <w:rPr>
          <w:noProof/>
        </w:rPr>
      </w:pPr>
      <w:r w:rsidRPr="00265AA5">
        <w:t>(6)</w:t>
      </w:r>
      <w:r w:rsidRPr="00265AA5">
        <w:tab/>
      </w:r>
      <w:r w:rsidR="00410340" w:rsidRPr="00A46E30">
        <w:rPr>
          <w:noProof/>
        </w:rPr>
        <w:t xml:space="preserve">Dan ir-Regolament huwa bbażat fuq l-abbozz tal-istandards tekniċi ta’ implimentazzjoni ppreżentat lill-Kummissjoni mill-Awtorità Bankarja Ewropea. </w:t>
      </w:r>
    </w:p>
    <w:p w:rsidR="00410340" w:rsidRPr="00A46E30" w:rsidRDefault="00265AA5" w:rsidP="00265AA5">
      <w:pPr>
        <w:pStyle w:val="ManualConsidrant"/>
        <w:rPr>
          <w:noProof/>
        </w:rPr>
      </w:pPr>
      <w:r w:rsidRPr="00265AA5">
        <w:t>(7)</w:t>
      </w:r>
      <w:r w:rsidRPr="00265AA5">
        <w:tab/>
      </w:r>
      <w:r w:rsidR="00ED20D7" w:rsidRPr="00A46E30">
        <w:rPr>
          <w:noProof/>
        </w:rPr>
        <w:t>L-Awtorità Bankarja Ewropea wettqet konsultazzjonijiet pubbliċi miftuħa dwar l-abbozz tal-istandards tekniċi ta’ implementazzjoni li dan ir-Regolament huwa bbażat fuqhom, analizzat l-ispejjeż u l-benefiċċji potenzjali relatati u talbet l-opinjoni tal-Grupp tal-Partijiet Bankarji Interessati stabbilit f’konformità mal-Artikolu 37 tar-Regolament (UE) Nru 1093/2010 tal-Parlament Ewropew u tal-Kunsill</w:t>
      </w:r>
      <w:r w:rsidR="00ED20D7" w:rsidRPr="00A46E30">
        <w:rPr>
          <w:rStyle w:val="FootnoteReference"/>
          <w:noProof/>
        </w:rPr>
        <w:footnoteReference w:id="8"/>
      </w:r>
      <w:r w:rsidR="00ED20D7" w:rsidRPr="00A46E30">
        <w:rPr>
          <w:noProof/>
        </w:rPr>
        <w:t>.</w:t>
      </w:r>
    </w:p>
    <w:p w:rsidR="00410340" w:rsidRPr="00A46E30" w:rsidRDefault="00265AA5" w:rsidP="00265AA5">
      <w:pPr>
        <w:pStyle w:val="ManualConsidrant"/>
        <w:rPr>
          <w:noProof/>
        </w:rPr>
      </w:pPr>
      <w:r w:rsidRPr="00265AA5">
        <w:t>(8)</w:t>
      </w:r>
      <w:r w:rsidRPr="00265AA5">
        <w:tab/>
      </w:r>
      <w:r w:rsidR="00410340" w:rsidRPr="00A46E30">
        <w:rPr>
          <w:noProof/>
        </w:rPr>
        <w:t xml:space="preserve">Għalhekk, jenħtieġ li r-Regolament ta’ Implimentazzjoni (UE) </w:t>
      </w:r>
      <w:r w:rsidR="00410340" w:rsidRPr="00A46E30">
        <w:rPr>
          <w:noProof/>
          <w:sz w:val="22"/>
        </w:rPr>
        <w:t>2021/637</w:t>
      </w:r>
      <w:r w:rsidR="00410340" w:rsidRPr="00A46E30">
        <w:rPr>
          <w:noProof/>
        </w:rPr>
        <w:t xml:space="preserve"> jiġi emendat skont dan,</w:t>
      </w:r>
    </w:p>
    <w:p w:rsidR="003C122C" w:rsidRPr="00A46E30" w:rsidRDefault="003C122C" w:rsidP="004E1EF9">
      <w:pPr>
        <w:pStyle w:val="Formuledadoption"/>
        <w:rPr>
          <w:noProof/>
          <w:szCs w:val="24"/>
        </w:rPr>
      </w:pPr>
      <w:r w:rsidRPr="00A46E30">
        <w:rPr>
          <w:noProof/>
        </w:rPr>
        <w:t>ADOTTAT DAN IR-REGOLAMENT:</w:t>
      </w:r>
    </w:p>
    <w:p w:rsidR="003C122C" w:rsidRPr="00A46E30" w:rsidRDefault="003C122C" w:rsidP="004E1EF9">
      <w:pPr>
        <w:pStyle w:val="Titrearticle"/>
        <w:rPr>
          <w:noProof/>
          <w:szCs w:val="24"/>
        </w:rPr>
      </w:pPr>
      <w:r w:rsidRPr="00A46E30">
        <w:rPr>
          <w:noProof/>
        </w:rPr>
        <w:t>Artikolu 1</w:t>
      </w:r>
    </w:p>
    <w:p w:rsidR="007F4F83" w:rsidRPr="00A46E30" w:rsidRDefault="007F4F83" w:rsidP="00D00193">
      <w:pPr>
        <w:pStyle w:val="Titrearticle"/>
        <w:spacing w:before="120"/>
        <w:rPr>
          <w:b/>
          <w:i w:val="0"/>
          <w:noProof/>
          <w:szCs w:val="24"/>
        </w:rPr>
      </w:pPr>
      <w:r w:rsidRPr="00A46E30">
        <w:rPr>
          <w:b/>
          <w:i w:val="0"/>
          <w:noProof/>
        </w:rPr>
        <w:t>Emendi għar-Regolament ta’ Implimentazzjoni (UE) 2021/637</w:t>
      </w:r>
    </w:p>
    <w:p w:rsidR="007F4F83" w:rsidRPr="00A46E30" w:rsidRDefault="007F4F83" w:rsidP="007F4F83">
      <w:pPr>
        <w:pStyle w:val="Titrearticle"/>
        <w:jc w:val="left"/>
        <w:rPr>
          <w:rFonts w:eastAsiaTheme="minorEastAsia"/>
          <w:i w:val="0"/>
          <w:noProof/>
          <w:szCs w:val="24"/>
        </w:rPr>
      </w:pPr>
      <w:r w:rsidRPr="00A46E30">
        <w:rPr>
          <w:i w:val="0"/>
          <w:noProof/>
        </w:rPr>
        <w:t>Ir-Regolament ta’ Implimentazzjoni (UE) 2021/637 huwa emendat kif ġej:</w:t>
      </w:r>
    </w:p>
    <w:p w:rsidR="007F4F83" w:rsidRPr="00A46E30" w:rsidRDefault="00265AA5" w:rsidP="00265AA5">
      <w:pPr>
        <w:pStyle w:val="Point0"/>
        <w:rPr>
          <w:noProof/>
        </w:rPr>
      </w:pPr>
      <w:r w:rsidRPr="00265AA5">
        <w:t>(1)</w:t>
      </w:r>
      <w:r w:rsidRPr="00265AA5">
        <w:tab/>
      </w:r>
      <w:r w:rsidR="00121603">
        <w:rPr>
          <w:noProof/>
        </w:rPr>
        <w:t>jiddaħħal l-Artikolu 18</w:t>
      </w:r>
      <w:r w:rsidR="007F4F83" w:rsidRPr="00A46E30">
        <w:rPr>
          <w:noProof/>
        </w:rPr>
        <w:t>a li ġej:</w:t>
      </w:r>
    </w:p>
    <w:p w:rsidR="007F4F83" w:rsidRPr="00A46E30" w:rsidRDefault="006542E5" w:rsidP="004046D9">
      <w:pPr>
        <w:pStyle w:val="Titrearticle"/>
        <w:spacing w:before="120"/>
        <w:ind w:left="567" w:right="568"/>
        <w:rPr>
          <w:noProof/>
        </w:rPr>
      </w:pPr>
      <w:r w:rsidRPr="00A46E30">
        <w:rPr>
          <w:noProof/>
        </w:rPr>
        <w:t>“Artikolu 18a</w:t>
      </w:r>
    </w:p>
    <w:p w:rsidR="007F4F83" w:rsidRPr="00A46E30" w:rsidRDefault="007F4F83" w:rsidP="004046D9">
      <w:pPr>
        <w:pStyle w:val="Titrearticle"/>
        <w:spacing w:before="120"/>
        <w:ind w:left="567" w:right="568"/>
        <w:rPr>
          <w:b/>
          <w:i w:val="0"/>
          <w:noProof/>
        </w:rPr>
      </w:pPr>
      <w:r w:rsidRPr="00A46E30">
        <w:rPr>
          <w:b/>
          <w:i w:val="0"/>
          <w:noProof/>
        </w:rPr>
        <w:t>Divulgazzjoni ta' riskji ambjentali, soċjali u ta' governanza (riskji ESG)</w:t>
      </w:r>
    </w:p>
    <w:p w:rsidR="007F4F83" w:rsidRPr="00A46E30" w:rsidRDefault="00265AA5" w:rsidP="00265AA5">
      <w:pPr>
        <w:pStyle w:val="ManualNumPar1"/>
        <w:rPr>
          <w:noProof/>
        </w:rPr>
      </w:pPr>
      <w:r w:rsidRPr="00265AA5">
        <w:t>1.</w:t>
      </w:r>
      <w:r w:rsidRPr="00265AA5">
        <w:tab/>
      </w:r>
      <w:r w:rsidR="007F4F83" w:rsidRPr="00A46E30">
        <w:rPr>
          <w:noProof/>
        </w:rPr>
        <w:t>L-istituzzjonijiet għandhom jiddivulgaw l-informazzjoni msemmija fl-Artikolu 449 tar-Regolament (UE) Nru 575/2013 kif ġej:</w:t>
      </w:r>
    </w:p>
    <w:p w:rsidR="002D1236" w:rsidRPr="00A46E30" w:rsidRDefault="00265AA5" w:rsidP="00265AA5">
      <w:pPr>
        <w:pStyle w:val="Point1"/>
        <w:rPr>
          <w:noProof/>
        </w:rPr>
      </w:pPr>
      <w:r w:rsidRPr="00265AA5">
        <w:t>(a)</w:t>
      </w:r>
      <w:r w:rsidRPr="00265AA5">
        <w:tab/>
      </w:r>
      <w:r w:rsidR="002D1236" w:rsidRPr="00A46E30">
        <w:rPr>
          <w:noProof/>
        </w:rPr>
        <w:t>informazzjoni kwalitattiva dwar ir-riskji ambjentali, soċjali u ta’ governanza bl-użu tat-Tabelli 1, 2 u 3 tal-Anness XXXIX ta’ dan ir-Regolament u billi jiġu segwiti l-istruzzjonijiet stabbiliti fl-Anness XL ta’ dan ir-Regolament;</w:t>
      </w:r>
    </w:p>
    <w:p w:rsidR="002D1236" w:rsidRPr="00A46E30" w:rsidRDefault="00265AA5" w:rsidP="00265AA5">
      <w:pPr>
        <w:pStyle w:val="Point1"/>
        <w:rPr>
          <w:noProof/>
        </w:rPr>
      </w:pPr>
      <w:r w:rsidRPr="00265AA5">
        <w:t>(b)</w:t>
      </w:r>
      <w:r w:rsidRPr="00265AA5">
        <w:tab/>
      </w:r>
      <w:r w:rsidR="002D1236" w:rsidRPr="00A46E30">
        <w:rPr>
          <w:noProof/>
        </w:rPr>
        <w:t>informazzjoni kwantitattiva dwar ir-riskji ta’ tranżizzjoni tat-tibdil fil-klima.bl-użu  tal-Mudelli1 sa 4 tal-Anness XXXIX ta’ dan ir-Regolament u billi jiġu segwiti l-istruzzjonijiet stabbiliti fl-Anness XL ta’ dan ir-Regolament;</w:t>
      </w:r>
    </w:p>
    <w:p w:rsidR="002D1236" w:rsidRPr="00A46E30" w:rsidRDefault="00265AA5" w:rsidP="00265AA5">
      <w:pPr>
        <w:pStyle w:val="Point1"/>
        <w:rPr>
          <w:noProof/>
        </w:rPr>
      </w:pPr>
      <w:r w:rsidRPr="00265AA5">
        <w:t>(c)</w:t>
      </w:r>
      <w:r w:rsidRPr="00265AA5">
        <w:tab/>
      </w:r>
      <w:r w:rsidR="002D1236" w:rsidRPr="00A46E30">
        <w:rPr>
          <w:noProof/>
        </w:rPr>
        <w:t>informazzjoni kwantitattiva dwar ir-riskji fiżiċi tat-tibdil fil-klima.bl-użu tal-Mudell 5 tal-Anness XXXIX ta’ dan ir-Regolament u billi jiġu segwiti l-istruzzjonijiet stabbiliti fl-Anness XL ta’ dan ir-Regolament;</w:t>
      </w:r>
    </w:p>
    <w:p w:rsidR="002D1236" w:rsidRPr="00A46E30" w:rsidRDefault="00265AA5" w:rsidP="00265AA5">
      <w:pPr>
        <w:pStyle w:val="Point1"/>
        <w:rPr>
          <w:noProof/>
        </w:rPr>
      </w:pPr>
      <w:r w:rsidRPr="00265AA5">
        <w:t>(d)</w:t>
      </w:r>
      <w:r w:rsidRPr="00265AA5">
        <w:tab/>
      </w:r>
      <w:r w:rsidR="002D1236" w:rsidRPr="00A46E30">
        <w:rPr>
          <w:noProof/>
        </w:rPr>
        <w:t>informazzjoni kwantitattiva dwar azzjonijiet ta’ mitigazzjoni assoċjati ma’ attivitajiet ekonomiċi li jikkwalifikaw bħala ambjentalment sostenibbli skont l-Artikolu 3 tar-Regolament (UE) 2020/852 tal-Parlament Ewropew u tal-Kunsill*1 lejn dawk il-kontropartijiet li huma soġġetti għall-Artikol</w:t>
      </w:r>
      <w:r w:rsidR="0018444C">
        <w:rPr>
          <w:noProof/>
        </w:rPr>
        <w:t>i 19a jew 29a tad-Direttiva 2013/34</w:t>
      </w:r>
      <w:r w:rsidR="002D1236" w:rsidRPr="00A46E30">
        <w:rPr>
          <w:noProof/>
        </w:rPr>
        <w:t xml:space="preserve">/UE tal-Parlament Ewropew u tal-Kunsill*2, </w:t>
      </w:r>
      <w:bookmarkStart w:id="1" w:name="_Hlk92470586"/>
      <w:r w:rsidR="002D1236" w:rsidRPr="00A46E30">
        <w:rPr>
          <w:noProof/>
        </w:rPr>
        <w:t xml:space="preserve">lejn unitajiet domestiċi, u lejn gvernijiet lokali </w:t>
      </w:r>
      <w:bookmarkEnd w:id="1"/>
      <w:r w:rsidR="002D1236" w:rsidRPr="00A46E30">
        <w:rPr>
          <w:noProof/>
        </w:rPr>
        <w:t>kif imsemmi fil-Parti 1, il-punt 42(b), tal-Anness V tar-Regolament ta’ Implimentazzjoni tal-Kummissjoni (UE) 2021/451*3, billi jintużaw il-Mudelli 6, 7 u 8 tal-Anness XXXIX ta’ dan ir-Regolament u billi jiġu segwiti l-istruzzjonijiet stabbiliti fl-Anness XL ta’ dan ir-Regolament;</w:t>
      </w:r>
    </w:p>
    <w:p w:rsidR="00995098" w:rsidRPr="00A46E30" w:rsidRDefault="00265AA5" w:rsidP="00265AA5">
      <w:pPr>
        <w:pStyle w:val="Point1"/>
        <w:rPr>
          <w:noProof/>
        </w:rPr>
      </w:pPr>
      <w:r w:rsidRPr="00265AA5">
        <w:t>(e)</w:t>
      </w:r>
      <w:r w:rsidRPr="00265AA5">
        <w:tab/>
      </w:r>
      <w:r w:rsidR="00995098" w:rsidRPr="00A46E30">
        <w:rPr>
          <w:noProof/>
        </w:rPr>
        <w:t>informazzjoni kwantitattiva dwar azzjonijiet ta’ mitigazzjoni oħra u skoperturi għal riskji relatati mat-tibdil fil-klima li ma jikkwalifikawx bħala attivitajiet ekonomiċi ambjentalment sostenibbli skont l-Artikolu 3 tar-Regolament (UE) 2020/852 iżda jappoġġaw lill-kontropartijiet fil-proċess ta’ tranżizzjoni jew adattament għall-objettivi tal-mitigazzjoni tat-tibdil fil-klima u l-adattament għat-tibdil fil-klima, billi jużaw il-Mudell 10 tal-Anness XXXIX ta’ dan ir-Regolament u billi jsegwu l-istruzzjonijiet stabbiliti fl-Anness XL ta’ dan ir-Regolament.</w:t>
      </w:r>
    </w:p>
    <w:p w:rsidR="008D2E23" w:rsidRPr="00A46E30" w:rsidRDefault="00265AA5" w:rsidP="00265AA5">
      <w:pPr>
        <w:pStyle w:val="ManualNumPar1"/>
        <w:rPr>
          <w:noProof/>
        </w:rPr>
      </w:pPr>
      <w:r w:rsidRPr="00265AA5">
        <w:t>2.</w:t>
      </w:r>
      <w:r w:rsidRPr="00265AA5">
        <w:tab/>
      </w:r>
      <w:r w:rsidR="000941B5" w:rsidRPr="00A46E30">
        <w:rPr>
          <w:noProof/>
        </w:rPr>
        <w:t xml:space="preserve">L-istituzzjonijiet jistgħu jagħżlu li jiddivulgaw informazzjoni kwantitattiva dwar azzjonijiet ta’ mitigazzjoni u skoperturi dwar riskji relatati mat-tibdil fil-klima assoċjati ma’ attivitajiet ekonomiċi li jikkwalifikaw bħala ambjentalment sostenibbli skont l-Artikolu 3 tar-Regolament (UE) 2020/852, lejn kontropartijiet </w:t>
      </w:r>
      <w:bookmarkStart w:id="2" w:name="_Hlk92470606"/>
      <w:r w:rsidR="000941B5" w:rsidRPr="00A46E30">
        <w:rPr>
          <w:noProof/>
        </w:rPr>
        <w:t>li huma korporazzjonijiet mhux finanzjarji</w:t>
      </w:r>
      <w:bookmarkEnd w:id="2"/>
      <w:r w:rsidR="000941B5" w:rsidRPr="00A46E30">
        <w:rPr>
          <w:noProof/>
        </w:rPr>
        <w:t xml:space="preserve"> kif imsemmi fil-Parti 1, il-punt 42(e) tal-Anness V tar-Regolament ta’ Implimentazzjoni (UE) 2021/451, li mhumiex soġġetti għall-obbligi ta’ divulgazzjoni stabbiliti fl-Artikoli 19a jew 29a tad-Direttiva </w:t>
      </w:r>
      <w:r w:rsidR="0018444C">
        <w:rPr>
          <w:noProof/>
        </w:rPr>
        <w:t>2013/34</w:t>
      </w:r>
      <w:r w:rsidR="000941B5" w:rsidRPr="00A46E30">
        <w:rPr>
          <w:noProof/>
        </w:rPr>
        <w:t>/UE u li mhumiex soġġetti għall-obbligi ta’ divulgazzjoni stabbiliti fir-Regolament ta’ Implimentazzjoni tal-Kummissjoni (UE) 2021/2178</w:t>
      </w:r>
      <w:r w:rsidR="000941B5" w:rsidRPr="00A46E30">
        <w:rPr>
          <w:noProof/>
          <w:vertAlign w:val="superscript"/>
        </w:rPr>
        <w:t>*4</w:t>
      </w:r>
      <w:r w:rsidR="000941B5" w:rsidRPr="00A46E30">
        <w:rPr>
          <w:noProof/>
        </w:rPr>
        <w:t xml:space="preserve">, billi jużaw il-Mudell 9 tal-Anness XXXIX ta’ dan ir-Regolament u billi jsegwu l-istruzzjonijiet stabbiliti fl-Anness XL ta’ dan ir-Regolament. </w:t>
      </w:r>
    </w:p>
    <w:p w:rsidR="002D1236" w:rsidRPr="00A46E30" w:rsidRDefault="002D1236" w:rsidP="00353D88">
      <w:pPr>
        <w:pStyle w:val="Text1"/>
        <w:rPr>
          <w:noProof/>
        </w:rPr>
      </w:pPr>
      <w:r w:rsidRPr="00A46E30">
        <w:rPr>
          <w:noProof/>
        </w:rPr>
        <w:t>Għall-kalkolu tal-perċentwal tal-iskoperturi għal attivitajiet li jikkonformaw mar-rekwiżiti stabbiliti fl-Artikolu 3 tar-Regolament (UE) 2020/852 (skoperturi allinjati mat-tassonomija) lejn dawk il-kontropartijiet, l-istituzzjonijiet:</w:t>
      </w:r>
    </w:p>
    <w:p w:rsidR="00D23734" w:rsidRPr="00A46E30" w:rsidRDefault="00265AA5" w:rsidP="00265AA5">
      <w:pPr>
        <w:pStyle w:val="Point1"/>
        <w:rPr>
          <w:noProof/>
        </w:rPr>
      </w:pPr>
      <w:r w:rsidRPr="00265AA5">
        <w:t>(a)</w:t>
      </w:r>
      <w:r w:rsidRPr="00265AA5">
        <w:tab/>
      </w:r>
      <w:r w:rsidR="008E7D06" w:rsidRPr="00A46E30">
        <w:rPr>
          <w:noProof/>
        </w:rPr>
        <w:t>jistgħu, fejn disponibbli, jużaw l-informazzjoni riċevuta mill-kontropartijiet tagħhom fuq bażi volontarja u bilaterali permezz tal-oriġinazzjoni tas-self, u proċessi regolari ta’ rieżami u monitoraġġ tal-kreditu;</w:t>
      </w:r>
    </w:p>
    <w:p w:rsidR="00D23734" w:rsidRPr="00A46E30" w:rsidRDefault="00265AA5" w:rsidP="00265AA5">
      <w:pPr>
        <w:pStyle w:val="Point1"/>
        <w:rPr>
          <w:noProof/>
        </w:rPr>
      </w:pPr>
      <w:r w:rsidRPr="00265AA5">
        <w:t>(b)</w:t>
      </w:r>
      <w:r w:rsidRPr="00265AA5">
        <w:tab/>
      </w:r>
      <w:r w:rsidR="00B25755" w:rsidRPr="00A46E30">
        <w:rPr>
          <w:noProof/>
        </w:rPr>
        <w:t>meta l-kontroparti ma tkunx tista’ jew ma tkunx lesta li tipprovdi d-</w:t>
      </w:r>
      <w:r w:rsidR="00B25755" w:rsidRPr="00A46E30">
        <w:rPr>
          <w:i/>
          <w:noProof/>
        </w:rPr>
        <w:t xml:space="preserve">data </w:t>
      </w:r>
      <w:r w:rsidR="00B25755" w:rsidRPr="00A46E30">
        <w:rPr>
          <w:noProof/>
        </w:rPr>
        <w:t>kkonċernata fuq bażi bilaterali, tista’ tuża stimi u indikaturi interni u tispjega fin-narrattiva li takkumpanja l-mudell sa liema punt intużaw dawk l-istimi u l-prokuri interni, u liema stimi u indikaturi interni ġew applikati;</w:t>
      </w:r>
    </w:p>
    <w:p w:rsidR="002D1236" w:rsidRPr="00A46E30" w:rsidRDefault="00265AA5" w:rsidP="00265AA5">
      <w:pPr>
        <w:pStyle w:val="Point1"/>
        <w:rPr>
          <w:noProof/>
        </w:rPr>
      </w:pPr>
      <w:r w:rsidRPr="00265AA5">
        <w:t>(c)</w:t>
      </w:r>
      <w:r w:rsidRPr="00265AA5">
        <w:tab/>
      </w:r>
      <w:r w:rsidR="00D23734" w:rsidRPr="00A46E30">
        <w:rPr>
          <w:noProof/>
        </w:rPr>
        <w:t>meta ma jkunux jistgħu jiġbru fuq bażi bilaterali l-informazzjoni kkonċernata, jew ma jkunux jistgħu jużaw stimi u indikaturi interni, jew ma jkunux jistgħu jiġbru dik l-informazzjoni jew jużaw dawk l-istimi u l-indikaturi b’mod li ma jkunx ta’ piż żejjed għalihom jew għall-kontropartijiet tagħhom, jistgħu jispjegaw dik l-inabbiltà fin-narrattiva li takkumpanja l-mudell.</w:t>
      </w:r>
    </w:p>
    <w:p w:rsidR="00320B78" w:rsidRPr="00A46E30" w:rsidRDefault="00320B78" w:rsidP="00353D88">
      <w:pPr>
        <w:pStyle w:val="Text1"/>
        <w:rPr>
          <w:noProof/>
        </w:rPr>
      </w:pPr>
      <w:r w:rsidRPr="00A46E30">
        <w:rPr>
          <w:noProof/>
        </w:rPr>
        <w:t>Għall-finijiet tal-punt (a), l-istituzzjonijiet għandhom jinfurmaw lill-kontropartijiet tagħhom li l-għoti ta’ tali informazzjoni huwa volontarju.</w:t>
      </w:r>
    </w:p>
    <w:p w:rsidR="007F4F83" w:rsidRPr="00A46E30" w:rsidRDefault="00265AA5" w:rsidP="00265AA5">
      <w:pPr>
        <w:pStyle w:val="ManualNumPar1"/>
        <w:rPr>
          <w:noProof/>
        </w:rPr>
      </w:pPr>
      <w:r w:rsidRPr="00265AA5">
        <w:t>3.</w:t>
      </w:r>
      <w:r w:rsidRPr="00265AA5">
        <w:tab/>
      </w:r>
      <w:r w:rsidR="006B71ED" w:rsidRPr="00A46E30">
        <w:rPr>
          <w:noProof/>
        </w:rPr>
        <w:t>Sakemm ma jkunx indikat mod ieħor fl-istruzzjonijiet stabbiliti fl-Anness XL ta’ dan ir-Regolament, l-istituzzjonijiet għandhom, mill-31 ta’ Diċembru 2022, jiddivulgaw l-informazzjoni msemmija fl-Artikolu 449a tar-Regolament (UE) Nru 575/2013 fid-dati li ġejjin:</w:t>
      </w:r>
    </w:p>
    <w:p w:rsidR="007F4F83" w:rsidRPr="00A46E30" w:rsidRDefault="00265AA5" w:rsidP="00265AA5">
      <w:pPr>
        <w:pStyle w:val="Point1"/>
        <w:rPr>
          <w:noProof/>
        </w:rPr>
      </w:pPr>
      <w:r w:rsidRPr="00265AA5">
        <w:t>(a)</w:t>
      </w:r>
      <w:r w:rsidRPr="00265AA5">
        <w:tab/>
      </w:r>
      <w:r w:rsidR="007F4F83" w:rsidRPr="00A46E30">
        <w:rPr>
          <w:noProof/>
        </w:rPr>
        <w:t>għal divulgazzjonijiet annwali: il-31 ta’ Diċembru;</w:t>
      </w:r>
    </w:p>
    <w:p w:rsidR="00D01D57" w:rsidRPr="00A46E30" w:rsidRDefault="00265AA5" w:rsidP="00265AA5">
      <w:pPr>
        <w:pStyle w:val="Point1"/>
        <w:rPr>
          <w:noProof/>
        </w:rPr>
      </w:pPr>
      <w:r w:rsidRPr="00265AA5">
        <w:t>(b)</w:t>
      </w:r>
      <w:r w:rsidRPr="00265AA5">
        <w:tab/>
      </w:r>
      <w:r w:rsidR="007F4F83" w:rsidRPr="00A46E30">
        <w:rPr>
          <w:noProof/>
        </w:rPr>
        <w:t>għal divulgazzjonijiet semi-annwali: it-30 ta’ Ġunju u l-31 ta’ Diċembru ta’ kull sena.</w:t>
      </w:r>
    </w:p>
    <w:p w:rsidR="00086FAB" w:rsidRPr="00A46E30" w:rsidRDefault="001904B5" w:rsidP="0087679B">
      <w:pPr>
        <w:pStyle w:val="Text2"/>
        <w:rPr>
          <w:noProof/>
        </w:rPr>
      </w:pPr>
      <w:r w:rsidRPr="00A46E30">
        <w:rPr>
          <w:noProof/>
        </w:rPr>
        <w:tab/>
        <w:t>___________</w:t>
      </w:r>
    </w:p>
    <w:p w:rsidR="00086FAB" w:rsidRPr="00A46E30" w:rsidRDefault="00086FAB" w:rsidP="0087679B">
      <w:pPr>
        <w:pStyle w:val="Text3"/>
        <w:rPr>
          <w:noProof/>
          <w:sz w:val="20"/>
          <w:szCs w:val="20"/>
        </w:rPr>
      </w:pPr>
      <w:r w:rsidRPr="00A46E30">
        <w:rPr>
          <w:noProof/>
          <w:sz w:val="20"/>
          <w:vertAlign w:val="superscript"/>
        </w:rPr>
        <w:t>*1</w:t>
      </w:r>
      <w:r w:rsidRPr="00A46E30">
        <w:rPr>
          <w:noProof/>
        </w:rPr>
        <w:tab/>
      </w:r>
      <w:r w:rsidRPr="00A46E30">
        <w:rPr>
          <w:noProof/>
          <w:sz w:val="20"/>
        </w:rPr>
        <w:t>Regolament (UE) 2020/852 tal-Parlament Ewropew u tal-Kunsill tat-18 ta’ Ġunju 2020 dwar l-istabbiliment ta’ qafas biex jiġi ffaċilitat l-investiment sostenibbli, u li jemenda r-Regolament (UE) 2019/2088 (ĠU L 198, 22.6.2020, p. 13).</w:t>
      </w:r>
    </w:p>
    <w:p w:rsidR="00086FAB" w:rsidRPr="00A46E30" w:rsidRDefault="00086FAB" w:rsidP="004F6722">
      <w:pPr>
        <w:pStyle w:val="Text3"/>
        <w:rPr>
          <w:noProof/>
          <w:sz w:val="20"/>
          <w:szCs w:val="20"/>
        </w:rPr>
      </w:pPr>
      <w:r w:rsidRPr="00A46E30">
        <w:rPr>
          <w:noProof/>
          <w:sz w:val="20"/>
          <w:vertAlign w:val="superscript"/>
        </w:rPr>
        <w:t>*2</w:t>
      </w:r>
      <w:r w:rsidRPr="00A46E30">
        <w:rPr>
          <w:noProof/>
        </w:rPr>
        <w:tab/>
      </w:r>
      <w:r w:rsidR="0018444C">
        <w:rPr>
          <w:noProof/>
          <w:sz w:val="20"/>
        </w:rPr>
        <w:t>Id-Direttiva 2013/34</w:t>
      </w:r>
      <w:r w:rsidRPr="00A46E30">
        <w:rPr>
          <w:noProof/>
          <w:sz w:val="20"/>
        </w:rPr>
        <w:t>/UE tal-Parlament Ewr</w:t>
      </w:r>
      <w:r w:rsidR="0018444C">
        <w:rPr>
          <w:noProof/>
          <w:sz w:val="20"/>
        </w:rPr>
        <w:t>opew u tal-Kunsill tas-26</w:t>
      </w:r>
      <w:r w:rsidRPr="00A46E30">
        <w:rPr>
          <w:noProof/>
          <w:sz w:val="20"/>
        </w:rPr>
        <w:t> ta’ </w:t>
      </w:r>
      <w:r w:rsidR="0018444C">
        <w:rPr>
          <w:noProof/>
          <w:sz w:val="20"/>
        </w:rPr>
        <w:t>Ġunju 2013</w:t>
      </w:r>
      <w:r w:rsidRPr="00A46E30">
        <w:rPr>
          <w:noProof/>
          <w:sz w:val="20"/>
        </w:rPr>
        <w:t xml:space="preserve"> </w:t>
      </w:r>
      <w:r w:rsidR="0018444C" w:rsidRPr="0018444C">
        <w:rPr>
          <w:noProof/>
          <w:sz w:val="20"/>
        </w:rPr>
        <w:t>dwar id-dikjarazzjonijiet finanzjarji annwali, id-dikjarazzjonijiet finanzjarji kkonsolidati u r-rapporti relatati ta’ ċerti tipi ta’ impriżi, u li temenda d-Direttiva 2006/43/KE tal-Parlament Ewropew u tal-Kunsill u li tħassar id-Direttivi tal-Kunsill 78/660/KEE u 83/349/</w:t>
      </w:r>
      <w:r w:rsidR="00271721">
        <w:rPr>
          <w:noProof/>
          <w:sz w:val="20"/>
        </w:rPr>
        <w:t>KEE (ĠU L 182</w:t>
      </w:r>
      <w:r w:rsidRPr="00A46E30">
        <w:rPr>
          <w:noProof/>
          <w:sz w:val="20"/>
        </w:rPr>
        <w:t xml:space="preserve">, </w:t>
      </w:r>
      <w:r w:rsidR="00271721">
        <w:rPr>
          <w:noProof/>
          <w:sz w:val="20"/>
        </w:rPr>
        <w:t>29</w:t>
      </w:r>
      <w:r w:rsidRPr="00A46E30">
        <w:rPr>
          <w:noProof/>
          <w:sz w:val="20"/>
        </w:rPr>
        <w:t>.</w:t>
      </w:r>
      <w:r w:rsidR="00271721">
        <w:rPr>
          <w:noProof/>
          <w:sz w:val="20"/>
        </w:rPr>
        <w:t>6.2013</w:t>
      </w:r>
      <w:r w:rsidRPr="00A46E30">
        <w:rPr>
          <w:noProof/>
          <w:sz w:val="20"/>
        </w:rPr>
        <w:t>, p. 1</w:t>
      </w:r>
      <w:r w:rsidR="00271721">
        <w:rPr>
          <w:noProof/>
          <w:sz w:val="20"/>
        </w:rPr>
        <w:t>9</w:t>
      </w:r>
      <w:r w:rsidRPr="00A46E30">
        <w:rPr>
          <w:noProof/>
          <w:sz w:val="20"/>
        </w:rPr>
        <w:t>).</w:t>
      </w:r>
    </w:p>
    <w:p w:rsidR="00086FAB" w:rsidRPr="00A46E30" w:rsidRDefault="00086FAB" w:rsidP="0087679B">
      <w:pPr>
        <w:pStyle w:val="Text3"/>
        <w:rPr>
          <w:noProof/>
          <w:sz w:val="20"/>
          <w:szCs w:val="20"/>
        </w:rPr>
      </w:pPr>
      <w:r w:rsidRPr="00A46E30">
        <w:rPr>
          <w:noProof/>
          <w:sz w:val="20"/>
          <w:vertAlign w:val="superscript"/>
        </w:rPr>
        <w:t>*3</w:t>
      </w:r>
      <w:r w:rsidRPr="00A46E30">
        <w:rPr>
          <w:noProof/>
        </w:rPr>
        <w:tab/>
      </w:r>
      <w:r w:rsidRPr="00A46E30">
        <w:rPr>
          <w:noProof/>
          <w:sz w:val="20"/>
        </w:rPr>
        <w:t>Ir-Regolament ta’ Implimentazzjoni tal-Kummissjoni (UE) 2021/451 tas-17 ta’ Diċembru 2020 li jistabbilixxi standards tekniċi ta’ implimentazzjoni għall-applikazzjoni tar-Regolament (UE) Nru 575/2013 tal-Parlament Ewropew u tal-Kunsill fir-rigward tar-rapportar superviżorju tal-istituzzjonijiet u li jħassar ir-Regolament ta’ Implimentazzjoni (UE) Nru 680/2014 (ĠU L 97, 19.3.2021, p. 1).</w:t>
      </w:r>
    </w:p>
    <w:p w:rsidR="00086FAB" w:rsidRPr="00A46E30" w:rsidRDefault="00086FAB" w:rsidP="0087679B">
      <w:pPr>
        <w:pStyle w:val="Text3"/>
        <w:rPr>
          <w:noProof/>
          <w:sz w:val="20"/>
          <w:szCs w:val="20"/>
        </w:rPr>
      </w:pPr>
      <w:r w:rsidRPr="00A46E30">
        <w:rPr>
          <w:noProof/>
          <w:sz w:val="20"/>
          <w:vertAlign w:val="superscript"/>
        </w:rPr>
        <w:t>*4</w:t>
      </w:r>
      <w:r w:rsidRPr="00A46E30">
        <w:rPr>
          <w:noProof/>
        </w:rPr>
        <w:tab/>
      </w:r>
      <w:r w:rsidRPr="00A46E30">
        <w:rPr>
          <w:noProof/>
          <w:sz w:val="20"/>
        </w:rPr>
        <w:t>Ir-Regolament Delegat tal-Kummissjoni (UE) 2021/2178 tas-6 ta’ Lulju 2021 li jissupplimenta r-Regolament (UE) 2020/852 tal-Parlament Ewropew u tal-Kunsill billi jispeċifika l-kontenut u l-preżentazzjoni ta’ informazzjoni li għandha tiġi żvelata minn impriżi soġġetti għall-Artikoli 19a jew 29a tad-Direttiva 2013/34/UE dwar attivitajiet ekonomiċi ambjentalment sostenibbli, u li jispeċifika l-metodoloġija biex ikun hemm konformità ma’ dan l-obbligu ta’ żvelar (ĠU L 443, 10.12.2021, p. 9).</w:t>
      </w:r>
    </w:p>
    <w:p w:rsidR="007F4F83" w:rsidRPr="00A46E30" w:rsidRDefault="00265AA5" w:rsidP="00265AA5">
      <w:pPr>
        <w:pStyle w:val="Point0"/>
        <w:rPr>
          <w:noProof/>
        </w:rPr>
      </w:pPr>
      <w:r w:rsidRPr="00265AA5">
        <w:t>(2)</w:t>
      </w:r>
      <w:r w:rsidRPr="00265AA5">
        <w:tab/>
      </w:r>
      <w:r w:rsidR="00921483" w:rsidRPr="00A46E30">
        <w:rPr>
          <w:noProof/>
        </w:rPr>
        <w:t xml:space="preserve">it-test fl-Anness I ta’ dan ir-Regolament jiżdied bħala l-Anness XXXIX; </w:t>
      </w:r>
    </w:p>
    <w:p w:rsidR="007F4F83" w:rsidRPr="00A46E30" w:rsidRDefault="00265AA5" w:rsidP="00265AA5">
      <w:pPr>
        <w:pStyle w:val="Point0"/>
        <w:rPr>
          <w:noProof/>
        </w:rPr>
      </w:pPr>
      <w:r w:rsidRPr="00265AA5">
        <w:t>(3)</w:t>
      </w:r>
      <w:r w:rsidRPr="00265AA5">
        <w:tab/>
      </w:r>
      <w:r w:rsidR="00921483" w:rsidRPr="00A46E30">
        <w:rPr>
          <w:noProof/>
        </w:rPr>
        <w:t>it-test fl-Anness II ta’ dan ir-Regolament jiżdied bħala l-Anness XL.</w:t>
      </w:r>
    </w:p>
    <w:p w:rsidR="007F4F83" w:rsidRPr="00A46E30" w:rsidRDefault="007F4F83" w:rsidP="004046D9">
      <w:pPr>
        <w:pStyle w:val="Titrearticle"/>
        <w:rPr>
          <w:noProof/>
          <w:szCs w:val="24"/>
        </w:rPr>
      </w:pPr>
      <w:r w:rsidRPr="00A46E30">
        <w:rPr>
          <w:noProof/>
        </w:rPr>
        <w:t>Artikolu 2</w:t>
      </w:r>
    </w:p>
    <w:p w:rsidR="007F4F83" w:rsidRPr="00A46E30" w:rsidRDefault="007F4F83" w:rsidP="007F4F83">
      <w:pPr>
        <w:pStyle w:val="Titrearticle"/>
        <w:spacing w:before="120"/>
        <w:rPr>
          <w:b/>
          <w:i w:val="0"/>
          <w:noProof/>
          <w:szCs w:val="24"/>
        </w:rPr>
      </w:pPr>
      <w:r w:rsidRPr="00A46E30">
        <w:rPr>
          <w:b/>
          <w:i w:val="0"/>
          <w:noProof/>
        </w:rPr>
        <w:t>Id-dħul fis-seħħ</w:t>
      </w:r>
    </w:p>
    <w:p w:rsidR="007F4F83" w:rsidRPr="00A46E30" w:rsidRDefault="007F4F83" w:rsidP="007F4F83">
      <w:pPr>
        <w:rPr>
          <w:noProof/>
          <w:color w:val="000000" w:themeColor="text1"/>
          <w:szCs w:val="24"/>
        </w:rPr>
      </w:pPr>
      <w:r w:rsidRPr="00A46E30">
        <w:rPr>
          <w:noProof/>
        </w:rPr>
        <w:t>Dan ir-Regolament għandu jidħol fis-seħħ fl-għoxrin jum wara dak tal-pubblikazzjoni tiegħu f’</w:t>
      </w:r>
      <w:r w:rsidRPr="00A46E30">
        <w:rPr>
          <w:i/>
          <w:noProof/>
          <w:color w:val="000000" w:themeColor="text1"/>
        </w:rPr>
        <w:t>Il-Ġurnal Uffiċjali tal-Unjoni Ewropea</w:t>
      </w:r>
      <w:r w:rsidRPr="00A46E30">
        <w:rPr>
          <w:noProof/>
        </w:rPr>
        <w:t>.</w:t>
      </w:r>
      <w:r w:rsidRPr="00A46E30">
        <w:rPr>
          <w:noProof/>
          <w:color w:val="000000" w:themeColor="text1"/>
        </w:rPr>
        <w:t xml:space="preserve"> </w:t>
      </w:r>
    </w:p>
    <w:p w:rsidR="007F4F83" w:rsidRPr="00A46E30" w:rsidRDefault="007F4F83" w:rsidP="007F4F83">
      <w:pPr>
        <w:pStyle w:val="Applicationdirecte"/>
        <w:rPr>
          <w:noProof/>
          <w:color w:val="000000"/>
          <w:szCs w:val="24"/>
        </w:rPr>
      </w:pPr>
      <w:r w:rsidRPr="00A46E30">
        <w:rPr>
          <w:noProof/>
          <w:color w:val="000000"/>
        </w:rPr>
        <w:t>Dan ir-Regolament għandu jorbot fl-intier tiegħu u japplika direttament fl-Istati Membri kollha.</w:t>
      </w:r>
    </w:p>
    <w:p w:rsidR="003C122C" w:rsidRPr="00A46E30" w:rsidRDefault="000B168E" w:rsidP="009D1616">
      <w:pPr>
        <w:pStyle w:val="Fait"/>
        <w:rPr>
          <w:noProof/>
        </w:rPr>
      </w:pPr>
      <w:r w:rsidRPr="000B168E">
        <w:t>Magħmul fi Brussell, 30.11.2022</w:t>
      </w:r>
    </w:p>
    <w:p w:rsidR="003C122C" w:rsidRPr="00A46E30" w:rsidRDefault="003C122C" w:rsidP="009D1616">
      <w:pPr>
        <w:pStyle w:val="Institutionquisigne"/>
        <w:rPr>
          <w:noProof/>
          <w:szCs w:val="24"/>
        </w:rPr>
      </w:pPr>
      <w:r w:rsidRPr="00A46E30">
        <w:rPr>
          <w:noProof/>
        </w:rPr>
        <w:tab/>
        <w:t>Għall-Kummissjoni</w:t>
      </w:r>
    </w:p>
    <w:p w:rsidR="00C32BCD" w:rsidRPr="00A46E30" w:rsidRDefault="00D87F0E" w:rsidP="009D1616">
      <w:pPr>
        <w:pStyle w:val="Personnequisigne"/>
        <w:keepNext/>
        <w:rPr>
          <w:noProof/>
          <w:szCs w:val="24"/>
        </w:rPr>
      </w:pPr>
      <w:r>
        <w:tab/>
        <w:t>Il-President</w:t>
      </w:r>
      <w:r>
        <w:br/>
      </w:r>
      <w:r>
        <w:tab/>
        <w:t>Ursula VON DER LEYEN</w:t>
      </w:r>
    </w:p>
    <w:p w:rsidR="00C32BCD" w:rsidRPr="00A46E30" w:rsidRDefault="00C32BCD" w:rsidP="00C32BCD">
      <w:pPr>
        <w:pStyle w:val="Personnequisigne"/>
        <w:rPr>
          <w:noProof/>
          <w:szCs w:val="24"/>
        </w:rPr>
      </w:pPr>
    </w:p>
    <w:sectPr w:rsidR="00C32BCD" w:rsidRPr="00A46E30" w:rsidSect="007D3113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EBEA" w16cex:dateUtc="2022-06-16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37DE51" w16cid:durableId="2655EBCB"/>
  <w16cid:commentId w16cid:paraId="7A29AA4B" w16cid:durableId="2655EBCC"/>
  <w16cid:commentId w16cid:paraId="3433952E" w16cid:durableId="2655EBCD"/>
  <w16cid:commentId w16cid:paraId="6EED3A3E" w16cid:durableId="2655EBCE"/>
  <w16cid:commentId w16cid:paraId="3EE02E5B" w16cid:durableId="2655EBCF"/>
  <w16cid:commentId w16cid:paraId="01A26344" w16cid:durableId="2655EBD0"/>
  <w16cid:commentId w16cid:paraId="39EDADD7" w16cid:durableId="2655EBD1"/>
  <w16cid:commentId w16cid:paraId="3AF162EE" w16cid:durableId="2628F6CF"/>
  <w16cid:commentId w16cid:paraId="6812BB0D" w16cid:durableId="2655EBD3"/>
  <w16cid:commentId w16cid:paraId="62E5038C" w16cid:durableId="2655EBD4"/>
  <w16cid:commentId w16cid:paraId="1F6C8177" w16cid:durableId="2655EBD5"/>
  <w16cid:commentId w16cid:paraId="0AE9DA68" w16cid:durableId="2655EBD6"/>
  <w16cid:commentId w16cid:paraId="596D06C5" w16cid:durableId="2628F6D1"/>
  <w16cid:commentId w16cid:paraId="46A9AA41" w16cid:durableId="2628F6D2"/>
  <w16cid:commentId w16cid:paraId="41CC9094" w16cid:durableId="2655EBD9"/>
  <w16cid:commentId w16cid:paraId="38880244" w16cid:durableId="2655EBDA"/>
  <w16cid:commentId w16cid:paraId="411E34EB" w16cid:durableId="2655EBDB"/>
  <w16cid:commentId w16cid:paraId="40899BBD" w16cid:durableId="2655EBEA"/>
  <w16cid:commentId w16cid:paraId="75EFCE6B" w16cid:durableId="2655EBDC"/>
  <w16cid:commentId w16cid:paraId="4EBEEE40" w16cid:durableId="2655EBDD"/>
  <w16cid:commentId w16cid:paraId="5ED79B6F" w16cid:durableId="2628F6D4"/>
  <w16cid:commentId w16cid:paraId="591736CE" w16cid:durableId="2655EBDF"/>
  <w16cid:commentId w16cid:paraId="1072DCD9" w16cid:durableId="2628F6D5"/>
  <w16cid:commentId w16cid:paraId="025BC4FA" w16cid:durableId="2655EBE1"/>
  <w16cid:commentId w16cid:paraId="218F3D69" w16cid:durableId="2628F6D6"/>
  <w16cid:commentId w16cid:paraId="0D916AAE" w16cid:durableId="2655EBE3"/>
  <w16cid:commentId w16cid:paraId="0F33B10D" w16cid:durableId="2628F6D7"/>
  <w16cid:commentId w16cid:paraId="01546E2B" w16cid:durableId="2655EBE5"/>
  <w16cid:commentId w16cid:paraId="44509D12" w16cid:durableId="2628F6D9"/>
  <w16cid:commentId w16cid:paraId="06BE4C89" w16cid:durableId="2655EBE7"/>
  <w16cid:commentId w16cid:paraId="63A690CE" w16cid:durableId="2628F6DA"/>
  <w16cid:commentId w16cid:paraId="268A51E3" w16cid:durableId="2655EB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0AE" w:rsidRDefault="00FA40AE" w:rsidP="003C122C">
      <w:pPr>
        <w:spacing w:before="0" w:after="0"/>
      </w:pPr>
      <w:r>
        <w:separator/>
      </w:r>
    </w:p>
  </w:endnote>
  <w:endnote w:type="continuationSeparator" w:id="0">
    <w:p w:rsidR="00FA40AE" w:rsidRDefault="00FA40AE" w:rsidP="003C12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6E30" w:rsidRPr="007D3113" w:rsidRDefault="007D3113" w:rsidP="007D3113">
    <w:pPr>
      <w:pStyle w:val="Footer"/>
      <w:rPr>
        <w:rFonts w:ascii="Arial" w:hAnsi="Arial" w:cs="Arial"/>
        <w:b/>
        <w:sz w:val="48"/>
      </w:rPr>
    </w:pPr>
    <w:r w:rsidRPr="007D3113">
      <w:rPr>
        <w:rFonts w:ascii="Arial" w:hAnsi="Arial" w:cs="Arial"/>
        <w:b/>
        <w:sz w:val="48"/>
      </w:rPr>
      <w:t>MT</w:t>
    </w:r>
    <w:r w:rsidRPr="007D3113">
      <w:rPr>
        <w:rFonts w:ascii="Arial" w:hAnsi="Arial" w:cs="Arial"/>
        <w:b/>
        <w:sz w:val="48"/>
      </w:rPr>
      <w:tab/>
    </w:r>
    <w:r w:rsidRPr="007D3113">
      <w:rPr>
        <w:rFonts w:ascii="Arial" w:hAnsi="Arial" w:cs="Arial"/>
        <w:b/>
        <w:sz w:val="48"/>
      </w:rPr>
      <w:tab/>
    </w:r>
    <w:r w:rsidRPr="007D3113">
      <w:tab/>
    </w:r>
    <w:r w:rsidRPr="007D3113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113" w:rsidRPr="007D3113" w:rsidRDefault="007D3113" w:rsidP="007D3113">
    <w:pPr>
      <w:pStyle w:val="Footer"/>
      <w:rPr>
        <w:rFonts w:ascii="Arial" w:hAnsi="Arial" w:cs="Arial"/>
        <w:b/>
        <w:sz w:val="48"/>
      </w:rPr>
    </w:pPr>
    <w:r w:rsidRPr="007D3113">
      <w:rPr>
        <w:rFonts w:ascii="Arial" w:hAnsi="Arial" w:cs="Arial"/>
        <w:b/>
        <w:sz w:val="48"/>
      </w:rPr>
      <w:t>MT</w:t>
    </w:r>
    <w:r w:rsidRPr="007D3113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9D1616">
      <w:rPr>
        <w:noProof/>
      </w:rPr>
      <w:t>5</w:t>
    </w:r>
    <w:r>
      <w:fldChar w:fldCharType="end"/>
    </w:r>
    <w:r>
      <w:tab/>
    </w:r>
    <w:r w:rsidRPr="007D3113">
      <w:tab/>
    </w:r>
    <w:r w:rsidRPr="007D3113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113" w:rsidRPr="007D3113" w:rsidRDefault="007D3113" w:rsidP="007D3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0AE" w:rsidRDefault="00FA40AE" w:rsidP="003C122C">
      <w:pPr>
        <w:spacing w:before="0" w:after="0"/>
      </w:pPr>
      <w:r>
        <w:separator/>
      </w:r>
    </w:p>
  </w:footnote>
  <w:footnote w:type="continuationSeparator" w:id="0">
    <w:p w:rsidR="00FA40AE" w:rsidRDefault="00FA40AE" w:rsidP="003C122C">
      <w:pPr>
        <w:spacing w:before="0" w:after="0"/>
      </w:pPr>
      <w:r>
        <w:continuationSeparator/>
      </w:r>
    </w:p>
  </w:footnote>
  <w:footnote w:id="1">
    <w:p w:rsidR="003C122C" w:rsidRPr="007067A9" w:rsidRDefault="003C122C" w:rsidP="003C122C">
      <w:pPr>
        <w:pStyle w:val="FootnoteText"/>
      </w:pPr>
      <w:r>
        <w:rPr>
          <w:rStyle w:val="FootnoteReference"/>
        </w:rPr>
        <w:footnoteRef/>
      </w:r>
      <w:r>
        <w:tab/>
        <w:t>ĠU L 176, 27.6.2013, p. 1.</w:t>
      </w:r>
    </w:p>
  </w:footnote>
  <w:footnote w:id="2">
    <w:p w:rsidR="007067A9" w:rsidRPr="00FC42BE" w:rsidRDefault="007067A9" w:rsidP="007067A9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2021/637 tal-15 ta’ Marzu 2021 li jistabbilixxi l-istandards tekniċi ta’ implimentazzjoni fir-rigward tad-divulgazzjonijiet pubbliċi mill-istituzzjonijiet tal-informazzjoni msemmija fit-Titoli II u III tal-Parti Tmienja tar-Regolament (UE) Nru 575/2013 tal-Parlament Ewropew u tal-Kunsill u li jħassar ir-Regolament ta’ Implimentazzjoni tal-Kummissjoni (UE) Nru 1423/2013, ir-Regolament ta’ Delega tal-Kummissjoni (UE) 2015/1555, ir-Regolament ta’ Implimentazzjoni tal-Kummissjoni (UE) 2016/200 u r-Regolament Delegat tal-Kummissjoni (UE) 2017/2295 (ĠU L 136, 21.4.2021, p. 1).</w:t>
      </w:r>
    </w:p>
  </w:footnote>
  <w:footnote w:id="3">
    <w:p w:rsidR="007067A9" w:rsidRPr="007067A9" w:rsidRDefault="007067A9" w:rsidP="007067A9">
      <w:pPr>
        <w:pStyle w:val="FootnoteText"/>
      </w:pPr>
      <w:r>
        <w:rPr>
          <w:rStyle w:val="FootnoteReference"/>
        </w:rPr>
        <w:footnoteRef/>
      </w:r>
      <w:r>
        <w:tab/>
        <w:t>Ir-Regolament (UE) 2019/876 tal-Parlament Ewropew u tal-Kunsill tal-20 ta’ Mejju 2019 li jemenda r-Regolament (UE) Nru 575/2013 dwar il-proporzjon ta’ lieva finanzjarja, il-proporzjon ta’ finanzjament stabbli nett, rekwiżiti għall-fondi proprji u obbligazzjonijiet eliġibbli, riskju ta’ kreditu tal-kontroparti, riskju tas-suq, skoperturi għal kontropartijiet ċentrali, skoperturi għal impriżi ta’ investiment kollettiv, skoperturi kbar, rekwiżiti ta’ rappurtar u divulgazzjoni, u r-Regolament (UE) Nru 648/2012 (ĠU L 150, 7.6.2019, p. 1)</w:t>
      </w:r>
    </w:p>
  </w:footnote>
  <w:footnote w:id="4">
    <w:p w:rsidR="00410340" w:rsidRPr="007067A9" w:rsidRDefault="00410340" w:rsidP="008B3E83">
      <w:pPr>
        <w:pStyle w:val="FootnoteText"/>
      </w:pPr>
      <w:r>
        <w:rPr>
          <w:rStyle w:val="FootnoteReference"/>
        </w:rPr>
        <w:footnoteRef/>
      </w:r>
      <w:r>
        <w:tab/>
        <w:t>Ir-Regolament (UE) 2020/852 tal-Parlament Ewropew u tal-Kunsill tat-18 ta’ Ġunju 2020 dwar l-istabbiliment ta’ qafas biex jiġi ffaċilitat l-investiment sostenibbli, u li jemenda r-Regolament (UE) 2019/2088 (</w:t>
      </w:r>
      <w:r>
        <w:rPr>
          <w:rStyle w:val="Emphasis"/>
          <w:i w:val="0"/>
        </w:rPr>
        <w:t>ĠU L 198, 22.6.2020, p. 13)</w:t>
      </w:r>
      <w:r>
        <w:t>.</w:t>
      </w:r>
    </w:p>
  </w:footnote>
  <w:footnote w:id="5">
    <w:p w:rsidR="00410340" w:rsidRPr="007067A9" w:rsidRDefault="00410340" w:rsidP="008B3E83">
      <w:pPr>
        <w:pStyle w:val="FootnoteText"/>
        <w:rPr>
          <w:i/>
        </w:rPr>
      </w:pPr>
      <w:r w:rsidRPr="00FB210A">
        <w:rPr>
          <w:rStyle w:val="FootnoteReference"/>
        </w:rPr>
        <w:footnoteRef/>
      </w:r>
      <w:r w:rsidR="00FB210A">
        <w:tab/>
      </w:r>
      <w:r>
        <w:t>Ir-Regolament Delegat tal-Kummissjoni (UE) 2020/1818 tas-17 ta’ Lulju 2020 li jissupplimenta r-Regolament (UE) 2016/1011 tal-Parlament Ewropew u tal-Kunsill fir-rigward tal-istandards minimi għall-Parametri Referenzjarji tat-Tranżizzjoni Klimatika tal-UE u l-Parametri Referenzjarji tal-UE allinjati mal-Ftehim ta’ Pariġi (</w:t>
      </w:r>
      <w:r>
        <w:rPr>
          <w:rStyle w:val="Emphasis"/>
          <w:i w:val="0"/>
        </w:rPr>
        <w:t>ĠU L 406, 3.12.2020, p. 17</w:t>
      </w:r>
      <w:r>
        <w:t>).</w:t>
      </w:r>
    </w:p>
  </w:footnote>
  <w:footnote w:id="6">
    <w:p w:rsidR="00410340" w:rsidRPr="007067A9" w:rsidRDefault="00410340" w:rsidP="008B3E83">
      <w:pPr>
        <w:pStyle w:val="FootnoteText"/>
        <w:rPr>
          <w:color w:val="444444"/>
        </w:rPr>
      </w:pPr>
      <w:r>
        <w:rPr>
          <w:rStyle w:val="FootnoteReference"/>
        </w:rPr>
        <w:footnoteRef/>
      </w:r>
      <w:r>
        <w:tab/>
        <w:t>Id-Direttiva 2010/31/UE tal-Parlament Ewropew u tal-Kunsill tad-19 ta’ Mejju 2010 dwar ir-rendiment tal-bini fl-użu tal-enerġija (</w:t>
      </w:r>
      <w:r>
        <w:rPr>
          <w:rStyle w:val="Emphasis"/>
          <w:i w:val="0"/>
        </w:rPr>
        <w:t>ĠU L 153, 18.6.2010, p. 13</w:t>
      </w:r>
      <w:r>
        <w:t>).;</w:t>
      </w:r>
    </w:p>
  </w:footnote>
  <w:footnote w:id="7">
    <w:p w:rsidR="00135CD4" w:rsidRPr="00135CD4" w:rsidRDefault="00135CD4" w:rsidP="00135CD4">
      <w:pPr>
        <w:pStyle w:val="FootnoteText"/>
      </w:pPr>
      <w:r>
        <w:rPr>
          <w:rStyle w:val="FootnoteReference"/>
        </w:rPr>
        <w:footnoteRef/>
      </w:r>
      <w:r>
        <w:tab/>
        <w:t>Id-Direttiva 2013/34/UE tal-Parlament Ewropew u tal-Kunsill tas-26 ta' Ġunju 2013 dwar id-dikjarazzjonijiet finanzjarji annwali, id-dikjarazzjonijiet finanzjarji kkonsolidati u r-rapporti relatati ta' ċerti tipi ta' intrapriżi, li temenda d-Direttiva 2006/43/KE tal-Parlament Ewropew u tal-Kunsill u li tħassar id-Direttivi tal-Kunsill 78/660/KEE u 83/349/KEE (ĠU L 182, 29.6.2013, p. 19).</w:t>
      </w:r>
    </w:p>
  </w:footnote>
  <w:footnote w:id="8">
    <w:p w:rsidR="00410340" w:rsidRPr="007067A9" w:rsidRDefault="00410340" w:rsidP="00410340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ta' Novembru 2010 li jistabbilixxi Awtorità Superviżorja Ewropea (Awtorità Bankarja Ewropea), u li jemenda d-Deċiżjoni Nru 716/2009/KE u jħassar id-Deċiżjoni tal-Kummissjoni 2009/78/KE (ĠU L 331, 15.12.2010,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98637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9F0D1A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C2082C4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45AAF27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F94EE6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6104F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25C65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FE8499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6947"/>
        </w:tabs>
        <w:ind w:left="6947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4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1"/>
  </w:num>
  <w:num w:numId="18">
    <w:abstractNumId w:val="13"/>
  </w:num>
  <w:num w:numId="19">
    <w:abstractNumId w:val="23"/>
  </w:num>
  <w:num w:numId="20">
    <w:abstractNumId w:val="11"/>
  </w:num>
  <w:num w:numId="21">
    <w:abstractNumId w:val="14"/>
  </w:num>
  <w:num w:numId="22">
    <w:abstractNumId w:val="15"/>
  </w:num>
  <w:num w:numId="23">
    <w:abstractNumId w:val="9"/>
  </w:num>
  <w:num w:numId="24">
    <w:abstractNumId w:val="22"/>
  </w:num>
  <w:num w:numId="25">
    <w:abstractNumId w:val="8"/>
  </w:num>
  <w:num w:numId="26">
    <w:abstractNumId w:val="16"/>
  </w:num>
  <w:num w:numId="27">
    <w:abstractNumId w:val="19"/>
  </w:num>
  <w:num w:numId="28">
    <w:abstractNumId w:val="20"/>
  </w:num>
  <w:num w:numId="29">
    <w:abstractNumId w:val="10"/>
  </w:num>
  <w:num w:numId="30">
    <w:abstractNumId w:val="18"/>
  </w:num>
  <w:num w:numId="31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11-27 19:32:21"/>
    <w:docVar w:name="DQCNUMB_1" w:val="33"/>
    <w:docVar w:name="DQCNUMB_2" w:val="34"/>
    <w:docVar w:name="DQCNUMB_3" w:val="35"/>
    <w:docVar w:name="DQCNUMB_4" w:val="30"/>
    <w:docVar w:name="DQCNUMB_5" w:val="31"/>
    <w:docVar w:name="DQCNUMB_6" w:val="32"/>
    <w:docVar w:name="DQCNUMB_7" w:val="44"/>
    <w:docVar w:name="DQCNUMB_8" w:val="45"/>
    <w:docVar w:name="DQCNUMB_9" w:val="46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59C76F2A-C00C-465C-B723-D512F616C1F6"/>
    <w:docVar w:name="LW_COVERPAGE_TYPE" w:val="1"/>
    <w:docVar w:name="LW_CROSSREFERENCE" w:val="&lt;UNUSED&gt;"/>
    <w:docVar w:name="LW_DATE.ADOPT.CP" w:val="ta\u8217? 30.11.2022"/>
    <w:docVar w:name="LW_DATE.ADOPT.CP_DATEFORMAT" w:val="ta\u8217? %DATE%"/>
    <w:docVar w:name="LW_DATE.ADOPT.CP_ISODATE" w:val="2022-11-30"/>
    <w:docVar w:name="LW_DocType" w:val="COM"/>
    <w:docVar w:name="LW_EMISSION" w:val="30.11.2022"/>
    <w:docVar w:name="LW_EMISSION_ISODATE" w:val="2022-11-30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’rilevanza għaż-Ż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396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emenda l-istandards tekniċi ta’ implimentazzjoni stabbiliti fir-Regolament ta’ Implimentazzjoni (UE) 2021/637 fir-rigward tad-divulgazzjoni tar-riskji ambjentali, soċjali u ta’ governanza _x000b_"/>
    <w:docVar w:name="LW_TYPE.DOC.CP" w:val="REGOLAMENT TA’ IMPLIMENTAZZJONI TAL-KUMMISSJONI (UE) .../..."/>
    <w:docVar w:name="LwApiVersions" w:val="LW4CoDe 1.23.2.0; LW 8.0, Build 20211117"/>
  </w:docVars>
  <w:rsids>
    <w:rsidRoot w:val="003C122C"/>
    <w:rsid w:val="000057BA"/>
    <w:rsid w:val="00012369"/>
    <w:rsid w:val="00013965"/>
    <w:rsid w:val="00014B2C"/>
    <w:rsid w:val="000163E0"/>
    <w:rsid w:val="00022FD2"/>
    <w:rsid w:val="00024AB1"/>
    <w:rsid w:val="00031835"/>
    <w:rsid w:val="000337EA"/>
    <w:rsid w:val="0004104A"/>
    <w:rsid w:val="0006070A"/>
    <w:rsid w:val="00066156"/>
    <w:rsid w:val="00083B2C"/>
    <w:rsid w:val="00086FAB"/>
    <w:rsid w:val="00092C7C"/>
    <w:rsid w:val="000941B5"/>
    <w:rsid w:val="00095049"/>
    <w:rsid w:val="000A39E5"/>
    <w:rsid w:val="000A7517"/>
    <w:rsid w:val="000B168E"/>
    <w:rsid w:val="000B1F8E"/>
    <w:rsid w:val="000B2A3E"/>
    <w:rsid w:val="000B721F"/>
    <w:rsid w:val="000B76A4"/>
    <w:rsid w:val="000C0D47"/>
    <w:rsid w:val="000E198E"/>
    <w:rsid w:val="000F3F2A"/>
    <w:rsid w:val="000F5934"/>
    <w:rsid w:val="00103B22"/>
    <w:rsid w:val="0011495F"/>
    <w:rsid w:val="00121603"/>
    <w:rsid w:val="00135CD4"/>
    <w:rsid w:val="00145996"/>
    <w:rsid w:val="00154CCD"/>
    <w:rsid w:val="001645DB"/>
    <w:rsid w:val="00184181"/>
    <w:rsid w:val="0018444C"/>
    <w:rsid w:val="001844EE"/>
    <w:rsid w:val="001904B5"/>
    <w:rsid w:val="001A327A"/>
    <w:rsid w:val="001B18A5"/>
    <w:rsid w:val="001B1CE9"/>
    <w:rsid w:val="001B7BF1"/>
    <w:rsid w:val="001C015A"/>
    <w:rsid w:val="001C2816"/>
    <w:rsid w:val="001E4D6F"/>
    <w:rsid w:val="001E62ED"/>
    <w:rsid w:val="001F0712"/>
    <w:rsid w:val="001F230A"/>
    <w:rsid w:val="001F4DF3"/>
    <w:rsid w:val="002114F8"/>
    <w:rsid w:val="00225284"/>
    <w:rsid w:val="00227B00"/>
    <w:rsid w:val="002314F6"/>
    <w:rsid w:val="00232E98"/>
    <w:rsid w:val="00244967"/>
    <w:rsid w:val="0024497F"/>
    <w:rsid w:val="002522BC"/>
    <w:rsid w:val="00265AA5"/>
    <w:rsid w:val="00271721"/>
    <w:rsid w:val="002815D4"/>
    <w:rsid w:val="00282860"/>
    <w:rsid w:val="00286E16"/>
    <w:rsid w:val="002B16C1"/>
    <w:rsid w:val="002C526A"/>
    <w:rsid w:val="002D1236"/>
    <w:rsid w:val="002E6EC7"/>
    <w:rsid w:val="00301900"/>
    <w:rsid w:val="00303A4B"/>
    <w:rsid w:val="003108B0"/>
    <w:rsid w:val="0031532F"/>
    <w:rsid w:val="00317925"/>
    <w:rsid w:val="00320A76"/>
    <w:rsid w:val="00320B78"/>
    <w:rsid w:val="003226A9"/>
    <w:rsid w:val="0032597F"/>
    <w:rsid w:val="003276ED"/>
    <w:rsid w:val="00331719"/>
    <w:rsid w:val="0033740A"/>
    <w:rsid w:val="00353D88"/>
    <w:rsid w:val="003578D1"/>
    <w:rsid w:val="00362239"/>
    <w:rsid w:val="003965B3"/>
    <w:rsid w:val="00396F18"/>
    <w:rsid w:val="00397813"/>
    <w:rsid w:val="003A5DF1"/>
    <w:rsid w:val="003A6D93"/>
    <w:rsid w:val="003C122C"/>
    <w:rsid w:val="003C70D6"/>
    <w:rsid w:val="003D22F0"/>
    <w:rsid w:val="003D5E0A"/>
    <w:rsid w:val="003E1B7D"/>
    <w:rsid w:val="004046D9"/>
    <w:rsid w:val="00410340"/>
    <w:rsid w:val="0041104D"/>
    <w:rsid w:val="00413DA3"/>
    <w:rsid w:val="00414930"/>
    <w:rsid w:val="00414A4D"/>
    <w:rsid w:val="00436E6A"/>
    <w:rsid w:val="004376A0"/>
    <w:rsid w:val="004550A7"/>
    <w:rsid w:val="004551BC"/>
    <w:rsid w:val="004A6F3E"/>
    <w:rsid w:val="004C0BD0"/>
    <w:rsid w:val="004C21A2"/>
    <w:rsid w:val="004C6D12"/>
    <w:rsid w:val="004C74A9"/>
    <w:rsid w:val="004D65D2"/>
    <w:rsid w:val="004E25CB"/>
    <w:rsid w:val="004E41D0"/>
    <w:rsid w:val="004F0D71"/>
    <w:rsid w:val="004F6722"/>
    <w:rsid w:val="004F6DF7"/>
    <w:rsid w:val="00500AC9"/>
    <w:rsid w:val="005103F2"/>
    <w:rsid w:val="00524ADC"/>
    <w:rsid w:val="00530E44"/>
    <w:rsid w:val="00541DBA"/>
    <w:rsid w:val="00543602"/>
    <w:rsid w:val="00547071"/>
    <w:rsid w:val="005708C3"/>
    <w:rsid w:val="005743BA"/>
    <w:rsid w:val="00592619"/>
    <w:rsid w:val="00592E05"/>
    <w:rsid w:val="00595146"/>
    <w:rsid w:val="005B177F"/>
    <w:rsid w:val="005B5751"/>
    <w:rsid w:val="005C5191"/>
    <w:rsid w:val="005D1193"/>
    <w:rsid w:val="005D2409"/>
    <w:rsid w:val="005E5AED"/>
    <w:rsid w:val="00622269"/>
    <w:rsid w:val="0062732B"/>
    <w:rsid w:val="00635568"/>
    <w:rsid w:val="00635A91"/>
    <w:rsid w:val="00643DD1"/>
    <w:rsid w:val="006542E5"/>
    <w:rsid w:val="00657F0F"/>
    <w:rsid w:val="0066012A"/>
    <w:rsid w:val="00674F39"/>
    <w:rsid w:val="00686BCA"/>
    <w:rsid w:val="0069084C"/>
    <w:rsid w:val="0069666E"/>
    <w:rsid w:val="006973D8"/>
    <w:rsid w:val="006B71ED"/>
    <w:rsid w:val="006C171D"/>
    <w:rsid w:val="006D3BB7"/>
    <w:rsid w:val="006D6422"/>
    <w:rsid w:val="006E41D9"/>
    <w:rsid w:val="006E5628"/>
    <w:rsid w:val="006E5919"/>
    <w:rsid w:val="006F50E9"/>
    <w:rsid w:val="0070128F"/>
    <w:rsid w:val="007067A9"/>
    <w:rsid w:val="007117D9"/>
    <w:rsid w:val="00713F5B"/>
    <w:rsid w:val="00715E6A"/>
    <w:rsid w:val="0071695E"/>
    <w:rsid w:val="00720FE7"/>
    <w:rsid w:val="00723CCB"/>
    <w:rsid w:val="00732259"/>
    <w:rsid w:val="00732CCA"/>
    <w:rsid w:val="00737997"/>
    <w:rsid w:val="007438A8"/>
    <w:rsid w:val="00756CA3"/>
    <w:rsid w:val="00763A70"/>
    <w:rsid w:val="00782B92"/>
    <w:rsid w:val="00785CE7"/>
    <w:rsid w:val="00792229"/>
    <w:rsid w:val="007C06F6"/>
    <w:rsid w:val="007C1792"/>
    <w:rsid w:val="007C6A9F"/>
    <w:rsid w:val="007D0388"/>
    <w:rsid w:val="007D3113"/>
    <w:rsid w:val="007D62F0"/>
    <w:rsid w:val="007D7DBC"/>
    <w:rsid w:val="007E26C3"/>
    <w:rsid w:val="007F4F83"/>
    <w:rsid w:val="007F5860"/>
    <w:rsid w:val="00804148"/>
    <w:rsid w:val="008062B5"/>
    <w:rsid w:val="00817B8F"/>
    <w:rsid w:val="00821D7F"/>
    <w:rsid w:val="00832DCF"/>
    <w:rsid w:val="00847287"/>
    <w:rsid w:val="0085437D"/>
    <w:rsid w:val="0086052B"/>
    <w:rsid w:val="00865DA1"/>
    <w:rsid w:val="0087679B"/>
    <w:rsid w:val="00884A61"/>
    <w:rsid w:val="008968D2"/>
    <w:rsid w:val="008B3E83"/>
    <w:rsid w:val="008B4EA1"/>
    <w:rsid w:val="008B6B70"/>
    <w:rsid w:val="008B7323"/>
    <w:rsid w:val="008C6F3B"/>
    <w:rsid w:val="008C705E"/>
    <w:rsid w:val="008D169C"/>
    <w:rsid w:val="008D2E23"/>
    <w:rsid w:val="008E08C7"/>
    <w:rsid w:val="008E44ED"/>
    <w:rsid w:val="008E7033"/>
    <w:rsid w:val="008E7D06"/>
    <w:rsid w:val="00905BE0"/>
    <w:rsid w:val="00911BBB"/>
    <w:rsid w:val="00921483"/>
    <w:rsid w:val="00930B06"/>
    <w:rsid w:val="0093114D"/>
    <w:rsid w:val="0094232C"/>
    <w:rsid w:val="00957D55"/>
    <w:rsid w:val="0096046C"/>
    <w:rsid w:val="00973740"/>
    <w:rsid w:val="00973E9E"/>
    <w:rsid w:val="00974379"/>
    <w:rsid w:val="009846A4"/>
    <w:rsid w:val="00986B33"/>
    <w:rsid w:val="00987AD5"/>
    <w:rsid w:val="00992A73"/>
    <w:rsid w:val="00994FD4"/>
    <w:rsid w:val="00995098"/>
    <w:rsid w:val="009A1108"/>
    <w:rsid w:val="009A73D4"/>
    <w:rsid w:val="009B7138"/>
    <w:rsid w:val="009C5D3A"/>
    <w:rsid w:val="009D1616"/>
    <w:rsid w:val="009D6EB9"/>
    <w:rsid w:val="009E16FF"/>
    <w:rsid w:val="009E5009"/>
    <w:rsid w:val="009E62A6"/>
    <w:rsid w:val="009F48FD"/>
    <w:rsid w:val="009F72A3"/>
    <w:rsid w:val="00A03A3E"/>
    <w:rsid w:val="00A11076"/>
    <w:rsid w:val="00A238D6"/>
    <w:rsid w:val="00A34057"/>
    <w:rsid w:val="00A41AD1"/>
    <w:rsid w:val="00A45F9D"/>
    <w:rsid w:val="00A46E30"/>
    <w:rsid w:val="00A525E2"/>
    <w:rsid w:val="00A6077E"/>
    <w:rsid w:val="00A61544"/>
    <w:rsid w:val="00A87925"/>
    <w:rsid w:val="00A97285"/>
    <w:rsid w:val="00AA5C69"/>
    <w:rsid w:val="00AA6403"/>
    <w:rsid w:val="00AA6D36"/>
    <w:rsid w:val="00AA7317"/>
    <w:rsid w:val="00AD2CD3"/>
    <w:rsid w:val="00AE332F"/>
    <w:rsid w:val="00AE60C7"/>
    <w:rsid w:val="00AF4467"/>
    <w:rsid w:val="00B00A6D"/>
    <w:rsid w:val="00B137D8"/>
    <w:rsid w:val="00B25755"/>
    <w:rsid w:val="00B37F85"/>
    <w:rsid w:val="00B45C88"/>
    <w:rsid w:val="00B555F4"/>
    <w:rsid w:val="00B75C81"/>
    <w:rsid w:val="00B76A3B"/>
    <w:rsid w:val="00B8705E"/>
    <w:rsid w:val="00B87C8F"/>
    <w:rsid w:val="00B90FD9"/>
    <w:rsid w:val="00B94522"/>
    <w:rsid w:val="00BB6E75"/>
    <w:rsid w:val="00BC21DD"/>
    <w:rsid w:val="00BE1E9F"/>
    <w:rsid w:val="00BE246D"/>
    <w:rsid w:val="00BF0A20"/>
    <w:rsid w:val="00BF17AA"/>
    <w:rsid w:val="00BF7813"/>
    <w:rsid w:val="00C0016D"/>
    <w:rsid w:val="00C24556"/>
    <w:rsid w:val="00C250DE"/>
    <w:rsid w:val="00C30A6B"/>
    <w:rsid w:val="00C32BCD"/>
    <w:rsid w:val="00C436F2"/>
    <w:rsid w:val="00C43ADB"/>
    <w:rsid w:val="00C55C47"/>
    <w:rsid w:val="00C563F0"/>
    <w:rsid w:val="00C72EBC"/>
    <w:rsid w:val="00C73950"/>
    <w:rsid w:val="00C90F4B"/>
    <w:rsid w:val="00C96986"/>
    <w:rsid w:val="00CA5E0A"/>
    <w:rsid w:val="00CA6131"/>
    <w:rsid w:val="00CB63D6"/>
    <w:rsid w:val="00CC3C0E"/>
    <w:rsid w:val="00CD2F69"/>
    <w:rsid w:val="00CD31F7"/>
    <w:rsid w:val="00CD7B29"/>
    <w:rsid w:val="00CF4110"/>
    <w:rsid w:val="00CF660E"/>
    <w:rsid w:val="00D00193"/>
    <w:rsid w:val="00D01D57"/>
    <w:rsid w:val="00D14E3E"/>
    <w:rsid w:val="00D1768F"/>
    <w:rsid w:val="00D23734"/>
    <w:rsid w:val="00D34B59"/>
    <w:rsid w:val="00D54379"/>
    <w:rsid w:val="00D56C86"/>
    <w:rsid w:val="00D6695E"/>
    <w:rsid w:val="00D7007A"/>
    <w:rsid w:val="00D753AD"/>
    <w:rsid w:val="00D819E9"/>
    <w:rsid w:val="00D87F0E"/>
    <w:rsid w:val="00DA20D3"/>
    <w:rsid w:val="00DA6EF2"/>
    <w:rsid w:val="00DB337F"/>
    <w:rsid w:val="00DC51F2"/>
    <w:rsid w:val="00DD0951"/>
    <w:rsid w:val="00DD4BB1"/>
    <w:rsid w:val="00DE6779"/>
    <w:rsid w:val="00E02264"/>
    <w:rsid w:val="00E16C32"/>
    <w:rsid w:val="00E227DA"/>
    <w:rsid w:val="00E27B5B"/>
    <w:rsid w:val="00E3208E"/>
    <w:rsid w:val="00E57103"/>
    <w:rsid w:val="00E80A1C"/>
    <w:rsid w:val="00E84919"/>
    <w:rsid w:val="00EB425C"/>
    <w:rsid w:val="00EC304C"/>
    <w:rsid w:val="00EC548B"/>
    <w:rsid w:val="00ED20D7"/>
    <w:rsid w:val="00ED7891"/>
    <w:rsid w:val="00EE28B6"/>
    <w:rsid w:val="00F007BC"/>
    <w:rsid w:val="00F170A6"/>
    <w:rsid w:val="00F20062"/>
    <w:rsid w:val="00F233CB"/>
    <w:rsid w:val="00F23798"/>
    <w:rsid w:val="00F45E0C"/>
    <w:rsid w:val="00F50B69"/>
    <w:rsid w:val="00F71535"/>
    <w:rsid w:val="00F8179F"/>
    <w:rsid w:val="00F82E44"/>
    <w:rsid w:val="00F87C92"/>
    <w:rsid w:val="00F90B4C"/>
    <w:rsid w:val="00F93470"/>
    <w:rsid w:val="00FA2C5B"/>
    <w:rsid w:val="00FA40AE"/>
    <w:rsid w:val="00FB210A"/>
    <w:rsid w:val="00FB5D02"/>
    <w:rsid w:val="00FC42BE"/>
    <w:rsid w:val="00FD14DB"/>
    <w:rsid w:val="00FF14E9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5D75711F-E1C8-47D3-A624-CE1780ED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2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2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2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24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2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24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24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F4F83"/>
    <w:rPr>
      <w:i/>
      <w:iCs/>
    </w:rPr>
  </w:style>
  <w:style w:type="paragraph" w:styleId="NormalWeb">
    <w:name w:val="Normal (Web)"/>
    <w:basedOn w:val="Normal"/>
    <w:uiPriority w:val="99"/>
    <w:unhideWhenUsed/>
    <w:rsid w:val="007F4F8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numberedparagraph">
    <w:name w:val="numbered paragraph"/>
    <w:basedOn w:val="Normal"/>
    <w:qFormat/>
    <w:rsid w:val="007F4F83"/>
    <w:pPr>
      <w:numPr>
        <w:numId w:val="1"/>
      </w:numPr>
      <w:tabs>
        <w:tab w:val="clear" w:pos="6947"/>
        <w:tab w:val="num" w:pos="284"/>
      </w:tabs>
      <w:spacing w:before="240" w:line="276" w:lineRule="auto"/>
      <w:ind w:left="284"/>
    </w:pPr>
    <w:rPr>
      <w:rFonts w:asciiTheme="minorHAnsi" w:eastAsiaTheme="minorEastAsia" w:hAnsiTheme="minorHAnsi" w:cstheme="minorBidi"/>
      <w:sz w:val="22"/>
      <w:szCs w:val="24"/>
    </w:rPr>
  </w:style>
  <w:style w:type="paragraph" w:customStyle="1" w:styleId="sti-art">
    <w:name w:val="sti-art"/>
    <w:basedOn w:val="Normal"/>
    <w:rsid w:val="007F4F8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rsid w:val="001B7BF1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7BF1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7BF1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7BF1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495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1495F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11495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1495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1495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1495F"/>
    <w:pPr>
      <w:numPr>
        <w:numId w:val="9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A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ADC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524AD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4AD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C6D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9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34"/>
    <w:rPr>
      <w:rFonts w:ascii="Segoe UI" w:hAnsi="Segoe UI" w:cs="Segoe UI"/>
      <w:sz w:val="18"/>
      <w:szCs w:val="18"/>
      <w:lang w:val="mt-MT"/>
    </w:rPr>
  </w:style>
  <w:style w:type="paragraph" w:customStyle="1" w:styleId="title-article-norm">
    <w:name w:val="title-article-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stitle-article-norm">
    <w:name w:val="stitle-article-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norm">
    <w:name w:val="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941B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D2CD3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LegalNumPar">
    <w:name w:val="LegalNumPar"/>
    <w:basedOn w:val="Normal"/>
    <w:rsid w:val="008C6F3B"/>
    <w:pPr>
      <w:numPr>
        <w:numId w:val="16"/>
      </w:numPr>
      <w:spacing w:line="360" w:lineRule="auto"/>
    </w:pPr>
  </w:style>
  <w:style w:type="paragraph" w:customStyle="1" w:styleId="LegalNumPar2">
    <w:name w:val="LegalNumPar2"/>
    <w:basedOn w:val="Normal"/>
    <w:rsid w:val="008C6F3B"/>
    <w:pPr>
      <w:numPr>
        <w:ilvl w:val="1"/>
        <w:numId w:val="16"/>
      </w:numPr>
      <w:spacing w:line="360" w:lineRule="auto"/>
    </w:pPr>
  </w:style>
  <w:style w:type="paragraph" w:customStyle="1" w:styleId="LegalNumPar3">
    <w:name w:val="LegalNumPar3"/>
    <w:basedOn w:val="Normal"/>
    <w:rsid w:val="008C6F3B"/>
    <w:pPr>
      <w:numPr>
        <w:ilvl w:val="2"/>
        <w:numId w:val="16"/>
      </w:numPr>
      <w:spacing w:line="360" w:lineRule="auto"/>
    </w:pPr>
  </w:style>
  <w:style w:type="paragraph" w:styleId="Header">
    <w:name w:val="header"/>
    <w:basedOn w:val="Normal"/>
    <w:link w:val="HeaderChar"/>
    <w:uiPriority w:val="99"/>
    <w:unhideWhenUsed/>
    <w:rsid w:val="007D3113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3113"/>
    <w:rPr>
      <w:rFonts w:ascii="Times New Roman" w:hAnsi="Times New Roman" w:cs="Times New Roman"/>
      <w:sz w:val="24"/>
      <w:lang w:val="mt-MT"/>
    </w:rPr>
  </w:style>
  <w:style w:type="paragraph" w:styleId="Footer">
    <w:name w:val="footer"/>
    <w:basedOn w:val="Normal"/>
    <w:link w:val="FooterChar"/>
    <w:uiPriority w:val="99"/>
    <w:unhideWhenUsed/>
    <w:rsid w:val="007D311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3113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7D3113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3113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7D311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7D3113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7D311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7"/>
      </w:numPr>
    </w:pPr>
  </w:style>
  <w:style w:type="paragraph" w:customStyle="1" w:styleId="Tiret1">
    <w:name w:val="Tiret 1"/>
    <w:basedOn w:val="Point1"/>
    <w:pPr>
      <w:numPr>
        <w:numId w:val="18"/>
      </w:numPr>
    </w:pPr>
  </w:style>
  <w:style w:type="paragraph" w:customStyle="1" w:styleId="Tiret2">
    <w:name w:val="Tiret 2"/>
    <w:basedOn w:val="Point2"/>
    <w:pPr>
      <w:numPr>
        <w:numId w:val="19"/>
      </w:numPr>
    </w:pPr>
  </w:style>
  <w:style w:type="paragraph" w:customStyle="1" w:styleId="Tiret3">
    <w:name w:val="Tiret 3"/>
    <w:basedOn w:val="Point3"/>
    <w:pPr>
      <w:numPr>
        <w:numId w:val="20"/>
      </w:numPr>
    </w:pPr>
  </w:style>
  <w:style w:type="paragraph" w:customStyle="1" w:styleId="Tiret4">
    <w:name w:val="Tiret 4"/>
    <w:basedOn w:val="Point4"/>
    <w:pPr>
      <w:numPr>
        <w:numId w:val="21"/>
      </w:numPr>
    </w:pPr>
  </w:style>
  <w:style w:type="paragraph" w:customStyle="1" w:styleId="Tiret5">
    <w:name w:val="Tiret 5"/>
    <w:basedOn w:val="Point5"/>
    <w:pPr>
      <w:numPr>
        <w:numId w:val="22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23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23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23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23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23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23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23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25"/>
      </w:numPr>
    </w:pPr>
  </w:style>
  <w:style w:type="paragraph" w:customStyle="1" w:styleId="Point1number">
    <w:name w:val="Point 1 (number)"/>
    <w:basedOn w:val="Normal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pPr>
      <w:numPr>
        <w:ilvl w:val="8"/>
        <w:numId w:val="25"/>
      </w:numPr>
    </w:pPr>
  </w:style>
  <w:style w:type="paragraph" w:customStyle="1" w:styleId="Bullet0">
    <w:name w:val="Bullet 0"/>
    <w:basedOn w:val="Normal"/>
    <w:pPr>
      <w:numPr>
        <w:numId w:val="26"/>
      </w:numPr>
    </w:pPr>
  </w:style>
  <w:style w:type="paragraph" w:customStyle="1" w:styleId="Bullet1">
    <w:name w:val="Bullet 1"/>
    <w:basedOn w:val="Normal"/>
    <w:pPr>
      <w:numPr>
        <w:numId w:val="27"/>
      </w:numPr>
    </w:pPr>
  </w:style>
  <w:style w:type="paragraph" w:customStyle="1" w:styleId="Bullet2">
    <w:name w:val="Bullet 2"/>
    <w:basedOn w:val="Normal"/>
    <w:pPr>
      <w:numPr>
        <w:numId w:val="28"/>
      </w:numPr>
    </w:pPr>
  </w:style>
  <w:style w:type="paragraph" w:customStyle="1" w:styleId="Bullet3">
    <w:name w:val="Bullet 3"/>
    <w:basedOn w:val="Normal"/>
    <w:pPr>
      <w:numPr>
        <w:numId w:val="29"/>
      </w:numPr>
    </w:pPr>
  </w:style>
  <w:style w:type="paragraph" w:customStyle="1" w:styleId="Bullet4">
    <w:name w:val="Bullet 4"/>
    <w:basedOn w:val="Normal"/>
    <w:pPr>
      <w:numPr>
        <w:numId w:val="30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3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3DCB7-17E9-44AF-B856-304235D7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30</TotalTime>
  <Pages>6</Pages>
  <Words>1575</Words>
  <Characters>11531</Characters>
  <Application>Microsoft Office Word</Application>
  <DocSecurity>0</DocSecurity>
  <Lines>189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58</cp:revision>
  <dcterms:created xsi:type="dcterms:W3CDTF">2022-10-17T13:33:00Z</dcterms:created>
  <dcterms:modified xsi:type="dcterms:W3CDTF">2022-11-27T18:32:00Z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8.1, Build 20220902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evel of sensitivity">
    <vt:lpwstr>Standard treatment</vt:lpwstr>
  </property>
  <property fmtid="{D5CDD505-2E9C-101B-9397-08002B2CF9AE}" pid="8" name="LWTemplateID">
    <vt:lpwstr>SJ-004</vt:lpwstr>
  </property>
  <property fmtid="{D5CDD505-2E9C-101B-9397-08002B2CF9AE}" pid="9" name="MSIP_Label_e66ba66e-8b7b-475b-ae81-4aab15d5f212_Enabled">
    <vt:lpwstr>true</vt:lpwstr>
  </property>
  <property fmtid="{D5CDD505-2E9C-101B-9397-08002B2CF9AE}" pid="10" name="MSIP_Label_e66ba66e-8b7b-475b-ae81-4aab15d5f212_SetDate">
    <vt:lpwstr>2022-01-19T13:29:43Z</vt:lpwstr>
  </property>
  <property fmtid="{D5CDD505-2E9C-101B-9397-08002B2CF9AE}" pid="11" name="MSIP_Label_e66ba66e-8b7b-475b-ae81-4aab15d5f212_Method">
    <vt:lpwstr>Privileged</vt:lpwstr>
  </property>
  <property fmtid="{D5CDD505-2E9C-101B-9397-08002B2CF9AE}" pid="12" name="MSIP_Label_e66ba66e-8b7b-475b-ae81-4aab15d5f212_Name">
    <vt:lpwstr>No Label</vt:lpwstr>
  </property>
  <property fmtid="{D5CDD505-2E9C-101B-9397-08002B2CF9AE}" pid="13" name="MSIP_Label_e66ba66e-8b7b-475b-ae81-4aab15d5f212_SiteId">
    <vt:lpwstr>3bacb4ff-f1a2-4c92-b96c-e99fec826b68</vt:lpwstr>
  </property>
  <property fmtid="{D5CDD505-2E9C-101B-9397-08002B2CF9AE}" pid="14" name="MSIP_Label_e66ba66e-8b7b-475b-ae81-4aab15d5f212_ActionId">
    <vt:lpwstr>c480b887-2e9a-4e7d-8134-419fc2e184a9</vt:lpwstr>
  </property>
  <property fmtid="{D5CDD505-2E9C-101B-9397-08002B2CF9AE}" pid="15" name="MSIP_Label_e66ba66e-8b7b-475b-ae81-4aab15d5f212_ContentBits">
    <vt:lpwstr>0</vt:lpwstr>
  </property>
  <property fmtid="{D5CDD505-2E9C-101B-9397-08002B2CF9AE}" pid="16" name="DQCStatus">
    <vt:lpwstr>Green (DQC version 03)</vt:lpwstr>
  </property>
</Properties>
</file>