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9D610C" w:rsidRDefault="00EB430D" w:rsidP="00EB430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alt="9BC4B2C5-4DCF-4566-A835-2ABECB72B2E2" style="width:455.25pt;height:414pt">
            <v:imagedata r:id="rId8" o:title=""/>
          </v:shape>
        </w:pict>
      </w:r>
    </w:p>
    <w:p w:rsidR="003C122C" w:rsidRPr="009D610C" w:rsidRDefault="003C122C">
      <w:pPr>
        <w:rPr>
          <w:noProof/>
        </w:rPr>
        <w:sectPr w:rsidR="003C122C" w:rsidRPr="009D610C" w:rsidSect="00EB430D">
          <w:footerReference w:type="default" r:id="rId9"/>
          <w:pgSz w:w="11907" w:h="16839"/>
          <w:pgMar w:top="1134" w:right="1417" w:bottom="1134" w:left="1417" w:header="709" w:footer="709" w:gutter="0"/>
          <w:pgNumType w:start="0"/>
          <w:cols w:space="720"/>
          <w:docGrid w:linePitch="360"/>
        </w:sectPr>
      </w:pPr>
    </w:p>
    <w:p w:rsidR="003C122C" w:rsidRPr="009D610C" w:rsidRDefault="009D610C" w:rsidP="009D610C">
      <w:pPr>
        <w:pStyle w:val="Typedudocument"/>
        <w:rPr>
          <w:noProof/>
        </w:rPr>
      </w:pPr>
      <w:bookmarkStart w:id="0" w:name="_GoBack"/>
      <w:bookmarkEnd w:id="0"/>
      <w:r w:rsidRPr="009D610C">
        <w:rPr>
          <w:noProof/>
        </w:rPr>
        <w:lastRenderedPageBreak/>
        <w:t>KOMMISSIONENS GENOMFÖRANDEFÖRORDNING (EU) …/…</w:t>
      </w:r>
    </w:p>
    <w:p w:rsidR="003C122C" w:rsidRPr="009D610C" w:rsidRDefault="00B27FA3" w:rsidP="009D610C">
      <w:pPr>
        <w:pStyle w:val="Datedadoption"/>
        <w:rPr>
          <w:noProof/>
        </w:rPr>
      </w:pPr>
      <w:r>
        <w:t>av den 30.11.2022</w:t>
      </w:r>
    </w:p>
    <w:p w:rsidR="003C122C" w:rsidRPr="009D610C" w:rsidRDefault="009D610C" w:rsidP="009D610C">
      <w:pPr>
        <w:pStyle w:val="Titreobjet"/>
        <w:rPr>
          <w:noProof/>
        </w:rPr>
      </w:pPr>
      <w:r w:rsidRPr="009D610C">
        <w:rPr>
          <w:noProof/>
        </w:rPr>
        <w:t xml:space="preserve">om ändring av de tekniska genomförandestandarder som fastställs i genomförandeförordning (EU) 2021/637 vad gäller offentliggörande av miljö-, samhällsansvars- och bolagsstyrningsrisker </w:t>
      </w:r>
      <w:r w:rsidRPr="009D610C">
        <w:rPr>
          <w:noProof/>
        </w:rPr>
        <w:br/>
      </w:r>
    </w:p>
    <w:p w:rsidR="003C122C" w:rsidRPr="009D610C" w:rsidRDefault="009D610C" w:rsidP="009D610C">
      <w:pPr>
        <w:pStyle w:val="IntrtEEE"/>
        <w:rPr>
          <w:noProof/>
        </w:rPr>
      </w:pPr>
      <w:r w:rsidRPr="009D610C">
        <w:rPr>
          <w:noProof/>
        </w:rPr>
        <w:t>(Text av betydelse för EES)</w:t>
      </w:r>
    </w:p>
    <w:p w:rsidR="003C122C" w:rsidRPr="009D610C" w:rsidRDefault="003C122C" w:rsidP="004E1EF9">
      <w:pPr>
        <w:pStyle w:val="Institutionquiagit"/>
        <w:rPr>
          <w:noProof/>
        </w:rPr>
      </w:pPr>
      <w:r w:rsidRPr="009D610C">
        <w:rPr>
          <w:noProof/>
        </w:rPr>
        <w:t>EUROPEISKA KOMMISSIONEN HAR ANTAGIT DENNA FÖRORDNING</w:t>
      </w:r>
    </w:p>
    <w:p w:rsidR="003C122C" w:rsidRPr="009D610C" w:rsidRDefault="003C122C" w:rsidP="003C122C">
      <w:pPr>
        <w:rPr>
          <w:noProof/>
          <w:color w:val="000000"/>
        </w:rPr>
      </w:pPr>
      <w:r w:rsidRPr="009D610C">
        <w:rPr>
          <w:noProof/>
          <w:color w:val="000000"/>
        </w:rPr>
        <w:t>med beaktande av fördraget om Europeiska unionens funktionssätt,</w:t>
      </w:r>
    </w:p>
    <w:p w:rsidR="003C122C" w:rsidRPr="009D610C" w:rsidRDefault="003C122C" w:rsidP="003C122C">
      <w:pPr>
        <w:rPr>
          <w:noProof/>
          <w:color w:val="000000"/>
        </w:rPr>
      </w:pPr>
      <w:r w:rsidRPr="009D610C">
        <w:rPr>
          <w:noProof/>
          <w:color w:val="000000"/>
        </w:rPr>
        <w:t>med beaktande av Europaparlamentets och rådets förordning (EU) nr 575/2013 av den 26 juni 2013 om tillsynskrav för kreditinstitut och värdepappersföretag och om ändring av förordning (EU) nr 648/2012</w:t>
      </w:r>
      <w:r w:rsidRPr="009D610C">
        <w:rPr>
          <w:rStyle w:val="FootnoteReference"/>
          <w:noProof/>
        </w:rPr>
        <w:footnoteReference w:id="1"/>
      </w:r>
      <w:r w:rsidRPr="009D610C">
        <w:rPr>
          <w:noProof/>
          <w:color w:val="000000"/>
        </w:rPr>
        <w:t>, särskilt artikel 434a, och</w:t>
      </w:r>
    </w:p>
    <w:p w:rsidR="003C122C" w:rsidRPr="009D610C" w:rsidRDefault="003C122C" w:rsidP="004E1EF9">
      <w:pPr>
        <w:rPr>
          <w:noProof/>
        </w:rPr>
      </w:pPr>
      <w:r w:rsidRPr="009D610C">
        <w:rPr>
          <w:noProof/>
        </w:rPr>
        <w:t>av följande skäl:</w:t>
      </w:r>
    </w:p>
    <w:p w:rsidR="00410340" w:rsidRPr="009D610C" w:rsidRDefault="007A388D" w:rsidP="007A388D">
      <w:pPr>
        <w:pStyle w:val="ManualConsidrant"/>
        <w:rPr>
          <w:noProof/>
          <w:color w:val="000000"/>
        </w:rPr>
      </w:pPr>
      <w:r w:rsidRPr="007A388D">
        <w:t>(1)</w:t>
      </w:r>
      <w:r w:rsidRPr="007A388D">
        <w:tab/>
      </w:r>
      <w:r w:rsidR="007067A9" w:rsidRPr="009D610C">
        <w:rPr>
          <w:noProof/>
        </w:rPr>
        <w:t>I kommissionens genomförandeförordning (EU) 2021/637</w:t>
      </w:r>
      <w:r w:rsidR="007067A9" w:rsidRPr="009D610C">
        <w:rPr>
          <w:rStyle w:val="FootnoteReference"/>
          <w:noProof/>
        </w:rPr>
        <w:footnoteReference w:id="2"/>
      </w:r>
      <w:r w:rsidR="007067A9" w:rsidRPr="009D610C">
        <w:rPr>
          <w:noProof/>
        </w:rPr>
        <w:t xml:space="preserve"> anges enhetliga format för offentliggörande och tillhörande instruktioner för de upplysningar som krävs enligt avdelningarna II och III i förordning (EU) nr 575/2013. Förordning (EU) nr 575/2013 ändrades genom förordning (EU) 2019/876</w:t>
      </w:r>
      <w:r w:rsidR="007067A9" w:rsidRPr="009D610C">
        <w:rPr>
          <w:rStyle w:val="FootnoteReference"/>
          <w:noProof/>
        </w:rPr>
        <w:footnoteReference w:id="3"/>
      </w:r>
      <w:r w:rsidR="007067A9" w:rsidRPr="009D610C">
        <w:rPr>
          <w:noProof/>
        </w:rPr>
        <w:t>, bland annat för att införa en ny artikel 449a. Enligt den artikeln ska stora institut som har emitterat värdepapper som är upptagna till handel på en reglerad marknad i en medlemsstat från och med den 28 juni 2022 offentliggöra information om risker avseende miljö, samhällsansvar och bolagsstyrning (</w:t>
      </w:r>
      <w:r w:rsidR="007067A9" w:rsidRPr="009D610C">
        <w:rPr>
          <w:i/>
          <w:noProof/>
        </w:rPr>
        <w:t>ESG-risker</w:t>
      </w:r>
      <w:r w:rsidR="007067A9" w:rsidRPr="009D610C">
        <w:rPr>
          <w:noProof/>
        </w:rPr>
        <w:t>), inbegripet fysiska risker och omställningsrisker. Denna ändring av förordning (EU) nr 575/2013 bör återspeglas i kommissionens genomförandeförordning (EU) 2021/637, som utöver de befintliga enhetliga formaten för offentliggörande och tillhörande instruktioner bör innehålla ytterligare enhetliga format för offentliggörande och tillhörande instruktioner för offentliggörande av ESG-risker.</w:t>
      </w:r>
    </w:p>
    <w:p w:rsidR="00410340" w:rsidRPr="009D610C" w:rsidRDefault="007A388D" w:rsidP="007A388D">
      <w:pPr>
        <w:pStyle w:val="ManualConsidrant"/>
        <w:rPr>
          <w:noProof/>
        </w:rPr>
      </w:pPr>
      <w:r w:rsidRPr="007A388D">
        <w:t>(2)</w:t>
      </w:r>
      <w:r w:rsidRPr="007A388D">
        <w:tab/>
      </w:r>
      <w:r w:rsidR="00410340" w:rsidRPr="009D610C">
        <w:rPr>
          <w:noProof/>
        </w:rPr>
        <w:t>När enhetliga format för offentliggörande fastställs bör man beakta väsentligheten totalt hos den information som ska offentliggöras. Detta innebär att institutens upplysningar bör omfatta å ena sidan ESG-faktorernas finansiella inverkan på institutens ekonomiska och finansiella verksamhet (utifrån och in-perspektivet), å andra sidan de ESG-faktorer som kan utlösas av institutens egen verksamhet, som i sin tur blir finansiellt väsentlig när den påverkar institutens intressenter (inifrån och ut-perspektivet). Till följd av detta bör de tabeller och mallar som används för dessa upplysningar ge tillräckligt omfattande och jämförbar information om ESG-risker, så att användarna av denna information kan bedöma institutens riskprofil.</w:t>
      </w:r>
    </w:p>
    <w:p w:rsidR="00410340" w:rsidRPr="009D610C" w:rsidRDefault="007A388D" w:rsidP="007A388D">
      <w:pPr>
        <w:pStyle w:val="ManualConsidrant"/>
        <w:rPr>
          <w:noProof/>
        </w:rPr>
      </w:pPr>
      <w:r w:rsidRPr="007A388D">
        <w:t>(3)</w:t>
      </w:r>
      <w:r w:rsidRPr="007A388D">
        <w:tab/>
      </w:r>
      <w:r w:rsidR="00A525E2" w:rsidRPr="009D610C">
        <w:rPr>
          <w:noProof/>
        </w:rPr>
        <w:t>Det är nödvändigt att säkerställa samstämmigheten och överensstämmelsen med övrig unionslagstiftning om ESG-risker. Reglerna om offentliggörande av ESG-risker bör därför ta hänsyn till de kriterier, klassificeringar och definitioner som fastställs i relevant unionslagstiftning. Dessa regler bör i synnerhet beakta de kriterier för identifiering och klassificering av miljömässigt hållbara ekonomiska verksamheter som fastställs i Europaparlamentets och rådets förordning (EU) 2020/852</w:t>
      </w:r>
      <w:r w:rsidR="00A525E2" w:rsidRPr="009D610C">
        <w:rPr>
          <w:rStyle w:val="FootnoteReference"/>
          <w:noProof/>
        </w:rPr>
        <w:footnoteReference w:id="4"/>
      </w:r>
      <w:r w:rsidR="00A525E2" w:rsidRPr="009D610C">
        <w:rPr>
          <w:noProof/>
        </w:rPr>
        <w:t xml:space="preserve"> och i kommissionens delegerade förordning (EU) 2020/1818</w:t>
      </w:r>
      <w:r w:rsidR="00A525E2" w:rsidRPr="009D610C">
        <w:rPr>
          <w:rStyle w:val="FootnoteReference"/>
          <w:noProof/>
        </w:rPr>
        <w:footnoteReference w:id="5"/>
      </w:r>
      <w:r w:rsidR="00A525E2" w:rsidRPr="009D610C">
        <w:rPr>
          <w:noProof/>
        </w:rPr>
        <w:t>. När det gäller offentliggörandet av information om energiprestandan hos institutens fastighetsportfölj bör man beakta den information som tillhandahålls genom ett energicertifikat enligt definitionen i artikel 2.12 i Europaparlamentets och rådets direktiv 2010/31/EU</w:t>
      </w:r>
      <w:r w:rsidR="00A525E2" w:rsidRPr="009D610C">
        <w:rPr>
          <w:rStyle w:val="FootnoteReference"/>
          <w:noProof/>
        </w:rPr>
        <w:footnoteReference w:id="6"/>
      </w:r>
      <w:r w:rsidR="00A525E2" w:rsidRPr="009D610C">
        <w:rPr>
          <w:noProof/>
        </w:rPr>
        <w:t>.</w:t>
      </w:r>
    </w:p>
    <w:p w:rsidR="00135CD4" w:rsidRPr="009D610C" w:rsidRDefault="007A388D" w:rsidP="007A388D">
      <w:pPr>
        <w:pStyle w:val="ManualConsidrant"/>
        <w:rPr>
          <w:noProof/>
        </w:rPr>
      </w:pPr>
      <w:r w:rsidRPr="007A388D">
        <w:t>(4)</w:t>
      </w:r>
      <w:r w:rsidRPr="007A388D">
        <w:tab/>
      </w:r>
      <w:r w:rsidR="00135CD4" w:rsidRPr="009D610C">
        <w:rPr>
          <w:noProof/>
        </w:rPr>
        <w:t>Enligt artiklarna 19a och 29a i Europaparlamentets och rådets direktiv 2013/34/EU</w:t>
      </w:r>
      <w:r w:rsidR="00135CD4" w:rsidRPr="009D610C">
        <w:rPr>
          <w:rStyle w:val="FootnoteReference"/>
          <w:noProof/>
        </w:rPr>
        <w:footnoteReference w:id="7"/>
      </w:r>
      <w:r w:rsidR="00135CD4" w:rsidRPr="009D610C">
        <w:rPr>
          <w:noProof/>
        </w:rPr>
        <w:t xml:space="preserve"> ska vissa stora företag som är företag av allmänt intresse respektive företag av allmänt intresse som är moderföretag i en stor koncern i sin förvaltningsberättelse inkludera upplysningar om konsekvenserna av företagets verksamhet i frågor som rör miljö, sociala förhållanden och personal, respekt för mänskliga rättigheter, bekämpning av korruption och mutor. Denna skyldighet gäller dock inte för andra företag. Till följd av detta är företag som inte omfattas av artiklarna 19a och 29a i direktiv 2013/34/EU inte skyldiga att offentliggöra sådan information och kan eventuellt inte lämna ut sådan information till instituten. Sådana företag som är motparter till instituten kan därför endast förväntas tillhandahålla denna information och dessa uppgifter på frivillig basis. Det är dock lämpligt att ge dessa företag vägledning om hur man beräknar procentandelen exponeringar mot verksamhet som är miljömässigt hållbar ekonomisk verksamhet i den mening som avses i artikel 3 i förordning (EU) 2020/852, så att denna information och dessa uppgifter kan presenteras i ett standardiserat och jämförbart format. Om denna information och dessa uppgifter inte tillhandahålls frivilligt bör instituten kunna beräkna procentandelen taxonomianpassade exponeringar med hjälp av skattningar eller proxyvariabler.</w:t>
      </w:r>
    </w:p>
    <w:p w:rsidR="00921483" w:rsidRPr="009D610C" w:rsidRDefault="007A388D" w:rsidP="007A388D">
      <w:pPr>
        <w:pStyle w:val="ManualConsidrant"/>
        <w:rPr>
          <w:noProof/>
        </w:rPr>
      </w:pPr>
      <w:r w:rsidRPr="007A388D">
        <w:t>(5)</w:t>
      </w:r>
      <w:r w:rsidRPr="007A388D">
        <w:tab/>
      </w:r>
      <w:r w:rsidR="00A97285" w:rsidRPr="009D610C">
        <w:rPr>
          <w:noProof/>
        </w:rPr>
        <w:t>Enligt artikel 449a i förordning (EU) nr 575/2013 ska informationen om ESG-risker offentliggöras från och med den 28 juni 2022, årsvis det första året och därefter halvårsvis. Av dessa skäl bör det första årliga referensdatumet för offentliggörande fastställas till den 31 december 2022.</w:t>
      </w:r>
    </w:p>
    <w:p w:rsidR="00ED20D7" w:rsidRPr="009D610C" w:rsidRDefault="007A388D" w:rsidP="007A388D">
      <w:pPr>
        <w:pStyle w:val="ManualConsidrant"/>
        <w:rPr>
          <w:noProof/>
        </w:rPr>
      </w:pPr>
      <w:r w:rsidRPr="007A388D">
        <w:t>(6)</w:t>
      </w:r>
      <w:r w:rsidRPr="007A388D">
        <w:tab/>
      </w:r>
      <w:r w:rsidR="00410340" w:rsidRPr="009D610C">
        <w:rPr>
          <w:noProof/>
        </w:rPr>
        <w:t xml:space="preserve">Denna förordning grundar sig på det förslag till tekniska genomförandestandarder som Europeiska bankmyndigheten har lagt fram för kommissionen. </w:t>
      </w:r>
    </w:p>
    <w:p w:rsidR="00410340" w:rsidRPr="009D610C" w:rsidRDefault="007A388D" w:rsidP="007A388D">
      <w:pPr>
        <w:pStyle w:val="ManualConsidrant"/>
        <w:rPr>
          <w:noProof/>
        </w:rPr>
      </w:pPr>
      <w:r w:rsidRPr="007A388D">
        <w:t>(7)</w:t>
      </w:r>
      <w:r w:rsidRPr="007A388D">
        <w:tab/>
      </w:r>
      <w:r w:rsidR="00ED20D7" w:rsidRPr="009D610C">
        <w:rPr>
          <w:noProof/>
        </w:rPr>
        <w:t>Europeiska bankmyndigheten har anordnat öppna offentliga samråd om de förslag till tekniska genomförandestandarder som den här förordningen grundas på, gjort en analys av möjliga kostnader och fördelar samt begärt råd från den bankintressentgrupp som inrättats i enlighet med artikel 37 i Europaparlamentets och rådets förordning (EU) nr 1093/2010</w:t>
      </w:r>
      <w:r w:rsidR="00ED20D7" w:rsidRPr="009D610C">
        <w:rPr>
          <w:rStyle w:val="FootnoteReference"/>
          <w:noProof/>
        </w:rPr>
        <w:footnoteReference w:id="8"/>
      </w:r>
      <w:r w:rsidR="00ED20D7" w:rsidRPr="009D610C">
        <w:rPr>
          <w:noProof/>
        </w:rPr>
        <w:t>.</w:t>
      </w:r>
    </w:p>
    <w:p w:rsidR="00410340" w:rsidRPr="009D610C" w:rsidRDefault="007A388D" w:rsidP="007A388D">
      <w:pPr>
        <w:pStyle w:val="ManualConsidrant"/>
        <w:rPr>
          <w:noProof/>
        </w:rPr>
      </w:pPr>
      <w:r w:rsidRPr="007A388D">
        <w:t>(8)</w:t>
      </w:r>
      <w:r w:rsidRPr="007A388D">
        <w:tab/>
      </w:r>
      <w:r w:rsidR="00410340" w:rsidRPr="009D610C">
        <w:rPr>
          <w:noProof/>
        </w:rPr>
        <w:t xml:space="preserve">Genomförandeförordning (EU) </w:t>
      </w:r>
      <w:r w:rsidR="00410340" w:rsidRPr="009D610C">
        <w:rPr>
          <w:noProof/>
          <w:sz w:val="22"/>
        </w:rPr>
        <w:t xml:space="preserve">2021/637 </w:t>
      </w:r>
      <w:r w:rsidR="00410340" w:rsidRPr="009D610C">
        <w:rPr>
          <w:noProof/>
        </w:rPr>
        <w:t>bör därför ändras i enlighet med detta.</w:t>
      </w:r>
    </w:p>
    <w:p w:rsidR="003C122C" w:rsidRPr="009D610C" w:rsidRDefault="003C122C" w:rsidP="004E1EF9">
      <w:pPr>
        <w:pStyle w:val="Formuledadoption"/>
        <w:rPr>
          <w:noProof/>
          <w:szCs w:val="24"/>
        </w:rPr>
      </w:pPr>
      <w:r w:rsidRPr="009D610C">
        <w:rPr>
          <w:noProof/>
        </w:rPr>
        <w:t>HÄRIGENOM FÖRESKRIVS FÖLJANDE.</w:t>
      </w:r>
    </w:p>
    <w:p w:rsidR="003C122C" w:rsidRPr="009D610C" w:rsidRDefault="003C122C" w:rsidP="004E1EF9">
      <w:pPr>
        <w:pStyle w:val="Titrearticle"/>
        <w:rPr>
          <w:noProof/>
          <w:szCs w:val="24"/>
        </w:rPr>
      </w:pPr>
      <w:r w:rsidRPr="009D610C">
        <w:rPr>
          <w:noProof/>
        </w:rPr>
        <w:t>Artikel 1</w:t>
      </w:r>
    </w:p>
    <w:p w:rsidR="007F4F83" w:rsidRPr="009D610C" w:rsidRDefault="007F4F83" w:rsidP="00D00193">
      <w:pPr>
        <w:pStyle w:val="Titrearticle"/>
        <w:spacing w:before="120"/>
        <w:rPr>
          <w:b/>
          <w:i w:val="0"/>
          <w:noProof/>
          <w:szCs w:val="24"/>
        </w:rPr>
      </w:pPr>
      <w:r w:rsidRPr="009D610C">
        <w:rPr>
          <w:b/>
          <w:i w:val="0"/>
          <w:noProof/>
        </w:rPr>
        <w:t>Ändringar av genomförandeförordning (EU) 2021/637</w:t>
      </w:r>
    </w:p>
    <w:p w:rsidR="007F4F83" w:rsidRPr="009D610C" w:rsidRDefault="007F4F83" w:rsidP="007F4F83">
      <w:pPr>
        <w:pStyle w:val="Titrearticle"/>
        <w:jc w:val="left"/>
        <w:rPr>
          <w:rFonts w:eastAsiaTheme="minorEastAsia"/>
          <w:i w:val="0"/>
          <w:noProof/>
          <w:szCs w:val="24"/>
        </w:rPr>
      </w:pPr>
      <w:r w:rsidRPr="009D610C">
        <w:rPr>
          <w:i w:val="0"/>
          <w:noProof/>
        </w:rPr>
        <w:t>Genomförandeförordning (EU) 2021/637 ska ändras på följande sätt:</w:t>
      </w:r>
    </w:p>
    <w:p w:rsidR="007F4F83" w:rsidRPr="009D610C" w:rsidRDefault="007A388D" w:rsidP="007A388D">
      <w:pPr>
        <w:pStyle w:val="Point0"/>
        <w:rPr>
          <w:noProof/>
        </w:rPr>
      </w:pPr>
      <w:r w:rsidRPr="007A388D">
        <w:t>(1)</w:t>
      </w:r>
      <w:r w:rsidRPr="007A388D">
        <w:tab/>
      </w:r>
      <w:r w:rsidR="007F4F83" w:rsidRPr="009D610C">
        <w:rPr>
          <w:noProof/>
        </w:rPr>
        <w:t>Följande artikel ska införas som artikel 18a:</w:t>
      </w:r>
    </w:p>
    <w:p w:rsidR="007F4F83" w:rsidRPr="009D610C" w:rsidRDefault="006542E5" w:rsidP="004046D9">
      <w:pPr>
        <w:pStyle w:val="Titrearticle"/>
        <w:spacing w:before="120"/>
        <w:ind w:left="567" w:right="568"/>
        <w:rPr>
          <w:noProof/>
        </w:rPr>
      </w:pPr>
      <w:r w:rsidRPr="009D610C">
        <w:rPr>
          <w:i w:val="0"/>
          <w:noProof/>
        </w:rPr>
        <w:t>”</w:t>
      </w:r>
      <w:r w:rsidRPr="009D610C">
        <w:rPr>
          <w:noProof/>
        </w:rPr>
        <w:t>Artikel 18a</w:t>
      </w:r>
    </w:p>
    <w:p w:rsidR="007F4F83" w:rsidRPr="009D610C" w:rsidRDefault="007F4F83" w:rsidP="004046D9">
      <w:pPr>
        <w:pStyle w:val="Titrearticle"/>
        <w:spacing w:before="120"/>
        <w:ind w:left="567" w:right="568"/>
        <w:rPr>
          <w:b/>
          <w:i w:val="0"/>
          <w:noProof/>
        </w:rPr>
      </w:pPr>
      <w:r w:rsidRPr="009D610C">
        <w:rPr>
          <w:b/>
          <w:i w:val="0"/>
          <w:noProof/>
        </w:rPr>
        <w:t>Offentliggörande av miljö-, samhällsansvars- och bolagsstyrningsrisker (ESG-risker)</w:t>
      </w:r>
    </w:p>
    <w:p w:rsidR="007F4F83" w:rsidRPr="009D610C" w:rsidRDefault="007A388D" w:rsidP="007A388D">
      <w:pPr>
        <w:pStyle w:val="ManualNumPar1"/>
        <w:rPr>
          <w:noProof/>
        </w:rPr>
      </w:pPr>
      <w:r w:rsidRPr="007A388D">
        <w:t>1.</w:t>
      </w:r>
      <w:r w:rsidRPr="007A388D">
        <w:tab/>
      </w:r>
      <w:r w:rsidR="007F4F83" w:rsidRPr="009D610C">
        <w:rPr>
          <w:noProof/>
        </w:rPr>
        <w:t>Instituten ska offentliggöra den information som avses i artikel 449a i förordning (EU) nr 575/2013 enligt följande:</w:t>
      </w:r>
    </w:p>
    <w:p w:rsidR="002D1236" w:rsidRPr="009D610C" w:rsidRDefault="007A388D" w:rsidP="007A388D">
      <w:pPr>
        <w:pStyle w:val="Point1"/>
        <w:rPr>
          <w:noProof/>
        </w:rPr>
      </w:pPr>
      <w:r w:rsidRPr="007A388D">
        <w:t>(a)</w:t>
      </w:r>
      <w:r w:rsidRPr="007A388D">
        <w:tab/>
      </w:r>
      <w:r w:rsidR="002D1236" w:rsidRPr="009D610C">
        <w:rPr>
          <w:noProof/>
        </w:rPr>
        <w:t>Kvalitativ information om miljö-, samhällsansvars- och bolagsstyrningsrisker genom att använda tabellerna 1, 2 och 3 i bilaga XXXIX till denna förordning och genom att följa instruktionerna i bilaga XL till denna förordning.</w:t>
      </w:r>
    </w:p>
    <w:p w:rsidR="002D1236" w:rsidRPr="009D610C" w:rsidRDefault="007A388D" w:rsidP="007A388D">
      <w:pPr>
        <w:pStyle w:val="Point1"/>
        <w:rPr>
          <w:noProof/>
        </w:rPr>
      </w:pPr>
      <w:r w:rsidRPr="007A388D">
        <w:t>(b)</w:t>
      </w:r>
      <w:r w:rsidRPr="007A388D">
        <w:tab/>
      </w:r>
      <w:r w:rsidR="002D1236" w:rsidRPr="009D610C">
        <w:rPr>
          <w:noProof/>
        </w:rPr>
        <w:t>Kvantitativ information om klimatförändringsrelaterade omställningsrisker genom att använda mallarna 1–4 i bilaga XXXIX till denna förordning och genom att följa instruktionerna i bilaga XL till denna förordning.</w:t>
      </w:r>
    </w:p>
    <w:p w:rsidR="002D1236" w:rsidRPr="009D610C" w:rsidRDefault="007A388D" w:rsidP="007A388D">
      <w:pPr>
        <w:pStyle w:val="Point1"/>
        <w:rPr>
          <w:noProof/>
        </w:rPr>
      </w:pPr>
      <w:r w:rsidRPr="007A388D">
        <w:t>(c)</w:t>
      </w:r>
      <w:r w:rsidRPr="007A388D">
        <w:tab/>
      </w:r>
      <w:r w:rsidR="002D1236" w:rsidRPr="009D610C">
        <w:rPr>
          <w:noProof/>
        </w:rPr>
        <w:t>Kvantitativ information om klimatförändringsrelaterade fysiska risker genom att använda mall 5 i bilaga XXXIX till denna förordning och genom att följa instruktionerna i bilaga XL till denna förordning.</w:t>
      </w:r>
    </w:p>
    <w:p w:rsidR="002D1236" w:rsidRPr="009D610C" w:rsidRDefault="007A388D" w:rsidP="007A388D">
      <w:pPr>
        <w:pStyle w:val="Point1"/>
        <w:rPr>
          <w:noProof/>
        </w:rPr>
      </w:pPr>
      <w:r w:rsidRPr="007A388D">
        <w:t>(d)</w:t>
      </w:r>
      <w:r w:rsidRPr="007A388D">
        <w:tab/>
      </w:r>
      <w:r w:rsidR="002D1236" w:rsidRPr="009D610C">
        <w:rPr>
          <w:noProof/>
        </w:rPr>
        <w:t>Kvantitativ information om begränsningsåtgärder kopplade till ekonomisk verksamhet som anses vara miljömässigt hållbar enligt artikel 3 i Europaparlamentets och rådets förordning (EU) 2020/852</w:t>
      </w:r>
      <w:r w:rsidR="002D1236" w:rsidRPr="009D610C">
        <w:rPr>
          <w:noProof/>
          <w:vertAlign w:val="superscript"/>
        </w:rPr>
        <w:t>*1</w:t>
      </w:r>
      <w:r w:rsidR="002D1236" w:rsidRPr="009D610C">
        <w:rPr>
          <w:noProof/>
        </w:rPr>
        <w:t xml:space="preserve"> gentemot de motparter som omfattas av artiklarna 19a eller 29a i Europaparlamentets och rådets direktiv 2013/34/EU</w:t>
      </w:r>
      <w:r w:rsidR="002D1236" w:rsidRPr="009D610C">
        <w:rPr>
          <w:noProof/>
          <w:vertAlign w:val="superscript"/>
        </w:rPr>
        <w:t>*2</w:t>
      </w:r>
      <w:r w:rsidR="002D1236" w:rsidRPr="009D610C">
        <w:rPr>
          <w:noProof/>
        </w:rPr>
        <w:t xml:space="preserve">, </w:t>
      </w:r>
      <w:bookmarkStart w:id="1" w:name="_Hlk92470586"/>
      <w:r w:rsidR="002D1236" w:rsidRPr="009D610C">
        <w:rPr>
          <w:noProof/>
        </w:rPr>
        <w:t xml:space="preserve">gentemot hushåll, och gentemot lokala myndigheter </w:t>
      </w:r>
      <w:bookmarkEnd w:id="1"/>
      <w:r w:rsidR="002D1236" w:rsidRPr="009D610C">
        <w:rPr>
          <w:noProof/>
        </w:rPr>
        <w:t>i den mening som avses i del 1 punkt 42 b i bilaga V till kommissionens genomförandeförordning (EU) 2021/451</w:t>
      </w:r>
      <w:r w:rsidR="002D1236" w:rsidRPr="009D610C">
        <w:rPr>
          <w:noProof/>
          <w:vertAlign w:val="superscript"/>
        </w:rPr>
        <w:t>*3</w:t>
      </w:r>
      <w:r w:rsidR="002D1236" w:rsidRPr="009D610C">
        <w:rPr>
          <w:noProof/>
        </w:rPr>
        <w:t>, genom att använda mallarna 6, 7 och 8 i bilaga XXXIX till den här förordningen och genom att följa instruktionerna i bilaga XL till den här förordningen.</w:t>
      </w:r>
    </w:p>
    <w:p w:rsidR="00995098" w:rsidRPr="009D610C" w:rsidRDefault="007A388D" w:rsidP="007A388D">
      <w:pPr>
        <w:pStyle w:val="Point1"/>
        <w:rPr>
          <w:noProof/>
        </w:rPr>
      </w:pPr>
      <w:r w:rsidRPr="007A388D">
        <w:t>(e)</w:t>
      </w:r>
      <w:r w:rsidRPr="007A388D">
        <w:tab/>
      </w:r>
      <w:r w:rsidR="00995098" w:rsidRPr="009D610C">
        <w:rPr>
          <w:noProof/>
        </w:rPr>
        <w:t>Kvantitativ information om andra begränsningsåtgärder och exponeringar mot klimatförändringsrelaterade risker som inte uppfyller kraven för miljömässigt hållbara ekonomiska verksamheter enligt artikel 3 i förordning (EU) 2020/852 men som stöder motparterna i omställnings- eller anpassningsprocessen med målen om begränsning av klimatförändringar och anpassning till klimatförändringar, genom att använda mall 10 i bilaga XXXIX till den här förordningen och genom att följa instruktionerna i bilaga XL till den här förordningen.</w:t>
      </w:r>
    </w:p>
    <w:p w:rsidR="008D2E23" w:rsidRPr="009D610C" w:rsidRDefault="007A388D" w:rsidP="007A388D">
      <w:pPr>
        <w:pStyle w:val="ManualNumPar1"/>
        <w:rPr>
          <w:noProof/>
        </w:rPr>
      </w:pPr>
      <w:r w:rsidRPr="007A388D">
        <w:t>2.</w:t>
      </w:r>
      <w:r w:rsidRPr="007A388D">
        <w:tab/>
      </w:r>
      <w:r w:rsidR="000941B5" w:rsidRPr="009D610C">
        <w:rPr>
          <w:noProof/>
        </w:rPr>
        <w:t xml:space="preserve">Instituten får välja att offentliggöra kvantitativ information om begränsningsåtgärder och exponeringar mot klimatförändringsrelaterade risker kopplade till ekonomiska verksamheter som anses vara miljömässigt hållbara enligt artikel 3 i förordning (EU) 2020/852, gentemot motparter </w:t>
      </w:r>
      <w:bookmarkStart w:id="2" w:name="_Hlk92470606"/>
      <w:r w:rsidR="000941B5" w:rsidRPr="009D610C">
        <w:rPr>
          <w:noProof/>
        </w:rPr>
        <w:t xml:space="preserve">som är icke-finansiella företag </w:t>
      </w:r>
      <w:bookmarkEnd w:id="2"/>
      <w:r w:rsidR="000941B5" w:rsidRPr="009D610C">
        <w:rPr>
          <w:noProof/>
        </w:rPr>
        <w:t>i den mening som avses i del 1 punkt 42 e i bilaga V till genomförandeförordning (EU) 2021/451 och som inte omfattas av den skyldighet att lämna upplysningar som fastställs i artiklarna 19a och 29a i direktiv 2013/34/EU och i kommissionens genomförandeförordning (EU) 2021/2178</w:t>
      </w:r>
      <w:r w:rsidR="000941B5" w:rsidRPr="009D610C">
        <w:rPr>
          <w:noProof/>
          <w:vertAlign w:val="superscript"/>
        </w:rPr>
        <w:t>*4</w:t>
      </w:r>
      <w:r w:rsidR="000941B5" w:rsidRPr="009D610C">
        <w:rPr>
          <w:noProof/>
        </w:rPr>
        <w:t xml:space="preserve">, genom att använda mall 9 i bilaga XXXIX till denna förordning och genom att följa instruktionerna i bilaga XL till denna förordning. </w:t>
      </w:r>
    </w:p>
    <w:p w:rsidR="002D1236" w:rsidRPr="009D610C" w:rsidRDefault="002D1236" w:rsidP="00353D88">
      <w:pPr>
        <w:pStyle w:val="Text1"/>
        <w:rPr>
          <w:noProof/>
        </w:rPr>
      </w:pPr>
      <w:r w:rsidRPr="009D610C">
        <w:rPr>
          <w:noProof/>
        </w:rPr>
        <w:t>Vid beräkning av procentandelen exponeringar mot verksamheter som uppfyller kraven i artikel 3 i förordning (EU) 2020/852 (taxonomianpassade exponeringar) gentemot dessa motparter får instituten</w:t>
      </w:r>
    </w:p>
    <w:p w:rsidR="00D23734" w:rsidRPr="009D610C" w:rsidRDefault="007A388D" w:rsidP="007A388D">
      <w:pPr>
        <w:pStyle w:val="Point1"/>
        <w:rPr>
          <w:noProof/>
        </w:rPr>
      </w:pPr>
      <w:r w:rsidRPr="007A388D">
        <w:t>(a)</w:t>
      </w:r>
      <w:r w:rsidRPr="007A388D">
        <w:tab/>
      </w:r>
      <w:r w:rsidR="008E7D06" w:rsidRPr="009D610C">
        <w:rPr>
          <w:noProof/>
        </w:rPr>
        <w:t>använda information som erhållits från deras motparter på frivillig och ömsesidig basis genom låneutgivning, regelbunden kreditgranskning och övervakning,</w:t>
      </w:r>
    </w:p>
    <w:p w:rsidR="00D23734" w:rsidRPr="009D610C" w:rsidRDefault="007A388D" w:rsidP="007A388D">
      <w:pPr>
        <w:pStyle w:val="Point1"/>
        <w:rPr>
          <w:noProof/>
        </w:rPr>
      </w:pPr>
      <w:r w:rsidRPr="007A388D">
        <w:t>(b)</w:t>
      </w:r>
      <w:r w:rsidRPr="007A388D">
        <w:tab/>
      </w:r>
      <w:r w:rsidR="00B25755" w:rsidRPr="009D610C">
        <w:rPr>
          <w:noProof/>
        </w:rPr>
        <w:t>om motparten inte kan eller vill tillhandahålla de berörda uppgifterna på ömsesidig basis, använda interna skattningar och proxyvariabler och i den beskrivning som åtföljer mallen förklara i vilken utsträckning dessa interna skattningar och proxyvariabler har använts och vilka interna skattningar och proxyvariabler som har använts,</w:t>
      </w:r>
    </w:p>
    <w:p w:rsidR="002D1236" w:rsidRPr="009D610C" w:rsidRDefault="007A388D" w:rsidP="007A388D">
      <w:pPr>
        <w:pStyle w:val="Point1"/>
        <w:rPr>
          <w:noProof/>
        </w:rPr>
      </w:pPr>
      <w:r w:rsidRPr="007A388D">
        <w:t>(c)</w:t>
      </w:r>
      <w:r w:rsidRPr="007A388D">
        <w:tab/>
      </w:r>
      <w:r w:rsidR="00D23734" w:rsidRPr="009D610C">
        <w:rPr>
          <w:noProof/>
        </w:rPr>
        <w:t>om de inte kan samla in den berörda informationen på ömsesidig basis eller inte kan använda interna skattningar och proxyvariabler, eller inte kan samla in den informationen eller använda dessa skattningar och proxyvariabler på ett sätt som inte är alltför betungande för dem eller deras motparter, förklara denna oförmåga i den beskrivning som åtföljer mallen.</w:t>
      </w:r>
    </w:p>
    <w:p w:rsidR="00320B78" w:rsidRPr="009D610C" w:rsidRDefault="00320B78" w:rsidP="00353D88">
      <w:pPr>
        <w:pStyle w:val="Text1"/>
        <w:rPr>
          <w:noProof/>
        </w:rPr>
      </w:pPr>
      <w:r w:rsidRPr="009D610C">
        <w:rPr>
          <w:noProof/>
        </w:rPr>
        <w:t>Vid tillämpning av led a ska instituten informera sina motparter om att tillhandahållandet av denna information är frivilligt.</w:t>
      </w:r>
    </w:p>
    <w:p w:rsidR="007F4F83" w:rsidRPr="009D610C" w:rsidRDefault="007A388D" w:rsidP="007A388D">
      <w:pPr>
        <w:pStyle w:val="ManualNumPar1"/>
        <w:rPr>
          <w:noProof/>
        </w:rPr>
      </w:pPr>
      <w:r w:rsidRPr="007A388D">
        <w:t>3.</w:t>
      </w:r>
      <w:r w:rsidRPr="007A388D">
        <w:tab/>
      </w:r>
      <w:r w:rsidR="006B71ED" w:rsidRPr="009D610C">
        <w:rPr>
          <w:noProof/>
        </w:rPr>
        <w:t>Om inget annat anges i instruktionerna i bilaga XL till denna förordning ska instituten från och med den 31 december 2022 offentliggöra den information som avses i artikel 449a i förordning (EU) nr 575/2013 på följande datum:</w:t>
      </w:r>
    </w:p>
    <w:p w:rsidR="007F4F83" w:rsidRPr="009D610C" w:rsidRDefault="007A388D" w:rsidP="007A388D">
      <w:pPr>
        <w:pStyle w:val="Point1"/>
        <w:rPr>
          <w:noProof/>
        </w:rPr>
      </w:pPr>
      <w:r w:rsidRPr="007A388D">
        <w:t>(a)</w:t>
      </w:r>
      <w:r w:rsidRPr="007A388D">
        <w:tab/>
      </w:r>
      <w:r w:rsidR="007F4F83" w:rsidRPr="009D610C">
        <w:rPr>
          <w:noProof/>
        </w:rPr>
        <w:t>Vid årsrapportering: den 31 december.</w:t>
      </w:r>
    </w:p>
    <w:p w:rsidR="00D01D57" w:rsidRPr="009D610C" w:rsidRDefault="007A388D" w:rsidP="007A388D">
      <w:pPr>
        <w:pStyle w:val="Point1"/>
        <w:rPr>
          <w:noProof/>
        </w:rPr>
      </w:pPr>
      <w:r w:rsidRPr="007A388D">
        <w:t>(b)</w:t>
      </w:r>
      <w:r w:rsidRPr="007A388D">
        <w:tab/>
      </w:r>
      <w:r w:rsidR="007F4F83" w:rsidRPr="009D610C">
        <w:rPr>
          <w:noProof/>
        </w:rPr>
        <w:t>Vid halvårsrapportering: den 30 juni och den 31 december varje år.”</w:t>
      </w:r>
    </w:p>
    <w:p w:rsidR="00086FAB" w:rsidRPr="009D610C" w:rsidRDefault="001904B5" w:rsidP="0087679B">
      <w:pPr>
        <w:pStyle w:val="Text2"/>
        <w:rPr>
          <w:noProof/>
        </w:rPr>
      </w:pPr>
      <w:r w:rsidRPr="009D610C">
        <w:rPr>
          <w:noProof/>
        </w:rPr>
        <w:tab/>
        <w:t>___________</w:t>
      </w:r>
    </w:p>
    <w:p w:rsidR="00086FAB" w:rsidRPr="009D610C" w:rsidRDefault="00086FAB" w:rsidP="0087679B">
      <w:pPr>
        <w:pStyle w:val="Text3"/>
        <w:rPr>
          <w:noProof/>
          <w:sz w:val="20"/>
          <w:szCs w:val="20"/>
        </w:rPr>
      </w:pPr>
      <w:r w:rsidRPr="009D610C">
        <w:rPr>
          <w:noProof/>
          <w:sz w:val="20"/>
          <w:vertAlign w:val="superscript"/>
        </w:rPr>
        <w:t>*1</w:t>
      </w:r>
      <w:r w:rsidRPr="009D610C">
        <w:rPr>
          <w:noProof/>
        </w:rPr>
        <w:tab/>
      </w:r>
      <w:r w:rsidRPr="009D610C">
        <w:rPr>
          <w:noProof/>
          <w:sz w:val="20"/>
        </w:rPr>
        <w:t>Europaparlamentets och rådets förordning (EU) 2020/852 av den 18 juni 2020 om inrättande av en ram för att underlätta hållbara investeringar och om ändring av förordning (EU) 2019/2088 (EUT L 198, 22.6.2020, s. 13).</w:t>
      </w:r>
    </w:p>
    <w:p w:rsidR="00086FAB" w:rsidRPr="009D610C" w:rsidRDefault="00086FAB" w:rsidP="004F6722">
      <w:pPr>
        <w:pStyle w:val="Text3"/>
        <w:rPr>
          <w:noProof/>
          <w:sz w:val="20"/>
          <w:szCs w:val="20"/>
        </w:rPr>
      </w:pPr>
      <w:r w:rsidRPr="009D610C">
        <w:rPr>
          <w:noProof/>
          <w:sz w:val="20"/>
          <w:vertAlign w:val="superscript"/>
        </w:rPr>
        <w:t>*2</w:t>
      </w:r>
      <w:r w:rsidRPr="009D610C">
        <w:rPr>
          <w:noProof/>
        </w:rPr>
        <w:tab/>
      </w:r>
      <w:r w:rsidRPr="009D610C">
        <w:rPr>
          <w:noProof/>
          <w:sz w:val="20"/>
        </w:rPr>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p w:rsidR="00086FAB" w:rsidRPr="009D610C" w:rsidRDefault="00086FAB" w:rsidP="0087679B">
      <w:pPr>
        <w:pStyle w:val="Text3"/>
        <w:rPr>
          <w:noProof/>
          <w:sz w:val="20"/>
          <w:szCs w:val="20"/>
        </w:rPr>
      </w:pPr>
      <w:r w:rsidRPr="009D610C">
        <w:rPr>
          <w:noProof/>
          <w:sz w:val="20"/>
          <w:vertAlign w:val="superscript"/>
        </w:rPr>
        <w:t>*3</w:t>
      </w:r>
      <w:r w:rsidRPr="009D610C">
        <w:rPr>
          <w:noProof/>
        </w:rPr>
        <w:tab/>
      </w:r>
      <w:r w:rsidRPr="009D610C">
        <w:rPr>
          <w:noProof/>
          <w:sz w:val="20"/>
        </w:rPr>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w:t>
      </w:r>
    </w:p>
    <w:p w:rsidR="00086FAB" w:rsidRPr="009D610C" w:rsidRDefault="00086FAB" w:rsidP="0087679B">
      <w:pPr>
        <w:pStyle w:val="Text3"/>
        <w:rPr>
          <w:noProof/>
          <w:sz w:val="20"/>
          <w:szCs w:val="20"/>
        </w:rPr>
      </w:pPr>
      <w:r w:rsidRPr="009D610C">
        <w:rPr>
          <w:noProof/>
          <w:sz w:val="20"/>
          <w:vertAlign w:val="superscript"/>
        </w:rPr>
        <w:t>*4</w:t>
      </w:r>
      <w:r w:rsidRPr="009D610C">
        <w:rPr>
          <w:noProof/>
        </w:rPr>
        <w:tab/>
      </w:r>
      <w:r w:rsidRPr="009D610C">
        <w:rPr>
          <w:noProof/>
          <w:sz w:val="20"/>
        </w:rPr>
        <w:t>Kommissionens delegerade förordning (EU) 2021/2178 av den 6 juli 2021 om komplettering av Europaparlamentets och rådets förordning (EU) 2020/852 genom specificering av innehållet i och presentationen av de upplysningar som ska lämnas av företag som omfattas av artikel 19a eller 29a i direktiv 2013/34/EU vad gäller miljömässigt hållbara ekonomiska verksamheter samt specificering av den metod som ska användas i syfte att fullgöra denna upplysningsskyldighet (EUT L 443, 10.12.2021, s. 9).</w:t>
      </w:r>
    </w:p>
    <w:p w:rsidR="007F4F83" w:rsidRPr="009D610C" w:rsidRDefault="007A388D" w:rsidP="007A388D">
      <w:pPr>
        <w:pStyle w:val="Point0"/>
        <w:rPr>
          <w:noProof/>
        </w:rPr>
      </w:pPr>
      <w:r w:rsidRPr="007A388D">
        <w:t>(2)</w:t>
      </w:r>
      <w:r w:rsidRPr="007A388D">
        <w:tab/>
      </w:r>
      <w:r w:rsidR="00921483" w:rsidRPr="009D610C">
        <w:rPr>
          <w:noProof/>
        </w:rPr>
        <w:t xml:space="preserve">Texten i bilaga I till den här förordningen ska läggas till som bilaga XXXIX. </w:t>
      </w:r>
    </w:p>
    <w:p w:rsidR="007F4F83" w:rsidRPr="009D610C" w:rsidRDefault="007A388D" w:rsidP="007A388D">
      <w:pPr>
        <w:pStyle w:val="Point0"/>
        <w:rPr>
          <w:noProof/>
        </w:rPr>
      </w:pPr>
      <w:r w:rsidRPr="007A388D">
        <w:t>(3)</w:t>
      </w:r>
      <w:r w:rsidRPr="007A388D">
        <w:tab/>
      </w:r>
      <w:r w:rsidR="00921483" w:rsidRPr="009D610C">
        <w:rPr>
          <w:noProof/>
        </w:rPr>
        <w:t>Texten i bilaga II till den här förordningen ska läggas till som bilaga XL.</w:t>
      </w:r>
    </w:p>
    <w:p w:rsidR="007F4F83" w:rsidRPr="009D610C" w:rsidRDefault="007F4F83" w:rsidP="004046D9">
      <w:pPr>
        <w:pStyle w:val="Titrearticle"/>
        <w:rPr>
          <w:noProof/>
          <w:szCs w:val="24"/>
        </w:rPr>
      </w:pPr>
      <w:r w:rsidRPr="009D610C">
        <w:rPr>
          <w:noProof/>
        </w:rPr>
        <w:t>Artikel 2</w:t>
      </w:r>
    </w:p>
    <w:p w:rsidR="007F4F83" w:rsidRPr="009D610C" w:rsidRDefault="007F4F83" w:rsidP="007F4F83">
      <w:pPr>
        <w:pStyle w:val="Titrearticle"/>
        <w:spacing w:before="120"/>
        <w:rPr>
          <w:b/>
          <w:i w:val="0"/>
          <w:noProof/>
          <w:szCs w:val="24"/>
        </w:rPr>
      </w:pPr>
      <w:r w:rsidRPr="009D610C">
        <w:rPr>
          <w:b/>
          <w:i w:val="0"/>
          <w:noProof/>
        </w:rPr>
        <w:t>Ikraftträdande</w:t>
      </w:r>
    </w:p>
    <w:p w:rsidR="007F4F83" w:rsidRPr="009D610C" w:rsidRDefault="007F4F83" w:rsidP="007F4F83">
      <w:pPr>
        <w:rPr>
          <w:noProof/>
          <w:color w:val="000000" w:themeColor="text1"/>
          <w:szCs w:val="24"/>
        </w:rPr>
      </w:pPr>
      <w:r w:rsidRPr="009D610C">
        <w:rPr>
          <w:noProof/>
        </w:rPr>
        <w:t xml:space="preserve">Denna förordning träder i kraft den tjugonde dagen efter det att den har offentliggjorts i </w:t>
      </w:r>
      <w:r w:rsidRPr="009D610C">
        <w:rPr>
          <w:i/>
          <w:noProof/>
          <w:color w:val="000000" w:themeColor="text1"/>
        </w:rPr>
        <w:t>Europeiska unionens officiella tidning</w:t>
      </w:r>
      <w:r w:rsidRPr="009D610C">
        <w:rPr>
          <w:noProof/>
          <w:color w:val="000000" w:themeColor="text1"/>
        </w:rPr>
        <w:t xml:space="preserve">. </w:t>
      </w:r>
    </w:p>
    <w:p w:rsidR="007F4F83" w:rsidRPr="009D610C" w:rsidRDefault="007F4F83" w:rsidP="007F4F83">
      <w:pPr>
        <w:pStyle w:val="Applicationdirecte"/>
        <w:rPr>
          <w:noProof/>
          <w:color w:val="000000"/>
          <w:szCs w:val="24"/>
        </w:rPr>
      </w:pPr>
      <w:r w:rsidRPr="009D610C">
        <w:rPr>
          <w:noProof/>
          <w:color w:val="000000"/>
        </w:rPr>
        <w:t>Denna förordning är till alla delar bindande och direkt tillämplig i alla medlemsstater.</w:t>
      </w:r>
    </w:p>
    <w:p w:rsidR="003C122C" w:rsidRPr="009D610C" w:rsidRDefault="00895B6F" w:rsidP="0032282A">
      <w:pPr>
        <w:pStyle w:val="Fait"/>
        <w:rPr>
          <w:noProof/>
        </w:rPr>
      </w:pPr>
      <w:r w:rsidRPr="00895B6F">
        <w:t>Utfärdad i Bryssel den 30.11.2022</w:t>
      </w:r>
    </w:p>
    <w:p w:rsidR="003C122C" w:rsidRPr="009D610C" w:rsidRDefault="003C122C" w:rsidP="0032282A">
      <w:pPr>
        <w:pStyle w:val="Institutionquisigne"/>
        <w:rPr>
          <w:noProof/>
          <w:szCs w:val="24"/>
        </w:rPr>
      </w:pPr>
      <w:r w:rsidRPr="009D610C">
        <w:rPr>
          <w:noProof/>
        </w:rPr>
        <w:tab/>
        <w:t>På kommissionens vägnar</w:t>
      </w:r>
    </w:p>
    <w:p w:rsidR="00C32BCD" w:rsidRPr="009D610C" w:rsidRDefault="00B1412E" w:rsidP="0032282A">
      <w:pPr>
        <w:pStyle w:val="Personnequisigne"/>
        <w:keepNext/>
        <w:rPr>
          <w:noProof/>
          <w:szCs w:val="24"/>
        </w:rPr>
      </w:pPr>
      <w:r>
        <w:tab/>
        <w:t>Ordförande</w:t>
      </w:r>
      <w:r>
        <w:br/>
      </w:r>
      <w:r>
        <w:tab/>
        <w:t>Ursula VON DER LEYEN</w:t>
      </w:r>
    </w:p>
    <w:p w:rsidR="00C32BCD" w:rsidRPr="009D610C" w:rsidRDefault="00C32BCD" w:rsidP="00C32BCD">
      <w:pPr>
        <w:pStyle w:val="Personnequisigne"/>
        <w:rPr>
          <w:noProof/>
          <w:szCs w:val="24"/>
        </w:rPr>
      </w:pPr>
    </w:p>
    <w:sectPr w:rsidR="00C32BCD" w:rsidRPr="009D610C" w:rsidSect="00EB430D">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5EBEA" w16cex:dateUtc="2022-06-16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37DE51" w16cid:durableId="2655EBCB"/>
  <w16cid:commentId w16cid:paraId="7A29AA4B" w16cid:durableId="2655EBCC"/>
  <w16cid:commentId w16cid:paraId="3433952E" w16cid:durableId="2655EBCD"/>
  <w16cid:commentId w16cid:paraId="6EED3A3E" w16cid:durableId="2655EBCE"/>
  <w16cid:commentId w16cid:paraId="3EE02E5B" w16cid:durableId="2655EBCF"/>
  <w16cid:commentId w16cid:paraId="01A26344" w16cid:durableId="2655EBD0"/>
  <w16cid:commentId w16cid:paraId="39EDADD7" w16cid:durableId="2655EBD1"/>
  <w16cid:commentId w16cid:paraId="3AF162EE" w16cid:durableId="2628F6CF"/>
  <w16cid:commentId w16cid:paraId="6812BB0D" w16cid:durableId="2655EBD3"/>
  <w16cid:commentId w16cid:paraId="62E5038C" w16cid:durableId="2655EBD4"/>
  <w16cid:commentId w16cid:paraId="1F6C8177" w16cid:durableId="2655EBD5"/>
  <w16cid:commentId w16cid:paraId="0AE9DA68" w16cid:durableId="2655EBD6"/>
  <w16cid:commentId w16cid:paraId="596D06C5" w16cid:durableId="2628F6D1"/>
  <w16cid:commentId w16cid:paraId="46A9AA41" w16cid:durableId="2628F6D2"/>
  <w16cid:commentId w16cid:paraId="41CC9094" w16cid:durableId="2655EBD9"/>
  <w16cid:commentId w16cid:paraId="38880244" w16cid:durableId="2655EBDA"/>
  <w16cid:commentId w16cid:paraId="411E34EB" w16cid:durableId="2655EBDB"/>
  <w16cid:commentId w16cid:paraId="40899BBD" w16cid:durableId="2655EBEA"/>
  <w16cid:commentId w16cid:paraId="75EFCE6B" w16cid:durableId="2655EBDC"/>
  <w16cid:commentId w16cid:paraId="4EBEEE40" w16cid:durableId="2655EBDD"/>
  <w16cid:commentId w16cid:paraId="5ED79B6F" w16cid:durableId="2628F6D4"/>
  <w16cid:commentId w16cid:paraId="591736CE" w16cid:durableId="2655EBDF"/>
  <w16cid:commentId w16cid:paraId="1072DCD9" w16cid:durableId="2628F6D5"/>
  <w16cid:commentId w16cid:paraId="025BC4FA" w16cid:durableId="2655EBE1"/>
  <w16cid:commentId w16cid:paraId="218F3D69" w16cid:durableId="2628F6D6"/>
  <w16cid:commentId w16cid:paraId="0D916AAE" w16cid:durableId="2655EBE3"/>
  <w16cid:commentId w16cid:paraId="0F33B10D" w16cid:durableId="2628F6D7"/>
  <w16cid:commentId w16cid:paraId="01546E2B" w16cid:durableId="2655EBE5"/>
  <w16cid:commentId w16cid:paraId="44509D12" w16cid:durableId="2628F6D9"/>
  <w16cid:commentId w16cid:paraId="06BE4C89" w16cid:durableId="2655EBE7"/>
  <w16cid:commentId w16cid:paraId="63A690CE" w16cid:durableId="2628F6DA"/>
  <w16cid:commentId w16cid:paraId="268A51E3" w16cid:durableId="2655EB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F55" w:rsidRDefault="004C7F55" w:rsidP="003C122C">
      <w:pPr>
        <w:spacing w:before="0" w:after="0"/>
      </w:pPr>
      <w:r>
        <w:separator/>
      </w:r>
    </w:p>
  </w:endnote>
  <w:endnote w:type="continuationSeparator" w:id="0">
    <w:p w:rsidR="004C7F55" w:rsidRDefault="004C7F55" w:rsidP="003C1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6ED" w:rsidRPr="00EB430D" w:rsidRDefault="00EB430D" w:rsidP="00EB430D">
    <w:pPr>
      <w:pStyle w:val="Footer"/>
      <w:rPr>
        <w:rFonts w:ascii="Arial" w:hAnsi="Arial" w:cs="Arial"/>
        <w:b/>
        <w:sz w:val="48"/>
      </w:rPr>
    </w:pPr>
    <w:r w:rsidRPr="00EB430D">
      <w:rPr>
        <w:rFonts w:ascii="Arial" w:hAnsi="Arial" w:cs="Arial"/>
        <w:b/>
        <w:sz w:val="48"/>
      </w:rPr>
      <w:t>SV</w:t>
    </w:r>
    <w:r w:rsidRPr="00EB430D">
      <w:rPr>
        <w:rFonts w:ascii="Arial" w:hAnsi="Arial" w:cs="Arial"/>
        <w:b/>
        <w:sz w:val="48"/>
      </w:rPr>
      <w:tab/>
    </w:r>
    <w:r w:rsidRPr="00EB430D">
      <w:rPr>
        <w:rFonts w:ascii="Arial" w:hAnsi="Arial" w:cs="Arial"/>
        <w:b/>
        <w:sz w:val="48"/>
      </w:rPr>
      <w:tab/>
    </w:r>
    <w:r w:rsidRPr="00EB430D">
      <w:tab/>
    </w:r>
    <w:r w:rsidRPr="00EB430D">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30D" w:rsidRPr="00EB430D" w:rsidRDefault="00EB430D" w:rsidP="00EB430D">
    <w:pPr>
      <w:pStyle w:val="Footer"/>
      <w:rPr>
        <w:rFonts w:ascii="Arial" w:hAnsi="Arial" w:cs="Arial"/>
        <w:b/>
        <w:sz w:val="48"/>
      </w:rPr>
    </w:pPr>
    <w:r w:rsidRPr="00EB430D">
      <w:rPr>
        <w:rFonts w:ascii="Arial" w:hAnsi="Arial" w:cs="Arial"/>
        <w:b/>
        <w:sz w:val="48"/>
      </w:rPr>
      <w:t>SV</w:t>
    </w:r>
    <w:r w:rsidRPr="00EB430D">
      <w:rPr>
        <w:rFonts w:ascii="Arial" w:hAnsi="Arial" w:cs="Arial"/>
        <w:b/>
        <w:sz w:val="48"/>
      </w:rPr>
      <w:tab/>
    </w:r>
    <w:r>
      <w:fldChar w:fldCharType="begin"/>
    </w:r>
    <w:r>
      <w:instrText xml:space="preserve"> PAGE  \* MERGEFORMAT </w:instrText>
    </w:r>
    <w:r>
      <w:fldChar w:fldCharType="separate"/>
    </w:r>
    <w:r w:rsidR="0032282A">
      <w:rPr>
        <w:noProof/>
      </w:rPr>
      <w:t>5</w:t>
    </w:r>
    <w:r>
      <w:fldChar w:fldCharType="end"/>
    </w:r>
    <w:r>
      <w:tab/>
    </w:r>
    <w:r w:rsidRPr="00EB430D">
      <w:tab/>
    </w:r>
    <w:r w:rsidRPr="00EB430D">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30D" w:rsidRPr="00EB430D" w:rsidRDefault="00EB430D" w:rsidP="00EB43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F55" w:rsidRDefault="004C7F55" w:rsidP="003C122C">
      <w:pPr>
        <w:spacing w:before="0" w:after="0"/>
      </w:pPr>
      <w:r>
        <w:separator/>
      </w:r>
    </w:p>
  </w:footnote>
  <w:footnote w:type="continuationSeparator" w:id="0">
    <w:p w:rsidR="004C7F55" w:rsidRDefault="004C7F55" w:rsidP="003C122C">
      <w:pPr>
        <w:spacing w:before="0" w:after="0"/>
      </w:pPr>
      <w:r>
        <w:continuationSeparator/>
      </w:r>
    </w:p>
  </w:footnote>
  <w:footnote w:id="1">
    <w:p w:rsidR="003C122C" w:rsidRPr="007067A9" w:rsidRDefault="003C122C" w:rsidP="003C122C">
      <w:pPr>
        <w:pStyle w:val="FootnoteText"/>
      </w:pPr>
      <w:r>
        <w:rPr>
          <w:rStyle w:val="FootnoteReference"/>
        </w:rPr>
        <w:footnoteRef/>
      </w:r>
      <w:r>
        <w:tab/>
        <w:t>EUT L 176, 27.6.2013, s. 1.</w:t>
      </w:r>
    </w:p>
  </w:footnote>
  <w:footnote w:id="2">
    <w:p w:rsidR="007067A9" w:rsidRPr="00FC42BE" w:rsidRDefault="007067A9" w:rsidP="007067A9">
      <w:pPr>
        <w:pStyle w:val="FootnoteText"/>
      </w:pPr>
      <w:r>
        <w:rPr>
          <w:rStyle w:val="FootnoteReference"/>
        </w:rPr>
        <w:footnoteRef/>
      </w:r>
      <w:r>
        <w:tab/>
        <w:t>Kommissionens genomförandeförordning (EU) 2021/637 av den 15 mars 2021 om fastställande av tekniska standarder för genomförande vad gäller instituts offentliggörande av den information som avses i del åtta avdelningarna II och III i Europaparlamentets och rådets förordning (EU) nr 575/2013 och om upphävande av kommissionens genomförandeförordning (EU) nr 1423/2013, kommissionens delegerade förordning (EU) 2015/1555, kommissionens genomförandeförordning (EU) 2016/200 och kommissionens delegerade förordning (EU) 2017/2295 (EUT L 136, 21.4.2021, s. 1).</w:t>
      </w:r>
    </w:p>
  </w:footnote>
  <w:footnote w:id="3">
    <w:p w:rsidR="007067A9" w:rsidRPr="007067A9" w:rsidRDefault="007067A9" w:rsidP="007067A9">
      <w:pPr>
        <w:pStyle w:val="FootnoteText"/>
      </w:pPr>
      <w:r>
        <w:rPr>
          <w:rStyle w:val="FootnoteReference"/>
        </w:rPr>
        <w:footnoteRef/>
      </w:r>
      <w:r>
        <w:tab/>
        <w:t>Europaparlamentets och rådets förordning (EU) 2019/876 av den 20 maj 2019 om ändring av förordning (EU) nr 575/2013 vad gäller bruttosoliditetsgrad, stabil nettofinansieringskvot, krav för kapitalbas och kvalificerade skulder, motpartsrisk, marknadsrisk, exponeringar mot centrala motparter, exponeringar mot företag för kollektiva investeringar, stora exponeringar, rapporteringskrav och krav på offentliggörande av information, samt av förordning (EU) nr 648/2012 (EUT L 150, 7.6.2019, s. 1).</w:t>
      </w:r>
    </w:p>
  </w:footnote>
  <w:footnote w:id="4">
    <w:p w:rsidR="00410340" w:rsidRPr="007067A9" w:rsidRDefault="00410340" w:rsidP="008B3E83">
      <w:pPr>
        <w:pStyle w:val="FootnoteText"/>
      </w:pPr>
      <w:r>
        <w:rPr>
          <w:rStyle w:val="FootnoteReference"/>
        </w:rPr>
        <w:footnoteRef/>
      </w:r>
      <w:r>
        <w:tab/>
        <w:t>Europaparlamentets och rådets förordning (EU) 2020/852 av den 18 juni 2020 om inrättande av en ram för att underlätta hållbara investeringar och om ändring av förordning (EU) 2019/2088 (</w:t>
      </w:r>
      <w:r>
        <w:rPr>
          <w:rStyle w:val="Emphasis"/>
          <w:i w:val="0"/>
        </w:rPr>
        <w:t>EUT L 198, 22.6.2020, s. 13).</w:t>
      </w:r>
    </w:p>
  </w:footnote>
  <w:footnote w:id="5">
    <w:p w:rsidR="00410340" w:rsidRPr="007067A9" w:rsidRDefault="00410340" w:rsidP="008B3E83">
      <w:pPr>
        <w:pStyle w:val="FootnoteText"/>
        <w:rPr>
          <w:i/>
        </w:rPr>
      </w:pPr>
      <w:r>
        <w:rPr>
          <w:rStyle w:val="FootnoteReference"/>
        </w:rPr>
        <w:footnoteRef/>
      </w:r>
      <w:r>
        <w:tab/>
        <w:t>Kommissionens delegerade förordning (EU) 2020/1818 av den 17 juli 2020 om komplettering av Europaparlamentets och rådets förordning (EU) 2016/1011 vad gäller minimistandarder för EU-referensvärden för klimatomställning och EU-referensvärden för anpassning till Parisavtalet (</w:t>
      </w:r>
      <w:r>
        <w:rPr>
          <w:rStyle w:val="Emphasis"/>
          <w:i w:val="0"/>
        </w:rPr>
        <w:t>EUT L 406, 3.12.2020, s. 17).</w:t>
      </w:r>
    </w:p>
  </w:footnote>
  <w:footnote w:id="6">
    <w:p w:rsidR="00410340" w:rsidRPr="007067A9" w:rsidRDefault="00410340" w:rsidP="008B3E83">
      <w:pPr>
        <w:pStyle w:val="FootnoteText"/>
        <w:rPr>
          <w:color w:val="444444"/>
        </w:rPr>
      </w:pPr>
      <w:r>
        <w:rPr>
          <w:rStyle w:val="FootnoteReference"/>
        </w:rPr>
        <w:footnoteRef/>
      </w:r>
      <w:r>
        <w:tab/>
        <w:t>Europaparlamentets och rådets direktiv 2010/31/EU av den 19 maj 2010 om byggnaders energiprestanda (</w:t>
      </w:r>
      <w:r>
        <w:rPr>
          <w:rStyle w:val="Emphasis"/>
          <w:i w:val="0"/>
        </w:rPr>
        <w:t>EUT L 153, 18.6.2010, s. 13).</w:t>
      </w:r>
    </w:p>
  </w:footnote>
  <w:footnote w:id="7">
    <w:p w:rsidR="00135CD4" w:rsidRPr="00135CD4" w:rsidRDefault="00135CD4" w:rsidP="00135CD4">
      <w:pPr>
        <w:pStyle w:val="FootnoteText"/>
      </w:pPr>
      <w:r>
        <w:rPr>
          <w:rStyle w:val="FootnoteReference"/>
        </w:rPr>
        <w:footnoteRef/>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8">
    <w:p w:rsidR="00410340" w:rsidRPr="007067A9" w:rsidRDefault="00410340" w:rsidP="00410340">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986377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9F0D1A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2082C4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45AAF27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F94EE60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6104F90"/>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925C65D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FE8499E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6947"/>
        </w:tabs>
        <w:ind w:left="6947" w:hanging="284"/>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7"/>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24"/>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1"/>
  </w:num>
  <w:num w:numId="18">
    <w:abstractNumId w:val="13"/>
  </w:num>
  <w:num w:numId="19">
    <w:abstractNumId w:val="23"/>
  </w:num>
  <w:num w:numId="20">
    <w:abstractNumId w:val="11"/>
  </w:num>
  <w:num w:numId="21">
    <w:abstractNumId w:val="14"/>
  </w:num>
  <w:num w:numId="22">
    <w:abstractNumId w:val="15"/>
  </w:num>
  <w:num w:numId="23">
    <w:abstractNumId w:val="9"/>
  </w:num>
  <w:num w:numId="24">
    <w:abstractNumId w:val="22"/>
  </w:num>
  <w:num w:numId="25">
    <w:abstractNumId w:val="8"/>
  </w:num>
  <w:num w:numId="26">
    <w:abstractNumId w:val="16"/>
  </w:num>
  <w:num w:numId="27">
    <w:abstractNumId w:val="19"/>
  </w:num>
  <w:num w:numId="28">
    <w:abstractNumId w:val="20"/>
  </w:num>
  <w:num w:numId="29">
    <w:abstractNumId w:val="10"/>
  </w:num>
  <w:num w:numId="30">
    <w:abstractNumId w:val="18"/>
  </w:num>
  <w:num w:numId="31">
    <w:abstractNumId w:val="24"/>
  </w:num>
  <w:num w:numId="32">
    <w:abstractNumId w:val="21"/>
  </w:num>
  <w:num w:numId="33">
    <w:abstractNumId w:val="13"/>
  </w:num>
  <w:num w:numId="34">
    <w:abstractNumId w:val="23"/>
  </w:num>
  <w:num w:numId="35">
    <w:abstractNumId w:val="11"/>
  </w:num>
  <w:num w:numId="36">
    <w:abstractNumId w:val="14"/>
  </w:num>
  <w:num w:numId="37">
    <w:abstractNumId w:val="15"/>
  </w:num>
  <w:num w:numId="38">
    <w:abstractNumId w:val="9"/>
  </w:num>
  <w:num w:numId="39">
    <w:abstractNumId w:val="22"/>
  </w:num>
  <w:num w:numId="40">
    <w:abstractNumId w:val="8"/>
  </w:num>
  <w:num w:numId="41">
    <w:abstractNumId w:val="16"/>
  </w:num>
  <w:num w:numId="42">
    <w:abstractNumId w:val="19"/>
  </w:num>
  <w:num w:numId="43">
    <w:abstractNumId w:val="20"/>
  </w:num>
  <w:num w:numId="44">
    <w:abstractNumId w:val="10"/>
  </w:num>
  <w:num w:numId="45">
    <w:abstractNumId w:val="18"/>
  </w:num>
  <w:num w:numId="46">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ttachedTemplate r:id="rId1"/>
  <w:revisionView w:markup="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11-27 19:32:43"/>
    <w:docVar w:name="DQCNUMB_1" w:val="33"/>
    <w:docVar w:name="DQCNUMB_2" w:val="34"/>
    <w:docVar w:name="DQCNUMB_3" w:val="35"/>
    <w:docVar w:name="DQCNUMB_4" w:val="30"/>
    <w:docVar w:name="DQCNUMB_5" w:val="31"/>
    <w:docVar w:name="DQCNUMB_6" w:val="32"/>
    <w:docVar w:name="DQCNUMB_7" w:val="44"/>
    <w:docVar w:name="DQCNUMB_8" w:val="45"/>
    <w:docVar w:name="DQCNUMB_9" w:val="4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BC4B2C5-4DCF-4566-A835-2ABECB72B2E2"/>
    <w:docVar w:name="LW_COVERPAGE_TYPE" w:val="1"/>
    <w:docVar w:name="LW_CROSSREFERENCE" w:val="&lt;UNUSED&gt;"/>
    <w:docVar w:name="LW_DATE.ADOPT.CP" w:val="av den 30.11.2022"/>
    <w:docVar w:name="LW_DATE.ADOPT.CP_DATEFORMAT" w:val="av den %DATE%"/>
    <w:docVar w:name="LW_DATE.ADOPT.CP_ISODATE" w:val="2022-11-30"/>
    <w:docVar w:name="LW_DocType" w:val="COM"/>
    <w:docVar w:name="LW_EMISSION" w:val="30.11.2022"/>
    <w:docVar w:name="LW_EMISSION_ISODATE" w:val="2022-11-30"/>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ändring av de tekniska genomförandestandarder som fastställs i genomförandeförordning (EU) 2021/637 vad gäller offentliggörande av miljö-, samhällsansvars- och bolagsstyrningsrisker _x000b_"/>
    <w:docVar w:name="LW_TYPE.DOC.CP" w:val="KOMMISSIONENS GENOMFÖRANDEFÖRORDNING (EU) …/…"/>
    <w:docVar w:name="LwApiVersions" w:val="LW4CoDe 1.23.2.0; LW 8.0, Build 20211117"/>
  </w:docVars>
  <w:rsids>
    <w:rsidRoot w:val="003C122C"/>
    <w:rsid w:val="000057BA"/>
    <w:rsid w:val="00012369"/>
    <w:rsid w:val="00013965"/>
    <w:rsid w:val="00014B2C"/>
    <w:rsid w:val="000163E0"/>
    <w:rsid w:val="00022FD2"/>
    <w:rsid w:val="00024AB1"/>
    <w:rsid w:val="000337EA"/>
    <w:rsid w:val="0004104A"/>
    <w:rsid w:val="0006070A"/>
    <w:rsid w:val="00066156"/>
    <w:rsid w:val="00083B2C"/>
    <w:rsid w:val="00086FAB"/>
    <w:rsid w:val="00092C7C"/>
    <w:rsid w:val="000941B5"/>
    <w:rsid w:val="00095049"/>
    <w:rsid w:val="000A39E5"/>
    <w:rsid w:val="000A7517"/>
    <w:rsid w:val="000B1F8E"/>
    <w:rsid w:val="000B76A4"/>
    <w:rsid w:val="000C0D47"/>
    <w:rsid w:val="000E198E"/>
    <w:rsid w:val="000F3F2A"/>
    <w:rsid w:val="000F5934"/>
    <w:rsid w:val="00103B22"/>
    <w:rsid w:val="0011495F"/>
    <w:rsid w:val="0013113E"/>
    <w:rsid w:val="00135CD4"/>
    <w:rsid w:val="00145996"/>
    <w:rsid w:val="00154CCD"/>
    <w:rsid w:val="001645DB"/>
    <w:rsid w:val="00184181"/>
    <w:rsid w:val="001844EE"/>
    <w:rsid w:val="001904B5"/>
    <w:rsid w:val="001A327A"/>
    <w:rsid w:val="001B18A5"/>
    <w:rsid w:val="001B1CE9"/>
    <w:rsid w:val="001B7BF1"/>
    <w:rsid w:val="001C015A"/>
    <w:rsid w:val="001C2816"/>
    <w:rsid w:val="001E4D6F"/>
    <w:rsid w:val="001E62ED"/>
    <w:rsid w:val="001F0712"/>
    <w:rsid w:val="001F230A"/>
    <w:rsid w:val="001F4DF3"/>
    <w:rsid w:val="002114F8"/>
    <w:rsid w:val="00225284"/>
    <w:rsid w:val="00227B00"/>
    <w:rsid w:val="002314F6"/>
    <w:rsid w:val="00232E98"/>
    <w:rsid w:val="00236D1F"/>
    <w:rsid w:val="00244967"/>
    <w:rsid w:val="0024497F"/>
    <w:rsid w:val="002522BC"/>
    <w:rsid w:val="002815D4"/>
    <w:rsid w:val="00282860"/>
    <w:rsid w:val="00286E16"/>
    <w:rsid w:val="002B16C1"/>
    <w:rsid w:val="002C526A"/>
    <w:rsid w:val="002D1236"/>
    <w:rsid w:val="002E6EC7"/>
    <w:rsid w:val="00301900"/>
    <w:rsid w:val="00303A4B"/>
    <w:rsid w:val="0031532F"/>
    <w:rsid w:val="00317925"/>
    <w:rsid w:val="00320A76"/>
    <w:rsid w:val="00320B78"/>
    <w:rsid w:val="003226A9"/>
    <w:rsid w:val="0032282A"/>
    <w:rsid w:val="0032597F"/>
    <w:rsid w:val="003276ED"/>
    <w:rsid w:val="00331719"/>
    <w:rsid w:val="0033740A"/>
    <w:rsid w:val="00353D88"/>
    <w:rsid w:val="003578D1"/>
    <w:rsid w:val="00362239"/>
    <w:rsid w:val="003965B3"/>
    <w:rsid w:val="00396F18"/>
    <w:rsid w:val="00397813"/>
    <w:rsid w:val="003A5DF1"/>
    <w:rsid w:val="003A6D93"/>
    <w:rsid w:val="003C122C"/>
    <w:rsid w:val="003C70D6"/>
    <w:rsid w:val="003D22F0"/>
    <w:rsid w:val="003D5E0A"/>
    <w:rsid w:val="003E1B7D"/>
    <w:rsid w:val="004046D9"/>
    <w:rsid w:val="004050BE"/>
    <w:rsid w:val="00410340"/>
    <w:rsid w:val="0041104D"/>
    <w:rsid w:val="00413DA3"/>
    <w:rsid w:val="00414930"/>
    <w:rsid w:val="00414A4D"/>
    <w:rsid w:val="00436E6A"/>
    <w:rsid w:val="004376A0"/>
    <w:rsid w:val="004550A7"/>
    <w:rsid w:val="004A6F3E"/>
    <w:rsid w:val="004C0BD0"/>
    <w:rsid w:val="004C21A2"/>
    <w:rsid w:val="004C6D12"/>
    <w:rsid w:val="004C74A9"/>
    <w:rsid w:val="004C7F55"/>
    <w:rsid w:val="004D65D2"/>
    <w:rsid w:val="004E25CB"/>
    <w:rsid w:val="004E41D0"/>
    <w:rsid w:val="004F0D71"/>
    <w:rsid w:val="004F6722"/>
    <w:rsid w:val="004F6DF7"/>
    <w:rsid w:val="00500AC9"/>
    <w:rsid w:val="005103F2"/>
    <w:rsid w:val="00524ADC"/>
    <w:rsid w:val="00530E44"/>
    <w:rsid w:val="00541DBA"/>
    <w:rsid w:val="00543602"/>
    <w:rsid w:val="00547071"/>
    <w:rsid w:val="005708C3"/>
    <w:rsid w:val="005743BA"/>
    <w:rsid w:val="00592619"/>
    <w:rsid w:val="00592E05"/>
    <w:rsid w:val="00595146"/>
    <w:rsid w:val="005B177F"/>
    <w:rsid w:val="005B5751"/>
    <w:rsid w:val="005C5191"/>
    <w:rsid w:val="005D1193"/>
    <w:rsid w:val="005D2409"/>
    <w:rsid w:val="005E5AED"/>
    <w:rsid w:val="00635568"/>
    <w:rsid w:val="00635A91"/>
    <w:rsid w:val="00643DD1"/>
    <w:rsid w:val="006542E5"/>
    <w:rsid w:val="00657F0F"/>
    <w:rsid w:val="0066012A"/>
    <w:rsid w:val="00674F39"/>
    <w:rsid w:val="00686BCA"/>
    <w:rsid w:val="0069084C"/>
    <w:rsid w:val="006913BE"/>
    <w:rsid w:val="006973D8"/>
    <w:rsid w:val="006B71ED"/>
    <w:rsid w:val="006C171D"/>
    <w:rsid w:val="006D6422"/>
    <w:rsid w:val="006E41D9"/>
    <w:rsid w:val="006E5628"/>
    <w:rsid w:val="0070128F"/>
    <w:rsid w:val="00701EE8"/>
    <w:rsid w:val="007067A9"/>
    <w:rsid w:val="007117D9"/>
    <w:rsid w:val="00713F5B"/>
    <w:rsid w:val="00715E6A"/>
    <w:rsid w:val="0071695E"/>
    <w:rsid w:val="00720FE7"/>
    <w:rsid w:val="00723CCB"/>
    <w:rsid w:val="00732259"/>
    <w:rsid w:val="00732CCA"/>
    <w:rsid w:val="00737997"/>
    <w:rsid w:val="007438A8"/>
    <w:rsid w:val="00756CA3"/>
    <w:rsid w:val="00763A70"/>
    <w:rsid w:val="00782B92"/>
    <w:rsid w:val="00785CE7"/>
    <w:rsid w:val="00792229"/>
    <w:rsid w:val="007A388D"/>
    <w:rsid w:val="007C06F6"/>
    <w:rsid w:val="007C1792"/>
    <w:rsid w:val="007C6A9F"/>
    <w:rsid w:val="007D0388"/>
    <w:rsid w:val="007D62F0"/>
    <w:rsid w:val="007D7DBC"/>
    <w:rsid w:val="007E26C3"/>
    <w:rsid w:val="007F4F83"/>
    <w:rsid w:val="007F5860"/>
    <w:rsid w:val="007F7135"/>
    <w:rsid w:val="00804148"/>
    <w:rsid w:val="008062B5"/>
    <w:rsid w:val="00817B8F"/>
    <w:rsid w:val="00821D7F"/>
    <w:rsid w:val="00832DCF"/>
    <w:rsid w:val="00847287"/>
    <w:rsid w:val="00851060"/>
    <w:rsid w:val="0085437D"/>
    <w:rsid w:val="0086052B"/>
    <w:rsid w:val="00865DA1"/>
    <w:rsid w:val="0087679B"/>
    <w:rsid w:val="00884A61"/>
    <w:rsid w:val="00895B6F"/>
    <w:rsid w:val="008968D2"/>
    <w:rsid w:val="008B3E83"/>
    <w:rsid w:val="008B4EA1"/>
    <w:rsid w:val="008B6B70"/>
    <w:rsid w:val="008B7323"/>
    <w:rsid w:val="008C6F3B"/>
    <w:rsid w:val="008C705E"/>
    <w:rsid w:val="008D169C"/>
    <w:rsid w:val="008D2E23"/>
    <w:rsid w:val="008E08C7"/>
    <w:rsid w:val="008E44ED"/>
    <w:rsid w:val="008E7033"/>
    <w:rsid w:val="008E7D06"/>
    <w:rsid w:val="00905BE0"/>
    <w:rsid w:val="00911BBB"/>
    <w:rsid w:val="00921483"/>
    <w:rsid w:val="00930B06"/>
    <w:rsid w:val="0093114D"/>
    <w:rsid w:val="00935E8E"/>
    <w:rsid w:val="0094232C"/>
    <w:rsid w:val="00957D55"/>
    <w:rsid w:val="0096046C"/>
    <w:rsid w:val="00973740"/>
    <w:rsid w:val="00973E9E"/>
    <w:rsid w:val="00974379"/>
    <w:rsid w:val="009846A4"/>
    <w:rsid w:val="00986B33"/>
    <w:rsid w:val="00987AD5"/>
    <w:rsid w:val="00992A73"/>
    <w:rsid w:val="00994FD4"/>
    <w:rsid w:val="00995098"/>
    <w:rsid w:val="009A73D4"/>
    <w:rsid w:val="009B7138"/>
    <w:rsid w:val="009C5D3A"/>
    <w:rsid w:val="009D610C"/>
    <w:rsid w:val="009D6EB9"/>
    <w:rsid w:val="009E16FF"/>
    <w:rsid w:val="009E62A6"/>
    <w:rsid w:val="009F48FD"/>
    <w:rsid w:val="009F72A3"/>
    <w:rsid w:val="00A03A3E"/>
    <w:rsid w:val="00A11076"/>
    <w:rsid w:val="00A238D6"/>
    <w:rsid w:val="00A34057"/>
    <w:rsid w:val="00A41AD1"/>
    <w:rsid w:val="00A45F9D"/>
    <w:rsid w:val="00A525E2"/>
    <w:rsid w:val="00A6077E"/>
    <w:rsid w:val="00A61544"/>
    <w:rsid w:val="00A87925"/>
    <w:rsid w:val="00A97285"/>
    <w:rsid w:val="00AA5C69"/>
    <w:rsid w:val="00AA6403"/>
    <w:rsid w:val="00AA6D36"/>
    <w:rsid w:val="00AA7317"/>
    <w:rsid w:val="00AD2CD3"/>
    <w:rsid w:val="00AE332F"/>
    <w:rsid w:val="00AE60C7"/>
    <w:rsid w:val="00AF4467"/>
    <w:rsid w:val="00B00A6D"/>
    <w:rsid w:val="00B137D8"/>
    <w:rsid w:val="00B1412E"/>
    <w:rsid w:val="00B25755"/>
    <w:rsid w:val="00B27FA3"/>
    <w:rsid w:val="00B37F85"/>
    <w:rsid w:val="00B45C88"/>
    <w:rsid w:val="00B555F4"/>
    <w:rsid w:val="00B667EA"/>
    <w:rsid w:val="00B75C81"/>
    <w:rsid w:val="00B76A3B"/>
    <w:rsid w:val="00B8705E"/>
    <w:rsid w:val="00B87C8F"/>
    <w:rsid w:val="00B90FD9"/>
    <w:rsid w:val="00B94522"/>
    <w:rsid w:val="00BB6E75"/>
    <w:rsid w:val="00BC21DD"/>
    <w:rsid w:val="00BE1E9F"/>
    <w:rsid w:val="00BE246D"/>
    <w:rsid w:val="00BF0A20"/>
    <w:rsid w:val="00BF17AA"/>
    <w:rsid w:val="00BF7813"/>
    <w:rsid w:val="00C0016D"/>
    <w:rsid w:val="00C24556"/>
    <w:rsid w:val="00C250DE"/>
    <w:rsid w:val="00C30A6B"/>
    <w:rsid w:val="00C32BCD"/>
    <w:rsid w:val="00C436F2"/>
    <w:rsid w:val="00C43ADB"/>
    <w:rsid w:val="00C55C47"/>
    <w:rsid w:val="00C563F0"/>
    <w:rsid w:val="00C72EBC"/>
    <w:rsid w:val="00C73950"/>
    <w:rsid w:val="00C80003"/>
    <w:rsid w:val="00C90F4B"/>
    <w:rsid w:val="00C96986"/>
    <w:rsid w:val="00CA5E0A"/>
    <w:rsid w:val="00CA6131"/>
    <w:rsid w:val="00CB63D6"/>
    <w:rsid w:val="00CD2F69"/>
    <w:rsid w:val="00CD31F7"/>
    <w:rsid w:val="00CD7B29"/>
    <w:rsid w:val="00CF4110"/>
    <w:rsid w:val="00D00193"/>
    <w:rsid w:val="00D01D57"/>
    <w:rsid w:val="00D14E3E"/>
    <w:rsid w:val="00D1768F"/>
    <w:rsid w:val="00D23734"/>
    <w:rsid w:val="00D34B59"/>
    <w:rsid w:val="00D44382"/>
    <w:rsid w:val="00D56C86"/>
    <w:rsid w:val="00D6695E"/>
    <w:rsid w:val="00D7007A"/>
    <w:rsid w:val="00D753AD"/>
    <w:rsid w:val="00D819E9"/>
    <w:rsid w:val="00DA20D3"/>
    <w:rsid w:val="00DA6EF2"/>
    <w:rsid w:val="00DB337F"/>
    <w:rsid w:val="00DC51F2"/>
    <w:rsid w:val="00DD0951"/>
    <w:rsid w:val="00DD4BB1"/>
    <w:rsid w:val="00DE6779"/>
    <w:rsid w:val="00E02264"/>
    <w:rsid w:val="00E16C32"/>
    <w:rsid w:val="00E227DA"/>
    <w:rsid w:val="00E27B5B"/>
    <w:rsid w:val="00E3675C"/>
    <w:rsid w:val="00E57103"/>
    <w:rsid w:val="00E621E8"/>
    <w:rsid w:val="00E80A1C"/>
    <w:rsid w:val="00E84919"/>
    <w:rsid w:val="00EB425C"/>
    <w:rsid w:val="00EB430D"/>
    <w:rsid w:val="00EC304C"/>
    <w:rsid w:val="00EC548B"/>
    <w:rsid w:val="00ED20D7"/>
    <w:rsid w:val="00ED6A23"/>
    <w:rsid w:val="00ED7891"/>
    <w:rsid w:val="00EE28B6"/>
    <w:rsid w:val="00F007BC"/>
    <w:rsid w:val="00F170A6"/>
    <w:rsid w:val="00F20062"/>
    <w:rsid w:val="00F233CB"/>
    <w:rsid w:val="00F23798"/>
    <w:rsid w:val="00F45E0C"/>
    <w:rsid w:val="00F50B69"/>
    <w:rsid w:val="00F8179F"/>
    <w:rsid w:val="00F82E44"/>
    <w:rsid w:val="00F87C92"/>
    <w:rsid w:val="00F90B4C"/>
    <w:rsid w:val="00F93470"/>
    <w:rsid w:val="00FA40AE"/>
    <w:rsid w:val="00FB5D02"/>
    <w:rsid w:val="00FC42BE"/>
    <w:rsid w:val="00FD14DB"/>
    <w:rsid w:val="00FF14E9"/>
    <w:rsid w:val="00FF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5D75711F-E1C8-47D3-A624-CE1780ED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F4F83"/>
    <w:rPr>
      <w:i/>
      <w:iCs/>
    </w:rPr>
  </w:style>
  <w:style w:type="paragraph" w:styleId="NormalWeb">
    <w:name w:val="Normal (Web)"/>
    <w:basedOn w:val="Normal"/>
    <w:uiPriority w:val="99"/>
    <w:unhideWhenUsed/>
    <w:rsid w:val="007F4F83"/>
    <w:pPr>
      <w:spacing w:before="100" w:beforeAutospacing="1" w:after="100" w:afterAutospacing="1"/>
      <w:jc w:val="left"/>
    </w:pPr>
    <w:rPr>
      <w:rFonts w:eastAsia="Times New Roman"/>
      <w:szCs w:val="24"/>
      <w:lang w:eastAsia="en-GB"/>
    </w:rPr>
  </w:style>
  <w:style w:type="paragraph" w:customStyle="1" w:styleId="numberedparagraph">
    <w:name w:val="numbered paragraph"/>
    <w:basedOn w:val="Normal"/>
    <w:qFormat/>
    <w:rsid w:val="007F4F83"/>
    <w:pPr>
      <w:numPr>
        <w:numId w:val="1"/>
      </w:numPr>
      <w:tabs>
        <w:tab w:val="clear" w:pos="6947"/>
        <w:tab w:val="num" w:pos="284"/>
      </w:tabs>
      <w:spacing w:before="240" w:line="276" w:lineRule="auto"/>
      <w:ind w:left="284"/>
    </w:pPr>
    <w:rPr>
      <w:rFonts w:asciiTheme="minorHAnsi" w:eastAsiaTheme="minorEastAsia" w:hAnsiTheme="minorHAnsi" w:cstheme="minorBidi"/>
      <w:sz w:val="22"/>
      <w:szCs w:val="24"/>
    </w:rPr>
  </w:style>
  <w:style w:type="paragraph" w:customStyle="1" w:styleId="sti-art">
    <w:name w:val="sti-art"/>
    <w:basedOn w:val="Normal"/>
    <w:rsid w:val="007F4F83"/>
    <w:pPr>
      <w:spacing w:before="100" w:beforeAutospacing="1" w:after="100" w:afterAutospacing="1"/>
      <w:jc w:val="left"/>
    </w:pPr>
    <w:rPr>
      <w:rFonts w:eastAsia="Times New Roman"/>
      <w:szCs w:val="24"/>
      <w:lang w:eastAsia="en-GB"/>
    </w:rPr>
  </w:style>
  <w:style w:type="paragraph" w:styleId="ListBullet">
    <w:name w:val="List Bullet"/>
    <w:basedOn w:val="Normal"/>
    <w:uiPriority w:val="99"/>
    <w:semiHidden/>
    <w:unhideWhenUsed/>
    <w:rsid w:val="001B7BF1"/>
    <w:pPr>
      <w:numPr>
        <w:numId w:val="2"/>
      </w:numPr>
      <w:contextualSpacing/>
    </w:pPr>
  </w:style>
  <w:style w:type="paragraph" w:styleId="ListBullet2">
    <w:name w:val="List Bullet 2"/>
    <w:basedOn w:val="Normal"/>
    <w:uiPriority w:val="99"/>
    <w:semiHidden/>
    <w:unhideWhenUsed/>
    <w:rsid w:val="001B7BF1"/>
    <w:pPr>
      <w:numPr>
        <w:numId w:val="3"/>
      </w:numPr>
      <w:contextualSpacing/>
    </w:pPr>
  </w:style>
  <w:style w:type="paragraph" w:styleId="ListBullet3">
    <w:name w:val="List Bullet 3"/>
    <w:basedOn w:val="Normal"/>
    <w:uiPriority w:val="99"/>
    <w:semiHidden/>
    <w:unhideWhenUsed/>
    <w:rsid w:val="001B7BF1"/>
    <w:pPr>
      <w:numPr>
        <w:numId w:val="4"/>
      </w:numPr>
      <w:contextualSpacing/>
    </w:pPr>
  </w:style>
  <w:style w:type="paragraph" w:styleId="ListBullet4">
    <w:name w:val="List Bullet 4"/>
    <w:basedOn w:val="Normal"/>
    <w:uiPriority w:val="99"/>
    <w:semiHidden/>
    <w:unhideWhenUsed/>
    <w:rsid w:val="001B7BF1"/>
    <w:pPr>
      <w:numPr>
        <w:numId w:val="5"/>
      </w:numPr>
      <w:contextualSpacing/>
    </w:pPr>
  </w:style>
  <w:style w:type="paragraph" w:styleId="Caption">
    <w:name w:val="caption"/>
    <w:basedOn w:val="Normal"/>
    <w:next w:val="Normal"/>
    <w:uiPriority w:val="35"/>
    <w:semiHidden/>
    <w:unhideWhenUsed/>
    <w:qFormat/>
    <w:rsid w:val="0011495F"/>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1495F"/>
    <w:pPr>
      <w:spacing w:after="0"/>
    </w:pPr>
  </w:style>
  <w:style w:type="paragraph" w:styleId="ListNumber">
    <w:name w:val="List Number"/>
    <w:basedOn w:val="Normal"/>
    <w:uiPriority w:val="99"/>
    <w:semiHidden/>
    <w:unhideWhenUsed/>
    <w:rsid w:val="0011495F"/>
    <w:pPr>
      <w:numPr>
        <w:numId w:val="6"/>
      </w:numPr>
      <w:contextualSpacing/>
    </w:pPr>
  </w:style>
  <w:style w:type="paragraph" w:styleId="ListNumber2">
    <w:name w:val="List Number 2"/>
    <w:basedOn w:val="Normal"/>
    <w:uiPriority w:val="99"/>
    <w:semiHidden/>
    <w:unhideWhenUsed/>
    <w:rsid w:val="0011495F"/>
    <w:pPr>
      <w:numPr>
        <w:numId w:val="7"/>
      </w:numPr>
      <w:contextualSpacing/>
    </w:pPr>
  </w:style>
  <w:style w:type="paragraph" w:styleId="ListNumber3">
    <w:name w:val="List Number 3"/>
    <w:basedOn w:val="Normal"/>
    <w:uiPriority w:val="99"/>
    <w:semiHidden/>
    <w:unhideWhenUsed/>
    <w:rsid w:val="0011495F"/>
    <w:pPr>
      <w:numPr>
        <w:numId w:val="8"/>
      </w:numPr>
      <w:contextualSpacing/>
    </w:pPr>
  </w:style>
  <w:style w:type="paragraph" w:styleId="ListNumber4">
    <w:name w:val="List Number 4"/>
    <w:basedOn w:val="Normal"/>
    <w:uiPriority w:val="99"/>
    <w:semiHidden/>
    <w:unhideWhenUsed/>
    <w:rsid w:val="0011495F"/>
    <w:pPr>
      <w:numPr>
        <w:numId w:val="9"/>
      </w:numPr>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sv-S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ADC"/>
    <w:rPr>
      <w:b/>
      <w:bCs/>
    </w:rPr>
  </w:style>
  <w:style w:type="character" w:customStyle="1" w:styleId="CommentSubjectChar">
    <w:name w:val="Comment Subject Char"/>
    <w:basedOn w:val="CommentTextChar"/>
    <w:link w:val="CommentSubject"/>
    <w:uiPriority w:val="99"/>
    <w:semiHidden/>
    <w:rsid w:val="00524ADC"/>
    <w:rPr>
      <w:rFonts w:ascii="Times New Roman" w:hAnsi="Times New Roman" w:cs="Times New Roman"/>
      <w:b/>
      <w:bCs/>
      <w:sz w:val="20"/>
      <w:szCs w:val="20"/>
      <w:lang w:val="sv-SE"/>
    </w:rPr>
  </w:style>
  <w:style w:type="character" w:styleId="Hyperlink">
    <w:name w:val="Hyperlink"/>
    <w:basedOn w:val="DefaultParagraphFont"/>
    <w:uiPriority w:val="99"/>
    <w:unhideWhenUsed/>
    <w:rsid w:val="00524ADC"/>
    <w:rPr>
      <w:color w:val="0000FF" w:themeColor="hyperlink"/>
      <w:u w:val="single"/>
    </w:rPr>
  </w:style>
  <w:style w:type="character" w:customStyle="1" w:styleId="UnresolvedMention1">
    <w:name w:val="Unresolved Mention1"/>
    <w:basedOn w:val="DefaultParagraphFont"/>
    <w:uiPriority w:val="99"/>
    <w:semiHidden/>
    <w:unhideWhenUsed/>
    <w:rsid w:val="00524ADC"/>
    <w:rPr>
      <w:color w:val="605E5C"/>
      <w:shd w:val="clear" w:color="auto" w:fill="E1DFDD"/>
    </w:rPr>
  </w:style>
  <w:style w:type="paragraph" w:styleId="ListParagraph">
    <w:name w:val="List Paragraph"/>
    <w:basedOn w:val="Normal"/>
    <w:uiPriority w:val="34"/>
    <w:qFormat/>
    <w:rsid w:val="004C6D12"/>
    <w:pPr>
      <w:ind w:left="720"/>
      <w:contextualSpacing/>
    </w:pPr>
  </w:style>
  <w:style w:type="paragraph" w:styleId="BalloonText">
    <w:name w:val="Balloon Text"/>
    <w:basedOn w:val="Normal"/>
    <w:link w:val="BalloonTextChar"/>
    <w:uiPriority w:val="99"/>
    <w:semiHidden/>
    <w:unhideWhenUsed/>
    <w:rsid w:val="000F593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934"/>
    <w:rPr>
      <w:rFonts w:ascii="Segoe UI" w:hAnsi="Segoe UI" w:cs="Segoe UI"/>
      <w:sz w:val="18"/>
      <w:szCs w:val="18"/>
      <w:lang w:val="sv-SE"/>
    </w:rPr>
  </w:style>
  <w:style w:type="paragraph" w:customStyle="1" w:styleId="title-article-norm">
    <w:name w:val="title-article-norm"/>
    <w:basedOn w:val="Normal"/>
    <w:rsid w:val="00F82E44"/>
    <w:pPr>
      <w:spacing w:before="100" w:beforeAutospacing="1" w:after="100" w:afterAutospacing="1"/>
      <w:jc w:val="left"/>
    </w:pPr>
    <w:rPr>
      <w:rFonts w:eastAsia="Times New Roman"/>
      <w:szCs w:val="24"/>
    </w:rPr>
  </w:style>
  <w:style w:type="paragraph" w:customStyle="1" w:styleId="stitle-article-norm">
    <w:name w:val="stitle-article-norm"/>
    <w:basedOn w:val="Normal"/>
    <w:rsid w:val="00F82E44"/>
    <w:pPr>
      <w:spacing w:before="100" w:beforeAutospacing="1" w:after="100" w:afterAutospacing="1"/>
      <w:jc w:val="left"/>
    </w:pPr>
    <w:rPr>
      <w:rFonts w:eastAsia="Times New Roman"/>
      <w:szCs w:val="24"/>
    </w:rPr>
  </w:style>
  <w:style w:type="paragraph" w:customStyle="1" w:styleId="norm">
    <w:name w:val="norm"/>
    <w:basedOn w:val="Normal"/>
    <w:rsid w:val="00F82E44"/>
    <w:pPr>
      <w:spacing w:before="100" w:beforeAutospacing="1" w:after="100" w:afterAutospacing="1"/>
      <w:jc w:val="left"/>
    </w:pPr>
    <w:rPr>
      <w:rFonts w:eastAsia="Times New Roman"/>
      <w:szCs w:val="24"/>
    </w:rPr>
  </w:style>
  <w:style w:type="character" w:styleId="FollowedHyperlink">
    <w:name w:val="FollowedHyperlink"/>
    <w:basedOn w:val="DefaultParagraphFont"/>
    <w:uiPriority w:val="99"/>
    <w:semiHidden/>
    <w:unhideWhenUsed/>
    <w:rsid w:val="000941B5"/>
    <w:rPr>
      <w:color w:val="800080" w:themeColor="followedHyperlink"/>
      <w:u w:val="single"/>
    </w:rPr>
  </w:style>
  <w:style w:type="paragraph" w:styleId="Revision">
    <w:name w:val="Revision"/>
    <w:hidden/>
    <w:uiPriority w:val="99"/>
    <w:semiHidden/>
    <w:rsid w:val="00AD2CD3"/>
    <w:pPr>
      <w:spacing w:after="0" w:line="240" w:lineRule="auto"/>
    </w:pPr>
    <w:rPr>
      <w:rFonts w:ascii="Times New Roman" w:hAnsi="Times New Roman" w:cs="Times New Roman"/>
      <w:sz w:val="24"/>
    </w:rPr>
  </w:style>
  <w:style w:type="paragraph" w:customStyle="1" w:styleId="LegalNumPar">
    <w:name w:val="LegalNumPar"/>
    <w:basedOn w:val="Normal"/>
    <w:rsid w:val="008C6F3B"/>
    <w:pPr>
      <w:numPr>
        <w:numId w:val="16"/>
      </w:numPr>
      <w:spacing w:line="360" w:lineRule="auto"/>
    </w:pPr>
  </w:style>
  <w:style w:type="paragraph" w:customStyle="1" w:styleId="LegalNumPar2">
    <w:name w:val="LegalNumPar2"/>
    <w:basedOn w:val="Normal"/>
    <w:rsid w:val="008C6F3B"/>
    <w:pPr>
      <w:numPr>
        <w:ilvl w:val="1"/>
        <w:numId w:val="16"/>
      </w:numPr>
      <w:spacing w:line="360" w:lineRule="auto"/>
    </w:pPr>
  </w:style>
  <w:style w:type="paragraph" w:customStyle="1" w:styleId="LegalNumPar3">
    <w:name w:val="LegalNumPar3"/>
    <w:basedOn w:val="Normal"/>
    <w:rsid w:val="008C6F3B"/>
    <w:pPr>
      <w:numPr>
        <w:ilvl w:val="2"/>
        <w:numId w:val="16"/>
      </w:numPr>
      <w:spacing w:line="360" w:lineRule="auto"/>
    </w:pPr>
  </w:style>
  <w:style w:type="paragraph" w:styleId="Header">
    <w:name w:val="header"/>
    <w:basedOn w:val="Normal"/>
    <w:link w:val="HeaderChar"/>
    <w:uiPriority w:val="99"/>
    <w:unhideWhenUsed/>
    <w:rsid w:val="00EB430D"/>
    <w:pPr>
      <w:tabs>
        <w:tab w:val="center" w:pos="4535"/>
        <w:tab w:val="right" w:pos="9071"/>
      </w:tabs>
      <w:spacing w:before="0"/>
    </w:pPr>
  </w:style>
  <w:style w:type="character" w:customStyle="1" w:styleId="HeaderChar">
    <w:name w:val="Header Char"/>
    <w:basedOn w:val="DefaultParagraphFont"/>
    <w:link w:val="Header"/>
    <w:uiPriority w:val="99"/>
    <w:rsid w:val="00EB430D"/>
    <w:rPr>
      <w:rFonts w:ascii="Times New Roman" w:hAnsi="Times New Roman" w:cs="Times New Roman"/>
      <w:sz w:val="24"/>
      <w:lang w:val="sv-SE"/>
    </w:rPr>
  </w:style>
  <w:style w:type="paragraph" w:styleId="Footer">
    <w:name w:val="footer"/>
    <w:basedOn w:val="Normal"/>
    <w:link w:val="FooterChar"/>
    <w:uiPriority w:val="99"/>
    <w:unhideWhenUsed/>
    <w:rsid w:val="00EB430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EB430D"/>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EB430D"/>
    <w:pPr>
      <w:tabs>
        <w:tab w:val="center" w:pos="7285"/>
        <w:tab w:val="right" w:pos="14003"/>
      </w:tabs>
      <w:spacing w:before="0"/>
    </w:pPr>
  </w:style>
  <w:style w:type="paragraph" w:customStyle="1" w:styleId="FooterLandscape">
    <w:name w:val="FooterLandscape"/>
    <w:basedOn w:val="Normal"/>
    <w:rsid w:val="00EB430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EB430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EB430D"/>
    <w:pPr>
      <w:spacing w:before="0"/>
      <w:jc w:val="right"/>
    </w:pPr>
    <w:rPr>
      <w:sz w:val="28"/>
    </w:rPr>
  </w:style>
  <w:style w:type="paragraph" w:customStyle="1" w:styleId="FooterSensitivity">
    <w:name w:val="Footer Sensitivity"/>
    <w:basedOn w:val="Normal"/>
    <w:rsid w:val="00EB430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2"/>
      </w:numPr>
    </w:pPr>
  </w:style>
  <w:style w:type="paragraph" w:customStyle="1" w:styleId="Tiret1">
    <w:name w:val="Tiret 1"/>
    <w:basedOn w:val="Point1"/>
    <w:pPr>
      <w:numPr>
        <w:numId w:val="33"/>
      </w:numPr>
    </w:pPr>
  </w:style>
  <w:style w:type="paragraph" w:customStyle="1" w:styleId="Tiret2">
    <w:name w:val="Tiret 2"/>
    <w:basedOn w:val="Point2"/>
    <w:pPr>
      <w:numPr>
        <w:numId w:val="34"/>
      </w:numPr>
    </w:pPr>
  </w:style>
  <w:style w:type="paragraph" w:customStyle="1" w:styleId="Tiret3">
    <w:name w:val="Tiret 3"/>
    <w:basedOn w:val="Point3"/>
    <w:pPr>
      <w:numPr>
        <w:numId w:val="35"/>
      </w:numPr>
    </w:pPr>
  </w:style>
  <w:style w:type="paragraph" w:customStyle="1" w:styleId="Tiret4">
    <w:name w:val="Tiret 4"/>
    <w:basedOn w:val="Point4"/>
    <w:pPr>
      <w:numPr>
        <w:numId w:val="36"/>
      </w:numPr>
    </w:pPr>
  </w:style>
  <w:style w:type="paragraph" w:customStyle="1" w:styleId="Tiret5">
    <w:name w:val="Tiret 5"/>
    <w:basedOn w:val="Point5"/>
    <w:pPr>
      <w:numPr>
        <w:numId w:val="3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8"/>
      </w:numPr>
    </w:pPr>
  </w:style>
  <w:style w:type="paragraph" w:customStyle="1" w:styleId="NumPar2">
    <w:name w:val="NumPar 2"/>
    <w:basedOn w:val="Normal"/>
    <w:next w:val="Text1"/>
    <w:pPr>
      <w:numPr>
        <w:ilvl w:val="1"/>
        <w:numId w:val="38"/>
      </w:numPr>
    </w:pPr>
  </w:style>
  <w:style w:type="paragraph" w:customStyle="1" w:styleId="NumPar3">
    <w:name w:val="NumPar 3"/>
    <w:basedOn w:val="Normal"/>
    <w:next w:val="Text1"/>
    <w:pPr>
      <w:numPr>
        <w:ilvl w:val="2"/>
        <w:numId w:val="38"/>
      </w:numPr>
    </w:pPr>
  </w:style>
  <w:style w:type="paragraph" w:customStyle="1" w:styleId="NumPar4">
    <w:name w:val="NumPar 4"/>
    <w:basedOn w:val="Normal"/>
    <w:next w:val="Text1"/>
    <w:pPr>
      <w:numPr>
        <w:ilvl w:val="3"/>
        <w:numId w:val="38"/>
      </w:numPr>
    </w:pPr>
  </w:style>
  <w:style w:type="paragraph" w:customStyle="1" w:styleId="NumPar5">
    <w:name w:val="NumPar 5"/>
    <w:basedOn w:val="Normal"/>
    <w:next w:val="Text2"/>
    <w:pPr>
      <w:numPr>
        <w:ilvl w:val="4"/>
        <w:numId w:val="38"/>
      </w:numPr>
    </w:pPr>
  </w:style>
  <w:style w:type="paragraph" w:customStyle="1" w:styleId="NumPar6">
    <w:name w:val="NumPar 6"/>
    <w:basedOn w:val="Normal"/>
    <w:next w:val="Text2"/>
    <w:pPr>
      <w:numPr>
        <w:ilvl w:val="5"/>
        <w:numId w:val="38"/>
      </w:numPr>
    </w:pPr>
  </w:style>
  <w:style w:type="paragraph" w:customStyle="1" w:styleId="NumPar7">
    <w:name w:val="NumPar 7"/>
    <w:basedOn w:val="Normal"/>
    <w:next w:val="Text2"/>
    <w:pPr>
      <w:numPr>
        <w:ilvl w:val="6"/>
        <w:numId w:val="3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0"/>
      </w:numPr>
    </w:pPr>
  </w:style>
  <w:style w:type="paragraph" w:customStyle="1" w:styleId="Point1number">
    <w:name w:val="Point 1 (number)"/>
    <w:basedOn w:val="Normal"/>
    <w:pPr>
      <w:numPr>
        <w:ilvl w:val="2"/>
        <w:numId w:val="40"/>
      </w:numPr>
    </w:pPr>
  </w:style>
  <w:style w:type="paragraph" w:customStyle="1" w:styleId="Point2number">
    <w:name w:val="Point 2 (number)"/>
    <w:basedOn w:val="Normal"/>
    <w:pPr>
      <w:numPr>
        <w:ilvl w:val="4"/>
        <w:numId w:val="40"/>
      </w:numPr>
    </w:pPr>
  </w:style>
  <w:style w:type="paragraph" w:customStyle="1" w:styleId="Point3number">
    <w:name w:val="Point 3 (number)"/>
    <w:basedOn w:val="Normal"/>
    <w:pPr>
      <w:numPr>
        <w:ilvl w:val="6"/>
        <w:numId w:val="40"/>
      </w:numPr>
    </w:pPr>
  </w:style>
  <w:style w:type="paragraph" w:customStyle="1" w:styleId="Point0letter">
    <w:name w:val="Point 0 (letter)"/>
    <w:basedOn w:val="Normal"/>
    <w:pPr>
      <w:numPr>
        <w:ilvl w:val="1"/>
        <w:numId w:val="40"/>
      </w:numPr>
    </w:pPr>
  </w:style>
  <w:style w:type="paragraph" w:customStyle="1" w:styleId="Point1letter">
    <w:name w:val="Point 1 (letter)"/>
    <w:basedOn w:val="Normal"/>
    <w:pPr>
      <w:numPr>
        <w:ilvl w:val="3"/>
        <w:numId w:val="40"/>
      </w:numPr>
    </w:pPr>
  </w:style>
  <w:style w:type="paragraph" w:customStyle="1" w:styleId="Point2letter">
    <w:name w:val="Point 2 (letter)"/>
    <w:basedOn w:val="Normal"/>
    <w:pPr>
      <w:numPr>
        <w:ilvl w:val="5"/>
        <w:numId w:val="40"/>
      </w:numPr>
    </w:pPr>
  </w:style>
  <w:style w:type="paragraph" w:customStyle="1" w:styleId="Point3letter">
    <w:name w:val="Point 3 (letter)"/>
    <w:basedOn w:val="Normal"/>
    <w:pPr>
      <w:numPr>
        <w:ilvl w:val="7"/>
        <w:numId w:val="40"/>
      </w:numPr>
    </w:pPr>
  </w:style>
  <w:style w:type="paragraph" w:customStyle="1" w:styleId="Point4letter">
    <w:name w:val="Point 4 (letter)"/>
    <w:basedOn w:val="Normal"/>
    <w:pPr>
      <w:numPr>
        <w:ilvl w:val="8"/>
        <w:numId w:val="40"/>
      </w:numPr>
    </w:pPr>
  </w:style>
  <w:style w:type="paragraph" w:customStyle="1" w:styleId="Bullet0">
    <w:name w:val="Bullet 0"/>
    <w:basedOn w:val="Normal"/>
    <w:pPr>
      <w:numPr>
        <w:numId w:val="41"/>
      </w:numPr>
    </w:pPr>
  </w:style>
  <w:style w:type="paragraph" w:customStyle="1" w:styleId="Bullet1">
    <w:name w:val="Bullet 1"/>
    <w:basedOn w:val="Normal"/>
    <w:pPr>
      <w:numPr>
        <w:numId w:val="42"/>
      </w:numPr>
    </w:pPr>
  </w:style>
  <w:style w:type="paragraph" w:customStyle="1" w:styleId="Bullet2">
    <w:name w:val="Bullet 2"/>
    <w:basedOn w:val="Normal"/>
    <w:pPr>
      <w:numPr>
        <w:numId w:val="43"/>
      </w:numPr>
    </w:pPr>
  </w:style>
  <w:style w:type="paragraph" w:customStyle="1" w:styleId="Bullet3">
    <w:name w:val="Bullet 3"/>
    <w:basedOn w:val="Normal"/>
    <w:pPr>
      <w:numPr>
        <w:numId w:val="44"/>
      </w:numPr>
    </w:pPr>
  </w:style>
  <w:style w:type="paragraph" w:customStyle="1" w:styleId="Bullet4">
    <w:name w:val="Bullet 4"/>
    <w:basedOn w:val="Normal"/>
    <w:pPr>
      <w:numPr>
        <w:numId w:val="4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970">
      <w:bodyDiv w:val="1"/>
      <w:marLeft w:val="0"/>
      <w:marRight w:val="0"/>
      <w:marTop w:val="0"/>
      <w:marBottom w:val="0"/>
      <w:divBdr>
        <w:top w:val="none" w:sz="0" w:space="0" w:color="auto"/>
        <w:left w:val="none" w:sz="0" w:space="0" w:color="auto"/>
        <w:bottom w:val="none" w:sz="0" w:space="0" w:color="auto"/>
        <w:right w:val="none" w:sz="0" w:space="0" w:color="auto"/>
      </w:divBdr>
    </w:div>
    <w:div w:id="145704158">
      <w:bodyDiv w:val="1"/>
      <w:marLeft w:val="0"/>
      <w:marRight w:val="0"/>
      <w:marTop w:val="0"/>
      <w:marBottom w:val="0"/>
      <w:divBdr>
        <w:top w:val="none" w:sz="0" w:space="0" w:color="auto"/>
        <w:left w:val="none" w:sz="0" w:space="0" w:color="auto"/>
        <w:bottom w:val="none" w:sz="0" w:space="0" w:color="auto"/>
        <w:right w:val="none" w:sz="0" w:space="0" w:color="auto"/>
      </w:divBdr>
    </w:div>
    <w:div w:id="384329967">
      <w:bodyDiv w:val="1"/>
      <w:marLeft w:val="0"/>
      <w:marRight w:val="0"/>
      <w:marTop w:val="0"/>
      <w:marBottom w:val="0"/>
      <w:divBdr>
        <w:top w:val="none" w:sz="0" w:space="0" w:color="auto"/>
        <w:left w:val="none" w:sz="0" w:space="0" w:color="auto"/>
        <w:bottom w:val="none" w:sz="0" w:space="0" w:color="auto"/>
        <w:right w:val="none" w:sz="0" w:space="0" w:color="auto"/>
      </w:divBdr>
    </w:div>
    <w:div w:id="570048077">
      <w:bodyDiv w:val="1"/>
      <w:marLeft w:val="0"/>
      <w:marRight w:val="0"/>
      <w:marTop w:val="0"/>
      <w:marBottom w:val="0"/>
      <w:divBdr>
        <w:top w:val="none" w:sz="0" w:space="0" w:color="auto"/>
        <w:left w:val="none" w:sz="0" w:space="0" w:color="auto"/>
        <w:bottom w:val="none" w:sz="0" w:space="0" w:color="auto"/>
        <w:right w:val="none" w:sz="0" w:space="0" w:color="auto"/>
      </w:divBdr>
    </w:div>
    <w:div w:id="777216793">
      <w:bodyDiv w:val="1"/>
      <w:marLeft w:val="0"/>
      <w:marRight w:val="0"/>
      <w:marTop w:val="0"/>
      <w:marBottom w:val="0"/>
      <w:divBdr>
        <w:top w:val="none" w:sz="0" w:space="0" w:color="auto"/>
        <w:left w:val="none" w:sz="0" w:space="0" w:color="auto"/>
        <w:bottom w:val="none" w:sz="0" w:space="0" w:color="auto"/>
        <w:right w:val="none" w:sz="0" w:space="0" w:color="auto"/>
      </w:divBdr>
    </w:div>
    <w:div w:id="848913542">
      <w:bodyDiv w:val="1"/>
      <w:marLeft w:val="0"/>
      <w:marRight w:val="0"/>
      <w:marTop w:val="0"/>
      <w:marBottom w:val="0"/>
      <w:divBdr>
        <w:top w:val="none" w:sz="0" w:space="0" w:color="auto"/>
        <w:left w:val="none" w:sz="0" w:space="0" w:color="auto"/>
        <w:bottom w:val="none" w:sz="0" w:space="0" w:color="auto"/>
        <w:right w:val="none" w:sz="0" w:space="0" w:color="auto"/>
      </w:divBdr>
    </w:div>
    <w:div w:id="949556650">
      <w:bodyDiv w:val="1"/>
      <w:marLeft w:val="0"/>
      <w:marRight w:val="0"/>
      <w:marTop w:val="0"/>
      <w:marBottom w:val="0"/>
      <w:divBdr>
        <w:top w:val="none" w:sz="0" w:space="0" w:color="auto"/>
        <w:left w:val="none" w:sz="0" w:space="0" w:color="auto"/>
        <w:bottom w:val="none" w:sz="0" w:space="0" w:color="auto"/>
        <w:right w:val="none" w:sz="0" w:space="0" w:color="auto"/>
      </w:divBdr>
    </w:div>
    <w:div w:id="988944312">
      <w:bodyDiv w:val="1"/>
      <w:marLeft w:val="0"/>
      <w:marRight w:val="0"/>
      <w:marTop w:val="0"/>
      <w:marBottom w:val="0"/>
      <w:divBdr>
        <w:top w:val="none" w:sz="0" w:space="0" w:color="auto"/>
        <w:left w:val="none" w:sz="0" w:space="0" w:color="auto"/>
        <w:bottom w:val="none" w:sz="0" w:space="0" w:color="auto"/>
        <w:right w:val="none" w:sz="0" w:space="0" w:color="auto"/>
      </w:divBdr>
    </w:div>
    <w:div w:id="1156654337">
      <w:bodyDiv w:val="1"/>
      <w:marLeft w:val="0"/>
      <w:marRight w:val="0"/>
      <w:marTop w:val="0"/>
      <w:marBottom w:val="0"/>
      <w:divBdr>
        <w:top w:val="none" w:sz="0" w:space="0" w:color="auto"/>
        <w:left w:val="none" w:sz="0" w:space="0" w:color="auto"/>
        <w:bottom w:val="none" w:sz="0" w:space="0" w:color="auto"/>
        <w:right w:val="none" w:sz="0" w:space="0" w:color="auto"/>
      </w:divBdr>
    </w:div>
    <w:div w:id="1385711701">
      <w:bodyDiv w:val="1"/>
      <w:marLeft w:val="0"/>
      <w:marRight w:val="0"/>
      <w:marTop w:val="0"/>
      <w:marBottom w:val="0"/>
      <w:divBdr>
        <w:top w:val="none" w:sz="0" w:space="0" w:color="auto"/>
        <w:left w:val="none" w:sz="0" w:space="0" w:color="auto"/>
        <w:bottom w:val="none" w:sz="0" w:space="0" w:color="auto"/>
        <w:right w:val="none" w:sz="0" w:space="0" w:color="auto"/>
      </w:divBdr>
    </w:div>
    <w:div w:id="21223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5C483-2B13-415D-A81D-5FE96472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14</TotalTime>
  <Pages>6</Pages>
  <Words>1634</Words>
  <Characters>10202</Characters>
  <Application>Microsoft Office Word</Application>
  <DocSecurity>0</DocSecurity>
  <Lines>175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44</cp:revision>
  <dcterms:created xsi:type="dcterms:W3CDTF">2022-10-28T13:10:00Z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8.1, Build 20220902</vt:lpwstr>
  </property>
  <property fmtid="{D5CDD505-2E9C-101B-9397-08002B2CF9AE}" pid="5" name="Part">
    <vt:lpwstr>1</vt:lpwstr>
  </property>
  <property fmtid="{D5CDD505-2E9C-101B-9397-08002B2CF9AE}" pid="6" name="Total parts">
    <vt:lpwstr>1</vt:lpwstr>
  </property>
  <property fmtid="{D5CDD505-2E9C-101B-9397-08002B2CF9AE}" pid="7" name="Level of sensitivity">
    <vt:lpwstr>Standard treatment</vt:lpwstr>
  </property>
  <property fmtid="{D5CDD505-2E9C-101B-9397-08002B2CF9AE}" pid="8" name="LWTemplateID">
    <vt:lpwstr>SJ-004</vt:lpwstr>
  </property>
  <property fmtid="{D5CDD505-2E9C-101B-9397-08002B2CF9AE}" pid="9" name="MSIP_Label_e66ba66e-8b7b-475b-ae81-4aab15d5f212_Enabled">
    <vt:lpwstr>true</vt:lpwstr>
  </property>
  <property fmtid="{D5CDD505-2E9C-101B-9397-08002B2CF9AE}" pid="10" name="MSIP_Label_e66ba66e-8b7b-475b-ae81-4aab15d5f212_SetDate">
    <vt:lpwstr>2022-01-19T13:29:43Z</vt:lpwstr>
  </property>
  <property fmtid="{D5CDD505-2E9C-101B-9397-08002B2CF9AE}" pid="11" name="MSIP_Label_e66ba66e-8b7b-475b-ae81-4aab15d5f212_Method">
    <vt:lpwstr>Privileged</vt:lpwstr>
  </property>
  <property fmtid="{D5CDD505-2E9C-101B-9397-08002B2CF9AE}" pid="12" name="MSIP_Label_e66ba66e-8b7b-475b-ae81-4aab15d5f212_Name">
    <vt:lpwstr>No Label</vt:lpwstr>
  </property>
  <property fmtid="{D5CDD505-2E9C-101B-9397-08002B2CF9AE}" pid="13" name="MSIP_Label_e66ba66e-8b7b-475b-ae81-4aab15d5f212_SiteId">
    <vt:lpwstr>3bacb4ff-f1a2-4c92-b96c-e99fec826b68</vt:lpwstr>
  </property>
  <property fmtid="{D5CDD505-2E9C-101B-9397-08002B2CF9AE}" pid="14" name="MSIP_Label_e66ba66e-8b7b-475b-ae81-4aab15d5f212_ActionId">
    <vt:lpwstr>c480b887-2e9a-4e7d-8134-419fc2e184a9</vt:lpwstr>
  </property>
  <property fmtid="{D5CDD505-2E9C-101B-9397-08002B2CF9AE}" pid="15" name="MSIP_Label_e66ba66e-8b7b-475b-ae81-4aab15d5f212_ContentBits">
    <vt:lpwstr>0</vt:lpwstr>
  </property>
  <property fmtid="{D5CDD505-2E9C-101B-9397-08002B2CF9AE}" pid="16" name="DQCStatus">
    <vt:lpwstr>Green (DQC version 03)</vt:lpwstr>
  </property>
</Properties>
</file>