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E27061" w14:textId="7570C47B" w:rsidR="00401B15" w:rsidRDefault="001A468C" w:rsidP="00C86058">
      <w:pPr>
        <w:pStyle w:val="Pagedecouverture"/>
      </w:pPr>
      <w:bookmarkStart w:id="0" w:name="_GoBack"/>
      <w:bookmarkEnd w:id="0"/>
      <w:r>
        <w:pict w14:anchorId="7EB26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293CFE2F97854E87AB61261497F4504F" style="width:450.7pt;height:382.45pt">
            <v:imagedata r:id="rId9" o:title=""/>
          </v:shape>
        </w:pict>
      </w:r>
    </w:p>
    <w:p w14:paraId="73FE261B" w14:textId="77777777" w:rsidR="00686B3D" w:rsidRPr="00686B3D" w:rsidRDefault="00686B3D" w:rsidP="00686B3D">
      <w:pPr>
        <w:pStyle w:val="Pagedecouverture"/>
        <w:sectPr w:rsidR="00686B3D" w:rsidRPr="00686B3D" w:rsidSect="00661B54">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1"/>
          <w:cols w:space="720"/>
          <w:docGrid w:linePitch="360"/>
        </w:sectPr>
      </w:pPr>
    </w:p>
    <w:p w14:paraId="7808D729" w14:textId="4666A577" w:rsidR="001F3D9E" w:rsidRDefault="00C86058" w:rsidP="00C86058">
      <w:pPr>
        <w:pStyle w:val="Typedudocument"/>
      </w:pPr>
      <w:r w:rsidRPr="00C86058">
        <w:lastRenderedPageBreak/>
        <w:t>COMMISSION IMPLEMENTING REGULATION (EU) …/...</w:t>
      </w:r>
    </w:p>
    <w:p w14:paraId="06333BC1" w14:textId="3015A855" w:rsidR="00401B15" w:rsidRPr="00401B15" w:rsidRDefault="00C86058" w:rsidP="00C86058">
      <w:pPr>
        <w:pStyle w:val="Datedadoption"/>
      </w:pPr>
      <w:r w:rsidRPr="00C86058">
        <w:t xml:space="preserve">of </w:t>
      </w:r>
      <w:r w:rsidRPr="00C86058">
        <w:rPr>
          <w:rStyle w:val="Marker2"/>
        </w:rPr>
        <w:t>XXX</w:t>
      </w:r>
    </w:p>
    <w:p w14:paraId="76881854" w14:textId="26223CE2" w:rsidR="001F3D9E" w:rsidRPr="00922C91" w:rsidRDefault="00C86058" w:rsidP="00C86058">
      <w:pPr>
        <w:pStyle w:val="Titreobjet"/>
      </w:pPr>
      <w:r w:rsidRPr="00C86058">
        <w:t>amending Implementing Regulation (EU) No 680/2014 as regards templates and instructions</w:t>
      </w:r>
    </w:p>
    <w:p w14:paraId="5E1A37B7" w14:textId="326848A7" w:rsidR="001F3D9E" w:rsidRPr="001F3D9E" w:rsidRDefault="00C86058" w:rsidP="00C86058">
      <w:pPr>
        <w:pStyle w:val="IntrtEEE"/>
      </w:pPr>
      <w:r w:rsidRPr="00C86058">
        <w:t>(Text with EEA relevance)</w:t>
      </w:r>
    </w:p>
    <w:p w14:paraId="2ED84238" w14:textId="77777777" w:rsidR="001F3D9E" w:rsidRPr="00922C91" w:rsidRDefault="001F3D9E" w:rsidP="004E1EF9">
      <w:pPr>
        <w:pStyle w:val="Institutionquiagit"/>
      </w:pPr>
      <w:r w:rsidRPr="00922C91">
        <w:t>THE EUROPEAN COMMISSION,</w:t>
      </w:r>
    </w:p>
    <w:p w14:paraId="397136E9" w14:textId="77777777" w:rsidR="001F3D9E" w:rsidRPr="00922C91" w:rsidRDefault="001F3D9E" w:rsidP="004E1EF9">
      <w:r w:rsidRPr="00922C91">
        <w:rPr>
          <w:color w:val="000000"/>
        </w:rPr>
        <w:t>Having regard to the Treaty on the Functioning of the European Union</w:t>
      </w:r>
      <w:r w:rsidRPr="00922C91">
        <w:t>,</w:t>
      </w:r>
    </w:p>
    <w:p w14:paraId="475456F2" w14:textId="01056E7C" w:rsidR="001F3D9E" w:rsidRPr="00922C91" w:rsidRDefault="0021687A" w:rsidP="004E1EF9">
      <w:r w:rsidRPr="0021687A">
        <w:rPr>
          <w:rFonts w:eastAsia="Times New Roman"/>
          <w:szCs w:val="20"/>
          <w:lang w:eastAsia="en-GB"/>
        </w:rPr>
        <w:t xml:space="preserve">Having regard to Regulation (EU) No 575/2013 of the European Parliament and of the Council </w:t>
      </w:r>
      <w:r w:rsidR="00FD0A6F" w:rsidRPr="0021687A">
        <w:rPr>
          <w:rFonts w:eastAsia="Times New Roman"/>
          <w:szCs w:val="20"/>
          <w:lang w:eastAsia="en-GB"/>
        </w:rPr>
        <w:t xml:space="preserve">of 26 June 2013 </w:t>
      </w:r>
      <w:r w:rsidRPr="0021687A">
        <w:rPr>
          <w:rFonts w:eastAsia="Times New Roman"/>
          <w:szCs w:val="20"/>
          <w:lang w:eastAsia="en-GB"/>
        </w:rPr>
        <w:t>on prudential requirements for credit institutions and investment firms and amending Regulation (EU) No 648/2012</w:t>
      </w:r>
      <w:r w:rsidRPr="00522A65">
        <w:rPr>
          <w:rStyle w:val="FootnoteReference"/>
        </w:rPr>
        <w:footnoteReference w:id="2"/>
      </w:r>
      <w:r w:rsidR="00EC5DC5">
        <w:rPr>
          <w:rFonts w:eastAsia="Times New Roman"/>
          <w:szCs w:val="20"/>
          <w:lang w:eastAsia="en-GB"/>
        </w:rPr>
        <w:t>,</w:t>
      </w:r>
      <w:r w:rsidRPr="0021687A">
        <w:rPr>
          <w:rFonts w:eastAsia="Times New Roman"/>
          <w:szCs w:val="20"/>
          <w:lang w:eastAsia="en-GB"/>
        </w:rPr>
        <w:t xml:space="preserve"> in particular the fourth subparagraph of Article 99(5)</w:t>
      </w:r>
      <w:r w:rsidRPr="0021687A">
        <w:rPr>
          <w:rFonts w:eastAsia="Times New Roman"/>
          <w:szCs w:val="20"/>
          <w:lang w:val="mt-MT" w:eastAsia="en-GB"/>
        </w:rPr>
        <w:t>,</w:t>
      </w:r>
      <w:r w:rsidRPr="0021687A">
        <w:rPr>
          <w:rFonts w:eastAsia="Times New Roman"/>
          <w:szCs w:val="20"/>
          <w:lang w:eastAsia="en-GB"/>
        </w:rPr>
        <w:t xml:space="preserve"> </w:t>
      </w:r>
      <w:r w:rsidR="002B6F08" w:rsidRPr="0021687A">
        <w:rPr>
          <w:rFonts w:eastAsia="Times New Roman"/>
          <w:szCs w:val="20"/>
          <w:lang w:eastAsia="en-GB"/>
        </w:rPr>
        <w:t>the third subparagraph of Article 101(4)</w:t>
      </w:r>
      <w:r w:rsidR="002B6F08">
        <w:rPr>
          <w:rFonts w:eastAsia="Times New Roman"/>
          <w:szCs w:val="20"/>
          <w:lang w:eastAsia="en-GB"/>
        </w:rPr>
        <w:t>,</w:t>
      </w:r>
      <w:r w:rsidR="002B6F08" w:rsidRPr="0021687A">
        <w:rPr>
          <w:rFonts w:eastAsia="Times New Roman"/>
          <w:szCs w:val="20"/>
          <w:lang w:eastAsia="en-GB"/>
        </w:rPr>
        <w:t xml:space="preserve"> </w:t>
      </w:r>
      <w:r w:rsidRPr="009A0B04">
        <w:rPr>
          <w:rFonts w:eastAsia="Times New Roman"/>
          <w:szCs w:val="20"/>
          <w:lang w:eastAsia="en-GB"/>
        </w:rPr>
        <w:t xml:space="preserve">the fourth subparagraph of Article </w:t>
      </w:r>
      <w:r w:rsidR="009A0B04" w:rsidRPr="002B6F08">
        <w:rPr>
          <w:rFonts w:eastAsia="Times New Roman"/>
          <w:szCs w:val="20"/>
          <w:lang w:eastAsia="en-GB"/>
        </w:rPr>
        <w:t>415</w:t>
      </w:r>
      <w:r w:rsidR="009A0B04" w:rsidRPr="002B6F08">
        <w:rPr>
          <w:rFonts w:eastAsia="Times New Roman"/>
          <w:szCs w:val="20"/>
          <w:lang w:val="mt-MT" w:eastAsia="en-GB"/>
        </w:rPr>
        <w:t>(3)</w:t>
      </w:r>
      <w:r w:rsidRPr="002B6F08">
        <w:rPr>
          <w:rFonts w:eastAsia="Times New Roman"/>
          <w:szCs w:val="20"/>
          <w:lang w:val="mt-MT" w:eastAsia="en-GB"/>
        </w:rPr>
        <w:t>,</w:t>
      </w:r>
      <w:r w:rsidRPr="002B6F08">
        <w:rPr>
          <w:rFonts w:eastAsia="Times New Roman"/>
          <w:szCs w:val="20"/>
          <w:lang w:eastAsia="en-GB"/>
        </w:rPr>
        <w:t xml:space="preserve"> and the third subparagraph of Article </w:t>
      </w:r>
      <w:r w:rsidR="009A0B04" w:rsidRPr="002B6F08">
        <w:rPr>
          <w:rFonts w:eastAsia="Times New Roman"/>
          <w:szCs w:val="20"/>
          <w:lang w:eastAsia="en-GB"/>
        </w:rPr>
        <w:t>430(2)</w:t>
      </w:r>
      <w:r w:rsidR="009A0B04">
        <w:rPr>
          <w:rFonts w:eastAsia="Times New Roman"/>
          <w:szCs w:val="20"/>
          <w:lang w:eastAsia="en-GB"/>
        </w:rPr>
        <w:t xml:space="preserve"> </w:t>
      </w:r>
      <w:r w:rsidRPr="0021687A">
        <w:rPr>
          <w:rFonts w:eastAsia="Times New Roman"/>
          <w:szCs w:val="20"/>
          <w:lang w:eastAsia="en-GB"/>
        </w:rPr>
        <w:t>thereof</w:t>
      </w:r>
      <w:r w:rsidR="001F3D9E" w:rsidRPr="00922C91">
        <w:t>,</w:t>
      </w:r>
    </w:p>
    <w:p w14:paraId="099854A3" w14:textId="77777777" w:rsidR="001F3D9E" w:rsidRPr="00922C91" w:rsidRDefault="001F3D9E" w:rsidP="004E1EF9">
      <w:r w:rsidRPr="00922C91">
        <w:t>Whereas:</w:t>
      </w:r>
    </w:p>
    <w:p w14:paraId="33F3B912" w14:textId="77777777" w:rsidR="007948B3" w:rsidRPr="00E51822" w:rsidRDefault="00D84FF4" w:rsidP="00460258">
      <w:pPr>
        <w:pStyle w:val="Considrant"/>
        <w:numPr>
          <w:ilvl w:val="0"/>
          <w:numId w:val="10"/>
        </w:numPr>
        <w:rPr>
          <w:noProof/>
          <w:color w:val="000000"/>
        </w:rPr>
      </w:pPr>
      <w:r w:rsidRPr="00CB3A12">
        <w:rPr>
          <w:noProof/>
          <w:color w:val="000000"/>
        </w:rPr>
        <w:t>Commission Implementing Regulation (EU) No 680/2014</w:t>
      </w:r>
      <w:r w:rsidRPr="00C52A3C">
        <w:rPr>
          <w:rStyle w:val="FootnoteReference"/>
          <w:noProof/>
          <w:color w:val="000000"/>
        </w:rPr>
        <w:footnoteReference w:id="3"/>
      </w:r>
      <w:r w:rsidRPr="00CB3A12">
        <w:rPr>
          <w:noProof/>
          <w:color w:val="000000"/>
        </w:rPr>
        <w:t xml:space="preserve"> specifies the modalities according to which institutions are required to report information relevant to their compliance with Regulation (EU) No 575/2013. </w:t>
      </w:r>
      <w:r w:rsidR="001759CC" w:rsidRPr="00CB3A12">
        <w:rPr>
          <w:rFonts w:eastAsia="Times New Roman"/>
          <w:noProof/>
        </w:rPr>
        <w:t xml:space="preserve">Given that the regulatory framework established by Regulation (EU) No 575/2013 is gradually being supplemented and amended in its non-essential elements by the adoption of </w:t>
      </w:r>
      <w:r w:rsidR="00CB3A12">
        <w:rPr>
          <w:rFonts w:eastAsia="Times New Roman"/>
          <w:noProof/>
        </w:rPr>
        <w:t>further secondary legislation</w:t>
      </w:r>
      <w:r w:rsidR="00F2784E">
        <w:rPr>
          <w:rFonts w:eastAsia="Times New Roman"/>
          <w:noProof/>
        </w:rPr>
        <w:t xml:space="preserve"> </w:t>
      </w:r>
      <w:r w:rsidR="001759CC" w:rsidRPr="00CB3A12">
        <w:rPr>
          <w:rFonts w:eastAsia="Times New Roman"/>
          <w:noProof/>
        </w:rPr>
        <w:t>and</w:t>
      </w:r>
      <w:r w:rsidR="00CB3A12">
        <w:rPr>
          <w:rFonts w:eastAsia="Times New Roman"/>
          <w:noProof/>
        </w:rPr>
        <w:t>,</w:t>
      </w:r>
      <w:r w:rsidR="001759CC" w:rsidRPr="00CB3A12">
        <w:rPr>
          <w:rFonts w:eastAsia="Times New Roman"/>
          <w:noProof/>
        </w:rPr>
        <w:t xml:space="preserve"> in this case</w:t>
      </w:r>
      <w:r w:rsidR="00CB3A12">
        <w:rPr>
          <w:rFonts w:eastAsia="Times New Roman"/>
          <w:noProof/>
        </w:rPr>
        <w:t>,</w:t>
      </w:r>
      <w:r w:rsidR="001759CC" w:rsidRPr="00CB3A12">
        <w:rPr>
          <w:rFonts w:eastAsia="Times New Roman"/>
          <w:noProof/>
        </w:rPr>
        <w:t xml:space="preserve"> by Commission Delegated Regulation (EU) 2015/61</w:t>
      </w:r>
      <w:r w:rsidR="001759CC" w:rsidRPr="002C523F">
        <w:rPr>
          <w:rStyle w:val="FootnoteReference"/>
        </w:rPr>
        <w:footnoteReference w:id="4"/>
      </w:r>
      <w:r w:rsidR="001759CC" w:rsidRPr="00CB3A12">
        <w:rPr>
          <w:rFonts w:eastAsia="Times New Roman"/>
          <w:noProof/>
        </w:rPr>
        <w:t xml:space="preserve">, Implementing </w:t>
      </w:r>
      <w:r w:rsidR="001759CC" w:rsidRPr="00CB3A12">
        <w:rPr>
          <w:rFonts w:eastAsia="Times New Roman"/>
        </w:rPr>
        <w:t xml:space="preserve">Regulation (EU) No 680/2014 should </w:t>
      </w:r>
      <w:r w:rsidR="00F2784E">
        <w:rPr>
          <w:rFonts w:eastAsia="Times New Roman"/>
        </w:rPr>
        <w:t xml:space="preserve">also </w:t>
      </w:r>
      <w:r w:rsidR="001759CC" w:rsidRPr="00CB3A12">
        <w:rPr>
          <w:rFonts w:eastAsia="Times New Roman"/>
        </w:rPr>
        <w:t xml:space="preserve">be updated to reflect those rules and to provide further precision in the instructions and definitions used for the purposes of the institutions’ supervisory reporting, </w:t>
      </w:r>
      <w:r w:rsidR="00F2784E">
        <w:rPr>
          <w:rFonts w:eastAsia="Times New Roman"/>
        </w:rPr>
        <w:t>including</w:t>
      </w:r>
      <w:r w:rsidR="00F2784E" w:rsidRPr="00CB3A12">
        <w:rPr>
          <w:rFonts w:eastAsia="Times New Roman"/>
        </w:rPr>
        <w:t xml:space="preserve"> </w:t>
      </w:r>
      <w:r w:rsidR="001759CC" w:rsidRPr="00CB3A12">
        <w:rPr>
          <w:rFonts w:eastAsia="Times New Roman"/>
        </w:rPr>
        <w:t xml:space="preserve">with regard to a maturity ladder, which </w:t>
      </w:r>
      <w:r w:rsidR="001759CC" w:rsidRPr="00CB3A12">
        <w:rPr>
          <w:rFonts w:eastAsia="Calibri"/>
          <w:noProof/>
          <w:szCs w:val="20"/>
          <w:lang w:eastAsia="en-GB"/>
        </w:rPr>
        <w:t>would allow the maturity mismatch of an institution's balance sheet to be</w:t>
      </w:r>
      <w:r w:rsidR="007948B3">
        <w:rPr>
          <w:rFonts w:eastAsia="Calibri"/>
          <w:noProof/>
          <w:szCs w:val="20"/>
          <w:lang w:eastAsia="en-GB"/>
        </w:rPr>
        <w:t xml:space="preserve"> reflected in the reporting.</w:t>
      </w:r>
    </w:p>
    <w:p w14:paraId="280FC8CC" w14:textId="77777777" w:rsidR="001759CC" w:rsidRPr="007948B3" w:rsidRDefault="00826EF9" w:rsidP="007948B3">
      <w:pPr>
        <w:pStyle w:val="Considrant"/>
        <w:rPr>
          <w:noProof/>
          <w:color w:val="000000"/>
        </w:rPr>
      </w:pPr>
      <w:r>
        <w:t>A</w:t>
      </w:r>
      <w:r w:rsidR="007948B3">
        <w:t xml:space="preserve">mendments to </w:t>
      </w:r>
      <w:r w:rsidR="007948B3" w:rsidRPr="00D84FF4">
        <w:rPr>
          <w:noProof/>
          <w:color w:val="000000"/>
        </w:rPr>
        <w:t>Implementing Regulation (EU) 680/2014</w:t>
      </w:r>
      <w:r w:rsidR="007948B3">
        <w:rPr>
          <w:noProof/>
          <w:color w:val="000000"/>
        </w:rPr>
        <w:t xml:space="preserve"> are required in order </w:t>
      </w:r>
      <w:r w:rsidR="001759CC" w:rsidRPr="00CB3A12">
        <w:t>to correct erroneous references and formatting inconsistencies which were discovered in the course of the application of that Regulation.</w:t>
      </w:r>
    </w:p>
    <w:p w14:paraId="00970B1C" w14:textId="77777777" w:rsidR="00D84FF4" w:rsidRPr="00D84FF4" w:rsidRDefault="00826EF9" w:rsidP="00D84FF4">
      <w:pPr>
        <w:pStyle w:val="Considrant"/>
        <w:rPr>
          <w:noProof/>
          <w:color w:val="000000"/>
        </w:rPr>
      </w:pPr>
      <w:r>
        <w:rPr>
          <w:noProof/>
          <w:color w:val="000000"/>
        </w:rPr>
        <w:t>A</w:t>
      </w:r>
      <w:r w:rsidR="00D84FF4" w:rsidRPr="00D84FF4">
        <w:rPr>
          <w:noProof/>
          <w:color w:val="000000"/>
        </w:rPr>
        <w:t xml:space="preserve">mendments to Implementing Regulation (EU) 680/2014 are also required to reflect competent authorities’ ability to effectively monitor and assess the institutions’ risk profile and to obtain a view on the risks posed to the financial sector, which requires </w:t>
      </w:r>
      <w:r w:rsidR="00D84FF4" w:rsidRPr="00D84FF4">
        <w:rPr>
          <w:noProof/>
          <w:color w:val="000000"/>
        </w:rPr>
        <w:lastRenderedPageBreak/>
        <w:t>changes to the reporting requirements in the areas of operational risk, credit risk and with regard to institutions’ exposures towards sovereigns.</w:t>
      </w:r>
    </w:p>
    <w:p w14:paraId="3D91F236" w14:textId="77777777" w:rsidR="007948B3" w:rsidRDefault="008F0F25" w:rsidP="00E262B0">
      <w:pPr>
        <w:pStyle w:val="Considrant"/>
        <w:rPr>
          <w:noProof/>
        </w:rPr>
      </w:pPr>
      <w:r>
        <w:rPr>
          <w:noProof/>
        </w:rPr>
        <w:t xml:space="preserve">In order to </w:t>
      </w:r>
      <w:r w:rsidR="00E262B0" w:rsidRPr="00E262B0">
        <w:rPr>
          <w:noProof/>
        </w:rPr>
        <w:t xml:space="preserve">provide institutions and competent authorities with </w:t>
      </w:r>
      <w:r w:rsidR="00D96AFD">
        <w:rPr>
          <w:noProof/>
        </w:rPr>
        <w:t>sufficient</w:t>
      </w:r>
      <w:r w:rsidR="00D96AFD" w:rsidRPr="00E262B0">
        <w:rPr>
          <w:noProof/>
        </w:rPr>
        <w:t xml:space="preserve"> </w:t>
      </w:r>
      <w:r w:rsidR="00E262B0" w:rsidRPr="00E262B0">
        <w:rPr>
          <w:noProof/>
        </w:rPr>
        <w:t xml:space="preserve">time to implement the amendments set out in this Regulation, it should apply from </w:t>
      </w:r>
      <w:r w:rsidR="00E262B0">
        <w:rPr>
          <w:noProof/>
        </w:rPr>
        <w:t>1 March 2018.</w:t>
      </w:r>
      <w:r>
        <w:rPr>
          <w:noProof/>
        </w:rPr>
        <w:t xml:space="preserve"> </w:t>
      </w:r>
    </w:p>
    <w:p w14:paraId="2305CE92" w14:textId="631A7219" w:rsidR="00D84FF4" w:rsidRPr="00354499" w:rsidRDefault="00D84FF4" w:rsidP="00D84FF4">
      <w:pPr>
        <w:pStyle w:val="Considrant"/>
        <w:rPr>
          <w:noProof/>
        </w:rPr>
      </w:pPr>
      <w:r w:rsidRPr="00354499">
        <w:t xml:space="preserve">This Regulation is based on the draft implementing technical standards submitted by the </w:t>
      </w:r>
      <w:r w:rsidRPr="00354499">
        <w:rPr>
          <w:noProof/>
        </w:rPr>
        <w:t>European Banking Authority</w:t>
      </w:r>
      <w:r>
        <w:rPr>
          <w:noProof/>
        </w:rPr>
        <w:t xml:space="preserve"> </w:t>
      </w:r>
      <w:r w:rsidRPr="00354499">
        <w:rPr>
          <w:noProof/>
        </w:rPr>
        <w:t xml:space="preserve">to the Commission. </w:t>
      </w:r>
    </w:p>
    <w:p w14:paraId="30D28AE3" w14:textId="77777777" w:rsidR="00D84FF4" w:rsidRPr="00D84FF4" w:rsidRDefault="00D84FF4" w:rsidP="003174AC">
      <w:pPr>
        <w:pStyle w:val="Considrant"/>
        <w:rPr>
          <w:noProof/>
        </w:rPr>
      </w:pPr>
      <w:r w:rsidRPr="00D84FF4">
        <w:rPr>
          <w:noProof/>
        </w:rPr>
        <w:t>The European Banking Authority has conducted open public consultations on the draft implementing technical standards on which this Regulation is based, analysed the potential related costs and benefits and requested the opinion of the Banking Stakeholder Group established in accordance with Article 37 of Regulation (EU) No 1093/2010</w:t>
      </w:r>
      <w:r w:rsidR="003174AC">
        <w:rPr>
          <w:noProof/>
        </w:rPr>
        <w:t xml:space="preserve"> </w:t>
      </w:r>
      <w:r w:rsidR="003174AC" w:rsidRPr="003174AC">
        <w:rPr>
          <w:noProof/>
          <w:color w:val="000000"/>
        </w:rPr>
        <w:t>of the European Parliament and of the Council</w:t>
      </w:r>
      <w:r w:rsidRPr="00C52A3C">
        <w:rPr>
          <w:rStyle w:val="FootnoteReference"/>
          <w:noProof/>
          <w:color w:val="000000"/>
        </w:rPr>
        <w:footnoteReference w:id="5"/>
      </w:r>
      <w:r w:rsidRPr="00D84FF4">
        <w:rPr>
          <w:noProof/>
        </w:rPr>
        <w:t xml:space="preserve">. </w:t>
      </w:r>
    </w:p>
    <w:p w14:paraId="1826E3C2" w14:textId="77777777" w:rsidR="008E61FF" w:rsidRDefault="0021687A" w:rsidP="004E1EF9">
      <w:pPr>
        <w:pStyle w:val="Considrant"/>
      </w:pPr>
      <w:r w:rsidRPr="00D05A04">
        <w:rPr>
          <w:noProof/>
        </w:rPr>
        <w:t xml:space="preserve">Implementing Regulation (EU) No 680/2014 should </w:t>
      </w:r>
      <w:r w:rsidR="008E61FF">
        <w:rPr>
          <w:noProof/>
        </w:rPr>
        <w:t xml:space="preserve">therefore </w:t>
      </w:r>
      <w:r w:rsidRPr="00D05A04">
        <w:rPr>
          <w:noProof/>
        </w:rPr>
        <w:t>be amended accordingly,</w:t>
      </w:r>
    </w:p>
    <w:p w14:paraId="26FC5348" w14:textId="77777777" w:rsidR="001F3D9E" w:rsidRPr="00922C91" w:rsidRDefault="001F3D9E" w:rsidP="004E1EF9">
      <w:pPr>
        <w:pStyle w:val="Formuledadoption"/>
      </w:pPr>
      <w:r w:rsidRPr="00922C91">
        <w:t>HAS ADOPTED THIS REGULATION:</w:t>
      </w:r>
    </w:p>
    <w:p w14:paraId="3913C7C6" w14:textId="77777777" w:rsidR="001F3D9E" w:rsidRPr="00922C91" w:rsidRDefault="001F3D9E" w:rsidP="004E1EF9">
      <w:pPr>
        <w:pStyle w:val="Titrearticle"/>
      </w:pPr>
      <w:r w:rsidRPr="00922C91">
        <w:t>Article 1</w:t>
      </w:r>
    </w:p>
    <w:p w14:paraId="46E3CFDF" w14:textId="77777777" w:rsidR="0021687A" w:rsidRDefault="0021687A" w:rsidP="0021687A">
      <w:pPr>
        <w:keepNext/>
        <w:keepLines/>
        <w:spacing w:before="360"/>
        <w:rPr>
          <w:rFonts w:eastAsia="Times New Roman"/>
          <w:szCs w:val="20"/>
          <w:lang w:eastAsia="en-GB"/>
        </w:rPr>
      </w:pPr>
      <w:r w:rsidRPr="007C1296">
        <w:rPr>
          <w:rFonts w:eastAsia="Times New Roman"/>
          <w:noProof/>
          <w:szCs w:val="20"/>
          <w:lang w:eastAsia="en-GB"/>
        </w:rPr>
        <w:t xml:space="preserve">Implementing </w:t>
      </w:r>
      <w:r w:rsidRPr="007C1296">
        <w:rPr>
          <w:rFonts w:eastAsia="Times New Roman"/>
          <w:szCs w:val="20"/>
          <w:lang w:eastAsia="en-GB"/>
        </w:rPr>
        <w:t xml:space="preserve">Regulation </w:t>
      </w:r>
      <w:r w:rsidRPr="007C1296">
        <w:rPr>
          <w:rFonts w:eastAsia="Times New Roman"/>
          <w:szCs w:val="20"/>
          <w:lang w:val="mt-MT" w:eastAsia="en-GB"/>
        </w:rPr>
        <w:t xml:space="preserve">(EU) No </w:t>
      </w:r>
      <w:r w:rsidRPr="007C1296">
        <w:rPr>
          <w:rFonts w:eastAsia="Times New Roman"/>
          <w:szCs w:val="20"/>
          <w:lang w:eastAsia="en-GB"/>
        </w:rPr>
        <w:t>680/2014 is amended as follows:</w:t>
      </w:r>
    </w:p>
    <w:p w14:paraId="2CAA68CB" w14:textId="11339334" w:rsidR="009E12AA" w:rsidRDefault="00843C95" w:rsidP="00843C95">
      <w:pPr>
        <w:pStyle w:val="Point0"/>
        <w:rPr>
          <w:noProof/>
          <w:lang w:eastAsia="en-GB"/>
        </w:rPr>
      </w:pPr>
      <w:r w:rsidRPr="00843C95">
        <w:t>(1)</w:t>
      </w:r>
      <w:r w:rsidRPr="00843C95">
        <w:tab/>
      </w:r>
      <w:r w:rsidR="00240D7D">
        <w:rPr>
          <w:noProof/>
          <w:lang w:eastAsia="en-GB"/>
        </w:rPr>
        <w:t>p</w:t>
      </w:r>
      <w:r w:rsidR="009E12AA" w:rsidRPr="00C52A3C">
        <w:rPr>
          <w:noProof/>
          <w:lang w:eastAsia="en-GB"/>
        </w:rPr>
        <w:t>aragraph (2) of Article 5(b) is replaced by the following:</w:t>
      </w:r>
    </w:p>
    <w:p w14:paraId="2082F1DD" w14:textId="32D774EC" w:rsidR="009E12AA" w:rsidRPr="00C52A3C" w:rsidRDefault="006B4492" w:rsidP="00BE787C">
      <w:pPr>
        <w:pStyle w:val="Text1"/>
        <w:rPr>
          <w:noProof/>
          <w:lang w:eastAsia="en-GB"/>
        </w:rPr>
      </w:pPr>
      <w:r>
        <w:rPr>
          <w:noProof/>
          <w:lang w:eastAsia="en-GB"/>
        </w:rPr>
        <w:t>“</w:t>
      </w:r>
      <w:r w:rsidR="00E01CF4">
        <w:rPr>
          <w:noProof/>
          <w:lang w:eastAsia="en-GB"/>
        </w:rPr>
        <w:t xml:space="preserve">(2) </w:t>
      </w:r>
      <w:r w:rsidR="009E12AA" w:rsidRPr="00C52A3C">
        <w:rPr>
          <w:noProof/>
          <w:lang w:eastAsia="en-GB"/>
        </w:rPr>
        <w:t xml:space="preserve">the information on material losses </w:t>
      </w:r>
      <w:r w:rsidR="00554079">
        <w:rPr>
          <w:noProof/>
          <w:lang w:eastAsia="en-GB"/>
        </w:rPr>
        <w:t>stemming from</w:t>
      </w:r>
      <w:r w:rsidR="00554079" w:rsidRPr="00C52A3C">
        <w:rPr>
          <w:noProof/>
          <w:lang w:eastAsia="en-GB"/>
        </w:rPr>
        <w:t xml:space="preserve"> </w:t>
      </w:r>
      <w:r w:rsidR="009E12AA" w:rsidRPr="00C52A3C">
        <w:rPr>
          <w:noProof/>
          <w:lang w:eastAsia="en-GB"/>
        </w:rPr>
        <w:t>operational risk</w:t>
      </w:r>
      <w:r w:rsidR="00554079">
        <w:rPr>
          <w:noProof/>
          <w:lang w:eastAsia="en-GB"/>
        </w:rPr>
        <w:t xml:space="preserve"> events</w:t>
      </w:r>
      <w:r w:rsidR="009E12AA" w:rsidRPr="00C52A3C">
        <w:rPr>
          <w:noProof/>
          <w:lang w:eastAsia="en-GB"/>
        </w:rPr>
        <w:t xml:space="preserve"> </w:t>
      </w:r>
      <w:r w:rsidR="0017091C">
        <w:rPr>
          <w:noProof/>
          <w:lang w:eastAsia="en-GB"/>
        </w:rPr>
        <w:t>as</w:t>
      </w:r>
      <w:r w:rsidR="009E12AA" w:rsidRPr="00C52A3C">
        <w:rPr>
          <w:noProof/>
          <w:lang w:eastAsia="en-GB"/>
        </w:rPr>
        <w:t xml:space="preserve"> follow</w:t>
      </w:r>
      <w:r w:rsidR="0017091C">
        <w:rPr>
          <w:noProof/>
          <w:lang w:eastAsia="en-GB"/>
        </w:rPr>
        <w:t>s</w:t>
      </w:r>
      <w:r w:rsidR="009E12AA" w:rsidRPr="00C52A3C">
        <w:rPr>
          <w:noProof/>
          <w:lang w:eastAsia="en-GB"/>
        </w:rPr>
        <w:t>:</w:t>
      </w:r>
    </w:p>
    <w:p w14:paraId="5A857503" w14:textId="0BF355E9" w:rsidR="009E12AA" w:rsidRPr="00C52A3C" w:rsidRDefault="00843C95" w:rsidP="00843C95">
      <w:pPr>
        <w:pStyle w:val="Point2"/>
        <w:rPr>
          <w:noProof/>
          <w:lang w:eastAsia="en-GB"/>
        </w:rPr>
      </w:pPr>
      <w:r w:rsidRPr="00843C95">
        <w:t>(a)</w:t>
      </w:r>
      <w:r w:rsidRPr="00843C95">
        <w:tab/>
      </w:r>
      <w:r w:rsidR="009E12AA" w:rsidRPr="00C52A3C">
        <w:rPr>
          <w:noProof/>
          <w:lang w:eastAsia="en-GB"/>
        </w:rPr>
        <w:t xml:space="preserve">institutions which calculate own funds requirements relating to operational risk </w:t>
      </w:r>
      <w:r w:rsidR="0002137F">
        <w:rPr>
          <w:noProof/>
          <w:lang w:eastAsia="en-GB"/>
        </w:rPr>
        <w:t>in accordance with</w:t>
      </w:r>
      <w:r w:rsidR="009E12AA" w:rsidRPr="00C52A3C">
        <w:rPr>
          <w:noProof/>
          <w:lang w:eastAsia="en-GB"/>
        </w:rPr>
        <w:t xml:space="preserve"> Chapter 4 of Title III of Part </w:t>
      </w:r>
      <w:r w:rsidR="009E12AA">
        <w:rPr>
          <w:noProof/>
          <w:lang w:eastAsia="en-GB"/>
        </w:rPr>
        <w:t>Three</w:t>
      </w:r>
      <w:r w:rsidR="009E12AA" w:rsidRPr="00C52A3C">
        <w:rPr>
          <w:noProof/>
          <w:lang w:eastAsia="en-GB"/>
        </w:rPr>
        <w:t xml:space="preserve"> of Regulation (EU) No 575/2013 shall report this information as specified in </w:t>
      </w:r>
      <w:r w:rsidR="009E12AA" w:rsidRPr="00286A36">
        <w:rPr>
          <w:noProof/>
          <w:lang w:eastAsia="en-GB"/>
        </w:rPr>
        <w:t>template</w:t>
      </w:r>
      <w:r w:rsidR="00D96AFD" w:rsidRPr="002113CE">
        <w:rPr>
          <w:noProof/>
          <w:lang w:eastAsia="en-GB"/>
        </w:rPr>
        <w:t>s</w:t>
      </w:r>
      <w:r w:rsidR="009E12AA" w:rsidRPr="002113CE">
        <w:rPr>
          <w:noProof/>
          <w:lang w:eastAsia="en-GB"/>
        </w:rPr>
        <w:t xml:space="preserve"> 17.01 and 17.02 of Annex I,</w:t>
      </w:r>
      <w:r w:rsidR="009E12AA" w:rsidRPr="00C52A3C">
        <w:rPr>
          <w:noProof/>
          <w:lang w:eastAsia="en-GB"/>
        </w:rPr>
        <w:t xml:space="preserve"> </w:t>
      </w:r>
      <w:r w:rsidR="0002137F" w:rsidRPr="0002137F">
        <w:rPr>
          <w:noProof/>
          <w:lang w:eastAsia="en-GB"/>
        </w:rPr>
        <w:t>in accordance with</w:t>
      </w:r>
      <w:r w:rsidR="009E12AA" w:rsidRPr="00C52A3C">
        <w:rPr>
          <w:noProof/>
          <w:lang w:eastAsia="en-GB"/>
        </w:rPr>
        <w:t xml:space="preserve"> the instructions in </w:t>
      </w:r>
      <w:r w:rsidR="00D96AFD" w:rsidRPr="00C52A3C">
        <w:rPr>
          <w:noProof/>
          <w:lang w:eastAsia="en-GB"/>
        </w:rPr>
        <w:t xml:space="preserve">point 4.2 </w:t>
      </w:r>
      <w:r w:rsidR="00D96AFD">
        <w:rPr>
          <w:noProof/>
          <w:lang w:eastAsia="en-GB"/>
        </w:rPr>
        <w:t xml:space="preserve">of </w:t>
      </w:r>
      <w:r w:rsidR="009E12AA" w:rsidRPr="00C52A3C">
        <w:rPr>
          <w:noProof/>
          <w:lang w:eastAsia="en-GB"/>
        </w:rPr>
        <w:t xml:space="preserve">Part II of Annex II; </w:t>
      </w:r>
    </w:p>
    <w:p w14:paraId="4CE6EA1A" w14:textId="214D0C1B" w:rsidR="009E12AA" w:rsidRPr="00C52A3C" w:rsidRDefault="00843C95" w:rsidP="00843C95">
      <w:pPr>
        <w:pStyle w:val="Point2"/>
        <w:rPr>
          <w:noProof/>
          <w:lang w:eastAsia="en-GB"/>
        </w:rPr>
      </w:pPr>
      <w:r w:rsidRPr="00843C95">
        <w:t>(b)</w:t>
      </w:r>
      <w:r w:rsidRPr="00843C95">
        <w:tab/>
      </w:r>
      <w:r w:rsidR="009E12AA" w:rsidRPr="00C52A3C">
        <w:rPr>
          <w:noProof/>
          <w:lang w:eastAsia="en-GB"/>
        </w:rPr>
        <w:t xml:space="preserve">institutions which calculate the own funds requirements relating to operational risk </w:t>
      </w:r>
      <w:r w:rsidR="0002137F" w:rsidRPr="0002137F">
        <w:rPr>
          <w:noProof/>
          <w:lang w:eastAsia="en-GB"/>
        </w:rPr>
        <w:t>in accordance with</w:t>
      </w:r>
      <w:r w:rsidR="009E12AA" w:rsidRPr="00C52A3C">
        <w:rPr>
          <w:noProof/>
          <w:lang w:eastAsia="en-GB"/>
        </w:rPr>
        <w:t xml:space="preserve"> Chapter 3 of Title III of Part </w:t>
      </w:r>
      <w:r w:rsidR="009E12AA">
        <w:rPr>
          <w:noProof/>
          <w:lang w:eastAsia="en-GB"/>
        </w:rPr>
        <w:t>Three</w:t>
      </w:r>
      <w:r w:rsidR="009E12AA" w:rsidRPr="00C52A3C">
        <w:rPr>
          <w:noProof/>
          <w:lang w:eastAsia="en-GB"/>
        </w:rPr>
        <w:t xml:space="preserve"> of Regulation (EU) No 575/2013 and that meet at least one of the following criteria shall report this information as specified in templates 17.01 and 17.02 of Annex I</w:t>
      </w:r>
      <w:r w:rsidR="002B151C">
        <w:rPr>
          <w:noProof/>
          <w:lang w:eastAsia="en-GB"/>
        </w:rPr>
        <w:t xml:space="preserve"> </w:t>
      </w:r>
      <w:r w:rsidR="0002137F" w:rsidRPr="0002137F">
        <w:rPr>
          <w:noProof/>
          <w:lang w:eastAsia="en-GB"/>
        </w:rPr>
        <w:t>in accordance with</w:t>
      </w:r>
      <w:r w:rsidR="0002137F" w:rsidRPr="00C52A3C">
        <w:rPr>
          <w:noProof/>
          <w:lang w:eastAsia="en-GB"/>
        </w:rPr>
        <w:t xml:space="preserve"> </w:t>
      </w:r>
      <w:r w:rsidR="009E12AA" w:rsidRPr="00C52A3C">
        <w:rPr>
          <w:noProof/>
          <w:lang w:eastAsia="en-GB"/>
        </w:rPr>
        <w:t>the instructions in point 4.2 of Part II of Annex II:</w:t>
      </w:r>
    </w:p>
    <w:p w14:paraId="51AFC481" w14:textId="2FF5EBEE" w:rsidR="009E12AA" w:rsidRPr="00C52A3C" w:rsidRDefault="00BC715E" w:rsidP="00843C95">
      <w:pPr>
        <w:pStyle w:val="Point3"/>
        <w:rPr>
          <w:noProof/>
        </w:rPr>
      </w:pPr>
      <w:r>
        <w:rPr>
          <w:noProof/>
        </w:rPr>
        <w:t>(i)</w:t>
      </w:r>
      <w:r w:rsidR="00843C95">
        <w:rPr>
          <w:noProof/>
        </w:rPr>
        <w:tab/>
      </w:r>
      <w:r>
        <w:rPr>
          <w:noProof/>
        </w:rPr>
        <w:t xml:space="preserve"> </w:t>
      </w:r>
      <w:r w:rsidR="009E12AA" w:rsidRPr="00C52A3C">
        <w:rPr>
          <w:noProof/>
        </w:rPr>
        <w:t xml:space="preserve">the ratio of the individual balance sheet total to the sum of individual balance sheet totals of all institutions within the same Member State is equal to or above 1 %, where balance sheet total figures </w:t>
      </w:r>
      <w:r w:rsidR="002113CE">
        <w:rPr>
          <w:noProof/>
        </w:rPr>
        <w:t>are</w:t>
      </w:r>
      <w:r w:rsidR="002113CE" w:rsidRPr="00C52A3C">
        <w:rPr>
          <w:noProof/>
        </w:rPr>
        <w:t xml:space="preserve"> </w:t>
      </w:r>
      <w:r w:rsidR="009E12AA" w:rsidRPr="00C52A3C">
        <w:rPr>
          <w:noProof/>
        </w:rPr>
        <w:t xml:space="preserve">based on year-end figures for the year before the year preceding the reporting reference date; </w:t>
      </w:r>
    </w:p>
    <w:p w14:paraId="5F1279A1" w14:textId="0868C81B" w:rsidR="009E12AA" w:rsidRPr="00C52A3C" w:rsidRDefault="00BC715E" w:rsidP="00843C95">
      <w:pPr>
        <w:pStyle w:val="Point3"/>
        <w:rPr>
          <w:noProof/>
        </w:rPr>
      </w:pPr>
      <w:r>
        <w:rPr>
          <w:noProof/>
        </w:rPr>
        <w:t>(ii)</w:t>
      </w:r>
      <w:r w:rsidR="00843C95">
        <w:rPr>
          <w:noProof/>
        </w:rPr>
        <w:tab/>
      </w:r>
      <w:r>
        <w:rPr>
          <w:noProof/>
        </w:rPr>
        <w:t xml:space="preserve"> </w:t>
      </w:r>
      <w:r w:rsidR="009E12AA" w:rsidRPr="00C52A3C">
        <w:rPr>
          <w:noProof/>
        </w:rPr>
        <w:t xml:space="preserve">the total value of the institution’s assets exceeds </w:t>
      </w:r>
      <w:r w:rsidR="002113CE">
        <w:rPr>
          <w:noProof/>
        </w:rPr>
        <w:t>EUR</w:t>
      </w:r>
      <w:r w:rsidR="002113CE" w:rsidRPr="00C52A3C">
        <w:rPr>
          <w:noProof/>
        </w:rPr>
        <w:t xml:space="preserve"> </w:t>
      </w:r>
      <w:r w:rsidR="009E12AA" w:rsidRPr="00C52A3C">
        <w:rPr>
          <w:noProof/>
        </w:rPr>
        <w:t>30 billion;</w:t>
      </w:r>
    </w:p>
    <w:p w14:paraId="62D0FD7D" w14:textId="1999B706" w:rsidR="009E12AA" w:rsidRPr="00C52A3C" w:rsidRDefault="00BC715E" w:rsidP="00843C95">
      <w:pPr>
        <w:pStyle w:val="Point3"/>
        <w:rPr>
          <w:noProof/>
        </w:rPr>
      </w:pPr>
      <w:r>
        <w:rPr>
          <w:noProof/>
        </w:rPr>
        <w:lastRenderedPageBreak/>
        <w:t>(iii)</w:t>
      </w:r>
      <w:r w:rsidR="00843C95">
        <w:rPr>
          <w:noProof/>
        </w:rPr>
        <w:tab/>
      </w:r>
      <w:r w:rsidR="009E12AA" w:rsidRPr="00C52A3C">
        <w:rPr>
          <w:noProof/>
        </w:rPr>
        <w:t xml:space="preserve">the total value of the institution’s assets exceeds both </w:t>
      </w:r>
      <w:r w:rsidR="002113CE">
        <w:rPr>
          <w:noProof/>
        </w:rPr>
        <w:t>EUR</w:t>
      </w:r>
      <w:r w:rsidR="002113CE" w:rsidRPr="00C52A3C">
        <w:rPr>
          <w:noProof/>
        </w:rPr>
        <w:t xml:space="preserve"> </w:t>
      </w:r>
      <w:r w:rsidR="009E12AA" w:rsidRPr="00C52A3C">
        <w:rPr>
          <w:noProof/>
        </w:rPr>
        <w:t xml:space="preserve">5 billion and 20% of the GDP of the </w:t>
      </w:r>
      <w:r w:rsidR="002113CE" w:rsidRPr="007D1FC4">
        <w:t>Member State</w:t>
      </w:r>
      <w:r w:rsidRPr="00EB54AB">
        <w:rPr>
          <w:noProof/>
        </w:rPr>
        <w:t xml:space="preserve"> </w:t>
      </w:r>
      <w:r w:rsidR="009E12AA" w:rsidRPr="00EB54AB">
        <w:rPr>
          <w:noProof/>
        </w:rPr>
        <w:t>where it is established;</w:t>
      </w:r>
    </w:p>
    <w:p w14:paraId="069982C0" w14:textId="1378789E" w:rsidR="009E12AA" w:rsidRDefault="00BC715E" w:rsidP="00843C95">
      <w:pPr>
        <w:pStyle w:val="Point3"/>
        <w:rPr>
          <w:noProof/>
        </w:rPr>
      </w:pPr>
      <w:r>
        <w:rPr>
          <w:noProof/>
        </w:rPr>
        <w:t>(iv)</w:t>
      </w:r>
      <w:r w:rsidR="00843C95">
        <w:rPr>
          <w:noProof/>
        </w:rPr>
        <w:tab/>
      </w:r>
      <w:r w:rsidR="009E12AA" w:rsidRPr="00C52A3C">
        <w:rPr>
          <w:noProof/>
        </w:rPr>
        <w:t xml:space="preserve">the institution is one of the three largest institutions established in a particular </w:t>
      </w:r>
      <w:r w:rsidR="002113CE" w:rsidRPr="007D1FC4">
        <w:t>Member State</w:t>
      </w:r>
      <w:r w:rsidR="00475F2E">
        <w:rPr>
          <w:noProof/>
        </w:rPr>
        <w:t xml:space="preserve"> </w:t>
      </w:r>
      <w:r w:rsidR="009E12AA" w:rsidRPr="00C52A3C">
        <w:rPr>
          <w:noProof/>
        </w:rPr>
        <w:t>measured by the total value of its assets</w:t>
      </w:r>
      <w:r w:rsidR="00517ABE">
        <w:rPr>
          <w:noProof/>
        </w:rPr>
        <w:t>;</w:t>
      </w:r>
    </w:p>
    <w:p w14:paraId="4A39A729" w14:textId="0FB81041" w:rsidR="001B5FA5" w:rsidRDefault="00BC715E" w:rsidP="00843C95">
      <w:pPr>
        <w:pStyle w:val="Point3"/>
        <w:rPr>
          <w:noProof/>
        </w:rPr>
      </w:pPr>
      <w:r>
        <w:rPr>
          <w:noProof/>
        </w:rPr>
        <w:t>(v)</w:t>
      </w:r>
      <w:r w:rsidR="00843C95">
        <w:rPr>
          <w:noProof/>
        </w:rPr>
        <w:tab/>
      </w:r>
      <w:r>
        <w:rPr>
          <w:noProof/>
        </w:rPr>
        <w:t xml:space="preserve"> </w:t>
      </w:r>
      <w:r w:rsidR="009E12AA" w:rsidRPr="00A06713">
        <w:rPr>
          <w:noProof/>
        </w:rPr>
        <w:t xml:space="preserve">the institution is the parent of subsidiaries, which are themselves credit institutions established in </w:t>
      </w:r>
      <w:r w:rsidR="001B5FA5">
        <w:rPr>
          <w:noProof/>
        </w:rPr>
        <w:t>a</w:t>
      </w:r>
      <w:r w:rsidR="00873706">
        <w:rPr>
          <w:noProof/>
        </w:rPr>
        <w:t>t least two</w:t>
      </w:r>
      <w:r w:rsidR="001B5FA5">
        <w:rPr>
          <w:noProof/>
        </w:rPr>
        <w:t xml:space="preserve"> </w:t>
      </w:r>
      <w:r w:rsidR="009E12AA" w:rsidRPr="00A06713">
        <w:rPr>
          <w:noProof/>
        </w:rPr>
        <w:t>Member State</w:t>
      </w:r>
      <w:r w:rsidR="00873706">
        <w:rPr>
          <w:noProof/>
        </w:rPr>
        <w:t>s</w:t>
      </w:r>
      <w:r w:rsidR="009E12AA" w:rsidRPr="00A06713">
        <w:rPr>
          <w:noProof/>
        </w:rPr>
        <w:t xml:space="preserve"> </w:t>
      </w:r>
      <w:r w:rsidR="009E12AA" w:rsidRPr="00BC715E">
        <w:rPr>
          <w:noProof/>
        </w:rPr>
        <w:t xml:space="preserve">other than </w:t>
      </w:r>
      <w:r w:rsidR="002113CE" w:rsidRPr="00BC715E">
        <w:rPr>
          <w:noProof/>
        </w:rPr>
        <w:t xml:space="preserve">the Member State </w:t>
      </w:r>
      <w:r w:rsidR="009E12AA" w:rsidRPr="00BC715E">
        <w:rPr>
          <w:noProof/>
        </w:rPr>
        <w:t xml:space="preserve">where the </w:t>
      </w:r>
      <w:r w:rsidR="003742E5" w:rsidRPr="00BC715E">
        <w:rPr>
          <w:noProof/>
        </w:rPr>
        <w:t xml:space="preserve">parent </w:t>
      </w:r>
      <w:r w:rsidR="000F0692" w:rsidRPr="00BC715E">
        <w:rPr>
          <w:noProof/>
        </w:rPr>
        <w:t xml:space="preserve">institution </w:t>
      </w:r>
      <w:r w:rsidR="003742E5" w:rsidRPr="00BC715E">
        <w:rPr>
          <w:noProof/>
        </w:rPr>
        <w:t xml:space="preserve">is </w:t>
      </w:r>
      <w:r w:rsidR="000F0692" w:rsidRPr="00BC715E">
        <w:rPr>
          <w:noProof/>
        </w:rPr>
        <w:t xml:space="preserve">authorised </w:t>
      </w:r>
      <w:r w:rsidR="001B5FA5" w:rsidRPr="00BC715E">
        <w:rPr>
          <w:noProof/>
        </w:rPr>
        <w:t>and where both of the following conditions are met:</w:t>
      </w:r>
      <w:r w:rsidR="009E12AA" w:rsidRPr="00A06713">
        <w:rPr>
          <w:noProof/>
        </w:rPr>
        <w:t xml:space="preserve"> </w:t>
      </w:r>
    </w:p>
    <w:p w14:paraId="20CEBE91" w14:textId="40F519E9" w:rsidR="001B5FA5" w:rsidRDefault="009E12AA" w:rsidP="009275FE">
      <w:pPr>
        <w:pStyle w:val="Tiret4"/>
        <w:numPr>
          <w:ilvl w:val="0"/>
          <w:numId w:val="25"/>
        </w:numPr>
        <w:rPr>
          <w:noProof/>
        </w:rPr>
      </w:pPr>
      <w:r w:rsidRPr="00A06713">
        <w:rPr>
          <w:noProof/>
        </w:rPr>
        <w:t xml:space="preserve">the value of the institution’s </w:t>
      </w:r>
      <w:r>
        <w:rPr>
          <w:noProof/>
        </w:rPr>
        <w:t xml:space="preserve">consolidated </w:t>
      </w:r>
      <w:r w:rsidR="00E262B0">
        <w:rPr>
          <w:noProof/>
        </w:rPr>
        <w:t xml:space="preserve">total </w:t>
      </w:r>
      <w:r w:rsidRPr="00A06713">
        <w:rPr>
          <w:noProof/>
        </w:rPr>
        <w:t xml:space="preserve">assets exceeds </w:t>
      </w:r>
      <w:r w:rsidR="002113CE">
        <w:rPr>
          <w:noProof/>
        </w:rPr>
        <w:t>EUR</w:t>
      </w:r>
      <w:r w:rsidR="002113CE" w:rsidRPr="00A06713">
        <w:rPr>
          <w:noProof/>
        </w:rPr>
        <w:t xml:space="preserve"> </w:t>
      </w:r>
      <w:r w:rsidRPr="00A06713">
        <w:rPr>
          <w:noProof/>
        </w:rPr>
        <w:t>5 billion</w:t>
      </w:r>
      <w:r w:rsidR="001B5FA5">
        <w:rPr>
          <w:noProof/>
        </w:rPr>
        <w:t>;</w:t>
      </w:r>
    </w:p>
    <w:p w14:paraId="36717F04" w14:textId="2F461DE7" w:rsidR="009E12AA" w:rsidRPr="00C52A3C" w:rsidRDefault="009E12AA" w:rsidP="00843C95">
      <w:pPr>
        <w:pStyle w:val="Tiret4"/>
        <w:rPr>
          <w:noProof/>
        </w:rPr>
      </w:pPr>
      <w:r>
        <w:rPr>
          <w:noProof/>
        </w:rPr>
        <w:t xml:space="preserve">more than </w:t>
      </w:r>
      <w:r w:rsidRPr="00A06713">
        <w:rPr>
          <w:noProof/>
        </w:rPr>
        <w:t xml:space="preserve">20% of either the institution’s </w:t>
      </w:r>
      <w:r>
        <w:rPr>
          <w:noProof/>
        </w:rPr>
        <w:t xml:space="preserve">consolidated </w:t>
      </w:r>
      <w:r w:rsidR="00E262B0">
        <w:rPr>
          <w:noProof/>
        </w:rPr>
        <w:t xml:space="preserve">total </w:t>
      </w:r>
      <w:r w:rsidRPr="00A06713">
        <w:rPr>
          <w:noProof/>
        </w:rPr>
        <w:t xml:space="preserve">assets </w:t>
      </w:r>
      <w:r w:rsidR="001B5FA5" w:rsidRPr="00A06713">
        <w:rPr>
          <w:noProof/>
        </w:rPr>
        <w:t xml:space="preserve">as </w:t>
      </w:r>
      <w:r w:rsidR="00E262B0">
        <w:rPr>
          <w:noProof/>
        </w:rPr>
        <w:t>defined</w:t>
      </w:r>
      <w:r w:rsidR="001B5FA5" w:rsidRPr="00A06713">
        <w:rPr>
          <w:noProof/>
        </w:rPr>
        <w:t xml:space="preserve"> in template 1.1</w:t>
      </w:r>
      <w:r w:rsidR="001B5FA5">
        <w:rPr>
          <w:noProof/>
        </w:rPr>
        <w:t xml:space="preserve"> of Annex III </w:t>
      </w:r>
      <w:r w:rsidR="003742E5">
        <w:rPr>
          <w:noProof/>
        </w:rPr>
        <w:t xml:space="preserve">or IV, as applicable, </w:t>
      </w:r>
      <w:r w:rsidRPr="00A06713">
        <w:rPr>
          <w:noProof/>
        </w:rPr>
        <w:t>or the institution’s</w:t>
      </w:r>
      <w:r>
        <w:rPr>
          <w:noProof/>
        </w:rPr>
        <w:t xml:space="preserve"> consolidated</w:t>
      </w:r>
      <w:r w:rsidRPr="00A06713">
        <w:rPr>
          <w:noProof/>
        </w:rPr>
        <w:t xml:space="preserve"> </w:t>
      </w:r>
      <w:r w:rsidR="00E262B0">
        <w:rPr>
          <w:noProof/>
        </w:rPr>
        <w:t xml:space="preserve">total </w:t>
      </w:r>
      <w:r w:rsidRPr="00A06713">
        <w:rPr>
          <w:noProof/>
        </w:rPr>
        <w:t xml:space="preserve">liabilities as </w:t>
      </w:r>
      <w:r w:rsidR="00E262B0">
        <w:rPr>
          <w:noProof/>
        </w:rPr>
        <w:t>defined</w:t>
      </w:r>
      <w:r w:rsidR="00E262B0" w:rsidRPr="00A06713">
        <w:rPr>
          <w:noProof/>
        </w:rPr>
        <w:t xml:space="preserve"> </w:t>
      </w:r>
      <w:r w:rsidRPr="00A06713">
        <w:rPr>
          <w:noProof/>
        </w:rPr>
        <w:t>in template</w:t>
      </w:r>
      <w:r w:rsidR="00F658EB">
        <w:rPr>
          <w:noProof/>
        </w:rPr>
        <w:t xml:space="preserve"> </w:t>
      </w:r>
      <w:r w:rsidRPr="00A06713">
        <w:rPr>
          <w:noProof/>
        </w:rPr>
        <w:t xml:space="preserve">1.2 of Annex III or IV, as applicable, relates to activities </w:t>
      </w:r>
      <w:r w:rsidR="003742E5">
        <w:rPr>
          <w:noProof/>
        </w:rPr>
        <w:t>with</w:t>
      </w:r>
      <w:r w:rsidRPr="00A06713">
        <w:rPr>
          <w:noProof/>
        </w:rPr>
        <w:t xml:space="preserve"> counterpart</w:t>
      </w:r>
      <w:r w:rsidR="003742E5">
        <w:rPr>
          <w:noProof/>
        </w:rPr>
        <w:t>ies</w:t>
      </w:r>
      <w:r w:rsidRPr="00A06713">
        <w:rPr>
          <w:noProof/>
        </w:rPr>
        <w:t xml:space="preserve"> located in a Member State other than th</w:t>
      </w:r>
      <w:r w:rsidR="003742E5">
        <w:rPr>
          <w:noProof/>
        </w:rPr>
        <w:t>at</w:t>
      </w:r>
      <w:r w:rsidRPr="00A06713">
        <w:rPr>
          <w:noProof/>
        </w:rPr>
        <w:t xml:space="preserve"> where the </w:t>
      </w:r>
      <w:r w:rsidR="003742E5">
        <w:rPr>
          <w:noProof/>
        </w:rPr>
        <w:t xml:space="preserve">parent </w:t>
      </w:r>
      <w:r w:rsidRPr="00A06713">
        <w:rPr>
          <w:noProof/>
        </w:rPr>
        <w:t xml:space="preserve">institution </w:t>
      </w:r>
      <w:r w:rsidR="003742E5">
        <w:rPr>
          <w:noProof/>
        </w:rPr>
        <w:t xml:space="preserve">is </w:t>
      </w:r>
      <w:r w:rsidR="000F0692">
        <w:rPr>
          <w:noProof/>
        </w:rPr>
        <w:t>authorised</w:t>
      </w:r>
      <w:r w:rsidR="00517ABE">
        <w:rPr>
          <w:noProof/>
        </w:rPr>
        <w:t>;</w:t>
      </w:r>
    </w:p>
    <w:p w14:paraId="3B229B17" w14:textId="652F2325" w:rsidR="009E12AA" w:rsidRPr="00C52A3C" w:rsidRDefault="00843C95" w:rsidP="00843C95">
      <w:pPr>
        <w:pStyle w:val="Point2"/>
        <w:rPr>
          <w:noProof/>
          <w:lang w:eastAsia="en-GB"/>
        </w:rPr>
      </w:pPr>
      <w:r w:rsidRPr="00843C95">
        <w:t>(c)</w:t>
      </w:r>
      <w:r w:rsidRPr="00843C95">
        <w:tab/>
      </w:r>
      <w:r w:rsidR="00517ABE">
        <w:rPr>
          <w:noProof/>
          <w:lang w:eastAsia="en-GB"/>
        </w:rPr>
        <w:t>i</w:t>
      </w:r>
      <w:r w:rsidR="009E12AA" w:rsidRPr="00C52A3C">
        <w:rPr>
          <w:noProof/>
          <w:lang w:eastAsia="en-GB"/>
        </w:rPr>
        <w:t xml:space="preserve">nstitutions which calculate the own funds requirements relating to operational risk </w:t>
      </w:r>
      <w:r w:rsidR="0002137F" w:rsidRPr="0002137F">
        <w:rPr>
          <w:noProof/>
          <w:lang w:eastAsia="en-GB"/>
        </w:rPr>
        <w:t>in accordance with</w:t>
      </w:r>
      <w:r w:rsidR="009E12AA" w:rsidRPr="00C52A3C">
        <w:rPr>
          <w:noProof/>
          <w:lang w:eastAsia="en-GB"/>
        </w:rPr>
        <w:t xml:space="preserve"> Chapter 3 of Title III of Part Three of Regulation (EU) No 575/</w:t>
      </w:r>
      <w:r w:rsidR="009E12AA" w:rsidRPr="0017091C">
        <w:rPr>
          <w:noProof/>
          <w:lang w:eastAsia="en-GB"/>
        </w:rPr>
        <w:t xml:space="preserve">2013 and for which none of the conditions </w:t>
      </w:r>
      <w:r w:rsidR="0017091C" w:rsidRPr="00F241F8">
        <w:rPr>
          <w:noProof/>
          <w:lang w:eastAsia="en-GB"/>
        </w:rPr>
        <w:t>in</w:t>
      </w:r>
      <w:r w:rsidR="00F658EB">
        <w:rPr>
          <w:noProof/>
          <w:lang w:eastAsia="en-GB"/>
        </w:rPr>
        <w:t xml:space="preserve"> </w:t>
      </w:r>
      <w:r w:rsidR="0017091C" w:rsidRPr="00F241F8">
        <w:rPr>
          <w:noProof/>
          <w:lang w:eastAsia="en-GB"/>
        </w:rPr>
        <w:t>point</w:t>
      </w:r>
      <w:r w:rsidR="009E12AA" w:rsidRPr="0017091C">
        <w:rPr>
          <w:noProof/>
          <w:lang w:eastAsia="en-GB"/>
        </w:rPr>
        <w:t xml:space="preserve"> (b) is met, shall report the information </w:t>
      </w:r>
      <w:r w:rsidR="00056293" w:rsidRPr="0017091C">
        <w:rPr>
          <w:noProof/>
          <w:lang w:eastAsia="en-GB"/>
        </w:rPr>
        <w:t xml:space="preserve">referred to </w:t>
      </w:r>
      <w:r w:rsidR="009E12AA" w:rsidRPr="0017091C">
        <w:rPr>
          <w:noProof/>
          <w:lang w:eastAsia="en-GB"/>
        </w:rPr>
        <w:t xml:space="preserve">in </w:t>
      </w:r>
      <w:r w:rsidR="009E12AA" w:rsidRPr="007D1FC4">
        <w:t xml:space="preserve">points (i) and (ii) </w:t>
      </w:r>
      <w:r w:rsidR="009E12AA" w:rsidRPr="00C52A3C">
        <w:rPr>
          <w:noProof/>
          <w:lang w:eastAsia="en-GB"/>
        </w:rPr>
        <w:t>below in accordance with the instructions in point 4.2 of Part II of Annex II:</w:t>
      </w:r>
    </w:p>
    <w:p w14:paraId="39A484A4" w14:textId="696CCF68" w:rsidR="009E12AA" w:rsidRPr="00C52A3C" w:rsidRDefault="00377A2A" w:rsidP="00843C95">
      <w:pPr>
        <w:pStyle w:val="Point3"/>
        <w:rPr>
          <w:noProof/>
        </w:rPr>
      </w:pPr>
      <w:r>
        <w:rPr>
          <w:noProof/>
        </w:rPr>
        <w:t>(i)</w:t>
      </w:r>
      <w:r w:rsidR="00843C95">
        <w:rPr>
          <w:noProof/>
        </w:rPr>
        <w:tab/>
      </w:r>
      <w:r w:rsidR="008F0F25">
        <w:rPr>
          <w:noProof/>
        </w:rPr>
        <w:t>t</w:t>
      </w:r>
      <w:r w:rsidR="009E12AA" w:rsidRPr="00C52A3C">
        <w:rPr>
          <w:noProof/>
        </w:rPr>
        <w:t>he information as specified for column 080 of template 17.01 of Annex I for</w:t>
      </w:r>
      <w:r w:rsidR="002B151C">
        <w:rPr>
          <w:noProof/>
        </w:rPr>
        <w:t xml:space="preserve"> </w:t>
      </w:r>
      <w:r w:rsidR="009E12AA" w:rsidRPr="00C52A3C">
        <w:rPr>
          <w:noProof/>
        </w:rPr>
        <w:t>the following rows:</w:t>
      </w:r>
    </w:p>
    <w:p w14:paraId="778165C3" w14:textId="235452B3" w:rsidR="009E12AA" w:rsidRPr="00C52A3C" w:rsidRDefault="009E12AA" w:rsidP="00843C95">
      <w:pPr>
        <w:pStyle w:val="Tiret4"/>
        <w:rPr>
          <w:noProof/>
        </w:rPr>
      </w:pPr>
      <w:r w:rsidRPr="00C52A3C">
        <w:rPr>
          <w:noProof/>
        </w:rPr>
        <w:t>number of events</w:t>
      </w:r>
      <w:r>
        <w:rPr>
          <w:noProof/>
        </w:rPr>
        <w:t xml:space="preserve"> (new events)</w:t>
      </w:r>
      <w:r w:rsidRPr="00C52A3C">
        <w:rPr>
          <w:noProof/>
        </w:rPr>
        <w:t xml:space="preserve"> (row 910);</w:t>
      </w:r>
    </w:p>
    <w:p w14:paraId="3A29D00B" w14:textId="74F562A2" w:rsidR="009E12AA" w:rsidRPr="00C52A3C" w:rsidRDefault="009E12AA" w:rsidP="00843C95">
      <w:pPr>
        <w:pStyle w:val="Tiret4"/>
        <w:rPr>
          <w:noProof/>
        </w:rPr>
      </w:pPr>
      <w:r w:rsidRPr="00C52A3C">
        <w:rPr>
          <w:noProof/>
        </w:rPr>
        <w:t>gross loss amount</w:t>
      </w:r>
      <w:r>
        <w:rPr>
          <w:noProof/>
        </w:rPr>
        <w:t xml:space="preserve"> (new events)</w:t>
      </w:r>
      <w:r w:rsidRPr="00C52A3C">
        <w:rPr>
          <w:noProof/>
        </w:rPr>
        <w:t xml:space="preserve"> (row 920);</w:t>
      </w:r>
    </w:p>
    <w:p w14:paraId="711F068B" w14:textId="04D5D73E" w:rsidR="009E12AA" w:rsidRPr="00C52A3C" w:rsidRDefault="009E12AA" w:rsidP="00843C95">
      <w:pPr>
        <w:pStyle w:val="Tiret4"/>
        <w:rPr>
          <w:noProof/>
        </w:rPr>
      </w:pPr>
      <w:r w:rsidRPr="00C52A3C">
        <w:rPr>
          <w:noProof/>
        </w:rPr>
        <w:t>number of events subject to loss adjustments (row 930)</w:t>
      </w:r>
    </w:p>
    <w:p w14:paraId="4E4AE673" w14:textId="4A536730" w:rsidR="009E12AA" w:rsidRPr="00C52A3C" w:rsidRDefault="009E12AA" w:rsidP="00843C95">
      <w:pPr>
        <w:pStyle w:val="Tiret4"/>
        <w:rPr>
          <w:noProof/>
        </w:rPr>
      </w:pPr>
      <w:r>
        <w:rPr>
          <w:noProof/>
        </w:rPr>
        <w:t>l</w:t>
      </w:r>
      <w:r w:rsidRPr="00C52A3C">
        <w:rPr>
          <w:noProof/>
        </w:rPr>
        <w:t>oss adjustments relating to previous reporting periods (row 940)</w:t>
      </w:r>
    </w:p>
    <w:p w14:paraId="2A77AF75" w14:textId="7CAA864F" w:rsidR="009E12AA" w:rsidRPr="00C52A3C" w:rsidRDefault="00377A2A" w:rsidP="00843C95">
      <w:pPr>
        <w:pStyle w:val="Tiret4"/>
        <w:rPr>
          <w:noProof/>
        </w:rPr>
      </w:pPr>
      <w:r>
        <w:rPr>
          <w:noProof/>
        </w:rPr>
        <w:t xml:space="preserve"> </w:t>
      </w:r>
      <w:r w:rsidR="009E12AA" w:rsidRPr="00C52A3C">
        <w:rPr>
          <w:noProof/>
        </w:rPr>
        <w:t xml:space="preserve">maximum single loss (row 950); </w:t>
      </w:r>
    </w:p>
    <w:p w14:paraId="4C92E1A3" w14:textId="34EF77CA" w:rsidR="009E12AA" w:rsidRPr="00C52A3C" w:rsidRDefault="00377A2A" w:rsidP="00843C95">
      <w:pPr>
        <w:pStyle w:val="Tiret4"/>
        <w:rPr>
          <w:noProof/>
        </w:rPr>
      </w:pPr>
      <w:r>
        <w:rPr>
          <w:noProof/>
        </w:rPr>
        <w:t xml:space="preserve"> </w:t>
      </w:r>
      <w:r w:rsidR="009E12AA" w:rsidRPr="00C52A3C">
        <w:rPr>
          <w:noProof/>
        </w:rPr>
        <w:t>sum of the five largest losses (row 960);</w:t>
      </w:r>
    </w:p>
    <w:p w14:paraId="39E704A7" w14:textId="04390E62" w:rsidR="009E12AA" w:rsidRPr="00C52A3C" w:rsidRDefault="009E12AA" w:rsidP="00843C95">
      <w:pPr>
        <w:pStyle w:val="Tiret4"/>
        <w:rPr>
          <w:noProof/>
        </w:rPr>
      </w:pPr>
      <w:r w:rsidRPr="00C52A3C">
        <w:rPr>
          <w:noProof/>
        </w:rPr>
        <w:t>total direct loss recovery (except insurance and other risk transfer mechanisms) (row 970)</w:t>
      </w:r>
      <w:r w:rsidR="008F0F25">
        <w:rPr>
          <w:noProof/>
        </w:rPr>
        <w:t>;</w:t>
      </w:r>
    </w:p>
    <w:p w14:paraId="6EAA5DB8" w14:textId="66C586B6" w:rsidR="009E12AA" w:rsidRPr="00C52A3C" w:rsidRDefault="009E12AA" w:rsidP="00843C95">
      <w:pPr>
        <w:pStyle w:val="Tiret4"/>
        <w:rPr>
          <w:noProof/>
        </w:rPr>
      </w:pPr>
      <w:r w:rsidRPr="00C52A3C">
        <w:rPr>
          <w:noProof/>
        </w:rPr>
        <w:t>total recoveries from insurance and other risk transfer mechanisms (row 980)</w:t>
      </w:r>
      <w:r w:rsidR="008F0F25">
        <w:rPr>
          <w:noProof/>
        </w:rPr>
        <w:t>;</w:t>
      </w:r>
    </w:p>
    <w:p w14:paraId="18DA60FE" w14:textId="569E2B28" w:rsidR="009E12AA" w:rsidRPr="00C52A3C" w:rsidRDefault="00377A2A" w:rsidP="00843C95">
      <w:pPr>
        <w:pStyle w:val="Point3"/>
        <w:rPr>
          <w:noProof/>
        </w:rPr>
      </w:pPr>
      <w:r>
        <w:rPr>
          <w:noProof/>
        </w:rPr>
        <w:t>(ii)</w:t>
      </w:r>
      <w:r w:rsidR="00843C95">
        <w:rPr>
          <w:noProof/>
        </w:rPr>
        <w:tab/>
      </w:r>
      <w:r w:rsidR="008F0F25">
        <w:rPr>
          <w:noProof/>
        </w:rPr>
        <w:t>t</w:t>
      </w:r>
      <w:r w:rsidR="009E12AA" w:rsidRPr="00C52A3C">
        <w:rPr>
          <w:noProof/>
        </w:rPr>
        <w:t>he information as specified in template 17.02 of Annex I</w:t>
      </w:r>
      <w:r w:rsidR="008F0F25">
        <w:rPr>
          <w:noProof/>
        </w:rPr>
        <w:t>;</w:t>
      </w:r>
    </w:p>
    <w:p w14:paraId="0CC7C193" w14:textId="41BF5BBC" w:rsidR="009E12AA" w:rsidRPr="00C52A3C" w:rsidRDefault="00843C95" w:rsidP="00843C95">
      <w:pPr>
        <w:pStyle w:val="Point2"/>
        <w:rPr>
          <w:noProof/>
          <w:lang w:eastAsia="en-GB"/>
        </w:rPr>
      </w:pPr>
      <w:r w:rsidRPr="00843C95">
        <w:t>(d)</w:t>
      </w:r>
      <w:r w:rsidRPr="00843C95">
        <w:tab/>
      </w:r>
      <w:r w:rsidR="008F0F25">
        <w:rPr>
          <w:noProof/>
          <w:lang w:eastAsia="en-GB"/>
        </w:rPr>
        <w:t>t</w:t>
      </w:r>
      <w:r w:rsidR="009E12AA" w:rsidRPr="00C52A3C">
        <w:rPr>
          <w:noProof/>
          <w:lang w:eastAsia="en-GB"/>
        </w:rPr>
        <w:t xml:space="preserve">he institutions </w:t>
      </w:r>
      <w:r w:rsidR="009E12AA">
        <w:rPr>
          <w:noProof/>
          <w:lang w:eastAsia="en-GB"/>
        </w:rPr>
        <w:t xml:space="preserve">referred </w:t>
      </w:r>
      <w:r w:rsidR="009E12AA" w:rsidRPr="0017091C">
        <w:rPr>
          <w:noProof/>
          <w:lang w:eastAsia="en-GB"/>
        </w:rPr>
        <w:t xml:space="preserve">to in </w:t>
      </w:r>
      <w:r w:rsidR="0017091C" w:rsidRPr="00EB54AB">
        <w:rPr>
          <w:noProof/>
          <w:lang w:eastAsia="en-GB"/>
        </w:rPr>
        <w:t>point</w:t>
      </w:r>
      <w:r w:rsidR="009E12AA" w:rsidRPr="0017091C">
        <w:rPr>
          <w:noProof/>
          <w:lang w:eastAsia="en-GB"/>
        </w:rPr>
        <w:t xml:space="preserve"> (c)</w:t>
      </w:r>
      <w:r w:rsidR="009E12AA" w:rsidRPr="00C52A3C">
        <w:rPr>
          <w:noProof/>
          <w:lang w:eastAsia="en-GB"/>
        </w:rPr>
        <w:t xml:space="preserve"> </w:t>
      </w:r>
      <w:r w:rsidR="009E12AA" w:rsidRPr="007D1FC4">
        <w:t>may report</w:t>
      </w:r>
      <w:r w:rsidR="009E12AA" w:rsidRPr="00C52A3C">
        <w:rPr>
          <w:noProof/>
          <w:lang w:eastAsia="en-GB"/>
        </w:rPr>
        <w:t xml:space="preserve"> the complete set of information specified in templates 17.01 and 17.02 of Annex I, </w:t>
      </w:r>
      <w:r w:rsidR="0002137F" w:rsidRPr="0002137F">
        <w:rPr>
          <w:noProof/>
          <w:lang w:eastAsia="en-GB"/>
        </w:rPr>
        <w:t>in accordance with</w:t>
      </w:r>
      <w:r w:rsidR="009E12AA" w:rsidRPr="00C52A3C">
        <w:rPr>
          <w:noProof/>
          <w:lang w:eastAsia="en-GB"/>
        </w:rPr>
        <w:t xml:space="preserve"> the instructions in point 4.2 of Part II of Annex II</w:t>
      </w:r>
      <w:r w:rsidR="008F0F25">
        <w:rPr>
          <w:noProof/>
          <w:lang w:eastAsia="en-GB"/>
        </w:rPr>
        <w:t>;</w:t>
      </w:r>
    </w:p>
    <w:p w14:paraId="6659DAF3" w14:textId="34BC957B" w:rsidR="009E12AA" w:rsidRPr="00B05C21" w:rsidRDefault="00843C95" w:rsidP="00843C95">
      <w:pPr>
        <w:pStyle w:val="Point2"/>
        <w:rPr>
          <w:noProof/>
          <w:lang w:eastAsia="en-GB"/>
        </w:rPr>
      </w:pPr>
      <w:r w:rsidRPr="00843C95">
        <w:t>(e)</w:t>
      </w:r>
      <w:r w:rsidRPr="00843C95">
        <w:tab/>
      </w:r>
      <w:r w:rsidR="008F0F25">
        <w:rPr>
          <w:noProof/>
          <w:lang w:eastAsia="en-GB"/>
        </w:rPr>
        <w:t>i</w:t>
      </w:r>
      <w:r w:rsidR="009E12AA" w:rsidRPr="00C52A3C">
        <w:rPr>
          <w:noProof/>
          <w:lang w:eastAsia="en-GB"/>
        </w:rPr>
        <w:t xml:space="preserve">nstitutions which calculate the own funds requirements relating to operational risk </w:t>
      </w:r>
      <w:r w:rsidR="0002137F" w:rsidRPr="0002137F">
        <w:rPr>
          <w:noProof/>
          <w:lang w:eastAsia="en-GB"/>
        </w:rPr>
        <w:t>in accordance with</w:t>
      </w:r>
      <w:r w:rsidR="009E12AA" w:rsidRPr="00C52A3C">
        <w:rPr>
          <w:noProof/>
          <w:lang w:eastAsia="en-GB"/>
        </w:rPr>
        <w:t xml:space="preserve"> Chapter 2 of Title III of Part </w:t>
      </w:r>
      <w:r w:rsidR="009E12AA">
        <w:rPr>
          <w:noProof/>
          <w:lang w:eastAsia="en-GB"/>
        </w:rPr>
        <w:t>Three</w:t>
      </w:r>
      <w:r w:rsidR="009E12AA" w:rsidRPr="00C52A3C">
        <w:rPr>
          <w:noProof/>
          <w:lang w:eastAsia="en-GB"/>
        </w:rPr>
        <w:t xml:space="preserve"> of Regulation (EU) No 575/2013 and that meet at least one of the </w:t>
      </w:r>
      <w:r w:rsidR="0017091C" w:rsidRPr="00B05C21">
        <w:rPr>
          <w:noProof/>
          <w:lang w:eastAsia="en-GB"/>
        </w:rPr>
        <w:t xml:space="preserve">conditions </w:t>
      </w:r>
      <w:r w:rsidR="009E12AA" w:rsidRPr="00B05C21">
        <w:rPr>
          <w:noProof/>
          <w:lang w:eastAsia="en-GB"/>
        </w:rPr>
        <w:lastRenderedPageBreak/>
        <w:t>(ii) to (v) of</w:t>
      </w:r>
      <w:r w:rsidR="00F241F8" w:rsidRPr="00B05C21">
        <w:rPr>
          <w:noProof/>
          <w:lang w:eastAsia="en-GB"/>
        </w:rPr>
        <w:t xml:space="preserve"> </w:t>
      </w:r>
      <w:r w:rsidR="0017091C" w:rsidRPr="00B05C21">
        <w:rPr>
          <w:noProof/>
          <w:lang w:eastAsia="en-GB"/>
        </w:rPr>
        <w:t>point</w:t>
      </w:r>
      <w:r w:rsidR="009E12AA" w:rsidRPr="00B05C21">
        <w:rPr>
          <w:noProof/>
          <w:lang w:eastAsia="en-GB"/>
        </w:rPr>
        <w:t xml:space="preserve"> (b) shall report this information </w:t>
      </w:r>
      <w:r w:rsidR="009E12AA" w:rsidRPr="007D1FC4">
        <w:t>as specified</w:t>
      </w:r>
      <w:r w:rsidR="009E12AA" w:rsidRPr="00B05C21">
        <w:rPr>
          <w:noProof/>
          <w:lang w:eastAsia="en-GB"/>
        </w:rPr>
        <w:t xml:space="preserve"> in templates 17.01 and 17.02 of Annex I </w:t>
      </w:r>
      <w:r w:rsidR="0017091C" w:rsidRPr="00B05C21">
        <w:rPr>
          <w:noProof/>
          <w:lang w:eastAsia="en-GB"/>
        </w:rPr>
        <w:t>i</w:t>
      </w:r>
      <w:r w:rsidR="00EA7A1F" w:rsidRPr="00B05C21">
        <w:rPr>
          <w:noProof/>
          <w:lang w:eastAsia="en-GB"/>
        </w:rPr>
        <w:t>n accordanc</w:t>
      </w:r>
      <w:r w:rsidR="0017091C" w:rsidRPr="00B05C21">
        <w:rPr>
          <w:noProof/>
          <w:lang w:eastAsia="en-GB"/>
        </w:rPr>
        <w:t>e with</w:t>
      </w:r>
      <w:r w:rsidR="009E12AA" w:rsidRPr="00B05C21">
        <w:rPr>
          <w:noProof/>
          <w:lang w:eastAsia="en-GB"/>
        </w:rPr>
        <w:t xml:space="preserve"> the instructions in point 4.2 of Part II of Annex II</w:t>
      </w:r>
      <w:r w:rsidR="008F0F25" w:rsidRPr="00B05C21">
        <w:rPr>
          <w:noProof/>
          <w:lang w:eastAsia="en-GB"/>
        </w:rPr>
        <w:t>;</w:t>
      </w:r>
    </w:p>
    <w:p w14:paraId="20317F1C" w14:textId="140591F1" w:rsidR="009E12AA" w:rsidRPr="007D1FC4" w:rsidRDefault="00843C95" w:rsidP="00843C95">
      <w:pPr>
        <w:pStyle w:val="Point2"/>
      </w:pPr>
      <w:r w:rsidRPr="00843C95">
        <w:t>(f)</w:t>
      </w:r>
      <w:r w:rsidRPr="00843C95">
        <w:tab/>
      </w:r>
      <w:r w:rsidR="008F0F25" w:rsidRPr="00B05C21">
        <w:rPr>
          <w:noProof/>
          <w:lang w:eastAsia="en-GB"/>
        </w:rPr>
        <w:t>i</w:t>
      </w:r>
      <w:r w:rsidR="009E12AA" w:rsidRPr="00B05C21">
        <w:rPr>
          <w:noProof/>
          <w:lang w:eastAsia="en-GB"/>
        </w:rPr>
        <w:t xml:space="preserve">nstitutions which calculate the own funds requirements relating to operational risk </w:t>
      </w:r>
      <w:r w:rsidR="0002137F" w:rsidRPr="00B05C21">
        <w:rPr>
          <w:noProof/>
          <w:lang w:eastAsia="en-GB"/>
        </w:rPr>
        <w:t>in accordance with</w:t>
      </w:r>
      <w:r w:rsidR="00475F2E" w:rsidRPr="00B05C21">
        <w:rPr>
          <w:noProof/>
          <w:lang w:eastAsia="en-GB"/>
        </w:rPr>
        <w:t xml:space="preserve"> </w:t>
      </w:r>
      <w:r w:rsidR="009E12AA" w:rsidRPr="00B05C21">
        <w:rPr>
          <w:noProof/>
          <w:lang w:eastAsia="en-GB"/>
        </w:rPr>
        <w:t xml:space="preserve">Chapter 2 of Title III of Part Three of Regulation (EU) No 575/2013 and for which none of the </w:t>
      </w:r>
      <w:r w:rsidR="0017091C" w:rsidRPr="00B05C21">
        <w:rPr>
          <w:noProof/>
          <w:lang w:eastAsia="en-GB"/>
        </w:rPr>
        <w:t xml:space="preserve">conditions </w:t>
      </w:r>
      <w:r w:rsidR="009E12AA" w:rsidRPr="00B05C21">
        <w:rPr>
          <w:noProof/>
          <w:lang w:eastAsia="en-GB"/>
        </w:rPr>
        <w:t xml:space="preserve">set out in points (ii) to (v) of </w:t>
      </w:r>
      <w:r w:rsidR="0017091C" w:rsidRPr="00B05C21">
        <w:rPr>
          <w:noProof/>
          <w:lang w:eastAsia="en-GB"/>
        </w:rPr>
        <w:t>point</w:t>
      </w:r>
      <w:r w:rsidR="009E12AA" w:rsidRPr="00B05C21">
        <w:rPr>
          <w:noProof/>
          <w:lang w:eastAsia="en-GB"/>
        </w:rPr>
        <w:t xml:space="preserve"> (b) are met, </w:t>
      </w:r>
      <w:r w:rsidR="009E12AA" w:rsidRPr="007D1FC4">
        <w:t xml:space="preserve">may report the information referred to in templates 17.01 and 17.02 of Annex I </w:t>
      </w:r>
      <w:r w:rsidR="0002137F" w:rsidRPr="007D1FC4">
        <w:t>in accordance with</w:t>
      </w:r>
      <w:r w:rsidR="009E12AA" w:rsidRPr="007D1FC4">
        <w:t xml:space="preserve"> the instructions in point 4.2 of Part II of Annex II</w:t>
      </w:r>
      <w:r w:rsidR="00517ABE" w:rsidRPr="00B05C21">
        <w:rPr>
          <w:noProof/>
          <w:lang w:eastAsia="en-GB"/>
        </w:rPr>
        <w:t>;</w:t>
      </w:r>
    </w:p>
    <w:p w14:paraId="25E61F0E" w14:textId="5D11EEDE" w:rsidR="009E12AA" w:rsidRPr="007D1FC4" w:rsidRDefault="00843C95" w:rsidP="00843C95">
      <w:pPr>
        <w:pStyle w:val="Point2"/>
        <w:rPr>
          <w:noProof/>
          <w:lang w:eastAsia="en-GB"/>
        </w:rPr>
      </w:pPr>
      <w:r w:rsidRPr="00843C95">
        <w:t>(g)</w:t>
      </w:r>
      <w:r w:rsidRPr="00843C95">
        <w:tab/>
      </w:r>
      <w:r w:rsidR="00517ABE" w:rsidRPr="007D1FC4">
        <w:t>t</w:t>
      </w:r>
      <w:r w:rsidR="009E12AA" w:rsidRPr="007D1FC4">
        <w:t>he entry and exit criteria of Article 4 shall apply</w:t>
      </w:r>
      <w:r w:rsidR="009E12AA" w:rsidRPr="007D1FC4">
        <w:rPr>
          <w:noProof/>
          <w:lang w:eastAsia="en-GB"/>
        </w:rPr>
        <w:t>.</w:t>
      </w:r>
      <w:r w:rsidR="00E262B0" w:rsidRPr="007D1FC4">
        <w:rPr>
          <w:noProof/>
          <w:lang w:eastAsia="en-GB"/>
        </w:rPr>
        <w:t>”</w:t>
      </w:r>
      <w:r w:rsidR="00240D7D" w:rsidRPr="007D1FC4">
        <w:rPr>
          <w:noProof/>
          <w:lang w:eastAsia="en-GB"/>
        </w:rPr>
        <w:t>;</w:t>
      </w:r>
    </w:p>
    <w:p w14:paraId="08421350" w14:textId="3813DA26" w:rsidR="009E12AA" w:rsidRPr="00C52A3C" w:rsidRDefault="00240D7D" w:rsidP="00843C95">
      <w:pPr>
        <w:pStyle w:val="Point0"/>
        <w:rPr>
          <w:noProof/>
          <w:lang w:eastAsia="en-GB"/>
        </w:rPr>
      </w:pPr>
      <w:r w:rsidRPr="00843C95">
        <w:t>(2)</w:t>
      </w:r>
      <w:r w:rsidRPr="00843C95">
        <w:tab/>
      </w:r>
      <w:r>
        <w:rPr>
          <w:noProof/>
          <w:lang w:eastAsia="en-GB"/>
        </w:rPr>
        <w:t>in</w:t>
      </w:r>
      <w:r w:rsidR="009E12AA" w:rsidRPr="00C52A3C">
        <w:rPr>
          <w:noProof/>
          <w:lang w:eastAsia="en-GB"/>
        </w:rPr>
        <w:t xml:space="preserve"> Article 5(b)</w:t>
      </w:r>
      <w:r>
        <w:rPr>
          <w:noProof/>
          <w:lang w:eastAsia="en-GB"/>
        </w:rPr>
        <w:t>, the following paragraph</w:t>
      </w:r>
      <w:r w:rsidR="009E12AA" w:rsidRPr="00C52A3C">
        <w:rPr>
          <w:noProof/>
          <w:lang w:eastAsia="en-GB"/>
        </w:rPr>
        <w:t xml:space="preserve"> (3) is </w:t>
      </w:r>
      <w:r>
        <w:rPr>
          <w:noProof/>
          <w:lang w:eastAsia="en-GB"/>
        </w:rPr>
        <w:t>added</w:t>
      </w:r>
      <w:r w:rsidR="009E12AA" w:rsidRPr="00C52A3C">
        <w:rPr>
          <w:noProof/>
          <w:lang w:eastAsia="en-GB"/>
        </w:rPr>
        <w:t>:</w:t>
      </w:r>
    </w:p>
    <w:p w14:paraId="69EB9284" w14:textId="7F5A5EF2" w:rsidR="009E12AA" w:rsidRPr="00C52A3C" w:rsidRDefault="006B4492" w:rsidP="00317EE5">
      <w:pPr>
        <w:pStyle w:val="Text1"/>
        <w:rPr>
          <w:noProof/>
          <w:lang w:eastAsia="en-GB"/>
        </w:rPr>
      </w:pPr>
      <w:r>
        <w:rPr>
          <w:noProof/>
          <w:lang w:eastAsia="en-GB"/>
        </w:rPr>
        <w:t>“</w:t>
      </w:r>
      <w:r w:rsidR="00E01CF4">
        <w:rPr>
          <w:noProof/>
          <w:lang w:eastAsia="en-GB"/>
        </w:rPr>
        <w:t xml:space="preserve">(3) </w:t>
      </w:r>
      <w:r w:rsidR="009E12AA" w:rsidRPr="00C52A3C">
        <w:rPr>
          <w:noProof/>
          <w:lang w:eastAsia="en-GB"/>
        </w:rPr>
        <w:t xml:space="preserve">the information on sovereign exposures </w:t>
      </w:r>
      <w:r w:rsidR="0002089B">
        <w:rPr>
          <w:noProof/>
          <w:lang w:eastAsia="en-GB"/>
        </w:rPr>
        <w:t>as follows</w:t>
      </w:r>
      <w:r w:rsidR="009E12AA" w:rsidRPr="00C52A3C">
        <w:rPr>
          <w:noProof/>
          <w:lang w:eastAsia="en-GB"/>
        </w:rPr>
        <w:t>:</w:t>
      </w:r>
    </w:p>
    <w:p w14:paraId="0D60C379" w14:textId="3D54DFF2" w:rsidR="009E12AA" w:rsidRPr="00C52A3C" w:rsidRDefault="00843C95" w:rsidP="00843C95">
      <w:pPr>
        <w:pStyle w:val="Point2"/>
        <w:rPr>
          <w:noProof/>
          <w:lang w:eastAsia="en-GB"/>
        </w:rPr>
      </w:pPr>
      <w:r w:rsidRPr="00843C95">
        <w:t>(a)</w:t>
      </w:r>
      <w:r w:rsidRPr="00843C95">
        <w:tab/>
      </w:r>
      <w:r w:rsidR="009E12AA" w:rsidRPr="00C52A3C">
        <w:rPr>
          <w:noProof/>
          <w:lang w:eastAsia="en-GB"/>
        </w:rPr>
        <w:t xml:space="preserve">institutions shall report the information specified in </w:t>
      </w:r>
      <w:r w:rsidR="009E12AA" w:rsidRPr="007D1FC4">
        <w:t>template 33</w:t>
      </w:r>
      <w:r w:rsidR="00E01CF4" w:rsidRPr="001E5F03">
        <w:rPr>
          <w:noProof/>
          <w:lang w:eastAsia="en-GB"/>
        </w:rPr>
        <w:t xml:space="preserve"> </w:t>
      </w:r>
      <w:r w:rsidR="00D01020" w:rsidRPr="007D1FC4">
        <w:t>of Annex</w:t>
      </w:r>
      <w:r w:rsidR="00D01020" w:rsidRPr="001E5F03">
        <w:rPr>
          <w:noProof/>
          <w:lang w:eastAsia="en-GB"/>
        </w:rPr>
        <w:t xml:space="preserve"> I</w:t>
      </w:r>
      <w:r w:rsidR="009E12AA" w:rsidRPr="001E5F03">
        <w:rPr>
          <w:noProof/>
          <w:lang w:eastAsia="en-GB"/>
        </w:rPr>
        <w:t xml:space="preserve"> </w:t>
      </w:r>
      <w:r w:rsidR="0002137F" w:rsidRPr="001E5F03">
        <w:rPr>
          <w:noProof/>
          <w:lang w:eastAsia="en-GB"/>
        </w:rPr>
        <w:t>in accordance with</w:t>
      </w:r>
      <w:r w:rsidR="009E12AA" w:rsidRPr="001E5F03">
        <w:rPr>
          <w:noProof/>
          <w:lang w:eastAsia="en-GB"/>
        </w:rPr>
        <w:t xml:space="preserve"> the instructions in </w:t>
      </w:r>
      <w:r w:rsidR="00E01CF4" w:rsidRPr="001E5F03">
        <w:rPr>
          <w:noProof/>
          <w:lang w:eastAsia="en-GB"/>
        </w:rPr>
        <w:t xml:space="preserve">point 6 </w:t>
      </w:r>
      <w:r w:rsidR="00E01CF4" w:rsidRPr="001E0F3D">
        <w:rPr>
          <w:noProof/>
          <w:lang w:eastAsia="en-GB"/>
        </w:rPr>
        <w:t xml:space="preserve">of </w:t>
      </w:r>
      <w:r w:rsidR="009E12AA" w:rsidRPr="001E0F3D">
        <w:rPr>
          <w:noProof/>
          <w:lang w:eastAsia="en-GB"/>
        </w:rPr>
        <w:t xml:space="preserve">Part II of Annex II where the aggregate carrying amount of financial assets from the counterparty sector </w:t>
      </w:r>
      <w:r w:rsidR="00E01CF4" w:rsidRPr="007D1FC4">
        <w:t>'</w:t>
      </w:r>
      <w:r w:rsidR="009E12AA" w:rsidRPr="007D1FC4">
        <w:t>General governments</w:t>
      </w:r>
      <w:r w:rsidR="00E01CF4" w:rsidRPr="007D1FC4">
        <w:t>'</w:t>
      </w:r>
      <w:r w:rsidR="009E12AA" w:rsidRPr="001E5F03">
        <w:rPr>
          <w:noProof/>
          <w:lang w:eastAsia="en-GB"/>
        </w:rPr>
        <w:t xml:space="preserve"> is equal or higher than 1 % of the sum of total carrying amount for </w:t>
      </w:r>
      <w:r w:rsidR="00E01CF4" w:rsidRPr="007D1FC4">
        <w:t>'</w:t>
      </w:r>
      <w:r w:rsidR="009E12AA" w:rsidRPr="007D1FC4">
        <w:t>Debt securities and Loans and advances</w:t>
      </w:r>
      <w:r w:rsidR="00E01CF4" w:rsidRPr="007D1FC4">
        <w:t>'</w:t>
      </w:r>
      <w:r w:rsidR="009E12AA" w:rsidRPr="001E5F03">
        <w:rPr>
          <w:noProof/>
          <w:lang w:eastAsia="en-GB"/>
        </w:rPr>
        <w:t>.</w:t>
      </w:r>
      <w:r w:rsidR="009E12AA">
        <w:rPr>
          <w:noProof/>
          <w:lang w:eastAsia="en-GB"/>
        </w:rPr>
        <w:t xml:space="preserve"> </w:t>
      </w:r>
      <w:r w:rsidR="00DD4A3F">
        <w:rPr>
          <w:noProof/>
          <w:lang w:eastAsia="en-GB"/>
        </w:rPr>
        <w:t>For</w:t>
      </w:r>
      <w:r w:rsidR="0033384C">
        <w:rPr>
          <w:noProof/>
          <w:lang w:eastAsia="en-GB"/>
        </w:rPr>
        <w:t xml:space="preserve"> the purposes of determining those</w:t>
      </w:r>
      <w:r w:rsidR="00DD4A3F">
        <w:rPr>
          <w:noProof/>
          <w:lang w:eastAsia="en-GB"/>
        </w:rPr>
        <w:t xml:space="preserve"> carrying amount</w:t>
      </w:r>
      <w:r w:rsidR="0033384C">
        <w:rPr>
          <w:noProof/>
          <w:lang w:eastAsia="en-GB"/>
        </w:rPr>
        <w:t>s,</w:t>
      </w:r>
      <w:r w:rsidR="00DD4A3F">
        <w:rPr>
          <w:noProof/>
          <w:lang w:eastAsia="en-GB"/>
        </w:rPr>
        <w:t xml:space="preserve"> </w:t>
      </w:r>
      <w:r w:rsidR="0033384C" w:rsidRPr="007D1FC4">
        <w:rPr>
          <w:noProof/>
          <w:lang w:eastAsia="en-GB"/>
        </w:rPr>
        <w:t>i</w:t>
      </w:r>
      <w:r w:rsidR="009E12AA" w:rsidRPr="007D1FC4">
        <w:rPr>
          <w:noProof/>
          <w:lang w:eastAsia="en-GB"/>
        </w:rPr>
        <w:t xml:space="preserve">nstitutions </w:t>
      </w:r>
      <w:r w:rsidR="0002089B" w:rsidRPr="007D1FC4">
        <w:rPr>
          <w:noProof/>
          <w:lang w:eastAsia="en-GB"/>
        </w:rPr>
        <w:t xml:space="preserve">shall </w:t>
      </w:r>
      <w:r w:rsidR="00BD4F6B" w:rsidRPr="007D1FC4">
        <w:rPr>
          <w:noProof/>
          <w:lang w:eastAsia="en-GB"/>
        </w:rPr>
        <w:t>apply</w:t>
      </w:r>
      <w:r w:rsidR="0033384C" w:rsidRPr="007D1FC4">
        <w:rPr>
          <w:noProof/>
          <w:lang w:eastAsia="en-GB"/>
        </w:rPr>
        <w:t xml:space="preserve"> the definitions </w:t>
      </w:r>
      <w:r w:rsidR="00BD4F6B" w:rsidRPr="007D1FC4">
        <w:rPr>
          <w:noProof/>
          <w:lang w:eastAsia="en-GB"/>
        </w:rPr>
        <w:t>used in</w:t>
      </w:r>
      <w:r w:rsidR="00BD4F6B">
        <w:rPr>
          <w:noProof/>
          <w:lang w:eastAsia="en-GB"/>
        </w:rPr>
        <w:t xml:space="preserve"> </w:t>
      </w:r>
      <w:r w:rsidR="0033384C" w:rsidRPr="0002290C">
        <w:rPr>
          <w:noProof/>
          <w:lang w:eastAsia="en-GB"/>
        </w:rPr>
        <w:t>templates 4.1 to 4.4.1 of</w:t>
      </w:r>
      <w:r w:rsidR="002B151C">
        <w:rPr>
          <w:noProof/>
          <w:lang w:eastAsia="en-GB"/>
        </w:rPr>
        <w:t xml:space="preserve"> </w:t>
      </w:r>
      <w:r w:rsidR="009E12AA" w:rsidRPr="00286BFD">
        <w:rPr>
          <w:noProof/>
          <w:lang w:eastAsia="en-GB"/>
        </w:rPr>
        <w:t>Annex III</w:t>
      </w:r>
      <w:r w:rsidR="009E12AA" w:rsidRPr="0002290C">
        <w:rPr>
          <w:noProof/>
          <w:lang w:eastAsia="en-GB"/>
        </w:rPr>
        <w:t xml:space="preserve"> or </w:t>
      </w:r>
      <w:r w:rsidR="00E45C46" w:rsidRPr="0002290C">
        <w:rPr>
          <w:noProof/>
          <w:lang w:eastAsia="en-GB"/>
        </w:rPr>
        <w:t xml:space="preserve">templates 4.1 to 4.4.1 </w:t>
      </w:r>
      <w:r w:rsidR="00E45C46">
        <w:rPr>
          <w:noProof/>
          <w:lang w:eastAsia="en-GB"/>
        </w:rPr>
        <w:t xml:space="preserve">and </w:t>
      </w:r>
      <w:r w:rsidR="0033384C" w:rsidRPr="00286BFD">
        <w:rPr>
          <w:noProof/>
          <w:lang w:eastAsia="en-GB"/>
        </w:rPr>
        <w:t xml:space="preserve">4.6 to </w:t>
      </w:r>
      <w:r w:rsidR="003D7D75" w:rsidRPr="00286BFD">
        <w:rPr>
          <w:noProof/>
          <w:lang w:eastAsia="en-GB"/>
        </w:rPr>
        <w:t xml:space="preserve">4.10 </w:t>
      </w:r>
      <w:r w:rsidR="00E45C46">
        <w:rPr>
          <w:noProof/>
          <w:lang w:eastAsia="en-GB"/>
        </w:rPr>
        <w:t xml:space="preserve">of </w:t>
      </w:r>
      <w:r w:rsidR="009E12AA" w:rsidRPr="00286BFD">
        <w:rPr>
          <w:noProof/>
          <w:lang w:eastAsia="en-GB"/>
        </w:rPr>
        <w:t>Annex IV</w:t>
      </w:r>
      <w:r w:rsidR="009E12AA" w:rsidRPr="0002290C">
        <w:rPr>
          <w:noProof/>
          <w:lang w:eastAsia="en-GB"/>
        </w:rPr>
        <w:t>, as applicable</w:t>
      </w:r>
      <w:r w:rsidR="009E12AA" w:rsidRPr="00C52A3C">
        <w:rPr>
          <w:noProof/>
          <w:lang w:eastAsia="en-GB"/>
        </w:rPr>
        <w:t>;</w:t>
      </w:r>
    </w:p>
    <w:p w14:paraId="5437B38D" w14:textId="754AF82A" w:rsidR="009E12AA" w:rsidRPr="001E5F03" w:rsidRDefault="00843C95" w:rsidP="00843C95">
      <w:pPr>
        <w:pStyle w:val="Point2"/>
        <w:rPr>
          <w:noProof/>
          <w:lang w:eastAsia="en-GB"/>
        </w:rPr>
      </w:pPr>
      <w:r w:rsidRPr="00843C95">
        <w:t>(b)</w:t>
      </w:r>
      <w:r w:rsidRPr="00843C95">
        <w:tab/>
      </w:r>
      <w:r w:rsidR="009E12AA" w:rsidRPr="00C52A3C">
        <w:rPr>
          <w:noProof/>
          <w:lang w:eastAsia="en-GB"/>
        </w:rPr>
        <w:t xml:space="preserve">institutions that meet the criterion referred to in point (a) and where the value reported for domestic exposures of non-derivative financial assets as defined in row </w:t>
      </w:r>
      <w:r w:rsidR="0002367E">
        <w:rPr>
          <w:noProof/>
          <w:lang w:eastAsia="en-GB"/>
        </w:rPr>
        <w:t>0</w:t>
      </w:r>
      <w:r w:rsidR="009E12AA" w:rsidRPr="00C52A3C">
        <w:rPr>
          <w:noProof/>
          <w:lang w:eastAsia="en-GB"/>
        </w:rPr>
        <w:t xml:space="preserve">10, column </w:t>
      </w:r>
      <w:r w:rsidR="0002367E">
        <w:rPr>
          <w:noProof/>
          <w:lang w:eastAsia="en-GB"/>
        </w:rPr>
        <w:t>0</w:t>
      </w:r>
      <w:r w:rsidR="009E12AA" w:rsidRPr="00C52A3C">
        <w:rPr>
          <w:noProof/>
          <w:lang w:eastAsia="en-GB"/>
        </w:rPr>
        <w:t xml:space="preserve">10 of </w:t>
      </w:r>
      <w:r w:rsidR="009E12AA" w:rsidRPr="007D1FC4">
        <w:t>template 33</w:t>
      </w:r>
      <w:r w:rsidR="00104BCC" w:rsidRPr="001E5F03">
        <w:rPr>
          <w:noProof/>
          <w:lang w:eastAsia="en-GB"/>
        </w:rPr>
        <w:t xml:space="preserve"> </w:t>
      </w:r>
      <w:r w:rsidR="00104BCC" w:rsidRPr="007D1FC4">
        <w:t xml:space="preserve">of Annex </w:t>
      </w:r>
      <w:r w:rsidR="0002367E" w:rsidRPr="001E5F03">
        <w:rPr>
          <w:noProof/>
          <w:lang w:eastAsia="en-GB"/>
        </w:rPr>
        <w:t>I</w:t>
      </w:r>
      <w:r w:rsidR="009E12AA" w:rsidRPr="001E5F03">
        <w:rPr>
          <w:noProof/>
          <w:lang w:eastAsia="en-GB"/>
        </w:rPr>
        <w:t xml:space="preserve"> is less than 90 % of the value reported for domestic and non-domestic exposures for the same data point, shall report the information specified in template</w:t>
      </w:r>
      <w:r w:rsidR="009E12AA" w:rsidRPr="007D1FC4">
        <w:t xml:space="preserve"> 33</w:t>
      </w:r>
      <w:r w:rsidR="0002367E" w:rsidRPr="001E5F03">
        <w:rPr>
          <w:noProof/>
          <w:lang w:eastAsia="en-GB"/>
        </w:rPr>
        <w:t xml:space="preserve"> </w:t>
      </w:r>
      <w:r w:rsidR="00104BCC" w:rsidRPr="007D1FC4">
        <w:t>of</w:t>
      </w:r>
      <w:r w:rsidR="006954F3" w:rsidRPr="007D1FC4">
        <w:t xml:space="preserve"> </w:t>
      </w:r>
      <w:r w:rsidR="00104BCC" w:rsidRPr="007D1FC4">
        <w:t>Annex</w:t>
      </w:r>
      <w:r w:rsidR="0002367E" w:rsidRPr="001E5F03">
        <w:rPr>
          <w:noProof/>
          <w:lang w:eastAsia="en-GB"/>
        </w:rPr>
        <w:t xml:space="preserve"> I </w:t>
      </w:r>
      <w:r w:rsidR="0002137F" w:rsidRPr="001E5F03">
        <w:rPr>
          <w:noProof/>
          <w:lang w:eastAsia="en-GB"/>
        </w:rPr>
        <w:t>in accordance with</w:t>
      </w:r>
      <w:r w:rsidR="009E12AA" w:rsidRPr="001E5F03">
        <w:rPr>
          <w:noProof/>
          <w:lang w:eastAsia="en-GB"/>
        </w:rPr>
        <w:t xml:space="preserve"> the instructions in </w:t>
      </w:r>
      <w:r w:rsidR="00104BCC" w:rsidRPr="001E5F03">
        <w:rPr>
          <w:noProof/>
          <w:lang w:eastAsia="en-GB"/>
        </w:rPr>
        <w:t xml:space="preserve">point 6 of </w:t>
      </w:r>
      <w:r w:rsidR="009E12AA" w:rsidRPr="001E5F03">
        <w:rPr>
          <w:noProof/>
          <w:lang w:eastAsia="en-GB"/>
        </w:rPr>
        <w:t>Part II of Annex II</w:t>
      </w:r>
      <w:r w:rsidR="002B151C">
        <w:rPr>
          <w:noProof/>
          <w:lang w:eastAsia="en-GB"/>
        </w:rPr>
        <w:t xml:space="preserve"> </w:t>
      </w:r>
      <w:r w:rsidR="00C50AB9" w:rsidRPr="001E5F03">
        <w:t>aggregated at</w:t>
      </w:r>
      <w:r w:rsidR="00C50AB9" w:rsidRPr="007D1FC4">
        <w:t xml:space="preserve"> </w:t>
      </w:r>
      <w:r w:rsidR="00475F2E" w:rsidRPr="007D1FC4">
        <w:t xml:space="preserve">a </w:t>
      </w:r>
      <w:r w:rsidR="00C50AB9" w:rsidRPr="001E5F03">
        <w:t>total level and for each individual</w:t>
      </w:r>
      <w:r w:rsidR="00C50AB9" w:rsidRPr="007D1FC4">
        <w:t xml:space="preserve"> country </w:t>
      </w:r>
      <w:r w:rsidR="00C50AB9" w:rsidRPr="001E5F03">
        <w:t>they are exposed to</w:t>
      </w:r>
      <w:r w:rsidR="009E12AA" w:rsidRPr="001E5F03">
        <w:rPr>
          <w:noProof/>
          <w:lang w:eastAsia="en-GB"/>
        </w:rPr>
        <w:t>;</w:t>
      </w:r>
    </w:p>
    <w:p w14:paraId="3B196D63" w14:textId="4EADE3CE" w:rsidR="00530F7B" w:rsidRDefault="00843C95" w:rsidP="00843C95">
      <w:pPr>
        <w:pStyle w:val="Point2"/>
        <w:rPr>
          <w:noProof/>
          <w:lang w:eastAsia="en-GB"/>
        </w:rPr>
      </w:pPr>
      <w:r w:rsidRPr="00843C95">
        <w:t>(c)</w:t>
      </w:r>
      <w:r w:rsidRPr="00843C95">
        <w:tab/>
      </w:r>
      <w:r w:rsidR="009E12AA" w:rsidRPr="001E0F3D">
        <w:rPr>
          <w:noProof/>
          <w:lang w:eastAsia="en-GB"/>
        </w:rPr>
        <w:t>institutions that meet the criterion referred to in point (a) but do not meet the criterion referred in point (b) shall report the information specified in template</w:t>
      </w:r>
      <w:r w:rsidR="009E12AA" w:rsidRPr="007D1FC4">
        <w:t xml:space="preserve"> 33</w:t>
      </w:r>
      <w:r w:rsidR="009E12AA" w:rsidRPr="001E5F03">
        <w:rPr>
          <w:noProof/>
          <w:lang w:eastAsia="en-GB"/>
        </w:rPr>
        <w:t xml:space="preserve"> </w:t>
      </w:r>
      <w:r w:rsidR="00104BCC" w:rsidRPr="007D1FC4">
        <w:t>of Annex</w:t>
      </w:r>
      <w:r w:rsidR="00D61F24" w:rsidRPr="001E5F03">
        <w:rPr>
          <w:noProof/>
          <w:lang w:eastAsia="en-GB"/>
        </w:rPr>
        <w:t xml:space="preserve"> I</w:t>
      </w:r>
      <w:r w:rsidR="00104BCC" w:rsidRPr="001E5F03">
        <w:rPr>
          <w:noProof/>
          <w:lang w:eastAsia="en-GB"/>
        </w:rPr>
        <w:t xml:space="preserve"> </w:t>
      </w:r>
      <w:r w:rsidR="0002137F" w:rsidRPr="001E5F03">
        <w:rPr>
          <w:noProof/>
          <w:lang w:eastAsia="en-GB"/>
        </w:rPr>
        <w:t>in</w:t>
      </w:r>
      <w:r w:rsidR="0002137F">
        <w:rPr>
          <w:noProof/>
          <w:lang w:eastAsia="en-GB"/>
        </w:rPr>
        <w:t xml:space="preserve"> accordance with</w:t>
      </w:r>
      <w:r w:rsidR="009E12AA" w:rsidRPr="00C52A3C">
        <w:rPr>
          <w:noProof/>
          <w:lang w:eastAsia="en-GB"/>
        </w:rPr>
        <w:t xml:space="preserve"> the instructions in </w:t>
      </w:r>
      <w:r w:rsidR="00104BCC" w:rsidRPr="00C52A3C">
        <w:rPr>
          <w:noProof/>
          <w:lang w:eastAsia="en-GB"/>
        </w:rPr>
        <w:t xml:space="preserve">point 6 </w:t>
      </w:r>
      <w:r w:rsidR="00104BCC">
        <w:rPr>
          <w:noProof/>
          <w:lang w:eastAsia="en-GB"/>
        </w:rPr>
        <w:t xml:space="preserve">of </w:t>
      </w:r>
      <w:r w:rsidR="009E12AA" w:rsidRPr="00C52A3C">
        <w:rPr>
          <w:noProof/>
          <w:lang w:eastAsia="en-GB"/>
        </w:rPr>
        <w:t xml:space="preserve">Part II of Annex II </w:t>
      </w:r>
      <w:r w:rsidR="009E12AA" w:rsidRPr="0078447A">
        <w:rPr>
          <w:noProof/>
          <w:lang w:eastAsia="en-GB"/>
        </w:rPr>
        <w:t xml:space="preserve">with exposures aggregated at </w:t>
      </w:r>
      <w:r w:rsidR="00104BCC" w:rsidRPr="001E5F03">
        <w:rPr>
          <w:noProof/>
          <w:lang w:eastAsia="en-GB"/>
        </w:rPr>
        <w:t>both</w:t>
      </w:r>
      <w:r w:rsidR="009E12AA" w:rsidRPr="0078447A">
        <w:rPr>
          <w:noProof/>
          <w:lang w:eastAsia="en-GB"/>
        </w:rPr>
        <w:t xml:space="preserve"> a total level and a</w:t>
      </w:r>
      <w:r w:rsidR="00475F2E">
        <w:rPr>
          <w:noProof/>
          <w:lang w:eastAsia="en-GB"/>
        </w:rPr>
        <w:t>t</w:t>
      </w:r>
      <w:r w:rsidR="009E12AA" w:rsidRPr="0078447A">
        <w:rPr>
          <w:noProof/>
          <w:lang w:eastAsia="en-GB"/>
        </w:rPr>
        <w:t xml:space="preserve"> domestic level</w:t>
      </w:r>
      <w:r w:rsidR="00240D7D">
        <w:rPr>
          <w:noProof/>
          <w:lang w:eastAsia="en-GB"/>
        </w:rPr>
        <w:t>;</w:t>
      </w:r>
    </w:p>
    <w:p w14:paraId="61A26125" w14:textId="1B6A0E28" w:rsidR="00530F7B" w:rsidRPr="007D1FC4" w:rsidRDefault="00843C95" w:rsidP="00843C95">
      <w:pPr>
        <w:pStyle w:val="Point2"/>
        <w:rPr>
          <w:noProof/>
          <w:lang w:eastAsia="en-GB"/>
        </w:rPr>
      </w:pPr>
      <w:r w:rsidRPr="00843C95">
        <w:t>(d)</w:t>
      </w:r>
      <w:r w:rsidRPr="00843C95">
        <w:tab/>
      </w:r>
      <w:r w:rsidR="00530F7B" w:rsidRPr="007D1FC4">
        <w:t>the entry and exit criteria of Article 4 shall apply.</w:t>
      </w:r>
      <w:r w:rsidR="007D1FC4" w:rsidRPr="007B7B47">
        <w:rPr>
          <w:noProof/>
          <w:lang w:eastAsia="en-GB"/>
        </w:rPr>
        <w:t>”</w:t>
      </w:r>
      <w:r w:rsidR="00C143B1">
        <w:rPr>
          <w:noProof/>
          <w:lang w:eastAsia="en-GB"/>
        </w:rPr>
        <w:t>;</w:t>
      </w:r>
    </w:p>
    <w:p w14:paraId="4DCB2EA3" w14:textId="06A79925" w:rsidR="00517ABE" w:rsidRDefault="00240D7D" w:rsidP="00843C95">
      <w:pPr>
        <w:pStyle w:val="Point0"/>
        <w:rPr>
          <w:noProof/>
          <w:lang w:eastAsia="en-GB"/>
        </w:rPr>
      </w:pPr>
      <w:r w:rsidRPr="00843C95">
        <w:t>(3)</w:t>
      </w:r>
      <w:r w:rsidRPr="00843C95">
        <w:tab/>
      </w:r>
      <w:r w:rsidR="002D728C">
        <w:rPr>
          <w:noProof/>
          <w:lang w:eastAsia="en-GB"/>
        </w:rPr>
        <w:t>i</w:t>
      </w:r>
      <w:r w:rsidR="006B4492" w:rsidRPr="009D63EE">
        <w:rPr>
          <w:noProof/>
          <w:lang w:eastAsia="en-GB"/>
        </w:rPr>
        <w:t>n Article 16b</w:t>
      </w:r>
      <w:r w:rsidR="00104BCC">
        <w:rPr>
          <w:noProof/>
          <w:lang w:eastAsia="en-GB"/>
        </w:rPr>
        <w:t>(1)</w:t>
      </w:r>
      <w:r w:rsidR="006B4492" w:rsidRPr="009D63EE">
        <w:rPr>
          <w:noProof/>
          <w:lang w:eastAsia="en-GB"/>
        </w:rPr>
        <w:t>, the following point (c) is added:</w:t>
      </w:r>
      <w:r w:rsidR="0027349F">
        <w:rPr>
          <w:noProof/>
          <w:lang w:eastAsia="en-GB"/>
        </w:rPr>
        <w:t xml:space="preserve"> </w:t>
      </w:r>
    </w:p>
    <w:p w14:paraId="06C91509" w14:textId="77777777" w:rsidR="006B4492" w:rsidRPr="0027349F" w:rsidRDefault="006B4492" w:rsidP="00C21747">
      <w:pPr>
        <w:pStyle w:val="Text1"/>
        <w:rPr>
          <w:noProof/>
          <w:lang w:eastAsia="en-GB"/>
        </w:rPr>
      </w:pPr>
      <w:r w:rsidRPr="0027349F">
        <w:rPr>
          <w:noProof/>
          <w:lang w:eastAsia="en-GB"/>
        </w:rPr>
        <w:t>“(c)</w:t>
      </w:r>
      <w:r w:rsidR="0027349F" w:rsidRPr="0027349F">
        <w:rPr>
          <w:noProof/>
          <w:lang w:eastAsia="en-GB"/>
        </w:rPr>
        <w:t xml:space="preserve"> </w:t>
      </w:r>
      <w:r w:rsidRPr="0027349F">
        <w:rPr>
          <w:noProof/>
          <w:lang w:eastAsia="en-GB"/>
        </w:rPr>
        <w:t>the information specified in Annex XXI</w:t>
      </w:r>
      <w:r w:rsidR="00F1011C">
        <w:rPr>
          <w:noProof/>
          <w:lang w:eastAsia="en-GB"/>
        </w:rPr>
        <w:t>I</w:t>
      </w:r>
      <w:r w:rsidRPr="0027349F">
        <w:rPr>
          <w:noProof/>
          <w:lang w:eastAsia="en-GB"/>
        </w:rPr>
        <w:t xml:space="preserve"> in accordance with the instructions in Annex XX</w:t>
      </w:r>
      <w:r w:rsidR="00F1011C">
        <w:rPr>
          <w:noProof/>
          <w:lang w:eastAsia="en-GB"/>
        </w:rPr>
        <w:t>III</w:t>
      </w:r>
      <w:r w:rsidRPr="0027349F">
        <w:rPr>
          <w:noProof/>
          <w:lang w:eastAsia="en-GB"/>
        </w:rPr>
        <w:t>.”</w:t>
      </w:r>
      <w:r w:rsidR="002D728C">
        <w:rPr>
          <w:noProof/>
          <w:lang w:eastAsia="en-GB"/>
        </w:rPr>
        <w:t>;</w:t>
      </w:r>
    </w:p>
    <w:p w14:paraId="6B38AA5F" w14:textId="66AACA53" w:rsidR="00517ABE" w:rsidRDefault="002D728C" w:rsidP="00843C95">
      <w:pPr>
        <w:pStyle w:val="Point0"/>
        <w:rPr>
          <w:noProof/>
          <w:lang w:eastAsia="en-GB"/>
        </w:rPr>
      </w:pPr>
      <w:r w:rsidRPr="00843C95">
        <w:t>(4)</w:t>
      </w:r>
      <w:r w:rsidRPr="00843C95">
        <w:tab/>
      </w:r>
      <w:r>
        <w:rPr>
          <w:noProof/>
          <w:lang w:eastAsia="en-GB"/>
        </w:rPr>
        <w:t>i</w:t>
      </w:r>
      <w:r w:rsidR="006B4492">
        <w:rPr>
          <w:noProof/>
          <w:lang w:eastAsia="en-GB"/>
        </w:rPr>
        <w:t xml:space="preserve">n Article </w:t>
      </w:r>
      <w:r w:rsidR="006B4492" w:rsidRPr="007B7B47">
        <w:rPr>
          <w:noProof/>
          <w:lang w:eastAsia="en-GB"/>
        </w:rPr>
        <w:t>16b(2)</w:t>
      </w:r>
      <w:r w:rsidR="006B4492">
        <w:rPr>
          <w:noProof/>
          <w:lang w:eastAsia="en-GB"/>
        </w:rPr>
        <w:t xml:space="preserve">, </w:t>
      </w:r>
      <w:r w:rsidR="00DB4B67">
        <w:rPr>
          <w:noProof/>
          <w:lang w:eastAsia="en-GB"/>
        </w:rPr>
        <w:t xml:space="preserve">point </w:t>
      </w:r>
      <w:r w:rsidR="006B4492">
        <w:rPr>
          <w:noProof/>
          <w:lang w:eastAsia="en-GB"/>
        </w:rPr>
        <w:t xml:space="preserve">(a) is </w:t>
      </w:r>
      <w:r w:rsidR="00517ABE">
        <w:rPr>
          <w:noProof/>
          <w:lang w:eastAsia="en-GB"/>
        </w:rPr>
        <w:t>replaced by the following</w:t>
      </w:r>
      <w:r w:rsidR="006B4492" w:rsidRPr="007B7B47">
        <w:rPr>
          <w:noProof/>
          <w:lang w:eastAsia="en-GB"/>
        </w:rPr>
        <w:t>:</w:t>
      </w:r>
      <w:r w:rsidR="006B4492">
        <w:rPr>
          <w:noProof/>
          <w:lang w:eastAsia="en-GB"/>
        </w:rPr>
        <w:t xml:space="preserve"> </w:t>
      </w:r>
    </w:p>
    <w:p w14:paraId="77ECEFE0" w14:textId="77777777" w:rsidR="006B4492" w:rsidRPr="009D63EE" w:rsidRDefault="006B4492" w:rsidP="00C21747">
      <w:pPr>
        <w:pStyle w:val="Text1"/>
        <w:rPr>
          <w:noProof/>
          <w:lang w:eastAsia="en-GB"/>
        </w:rPr>
      </w:pPr>
      <w:r w:rsidRPr="007B7B47">
        <w:rPr>
          <w:noProof/>
          <w:lang w:eastAsia="en-GB"/>
        </w:rPr>
        <w:t xml:space="preserve">“(a) the institution does not form part of a group </w:t>
      </w:r>
      <w:r>
        <w:rPr>
          <w:noProof/>
          <w:lang w:eastAsia="en-GB"/>
        </w:rPr>
        <w:t xml:space="preserve">comprising </w:t>
      </w:r>
      <w:r w:rsidRPr="006A2A64">
        <w:rPr>
          <w:noProof/>
          <w:lang w:eastAsia="en-GB"/>
        </w:rPr>
        <w:t>credit institutions, investment firms or financial institutions</w:t>
      </w:r>
      <w:r>
        <w:rPr>
          <w:noProof/>
          <w:lang w:eastAsia="en-GB"/>
        </w:rPr>
        <w:t xml:space="preserve"> </w:t>
      </w:r>
      <w:r w:rsidRPr="007B7B47">
        <w:rPr>
          <w:noProof/>
          <w:lang w:eastAsia="en-GB"/>
        </w:rPr>
        <w:t xml:space="preserve">with subsidiaries or parent institutions located in jurisdictions other than </w:t>
      </w:r>
      <w:r>
        <w:rPr>
          <w:noProof/>
          <w:lang w:eastAsia="en-GB"/>
        </w:rPr>
        <w:t>the institution’s jurisdiction</w:t>
      </w:r>
      <w:r w:rsidRPr="007B7B47">
        <w:rPr>
          <w:noProof/>
          <w:lang w:eastAsia="en-GB"/>
        </w:rPr>
        <w:t xml:space="preserve"> of </w:t>
      </w:r>
      <w:r>
        <w:rPr>
          <w:noProof/>
          <w:lang w:eastAsia="en-GB"/>
        </w:rPr>
        <w:t>incorporation</w:t>
      </w:r>
      <w:r w:rsidR="002D728C">
        <w:rPr>
          <w:noProof/>
          <w:lang w:eastAsia="en-GB"/>
        </w:rPr>
        <w:t>;</w:t>
      </w:r>
      <w:r w:rsidRPr="007B7B47">
        <w:rPr>
          <w:noProof/>
          <w:lang w:eastAsia="en-GB"/>
        </w:rPr>
        <w:t>”</w:t>
      </w:r>
      <w:r w:rsidR="002D728C">
        <w:rPr>
          <w:noProof/>
          <w:lang w:eastAsia="en-GB"/>
        </w:rPr>
        <w:t>;</w:t>
      </w:r>
      <w:r>
        <w:rPr>
          <w:noProof/>
          <w:lang w:eastAsia="en-GB"/>
        </w:rPr>
        <w:t xml:space="preserve"> </w:t>
      </w:r>
    </w:p>
    <w:p w14:paraId="57BB5DD5" w14:textId="4120C099" w:rsidR="001F23FA" w:rsidRDefault="002D728C" w:rsidP="00843C95">
      <w:pPr>
        <w:pStyle w:val="Point0"/>
        <w:rPr>
          <w:noProof/>
          <w:lang w:eastAsia="en-GB"/>
        </w:rPr>
      </w:pPr>
      <w:r w:rsidRPr="00843C95">
        <w:t>(5)</w:t>
      </w:r>
      <w:r w:rsidRPr="00843C95">
        <w:tab/>
      </w:r>
      <w:r w:rsidR="001F23FA" w:rsidRPr="0021687A">
        <w:rPr>
          <w:noProof/>
          <w:lang w:eastAsia="en-GB"/>
        </w:rPr>
        <w:t>Annex I is replaced by the text set out in Annex I to this Regulation</w:t>
      </w:r>
      <w:r w:rsidR="00F02212">
        <w:rPr>
          <w:noProof/>
          <w:lang w:eastAsia="en-GB"/>
        </w:rPr>
        <w:t>;</w:t>
      </w:r>
      <w:r w:rsidR="001F23FA">
        <w:rPr>
          <w:noProof/>
          <w:lang w:eastAsia="en-GB"/>
        </w:rPr>
        <w:t xml:space="preserve"> </w:t>
      </w:r>
    </w:p>
    <w:p w14:paraId="4A0B9F27" w14:textId="20897D62" w:rsidR="00775058" w:rsidRDefault="00F02212" w:rsidP="00843C95">
      <w:pPr>
        <w:pStyle w:val="Point0"/>
        <w:rPr>
          <w:noProof/>
          <w:lang w:eastAsia="en-GB"/>
        </w:rPr>
      </w:pPr>
      <w:r w:rsidRPr="00843C95">
        <w:t>(6)</w:t>
      </w:r>
      <w:r w:rsidRPr="00843C95">
        <w:tab/>
      </w:r>
      <w:r w:rsidR="0021687A" w:rsidRPr="0021687A">
        <w:rPr>
          <w:noProof/>
          <w:lang w:eastAsia="en-GB"/>
        </w:rPr>
        <w:t>Annex II is replaced by the text set out in Annex II to this Regulation</w:t>
      </w:r>
      <w:r>
        <w:rPr>
          <w:noProof/>
          <w:lang w:eastAsia="en-GB"/>
        </w:rPr>
        <w:t>;</w:t>
      </w:r>
      <w:r w:rsidR="00775058">
        <w:rPr>
          <w:noProof/>
          <w:lang w:eastAsia="en-GB"/>
        </w:rPr>
        <w:t xml:space="preserve"> </w:t>
      </w:r>
    </w:p>
    <w:p w14:paraId="3AE56ECA" w14:textId="559BDD3C" w:rsidR="0021687A" w:rsidRPr="0021687A" w:rsidRDefault="00F02212" w:rsidP="00843C95">
      <w:pPr>
        <w:pStyle w:val="Point0"/>
        <w:rPr>
          <w:noProof/>
          <w:lang w:eastAsia="en-GB"/>
        </w:rPr>
      </w:pPr>
      <w:r w:rsidRPr="00843C95">
        <w:lastRenderedPageBreak/>
        <w:t>(7)</w:t>
      </w:r>
      <w:r w:rsidRPr="00843C95">
        <w:tab/>
      </w:r>
      <w:r w:rsidR="0021687A" w:rsidRPr="0021687A">
        <w:rPr>
          <w:noProof/>
          <w:lang w:eastAsia="en-GB"/>
        </w:rPr>
        <w:t>Annex V</w:t>
      </w:r>
      <w:r w:rsidR="00D84FF4">
        <w:rPr>
          <w:noProof/>
          <w:lang w:eastAsia="en-GB"/>
        </w:rPr>
        <w:t>I</w:t>
      </w:r>
      <w:r w:rsidR="0021687A" w:rsidRPr="0021687A">
        <w:rPr>
          <w:noProof/>
          <w:lang w:eastAsia="en-GB"/>
        </w:rPr>
        <w:t xml:space="preserve">I is </w:t>
      </w:r>
      <w:r w:rsidR="00535C6E">
        <w:rPr>
          <w:noProof/>
          <w:lang w:eastAsia="en-GB"/>
        </w:rPr>
        <w:t>replaced by the text set out in</w:t>
      </w:r>
      <w:r w:rsidR="00D84FF4">
        <w:rPr>
          <w:noProof/>
          <w:lang w:eastAsia="en-GB"/>
        </w:rPr>
        <w:t xml:space="preserve"> Annex II</w:t>
      </w:r>
      <w:r w:rsidR="0021687A" w:rsidRPr="0021687A">
        <w:rPr>
          <w:noProof/>
          <w:lang w:eastAsia="en-GB"/>
        </w:rPr>
        <w:t>I to this Regulation</w:t>
      </w:r>
      <w:r>
        <w:rPr>
          <w:noProof/>
          <w:lang w:eastAsia="en-GB"/>
        </w:rPr>
        <w:t>;</w:t>
      </w:r>
    </w:p>
    <w:p w14:paraId="0ED80A23" w14:textId="57832F52" w:rsidR="001F3D9E" w:rsidRDefault="00F02212" w:rsidP="00843C95">
      <w:pPr>
        <w:pStyle w:val="Point0"/>
        <w:rPr>
          <w:noProof/>
          <w:lang w:eastAsia="en-GB"/>
        </w:rPr>
      </w:pPr>
      <w:r w:rsidRPr="00843C95">
        <w:t>(8)</w:t>
      </w:r>
      <w:r w:rsidRPr="00843C95">
        <w:tab/>
      </w:r>
      <w:r w:rsidR="0021687A" w:rsidRPr="0021687A">
        <w:rPr>
          <w:noProof/>
          <w:lang w:eastAsia="en-GB"/>
        </w:rPr>
        <w:t>Annex X</w:t>
      </w:r>
      <w:r w:rsidR="00423128">
        <w:rPr>
          <w:noProof/>
          <w:lang w:eastAsia="en-GB"/>
        </w:rPr>
        <w:t>I</w:t>
      </w:r>
      <w:r w:rsidR="0021687A" w:rsidRPr="0021687A">
        <w:rPr>
          <w:noProof/>
          <w:lang w:eastAsia="en-GB"/>
        </w:rPr>
        <w:t xml:space="preserve"> is replaced by the text set out in Annex </w:t>
      </w:r>
      <w:r w:rsidR="00D84FF4">
        <w:rPr>
          <w:noProof/>
          <w:lang w:eastAsia="en-GB"/>
        </w:rPr>
        <w:t>I</w:t>
      </w:r>
      <w:r w:rsidR="0021687A" w:rsidRPr="0021687A">
        <w:rPr>
          <w:noProof/>
          <w:lang w:eastAsia="en-GB"/>
        </w:rPr>
        <w:t>V to this Regulation</w:t>
      </w:r>
      <w:r>
        <w:rPr>
          <w:noProof/>
          <w:lang w:eastAsia="en-GB"/>
        </w:rPr>
        <w:t>;</w:t>
      </w:r>
    </w:p>
    <w:p w14:paraId="11099086" w14:textId="5EBB458A" w:rsidR="00D84FF4" w:rsidRPr="0021687A" w:rsidRDefault="00F02212" w:rsidP="00843C95">
      <w:pPr>
        <w:pStyle w:val="Point0"/>
        <w:rPr>
          <w:noProof/>
          <w:lang w:eastAsia="en-GB"/>
        </w:rPr>
      </w:pPr>
      <w:r w:rsidRPr="00843C95">
        <w:t>(9)</w:t>
      </w:r>
      <w:r w:rsidRPr="00843C95">
        <w:tab/>
      </w:r>
      <w:r w:rsidR="00D84FF4" w:rsidRPr="0021687A">
        <w:rPr>
          <w:noProof/>
          <w:lang w:eastAsia="en-GB"/>
        </w:rPr>
        <w:t xml:space="preserve">Annex </w:t>
      </w:r>
      <w:r w:rsidR="00D84FF4">
        <w:rPr>
          <w:noProof/>
          <w:lang w:eastAsia="en-GB"/>
        </w:rPr>
        <w:t>XI</w:t>
      </w:r>
      <w:r w:rsidR="00D84FF4" w:rsidRPr="0021687A">
        <w:rPr>
          <w:noProof/>
          <w:lang w:eastAsia="en-GB"/>
        </w:rPr>
        <w:t xml:space="preserve">V is </w:t>
      </w:r>
      <w:r w:rsidR="00D84FF4">
        <w:rPr>
          <w:noProof/>
          <w:lang w:eastAsia="en-GB"/>
        </w:rPr>
        <w:t>replaced by the text set out in Annex V</w:t>
      </w:r>
      <w:r w:rsidR="00D84FF4" w:rsidRPr="0021687A">
        <w:rPr>
          <w:noProof/>
          <w:lang w:eastAsia="en-GB"/>
        </w:rPr>
        <w:t xml:space="preserve"> to this Regulation</w:t>
      </w:r>
      <w:r>
        <w:rPr>
          <w:noProof/>
          <w:lang w:eastAsia="en-GB"/>
        </w:rPr>
        <w:t>;</w:t>
      </w:r>
    </w:p>
    <w:p w14:paraId="36FA13CF" w14:textId="5167966C" w:rsidR="00D84FF4" w:rsidRDefault="00F02212" w:rsidP="00843C95">
      <w:pPr>
        <w:pStyle w:val="Point0"/>
        <w:rPr>
          <w:noProof/>
          <w:lang w:eastAsia="en-GB"/>
        </w:rPr>
      </w:pPr>
      <w:r w:rsidRPr="00843C95">
        <w:t>(10)</w:t>
      </w:r>
      <w:r w:rsidRPr="00843C95">
        <w:tab/>
      </w:r>
      <w:r w:rsidR="00D84FF4">
        <w:rPr>
          <w:noProof/>
          <w:lang w:eastAsia="en-GB"/>
        </w:rPr>
        <w:t xml:space="preserve">Annex </w:t>
      </w:r>
      <w:r w:rsidR="00D84FF4" w:rsidRPr="0021687A">
        <w:rPr>
          <w:noProof/>
          <w:lang w:eastAsia="en-GB"/>
        </w:rPr>
        <w:t>X</w:t>
      </w:r>
      <w:r w:rsidR="00D84FF4">
        <w:rPr>
          <w:noProof/>
          <w:lang w:eastAsia="en-GB"/>
        </w:rPr>
        <w:t>V</w:t>
      </w:r>
      <w:r w:rsidR="00D84FF4" w:rsidRPr="0021687A">
        <w:rPr>
          <w:noProof/>
          <w:lang w:eastAsia="en-GB"/>
        </w:rPr>
        <w:t xml:space="preserve"> is replaced by the text set out in Annex V</w:t>
      </w:r>
      <w:r w:rsidR="00D84FF4">
        <w:rPr>
          <w:noProof/>
          <w:lang w:eastAsia="en-GB"/>
        </w:rPr>
        <w:t>I</w:t>
      </w:r>
      <w:r w:rsidR="00D84FF4" w:rsidRPr="0021687A">
        <w:rPr>
          <w:noProof/>
          <w:lang w:eastAsia="en-GB"/>
        </w:rPr>
        <w:t xml:space="preserve"> to this Regulation</w:t>
      </w:r>
      <w:r>
        <w:rPr>
          <w:noProof/>
          <w:lang w:eastAsia="en-GB"/>
        </w:rPr>
        <w:t>;</w:t>
      </w:r>
    </w:p>
    <w:p w14:paraId="32D6CFB5" w14:textId="0E029E88" w:rsidR="006B4492" w:rsidRDefault="00F02212" w:rsidP="00843C95">
      <w:pPr>
        <w:pStyle w:val="Point0"/>
        <w:rPr>
          <w:noProof/>
          <w:lang w:eastAsia="en-GB"/>
        </w:rPr>
      </w:pPr>
      <w:r w:rsidRPr="00843C95">
        <w:t>(11)</w:t>
      </w:r>
      <w:r w:rsidRPr="00843C95">
        <w:tab/>
      </w:r>
      <w:r w:rsidR="006B4492" w:rsidRPr="009D63EE">
        <w:rPr>
          <w:noProof/>
          <w:lang w:eastAsia="en-GB"/>
        </w:rPr>
        <w:t>Annex XVIII</w:t>
      </w:r>
      <w:r w:rsidR="006B4492">
        <w:rPr>
          <w:noProof/>
          <w:lang w:eastAsia="en-GB"/>
        </w:rPr>
        <w:t xml:space="preserve"> </w:t>
      </w:r>
      <w:r w:rsidR="006B4492" w:rsidRPr="00AC5913">
        <w:rPr>
          <w:noProof/>
          <w:lang w:eastAsia="en-GB"/>
        </w:rPr>
        <w:t xml:space="preserve">is replaced by the text set out in Annex </w:t>
      </w:r>
      <w:r w:rsidR="006B4492">
        <w:rPr>
          <w:noProof/>
          <w:lang w:eastAsia="en-GB"/>
        </w:rPr>
        <w:t>VI</w:t>
      </w:r>
      <w:r w:rsidR="006B4492" w:rsidRPr="00AC5913">
        <w:rPr>
          <w:noProof/>
          <w:lang w:eastAsia="en-GB"/>
        </w:rPr>
        <w:t xml:space="preserve">I to this </w:t>
      </w:r>
      <w:r w:rsidR="006B4492">
        <w:rPr>
          <w:noProof/>
          <w:lang w:eastAsia="en-GB"/>
        </w:rPr>
        <w:t>Regulation</w:t>
      </w:r>
      <w:r>
        <w:rPr>
          <w:noProof/>
          <w:lang w:eastAsia="en-GB"/>
        </w:rPr>
        <w:t>;</w:t>
      </w:r>
    </w:p>
    <w:p w14:paraId="75EB0E9E" w14:textId="15886D19" w:rsidR="006B4492" w:rsidRDefault="00F02212" w:rsidP="00843C95">
      <w:pPr>
        <w:pStyle w:val="Point0"/>
        <w:rPr>
          <w:noProof/>
          <w:lang w:eastAsia="en-GB"/>
        </w:rPr>
      </w:pPr>
      <w:r w:rsidRPr="00843C95">
        <w:t>(12)</w:t>
      </w:r>
      <w:r w:rsidRPr="00843C95">
        <w:tab/>
      </w:r>
      <w:r w:rsidR="006B4492">
        <w:rPr>
          <w:noProof/>
          <w:lang w:eastAsia="en-GB"/>
        </w:rPr>
        <w:t>Annex</w:t>
      </w:r>
      <w:r w:rsidR="006B4492" w:rsidRPr="009D63EE">
        <w:rPr>
          <w:noProof/>
          <w:lang w:eastAsia="en-GB"/>
        </w:rPr>
        <w:t xml:space="preserve"> XIX</w:t>
      </w:r>
      <w:r w:rsidR="006B4492">
        <w:rPr>
          <w:noProof/>
          <w:lang w:eastAsia="en-GB"/>
        </w:rPr>
        <w:t xml:space="preserve"> </w:t>
      </w:r>
      <w:r w:rsidR="006B4492" w:rsidRPr="00AC5913">
        <w:rPr>
          <w:noProof/>
          <w:lang w:eastAsia="en-GB"/>
        </w:rPr>
        <w:t xml:space="preserve">is replaced by the text set out in Annex </w:t>
      </w:r>
      <w:r w:rsidR="006B4492">
        <w:rPr>
          <w:noProof/>
          <w:lang w:eastAsia="en-GB"/>
        </w:rPr>
        <w:t>VI</w:t>
      </w:r>
      <w:r w:rsidR="006B4492" w:rsidRPr="00AC5913">
        <w:rPr>
          <w:noProof/>
          <w:lang w:eastAsia="en-GB"/>
        </w:rPr>
        <w:t>I</w:t>
      </w:r>
      <w:r w:rsidR="006B4492">
        <w:rPr>
          <w:noProof/>
          <w:lang w:eastAsia="en-GB"/>
        </w:rPr>
        <w:t>I</w:t>
      </w:r>
      <w:r w:rsidR="006B4492" w:rsidRPr="00AC5913">
        <w:rPr>
          <w:noProof/>
          <w:lang w:eastAsia="en-GB"/>
        </w:rPr>
        <w:t xml:space="preserve"> to this </w:t>
      </w:r>
      <w:r w:rsidR="006B4492">
        <w:rPr>
          <w:noProof/>
          <w:lang w:eastAsia="en-GB"/>
        </w:rPr>
        <w:t>Regulation</w:t>
      </w:r>
      <w:r>
        <w:rPr>
          <w:noProof/>
          <w:lang w:eastAsia="en-GB"/>
        </w:rPr>
        <w:t>;</w:t>
      </w:r>
    </w:p>
    <w:p w14:paraId="559CC89F" w14:textId="2DCE1992" w:rsidR="006B4492" w:rsidRDefault="00F02212" w:rsidP="00843C95">
      <w:pPr>
        <w:pStyle w:val="Point0"/>
        <w:rPr>
          <w:noProof/>
          <w:lang w:eastAsia="en-GB"/>
        </w:rPr>
      </w:pPr>
      <w:r w:rsidRPr="00843C95">
        <w:t>(13)</w:t>
      </w:r>
      <w:r w:rsidRPr="00843C95">
        <w:tab/>
      </w:r>
      <w:r w:rsidR="006B4492">
        <w:rPr>
          <w:noProof/>
          <w:lang w:eastAsia="en-GB"/>
        </w:rPr>
        <w:t xml:space="preserve">Annex </w:t>
      </w:r>
      <w:r w:rsidR="006B4492" w:rsidRPr="009D63EE">
        <w:rPr>
          <w:noProof/>
          <w:lang w:eastAsia="en-GB"/>
        </w:rPr>
        <w:t>XX</w:t>
      </w:r>
      <w:r w:rsidR="006B4492">
        <w:rPr>
          <w:noProof/>
          <w:lang w:eastAsia="en-GB"/>
        </w:rPr>
        <w:t xml:space="preserve"> </w:t>
      </w:r>
      <w:r w:rsidR="006B4492" w:rsidRPr="00AC5913">
        <w:rPr>
          <w:noProof/>
          <w:lang w:eastAsia="en-GB"/>
        </w:rPr>
        <w:t xml:space="preserve">is replaced by the text set out in Annex </w:t>
      </w:r>
      <w:r w:rsidR="006B4492">
        <w:rPr>
          <w:noProof/>
          <w:lang w:eastAsia="en-GB"/>
        </w:rPr>
        <w:t>IX</w:t>
      </w:r>
      <w:r w:rsidR="006B4492" w:rsidRPr="00AC5913">
        <w:rPr>
          <w:noProof/>
          <w:lang w:eastAsia="en-GB"/>
        </w:rPr>
        <w:t xml:space="preserve"> to this </w:t>
      </w:r>
      <w:r w:rsidR="006B4492">
        <w:rPr>
          <w:noProof/>
          <w:lang w:eastAsia="en-GB"/>
        </w:rPr>
        <w:t>Regulation</w:t>
      </w:r>
      <w:r>
        <w:rPr>
          <w:noProof/>
          <w:lang w:eastAsia="en-GB"/>
        </w:rPr>
        <w:t>;</w:t>
      </w:r>
    </w:p>
    <w:p w14:paraId="7AC953F3" w14:textId="56B7C670" w:rsidR="006B4492" w:rsidRPr="0078447A" w:rsidRDefault="00F02212" w:rsidP="00843C95">
      <w:pPr>
        <w:pStyle w:val="Point0"/>
        <w:rPr>
          <w:noProof/>
          <w:lang w:eastAsia="en-GB"/>
        </w:rPr>
      </w:pPr>
      <w:r w:rsidRPr="00843C95">
        <w:t>(14)</w:t>
      </w:r>
      <w:r w:rsidRPr="00843C95">
        <w:tab/>
      </w:r>
      <w:r w:rsidR="006B4492">
        <w:rPr>
          <w:noProof/>
          <w:lang w:eastAsia="en-GB"/>
        </w:rPr>
        <w:t>Annex</w:t>
      </w:r>
      <w:r w:rsidR="006B4492" w:rsidRPr="009D63EE">
        <w:rPr>
          <w:noProof/>
          <w:lang w:eastAsia="en-GB"/>
        </w:rPr>
        <w:t xml:space="preserve"> XXI </w:t>
      </w:r>
      <w:r w:rsidR="006B4492" w:rsidRPr="00AC5913">
        <w:rPr>
          <w:noProof/>
          <w:lang w:eastAsia="en-GB"/>
        </w:rPr>
        <w:t xml:space="preserve">is replaced by the </w:t>
      </w:r>
      <w:r w:rsidR="006B4492" w:rsidRPr="0078447A">
        <w:rPr>
          <w:noProof/>
          <w:lang w:eastAsia="en-GB"/>
        </w:rPr>
        <w:t>text set out in Annex X to this Regulation</w:t>
      </w:r>
      <w:r w:rsidRPr="0078447A">
        <w:rPr>
          <w:noProof/>
          <w:lang w:eastAsia="en-GB"/>
        </w:rPr>
        <w:t>;</w:t>
      </w:r>
    </w:p>
    <w:p w14:paraId="18A68977" w14:textId="63448CB4" w:rsidR="006B4492" w:rsidRPr="0078447A" w:rsidRDefault="00F02212" w:rsidP="00843C95">
      <w:pPr>
        <w:pStyle w:val="Point0"/>
        <w:rPr>
          <w:noProof/>
          <w:lang w:eastAsia="en-GB"/>
        </w:rPr>
      </w:pPr>
      <w:r w:rsidRPr="00843C95">
        <w:t>(15)</w:t>
      </w:r>
      <w:r w:rsidRPr="00843C95">
        <w:tab/>
      </w:r>
      <w:r w:rsidRPr="00F241F8">
        <w:rPr>
          <w:noProof/>
          <w:lang w:eastAsia="en-GB"/>
        </w:rPr>
        <w:t>a</w:t>
      </w:r>
      <w:r w:rsidR="006B4492" w:rsidRPr="0078447A">
        <w:rPr>
          <w:noProof/>
          <w:lang w:eastAsia="en-GB"/>
        </w:rPr>
        <w:t xml:space="preserve"> new Annex XXI</w:t>
      </w:r>
      <w:r w:rsidR="00F1011C" w:rsidRPr="0078447A">
        <w:rPr>
          <w:noProof/>
          <w:lang w:eastAsia="en-GB"/>
        </w:rPr>
        <w:t>I</w:t>
      </w:r>
      <w:r w:rsidR="006B4492" w:rsidRPr="0078447A">
        <w:rPr>
          <w:noProof/>
          <w:lang w:eastAsia="en-GB"/>
        </w:rPr>
        <w:t xml:space="preserve"> is added</w:t>
      </w:r>
      <w:r w:rsidR="0078447A" w:rsidRPr="00F241F8">
        <w:rPr>
          <w:noProof/>
          <w:lang w:eastAsia="en-GB"/>
        </w:rPr>
        <w:t>,</w:t>
      </w:r>
      <w:r w:rsidR="006B4492" w:rsidRPr="0078447A">
        <w:rPr>
          <w:noProof/>
          <w:lang w:eastAsia="en-GB"/>
        </w:rPr>
        <w:t xml:space="preserve"> the text </w:t>
      </w:r>
      <w:r w:rsidRPr="00F241F8">
        <w:rPr>
          <w:noProof/>
          <w:lang w:eastAsia="en-GB"/>
        </w:rPr>
        <w:t xml:space="preserve">of which is </w:t>
      </w:r>
      <w:r w:rsidR="006B4492" w:rsidRPr="0078447A">
        <w:rPr>
          <w:noProof/>
          <w:lang w:eastAsia="en-GB"/>
        </w:rPr>
        <w:t>set out in Annex XI to this Regulation</w:t>
      </w:r>
      <w:r w:rsidRPr="0078447A">
        <w:rPr>
          <w:noProof/>
          <w:lang w:eastAsia="en-GB"/>
        </w:rPr>
        <w:t>;</w:t>
      </w:r>
    </w:p>
    <w:p w14:paraId="47F45B31" w14:textId="57D6C34F" w:rsidR="006B4492" w:rsidRDefault="00F02212" w:rsidP="00843C95">
      <w:pPr>
        <w:pStyle w:val="Point0"/>
        <w:rPr>
          <w:noProof/>
          <w:lang w:eastAsia="en-GB"/>
        </w:rPr>
      </w:pPr>
      <w:r w:rsidRPr="00843C95">
        <w:t>(16)</w:t>
      </w:r>
      <w:r w:rsidRPr="00843C95">
        <w:tab/>
      </w:r>
      <w:r w:rsidRPr="00F241F8">
        <w:rPr>
          <w:noProof/>
          <w:lang w:eastAsia="en-GB"/>
        </w:rPr>
        <w:t>a</w:t>
      </w:r>
      <w:r w:rsidR="006B4492" w:rsidRPr="0078447A">
        <w:rPr>
          <w:noProof/>
          <w:lang w:eastAsia="en-GB"/>
        </w:rPr>
        <w:t xml:space="preserve"> new Annex XX</w:t>
      </w:r>
      <w:r w:rsidR="00F1011C" w:rsidRPr="0078447A">
        <w:rPr>
          <w:noProof/>
          <w:lang w:eastAsia="en-GB"/>
        </w:rPr>
        <w:t>III</w:t>
      </w:r>
      <w:r w:rsidR="006B4492" w:rsidRPr="0078447A">
        <w:rPr>
          <w:noProof/>
          <w:lang w:eastAsia="en-GB"/>
        </w:rPr>
        <w:t xml:space="preserve"> is added</w:t>
      </w:r>
      <w:r w:rsidR="0078447A" w:rsidRPr="00F241F8">
        <w:rPr>
          <w:noProof/>
          <w:lang w:eastAsia="en-GB"/>
        </w:rPr>
        <w:t>,</w:t>
      </w:r>
      <w:r w:rsidR="006B4492" w:rsidRPr="0078447A">
        <w:rPr>
          <w:noProof/>
          <w:lang w:eastAsia="en-GB"/>
        </w:rPr>
        <w:t xml:space="preserve"> the text </w:t>
      </w:r>
      <w:r w:rsidRPr="00F241F8">
        <w:rPr>
          <w:noProof/>
          <w:lang w:eastAsia="en-GB"/>
        </w:rPr>
        <w:t xml:space="preserve">of which is </w:t>
      </w:r>
      <w:r w:rsidR="006B4492" w:rsidRPr="0078447A">
        <w:rPr>
          <w:noProof/>
          <w:lang w:eastAsia="en-GB"/>
        </w:rPr>
        <w:t>set out in Annex XII to this Regulation.</w:t>
      </w:r>
    </w:p>
    <w:p w14:paraId="045B5327" w14:textId="77777777" w:rsidR="001F3D9E" w:rsidRPr="00922C91" w:rsidRDefault="001F3D9E" w:rsidP="004E1EF9">
      <w:pPr>
        <w:pStyle w:val="Titrearticle"/>
      </w:pPr>
      <w:r w:rsidRPr="00922C91">
        <w:t xml:space="preserve">Article </w:t>
      </w:r>
      <w:r w:rsidR="0021687A">
        <w:t>2</w:t>
      </w:r>
    </w:p>
    <w:p w14:paraId="3E91A54F" w14:textId="77777777" w:rsidR="0021687A" w:rsidRPr="0021687A" w:rsidRDefault="0021687A" w:rsidP="0021687A">
      <w:pPr>
        <w:rPr>
          <w:rFonts w:eastAsia="Times New Roman"/>
          <w:szCs w:val="20"/>
          <w:lang w:eastAsia="en-GB"/>
        </w:rPr>
      </w:pPr>
      <w:r w:rsidRPr="0021687A">
        <w:rPr>
          <w:rFonts w:eastAsia="Times New Roman"/>
          <w:szCs w:val="20"/>
          <w:lang w:eastAsia="en-GB"/>
        </w:rPr>
        <w:t xml:space="preserve">This Regulation shall enter into force on the twentieth </w:t>
      </w:r>
      <w:r w:rsidRPr="0021687A">
        <w:rPr>
          <w:rFonts w:eastAsia="Times New Roman"/>
          <w:noProof/>
          <w:color w:val="000000"/>
          <w:szCs w:val="20"/>
          <w:lang w:eastAsia="en-GB"/>
        </w:rPr>
        <w:t xml:space="preserve">day </w:t>
      </w:r>
      <w:r w:rsidRPr="0021687A">
        <w:rPr>
          <w:rFonts w:eastAsia="Times New Roman"/>
          <w:szCs w:val="20"/>
          <w:lang w:eastAsia="en-GB"/>
        </w:rPr>
        <w:t xml:space="preserve">following that of its publication in the </w:t>
      </w:r>
      <w:r w:rsidRPr="0021687A">
        <w:rPr>
          <w:rFonts w:eastAsia="Times New Roman"/>
          <w:i/>
          <w:szCs w:val="20"/>
          <w:lang w:eastAsia="en-GB"/>
        </w:rPr>
        <w:t>Official Journal of the European Union</w:t>
      </w:r>
      <w:r w:rsidRPr="0021687A">
        <w:rPr>
          <w:rFonts w:eastAsia="Times New Roman"/>
          <w:szCs w:val="20"/>
          <w:lang w:eastAsia="en-GB"/>
        </w:rPr>
        <w:t>.</w:t>
      </w:r>
    </w:p>
    <w:p w14:paraId="747F8CA1" w14:textId="77777777" w:rsidR="0021687A" w:rsidRPr="0021687A" w:rsidRDefault="00517ABE" w:rsidP="0021687A">
      <w:pPr>
        <w:pStyle w:val="Applicationdirecte"/>
        <w:rPr>
          <w:lang w:val="mt-MT" w:eastAsia="en-GB"/>
        </w:rPr>
      </w:pPr>
      <w:r>
        <w:rPr>
          <w:lang w:eastAsia="en-GB"/>
        </w:rPr>
        <w:t>It</w:t>
      </w:r>
      <w:r w:rsidR="0021687A" w:rsidRPr="0021687A">
        <w:rPr>
          <w:lang w:eastAsia="en-GB"/>
        </w:rPr>
        <w:t xml:space="preserve"> shall apply from 1 </w:t>
      </w:r>
      <w:r w:rsidR="00D84FF4">
        <w:rPr>
          <w:lang w:eastAsia="en-GB"/>
        </w:rPr>
        <w:t>March 2018</w:t>
      </w:r>
      <w:r w:rsidR="0021687A" w:rsidRPr="0021687A">
        <w:rPr>
          <w:lang w:eastAsia="en-GB"/>
        </w:rPr>
        <w:t>.</w:t>
      </w:r>
    </w:p>
    <w:p w14:paraId="5C4300E3" w14:textId="77777777" w:rsidR="001F3D9E" w:rsidRDefault="0021687A" w:rsidP="0021687A">
      <w:pPr>
        <w:pStyle w:val="Applicationdirecte"/>
        <w:keepNext/>
        <w:keepLines/>
      </w:pPr>
      <w:r w:rsidRPr="0021687A">
        <w:rPr>
          <w:rFonts w:eastAsia="Times New Roman"/>
          <w:szCs w:val="20"/>
          <w:lang w:eastAsia="en-GB"/>
        </w:rPr>
        <w:t>This Regulation shall be binding in its entirety and directly applicable in all Member States.</w:t>
      </w:r>
    </w:p>
    <w:p w14:paraId="1185DCCF" w14:textId="3490F624" w:rsidR="001F3D9E" w:rsidRDefault="00C86058" w:rsidP="00C86058">
      <w:pPr>
        <w:pStyle w:val="Fait"/>
      </w:pPr>
      <w:r w:rsidRPr="00C86058">
        <w:t>Done at Brussels,</w:t>
      </w:r>
    </w:p>
    <w:p w14:paraId="5774AA98" w14:textId="77777777" w:rsidR="001F3D9E" w:rsidRDefault="001F3D9E" w:rsidP="001F3D9E">
      <w:pPr>
        <w:pStyle w:val="Institutionquisigne"/>
      </w:pPr>
      <w:r w:rsidRPr="001F3D9E">
        <w:tab/>
        <w:t>For the Commission</w:t>
      </w:r>
    </w:p>
    <w:p w14:paraId="31C1684E" w14:textId="77777777" w:rsidR="001F3D9E" w:rsidRPr="001F3D9E" w:rsidRDefault="001F3D9E" w:rsidP="001F3D9E">
      <w:pPr>
        <w:pStyle w:val="Personnequisigne"/>
      </w:pPr>
      <w:r w:rsidRPr="001F3D9E">
        <w:tab/>
        <w:t>The President</w:t>
      </w:r>
      <w:r w:rsidRPr="001F3D9E">
        <w:br/>
      </w:r>
      <w:r w:rsidRPr="001F3D9E">
        <w:tab/>
      </w:r>
      <w:r w:rsidR="0021687A">
        <w:t>Jean-Claude Juncker</w:t>
      </w:r>
    </w:p>
    <w:sectPr w:rsidR="001F3D9E" w:rsidRPr="001F3D9E" w:rsidSect="00661B54">
      <w:footerReference w:type="default" r:id="rId16"/>
      <w:footerReference w:type="first" r:id="rId17"/>
      <w:pgSz w:w="11907" w:h="16839"/>
      <w:pgMar w:top="1134" w:right="1417" w:bottom="1134" w:left="1417" w:header="709" w:footer="709"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67C80E5" w15:done="0"/>
  <w15:commentEx w15:paraId="5169BAD7" w15:done="0"/>
  <w15:commentEx w15:paraId="6031A84A" w15:done="0"/>
  <w15:commentEx w15:paraId="6C120515" w15:done="0"/>
  <w15:commentEx w15:paraId="0A59ED8B" w15:done="0"/>
  <w15:commentEx w15:paraId="36FAAB2A" w15:done="0"/>
  <w15:commentEx w15:paraId="4985308A" w15:done="0"/>
  <w15:commentEx w15:paraId="52C8532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5CFC38" w14:textId="77777777" w:rsidR="00286BFD" w:rsidRDefault="00286BFD" w:rsidP="001F3D9E">
      <w:pPr>
        <w:spacing w:before="0" w:after="0"/>
      </w:pPr>
      <w:r>
        <w:separator/>
      </w:r>
    </w:p>
  </w:endnote>
  <w:endnote w:type="continuationSeparator" w:id="0">
    <w:p w14:paraId="112F6641" w14:textId="77777777" w:rsidR="00286BFD" w:rsidRDefault="00286BFD" w:rsidP="001F3D9E">
      <w:pPr>
        <w:spacing w:before="0" w:after="0"/>
      </w:pPr>
      <w:r>
        <w:continuationSeparator/>
      </w:r>
    </w:p>
  </w:endnote>
  <w:endnote w:type="continuationNotice" w:id="1">
    <w:p w14:paraId="76242E39" w14:textId="77777777" w:rsidR="00286BFD" w:rsidRDefault="00286BF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F1F15" w14:textId="77777777" w:rsidR="001A468C" w:rsidRDefault="001A46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26B83" w14:textId="30D0CA5F" w:rsidR="00C86058" w:rsidRPr="00661B54" w:rsidRDefault="00661B54" w:rsidP="00661B54">
    <w:pPr>
      <w:pStyle w:val="Footer"/>
      <w:rPr>
        <w:rFonts w:ascii="Arial" w:hAnsi="Arial" w:cs="Arial"/>
        <w:b/>
        <w:sz w:val="48"/>
      </w:rPr>
    </w:pPr>
    <w:r w:rsidRPr="00661B54">
      <w:rPr>
        <w:rFonts w:ascii="Arial" w:hAnsi="Arial" w:cs="Arial"/>
        <w:b/>
        <w:sz w:val="48"/>
      </w:rPr>
      <w:t>EN</w:t>
    </w:r>
    <w:r w:rsidRPr="00661B54">
      <w:rPr>
        <w:rFonts w:ascii="Arial" w:hAnsi="Arial" w:cs="Arial"/>
        <w:b/>
        <w:sz w:val="48"/>
      </w:rPr>
      <w:tab/>
    </w:r>
    <w:r w:rsidRPr="00661B54">
      <w:rPr>
        <w:rFonts w:ascii="Arial" w:hAnsi="Arial" w:cs="Arial"/>
        <w:b/>
        <w:sz w:val="48"/>
      </w:rPr>
      <w:tab/>
    </w:r>
    <w:fldSimple w:instr=" DOCVARIABLE &quot;LW_Confidence&quot; \* MERGEFORMAT ">
      <w:r>
        <w:t xml:space="preserve"> </w:t>
      </w:r>
    </w:fldSimple>
    <w:r w:rsidRPr="00661B54">
      <w:tab/>
    </w:r>
    <w:r w:rsidRPr="00661B54">
      <w:rPr>
        <w:rFonts w:ascii="Arial" w:hAnsi="Arial" w:cs="Arial"/>
        <w:b/>
        <w:sz w:val="48"/>
      </w:rPr>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AD33A" w14:textId="77777777" w:rsidR="001A468C" w:rsidRDefault="001A468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6D0E5" w14:textId="3132D062" w:rsidR="00661B54" w:rsidRPr="00661B54" w:rsidRDefault="00661B54" w:rsidP="00661B54">
    <w:pPr>
      <w:pStyle w:val="Footer"/>
      <w:rPr>
        <w:rFonts w:ascii="Arial" w:hAnsi="Arial" w:cs="Arial"/>
        <w:b/>
        <w:sz w:val="48"/>
      </w:rPr>
    </w:pPr>
    <w:r w:rsidRPr="00661B54">
      <w:rPr>
        <w:rFonts w:ascii="Arial" w:hAnsi="Arial" w:cs="Arial"/>
        <w:b/>
        <w:sz w:val="48"/>
      </w:rPr>
      <w:t>EN</w:t>
    </w:r>
    <w:r w:rsidRPr="00661B54">
      <w:rPr>
        <w:rFonts w:ascii="Arial" w:hAnsi="Arial" w:cs="Arial"/>
        <w:b/>
        <w:sz w:val="48"/>
      </w:rPr>
      <w:tab/>
    </w:r>
    <w:r>
      <w:fldChar w:fldCharType="begin"/>
    </w:r>
    <w:r>
      <w:instrText xml:space="preserve"> PAGE  \* MERGEFORMAT </w:instrText>
    </w:r>
    <w:r>
      <w:fldChar w:fldCharType="separate"/>
    </w:r>
    <w:r w:rsidR="001A468C">
      <w:rPr>
        <w:noProof/>
      </w:rPr>
      <w:t>6</w:t>
    </w:r>
    <w:r>
      <w:fldChar w:fldCharType="end"/>
    </w:r>
    <w:r>
      <w:tab/>
    </w:r>
    <w:fldSimple w:instr=" DOCVARIABLE &quot;LW_Confidence&quot; \* MERGEFORMAT ">
      <w:r>
        <w:t xml:space="preserve"> </w:t>
      </w:r>
    </w:fldSimple>
    <w:r w:rsidRPr="00661B54">
      <w:tab/>
    </w:r>
    <w:r w:rsidRPr="00661B54">
      <w:rPr>
        <w:rFonts w:ascii="Arial" w:hAnsi="Arial" w:cs="Arial"/>
        <w:b/>
        <w:sz w:val="48"/>
      </w:rPr>
      <w:t>EN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1049C" w14:textId="77777777" w:rsidR="00661B54" w:rsidRPr="00661B54" w:rsidRDefault="00661B54" w:rsidP="00661B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5D396D" w14:textId="77777777" w:rsidR="00286BFD" w:rsidRDefault="00286BFD" w:rsidP="001F3D9E">
      <w:pPr>
        <w:spacing w:before="0" w:after="0"/>
      </w:pPr>
      <w:r>
        <w:separator/>
      </w:r>
    </w:p>
  </w:footnote>
  <w:footnote w:type="continuationSeparator" w:id="0">
    <w:p w14:paraId="093B64F0" w14:textId="77777777" w:rsidR="00286BFD" w:rsidRDefault="00286BFD" w:rsidP="001F3D9E">
      <w:pPr>
        <w:spacing w:before="0" w:after="0"/>
      </w:pPr>
      <w:r>
        <w:continuationSeparator/>
      </w:r>
    </w:p>
  </w:footnote>
  <w:footnote w:type="continuationNotice" w:id="1">
    <w:p w14:paraId="0FE953C9" w14:textId="77777777" w:rsidR="00286BFD" w:rsidRDefault="00286BFD">
      <w:pPr>
        <w:spacing w:before="0" w:after="0"/>
      </w:pPr>
    </w:p>
  </w:footnote>
  <w:footnote w:id="2">
    <w:p w14:paraId="244212F7" w14:textId="77777777" w:rsidR="0021687A" w:rsidRDefault="0021687A" w:rsidP="0021687A">
      <w:pPr>
        <w:pStyle w:val="FootnoteText"/>
      </w:pPr>
      <w:r w:rsidRPr="00522A65">
        <w:rPr>
          <w:rStyle w:val="FootnoteReference"/>
        </w:rPr>
        <w:footnoteRef/>
      </w:r>
      <w:r w:rsidR="00522A65">
        <w:tab/>
      </w:r>
      <w:r>
        <w:t>OJ L 176, 27.6.2013, p. 1.</w:t>
      </w:r>
    </w:p>
  </w:footnote>
  <w:footnote w:id="3">
    <w:p w14:paraId="15DE5E0E" w14:textId="77777777" w:rsidR="00D84FF4" w:rsidRPr="00C3783E" w:rsidRDefault="00D84FF4" w:rsidP="00EC5DC5">
      <w:pPr>
        <w:pStyle w:val="FootnoteText"/>
      </w:pPr>
      <w:r w:rsidRPr="002C523F">
        <w:rPr>
          <w:rStyle w:val="FootnoteReference"/>
        </w:rPr>
        <w:footnoteRef/>
      </w:r>
      <w:r w:rsidR="002C523F">
        <w:tab/>
      </w:r>
      <w:r w:rsidRPr="00C3783E">
        <w:t xml:space="preserve">Commission Implementing Regulation (EU) No 680/2014 laying down implementing technical standards with regard to supervisory reporting of institutions according to Regulation (EU) No 575/2013 </w:t>
      </w:r>
      <w:r w:rsidR="00EC5DC5">
        <w:t xml:space="preserve">of the European Parliament and of the Council </w:t>
      </w:r>
      <w:r w:rsidRPr="00C3783E">
        <w:t>(OJ L 191, 28.6.2014, p. 1).</w:t>
      </w:r>
    </w:p>
  </w:footnote>
  <w:footnote w:id="4">
    <w:p w14:paraId="0ECB0E23" w14:textId="77777777" w:rsidR="003438C3" w:rsidRDefault="001759CC" w:rsidP="003438C3">
      <w:pPr>
        <w:pStyle w:val="FootnoteText"/>
      </w:pPr>
      <w:r w:rsidRPr="002C523F">
        <w:rPr>
          <w:rStyle w:val="FootnoteReference"/>
        </w:rPr>
        <w:footnoteRef/>
      </w:r>
      <w:r w:rsidR="002C523F">
        <w:tab/>
      </w:r>
      <w:r w:rsidRPr="00231875">
        <w:t>Commission Delegated Regulation (EU) 2015/6</w:t>
      </w:r>
      <w:r>
        <w:t>1</w:t>
      </w:r>
      <w:r w:rsidRPr="00231875">
        <w:t xml:space="preserve"> of 10 October 2014 </w:t>
      </w:r>
      <w:r w:rsidR="003438C3">
        <w:t xml:space="preserve">to supplement Regulation (EU) No 575/2013 of the European Parliament and the Council </w:t>
      </w:r>
      <w:r w:rsidRPr="009B09DD">
        <w:t>with regard to liquidity coverage requirement for Credit Institutions</w:t>
      </w:r>
      <w:r w:rsidR="003438C3">
        <w:t xml:space="preserve"> (OJ L 11, 17.1.2015, p. 1)</w:t>
      </w:r>
      <w:r>
        <w:t>.</w:t>
      </w:r>
    </w:p>
    <w:p w14:paraId="1EEA2065" w14:textId="77777777" w:rsidR="003438C3" w:rsidRDefault="003438C3" w:rsidP="003438C3">
      <w:pPr>
        <w:pStyle w:val="FootnoteText"/>
      </w:pPr>
      <w:r>
        <w:t xml:space="preserve"> </w:t>
      </w:r>
    </w:p>
    <w:p w14:paraId="16E987B4" w14:textId="77777777" w:rsidR="003438C3" w:rsidRDefault="003438C3" w:rsidP="003438C3">
      <w:pPr>
        <w:pStyle w:val="FootnoteText"/>
      </w:pPr>
    </w:p>
    <w:p w14:paraId="1807C309" w14:textId="77777777" w:rsidR="001759CC" w:rsidRPr="00DA3B3E" w:rsidRDefault="001759CC" w:rsidP="003438C3">
      <w:pPr>
        <w:pStyle w:val="FootnoteText"/>
      </w:pPr>
    </w:p>
  </w:footnote>
  <w:footnote w:id="5">
    <w:p w14:paraId="7CD1DE0C" w14:textId="77777777" w:rsidR="00D84FF4" w:rsidRPr="00C3783E" w:rsidRDefault="00D84FF4" w:rsidP="00E51822">
      <w:pPr>
        <w:pStyle w:val="FootnoteText"/>
        <w:ind w:left="0" w:firstLine="0"/>
      </w:pPr>
      <w:r w:rsidRPr="002C523F">
        <w:rPr>
          <w:rStyle w:val="FootnoteReference"/>
        </w:rPr>
        <w:footnoteRef/>
      </w:r>
      <w:r w:rsidR="002C523F">
        <w:tab/>
      </w:r>
      <w:r w:rsidRPr="00C3783E">
        <w:t>Regulation (EU) No 1093/2010 of the European Parliament and of the Council of 24 November 2010 establishing a European Supervisory Authority (European Banking Authority), amending Decision No 716/2009/EC and repealing Commission Decision 2009/78/EC (OJ L 331, 15.12.2010, p.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0E85D" w14:textId="77777777" w:rsidR="001A468C" w:rsidRDefault="001A46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4F18D" w14:textId="77777777" w:rsidR="001A468C" w:rsidRDefault="001A46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F68E4" w14:textId="77777777" w:rsidR="001A468C" w:rsidRDefault="001A46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D5A4828C"/>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016A9E8E"/>
    <w:lvl w:ilvl="0">
      <w:start w:val="1"/>
      <w:numFmt w:val="decimal"/>
      <w:pStyle w:val="ListNumber3"/>
      <w:lvlText w:val="%1."/>
      <w:lvlJc w:val="left"/>
      <w:pPr>
        <w:tabs>
          <w:tab w:val="num" w:pos="926"/>
        </w:tabs>
        <w:ind w:left="926" w:hanging="360"/>
      </w:pPr>
    </w:lvl>
  </w:abstractNum>
  <w:abstractNum w:abstractNumId="2">
    <w:nsid w:val="FFFFFF7F"/>
    <w:multiLevelType w:val="singleLevel"/>
    <w:tmpl w:val="5AD890DC"/>
    <w:lvl w:ilvl="0">
      <w:start w:val="1"/>
      <w:numFmt w:val="decimal"/>
      <w:pStyle w:val="ListNumber2"/>
      <w:lvlText w:val="%1."/>
      <w:lvlJc w:val="left"/>
      <w:pPr>
        <w:tabs>
          <w:tab w:val="num" w:pos="643"/>
        </w:tabs>
        <w:ind w:left="643" w:hanging="360"/>
      </w:pPr>
    </w:lvl>
  </w:abstractNum>
  <w:abstractNum w:abstractNumId="3">
    <w:nsid w:val="FFFFFF81"/>
    <w:multiLevelType w:val="singleLevel"/>
    <w:tmpl w:val="A99C6C0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23AA895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D5B64BF0"/>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6B7251D2"/>
    <w:lvl w:ilvl="0">
      <w:start w:val="1"/>
      <w:numFmt w:val="decimal"/>
      <w:pStyle w:val="ListNumber"/>
      <w:lvlText w:val="%1."/>
      <w:lvlJc w:val="left"/>
      <w:pPr>
        <w:tabs>
          <w:tab w:val="num" w:pos="360"/>
        </w:tabs>
        <w:ind w:left="360" w:hanging="360"/>
      </w:pPr>
    </w:lvl>
  </w:abstractNum>
  <w:abstractNum w:abstractNumId="7">
    <w:nsid w:val="FFFFFF89"/>
    <w:multiLevelType w:val="singleLevel"/>
    <w:tmpl w:val="756879AC"/>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1064D88"/>
    <w:multiLevelType w:val="hybridMultilevel"/>
    <w:tmpl w:val="DACEA436"/>
    <w:lvl w:ilvl="0" w:tplc="3502039C">
      <w:start w:val="1"/>
      <w:numFmt w:val="bullet"/>
      <w:pStyle w:val="List1"/>
      <w:lvlText w:val=""/>
      <w:lvlJc w:val="left"/>
      <w:pPr>
        <w:ind w:left="2880" w:hanging="720"/>
      </w:pPr>
      <w:rPr>
        <w:rFonts w:ascii="Wingdings" w:hAnsi="Wingdings"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2">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21"/>
  </w:num>
  <w:num w:numId="10">
    <w:abstractNumId w:val="22"/>
    <w:lvlOverride w:ilvl="0">
      <w:startOverride w:val="1"/>
    </w:lvlOverride>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2"/>
  </w:num>
  <w:num w:numId="25">
    <w:abstractNumId w:val="13"/>
    <w:lvlOverride w:ilvl="0">
      <w:startOverride w:val="1"/>
    </w:lvlOverride>
  </w:num>
  <w:numIdMacAtCleanup w:val="2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drute">
    <w15:presenceInfo w15:providerId="None" w15:userId="Audru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removePersonalInformation/>
  <w:removeDateAndTime/>
  <w:attachedTemplate r:id="rId1"/>
  <w:defaultTabStop w:val="720"/>
  <w:hyphenationZone w:val="396"/>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9-01 13:48:0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1"/>
    <w:docVar w:name="DQCResult_ModifiedMarkers" w:val="0;0"/>
    <w:docVar w:name="DQCResult_ModifiedNumbering" w:val="0;0"/>
    <w:docVar w:name="DQCResult_Objects" w:val="0;0"/>
    <w:docVar w:name="DQCResult_Sections" w:val="0;0"/>
    <w:docVar w:name="DQCResult_StructureCheck" w:val="0;0"/>
    <w:docVar w:name="DQCResult_SuperfluousWhitespace" w:val="0;8"/>
    <w:docVar w:name="DQCResult_UnknownFonts" w:val="0;0"/>
    <w:docVar w:name="DQCResult_UnknownStyles" w:val="0;0"/>
    <w:docVar w:name="DQCStatus" w:val="Green"/>
    <w:docVar w:name="DQCVersion" w:val="3"/>
    <w:docVar w:name="DQCWithWarnings" w:val="0"/>
    <w:docVar w:name="LW_CONFIDENCE" w:val=" "/>
    <w:docVar w:name="LW_CONST_RESTREINT_UE" w:val="RESTREINT UE/EU RESTRICTED"/>
    <w:docVar w:name="LW_COVERPAGE_GUID" w:val="293CFE2F97854E87AB61261497F4504F"/>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MARKING" w:val="&lt;UNUSED&gt;"/>
    <w:docVar w:name="LW_NOM.INST" w:val="EUROPEAN COMMISSION"/>
    <w:docVar w:name="LW_NOM.INST_JOINTDOC" w:val="&lt;EMPTY&gt;"/>
    <w:docVar w:name="LW_PART_NBR" w:val="1"/>
    <w:docVar w:name="LW_PART_NBR_TOTAL" w:val="1"/>
    <w:docVar w:name="LW_REF.INST.NEW" w:val="&lt;EMPTY&gt;"/>
    <w:docVar w:name="LW_REF.INST.NEW_ADOPTED" w:val="&lt;EMPTY&gt;"/>
    <w:docVar w:name="LW_REF.INST.NEW_TEXT" w:val="(2017) XXX"/>
    <w:docVar w:name="LW_REF.INTERNE" w:val="&lt;UNUSED&gt;"/>
    <w:docVar w:name="LW_SOUS.TITRE.OBJ.CP" w:val="&lt;UNUSED&gt;"/>
    <w:docVar w:name="LW_SUPERTITRE" w:val="&lt;UNUSED&gt;"/>
    <w:docVar w:name="LW_TITRE.OBJ.CP" w:val="amending Implementing Regulation (EU) No 680/2014 as regards templates and instructions"/>
    <w:docVar w:name="LW_TYPE.DOC.CP" w:val="COMMISSION IMPLEMENTING REGULATION (EU) \u8230?/..."/>
  </w:docVars>
  <w:rsids>
    <w:rsidRoot w:val="001F3D9E"/>
    <w:rsid w:val="00007454"/>
    <w:rsid w:val="0002089B"/>
    <w:rsid w:val="0002137F"/>
    <w:rsid w:val="0002290C"/>
    <w:rsid w:val="0002367E"/>
    <w:rsid w:val="00056293"/>
    <w:rsid w:val="000623F7"/>
    <w:rsid w:val="000747C4"/>
    <w:rsid w:val="000A6BA1"/>
    <w:rsid w:val="000C04ED"/>
    <w:rsid w:val="000C2471"/>
    <w:rsid w:val="000D3B73"/>
    <w:rsid w:val="000D6C93"/>
    <w:rsid w:val="000E04E5"/>
    <w:rsid w:val="000E74C6"/>
    <w:rsid w:val="000F0692"/>
    <w:rsid w:val="00104BCC"/>
    <w:rsid w:val="00111158"/>
    <w:rsid w:val="001133D3"/>
    <w:rsid w:val="00127240"/>
    <w:rsid w:val="001413DA"/>
    <w:rsid w:val="00146710"/>
    <w:rsid w:val="00146FBE"/>
    <w:rsid w:val="001643F5"/>
    <w:rsid w:val="0017091C"/>
    <w:rsid w:val="00171635"/>
    <w:rsid w:val="001759CC"/>
    <w:rsid w:val="00186E3E"/>
    <w:rsid w:val="00191162"/>
    <w:rsid w:val="00193022"/>
    <w:rsid w:val="001A356D"/>
    <w:rsid w:val="001A468C"/>
    <w:rsid w:val="001B5FA5"/>
    <w:rsid w:val="001C145E"/>
    <w:rsid w:val="001C5A8C"/>
    <w:rsid w:val="001D684A"/>
    <w:rsid w:val="001E0F3D"/>
    <w:rsid w:val="001E5F03"/>
    <w:rsid w:val="001F23FA"/>
    <w:rsid w:val="001F3D9E"/>
    <w:rsid w:val="00207035"/>
    <w:rsid w:val="002113CE"/>
    <w:rsid w:val="0021687A"/>
    <w:rsid w:val="002319C6"/>
    <w:rsid w:val="00235A23"/>
    <w:rsid w:val="00240D7D"/>
    <w:rsid w:val="00244760"/>
    <w:rsid w:val="00244B9B"/>
    <w:rsid w:val="00253CBE"/>
    <w:rsid w:val="002650BD"/>
    <w:rsid w:val="0027349F"/>
    <w:rsid w:val="00286A36"/>
    <w:rsid w:val="00286BFD"/>
    <w:rsid w:val="0028722C"/>
    <w:rsid w:val="002874D4"/>
    <w:rsid w:val="00294136"/>
    <w:rsid w:val="002B0F0A"/>
    <w:rsid w:val="002B151C"/>
    <w:rsid w:val="002B6F08"/>
    <w:rsid w:val="002C329C"/>
    <w:rsid w:val="002C523F"/>
    <w:rsid w:val="002D1CED"/>
    <w:rsid w:val="002D3799"/>
    <w:rsid w:val="002D4BF2"/>
    <w:rsid w:val="002D728C"/>
    <w:rsid w:val="002F7D86"/>
    <w:rsid w:val="00302067"/>
    <w:rsid w:val="003174AC"/>
    <w:rsid w:val="00317EE5"/>
    <w:rsid w:val="00320E80"/>
    <w:rsid w:val="0033384C"/>
    <w:rsid w:val="003438C3"/>
    <w:rsid w:val="0034445E"/>
    <w:rsid w:val="003742E5"/>
    <w:rsid w:val="00375302"/>
    <w:rsid w:val="00377A2A"/>
    <w:rsid w:val="0039283D"/>
    <w:rsid w:val="003A1F5B"/>
    <w:rsid w:val="003A400E"/>
    <w:rsid w:val="003A7890"/>
    <w:rsid w:val="003B7012"/>
    <w:rsid w:val="003C09FC"/>
    <w:rsid w:val="003C33DE"/>
    <w:rsid w:val="003D297A"/>
    <w:rsid w:val="003D48BD"/>
    <w:rsid w:val="003D7D75"/>
    <w:rsid w:val="003E3341"/>
    <w:rsid w:val="003F1B0F"/>
    <w:rsid w:val="00401B15"/>
    <w:rsid w:val="0040547D"/>
    <w:rsid w:val="00423128"/>
    <w:rsid w:val="00433998"/>
    <w:rsid w:val="00444548"/>
    <w:rsid w:val="004453F9"/>
    <w:rsid w:val="00446CA4"/>
    <w:rsid w:val="00460258"/>
    <w:rsid w:val="004605DB"/>
    <w:rsid w:val="00460C9F"/>
    <w:rsid w:val="00460F7C"/>
    <w:rsid w:val="00472A14"/>
    <w:rsid w:val="00475F2E"/>
    <w:rsid w:val="00483B40"/>
    <w:rsid w:val="00484CE9"/>
    <w:rsid w:val="0048650A"/>
    <w:rsid w:val="00490AAF"/>
    <w:rsid w:val="004B2C4E"/>
    <w:rsid w:val="004B7AF2"/>
    <w:rsid w:val="004C1027"/>
    <w:rsid w:val="004C221A"/>
    <w:rsid w:val="004D4679"/>
    <w:rsid w:val="004E65E7"/>
    <w:rsid w:val="004F053D"/>
    <w:rsid w:val="005119EC"/>
    <w:rsid w:val="00511B3A"/>
    <w:rsid w:val="00515073"/>
    <w:rsid w:val="00515408"/>
    <w:rsid w:val="005174BD"/>
    <w:rsid w:val="00517ABE"/>
    <w:rsid w:val="0052103D"/>
    <w:rsid w:val="00521998"/>
    <w:rsid w:val="00522A65"/>
    <w:rsid w:val="00530F7B"/>
    <w:rsid w:val="00535C6E"/>
    <w:rsid w:val="00545E6C"/>
    <w:rsid w:val="00547F49"/>
    <w:rsid w:val="005504A7"/>
    <w:rsid w:val="00551DC0"/>
    <w:rsid w:val="00554079"/>
    <w:rsid w:val="005574FC"/>
    <w:rsid w:val="005770E6"/>
    <w:rsid w:val="00586690"/>
    <w:rsid w:val="00594155"/>
    <w:rsid w:val="005A7811"/>
    <w:rsid w:val="005B06CD"/>
    <w:rsid w:val="005C29AB"/>
    <w:rsid w:val="005D3A9E"/>
    <w:rsid w:val="005D3CBA"/>
    <w:rsid w:val="005E7BFB"/>
    <w:rsid w:val="005F35EA"/>
    <w:rsid w:val="006037FF"/>
    <w:rsid w:val="00606E3B"/>
    <w:rsid w:val="00620318"/>
    <w:rsid w:val="00634FA5"/>
    <w:rsid w:val="00650EDF"/>
    <w:rsid w:val="00661B54"/>
    <w:rsid w:val="00671DD3"/>
    <w:rsid w:val="00673264"/>
    <w:rsid w:val="00686B3D"/>
    <w:rsid w:val="00690DEE"/>
    <w:rsid w:val="00694397"/>
    <w:rsid w:val="006954F3"/>
    <w:rsid w:val="006B4492"/>
    <w:rsid w:val="006B5056"/>
    <w:rsid w:val="006D38DE"/>
    <w:rsid w:val="006E2787"/>
    <w:rsid w:val="006F6980"/>
    <w:rsid w:val="006F7B4C"/>
    <w:rsid w:val="0071357B"/>
    <w:rsid w:val="00715D61"/>
    <w:rsid w:val="00720851"/>
    <w:rsid w:val="0073247A"/>
    <w:rsid w:val="00751070"/>
    <w:rsid w:val="00753081"/>
    <w:rsid w:val="0075397A"/>
    <w:rsid w:val="0075475C"/>
    <w:rsid w:val="00762194"/>
    <w:rsid w:val="00775058"/>
    <w:rsid w:val="007804D2"/>
    <w:rsid w:val="0078447A"/>
    <w:rsid w:val="00784D44"/>
    <w:rsid w:val="0078588B"/>
    <w:rsid w:val="007948B3"/>
    <w:rsid w:val="00794C91"/>
    <w:rsid w:val="007B46E1"/>
    <w:rsid w:val="007C1296"/>
    <w:rsid w:val="007D1FC4"/>
    <w:rsid w:val="007D53B6"/>
    <w:rsid w:val="007E1776"/>
    <w:rsid w:val="007E4CBE"/>
    <w:rsid w:val="007F55A4"/>
    <w:rsid w:val="007F7FA9"/>
    <w:rsid w:val="00803444"/>
    <w:rsid w:val="0080785E"/>
    <w:rsid w:val="00810C66"/>
    <w:rsid w:val="00817C50"/>
    <w:rsid w:val="00820527"/>
    <w:rsid w:val="00820B93"/>
    <w:rsid w:val="0082259B"/>
    <w:rsid w:val="0082694F"/>
    <w:rsid w:val="00826EF9"/>
    <w:rsid w:val="00833F6D"/>
    <w:rsid w:val="00843C95"/>
    <w:rsid w:val="00850EB1"/>
    <w:rsid w:val="008654A3"/>
    <w:rsid w:val="008671FD"/>
    <w:rsid w:val="00873706"/>
    <w:rsid w:val="008779EB"/>
    <w:rsid w:val="00883BC1"/>
    <w:rsid w:val="00884855"/>
    <w:rsid w:val="00890188"/>
    <w:rsid w:val="008A1630"/>
    <w:rsid w:val="008C776B"/>
    <w:rsid w:val="008E61FF"/>
    <w:rsid w:val="008F0F25"/>
    <w:rsid w:val="00903C05"/>
    <w:rsid w:val="009154CA"/>
    <w:rsid w:val="00920D6A"/>
    <w:rsid w:val="009275FE"/>
    <w:rsid w:val="009369DA"/>
    <w:rsid w:val="0093709C"/>
    <w:rsid w:val="00944D6B"/>
    <w:rsid w:val="00955BBB"/>
    <w:rsid w:val="00972353"/>
    <w:rsid w:val="0097400D"/>
    <w:rsid w:val="009755A6"/>
    <w:rsid w:val="00975661"/>
    <w:rsid w:val="009833F2"/>
    <w:rsid w:val="0099639E"/>
    <w:rsid w:val="009A0B04"/>
    <w:rsid w:val="009A3920"/>
    <w:rsid w:val="009C0FA3"/>
    <w:rsid w:val="009D18BB"/>
    <w:rsid w:val="009D438B"/>
    <w:rsid w:val="009E0D98"/>
    <w:rsid w:val="009E12AA"/>
    <w:rsid w:val="009E6D1F"/>
    <w:rsid w:val="009F3179"/>
    <w:rsid w:val="00A03078"/>
    <w:rsid w:val="00A104E2"/>
    <w:rsid w:val="00A17428"/>
    <w:rsid w:val="00A2129A"/>
    <w:rsid w:val="00A533F6"/>
    <w:rsid w:val="00A71763"/>
    <w:rsid w:val="00A73C60"/>
    <w:rsid w:val="00A84BDA"/>
    <w:rsid w:val="00A91CCC"/>
    <w:rsid w:val="00AA71D7"/>
    <w:rsid w:val="00AC0319"/>
    <w:rsid w:val="00AD1C0C"/>
    <w:rsid w:val="00AF7EC1"/>
    <w:rsid w:val="00B04DCA"/>
    <w:rsid w:val="00B05C21"/>
    <w:rsid w:val="00B14ED5"/>
    <w:rsid w:val="00B16B13"/>
    <w:rsid w:val="00B42322"/>
    <w:rsid w:val="00B43CAD"/>
    <w:rsid w:val="00B44CFD"/>
    <w:rsid w:val="00B51555"/>
    <w:rsid w:val="00B5224D"/>
    <w:rsid w:val="00B64F68"/>
    <w:rsid w:val="00B65763"/>
    <w:rsid w:val="00B75725"/>
    <w:rsid w:val="00B806CD"/>
    <w:rsid w:val="00B903E7"/>
    <w:rsid w:val="00B95D53"/>
    <w:rsid w:val="00B96DF8"/>
    <w:rsid w:val="00BA2FF7"/>
    <w:rsid w:val="00BB6A06"/>
    <w:rsid w:val="00BC29FB"/>
    <w:rsid w:val="00BC715E"/>
    <w:rsid w:val="00BC73E8"/>
    <w:rsid w:val="00BD4BEE"/>
    <w:rsid w:val="00BD4F6B"/>
    <w:rsid w:val="00BE787C"/>
    <w:rsid w:val="00BF0DA0"/>
    <w:rsid w:val="00C03960"/>
    <w:rsid w:val="00C064CA"/>
    <w:rsid w:val="00C120E1"/>
    <w:rsid w:val="00C143B1"/>
    <w:rsid w:val="00C16A13"/>
    <w:rsid w:val="00C211C5"/>
    <w:rsid w:val="00C21747"/>
    <w:rsid w:val="00C2433B"/>
    <w:rsid w:val="00C34401"/>
    <w:rsid w:val="00C50132"/>
    <w:rsid w:val="00C50AB9"/>
    <w:rsid w:val="00C76CAA"/>
    <w:rsid w:val="00C809B6"/>
    <w:rsid w:val="00C86058"/>
    <w:rsid w:val="00C916D3"/>
    <w:rsid w:val="00C94895"/>
    <w:rsid w:val="00C95757"/>
    <w:rsid w:val="00CA2A85"/>
    <w:rsid w:val="00CA43C0"/>
    <w:rsid w:val="00CA5B39"/>
    <w:rsid w:val="00CB3A12"/>
    <w:rsid w:val="00CB5179"/>
    <w:rsid w:val="00D00A76"/>
    <w:rsid w:val="00D01020"/>
    <w:rsid w:val="00D03D76"/>
    <w:rsid w:val="00D044A5"/>
    <w:rsid w:val="00D05CF2"/>
    <w:rsid w:val="00D1589C"/>
    <w:rsid w:val="00D277C5"/>
    <w:rsid w:val="00D40188"/>
    <w:rsid w:val="00D61F24"/>
    <w:rsid w:val="00D82525"/>
    <w:rsid w:val="00D84FF4"/>
    <w:rsid w:val="00D942BF"/>
    <w:rsid w:val="00D96AFD"/>
    <w:rsid w:val="00DA5FE0"/>
    <w:rsid w:val="00DB4B67"/>
    <w:rsid w:val="00DB5C4A"/>
    <w:rsid w:val="00DC2257"/>
    <w:rsid w:val="00DC5321"/>
    <w:rsid w:val="00DD33F2"/>
    <w:rsid w:val="00DD4A3F"/>
    <w:rsid w:val="00E01CF4"/>
    <w:rsid w:val="00E262B0"/>
    <w:rsid w:val="00E311DA"/>
    <w:rsid w:val="00E31919"/>
    <w:rsid w:val="00E4334C"/>
    <w:rsid w:val="00E45C46"/>
    <w:rsid w:val="00E51822"/>
    <w:rsid w:val="00E54E65"/>
    <w:rsid w:val="00E57077"/>
    <w:rsid w:val="00E6686A"/>
    <w:rsid w:val="00E87EC5"/>
    <w:rsid w:val="00EA7A1F"/>
    <w:rsid w:val="00EB54AB"/>
    <w:rsid w:val="00EB55CD"/>
    <w:rsid w:val="00EC5DC5"/>
    <w:rsid w:val="00EE0D79"/>
    <w:rsid w:val="00EE3497"/>
    <w:rsid w:val="00EF1419"/>
    <w:rsid w:val="00F006BF"/>
    <w:rsid w:val="00F02212"/>
    <w:rsid w:val="00F1011C"/>
    <w:rsid w:val="00F1133D"/>
    <w:rsid w:val="00F14083"/>
    <w:rsid w:val="00F17D2E"/>
    <w:rsid w:val="00F20C44"/>
    <w:rsid w:val="00F241F8"/>
    <w:rsid w:val="00F2666B"/>
    <w:rsid w:val="00F2784E"/>
    <w:rsid w:val="00F323BF"/>
    <w:rsid w:val="00F3710B"/>
    <w:rsid w:val="00F54F00"/>
    <w:rsid w:val="00F56CB4"/>
    <w:rsid w:val="00F619AA"/>
    <w:rsid w:val="00F658EB"/>
    <w:rsid w:val="00F67FE1"/>
    <w:rsid w:val="00F7641A"/>
    <w:rsid w:val="00F8006B"/>
    <w:rsid w:val="00F87183"/>
    <w:rsid w:val="00F90F05"/>
    <w:rsid w:val="00FB761F"/>
    <w:rsid w:val="00FB7949"/>
    <w:rsid w:val="00FC2605"/>
    <w:rsid w:val="00FC70C2"/>
    <w:rsid w:val="00FD0A6F"/>
    <w:rsid w:val="00FE041D"/>
    <w:rsid w:val="00FF2733"/>
    <w:rsid w:val="00FF541D"/>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7D53B6"/>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650EDF"/>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650EDF"/>
    <w:pPr>
      <w:spacing w:after="0"/>
    </w:pPr>
  </w:style>
  <w:style w:type="paragraph" w:styleId="ListBullet">
    <w:name w:val="List Bullet"/>
    <w:basedOn w:val="Normal"/>
    <w:uiPriority w:val="99"/>
    <w:semiHidden/>
    <w:unhideWhenUsed/>
    <w:rsid w:val="00650EDF"/>
    <w:pPr>
      <w:numPr>
        <w:numId w:val="1"/>
      </w:numPr>
      <w:contextualSpacing/>
    </w:pPr>
  </w:style>
  <w:style w:type="paragraph" w:styleId="ListBullet2">
    <w:name w:val="List Bullet 2"/>
    <w:basedOn w:val="Normal"/>
    <w:uiPriority w:val="99"/>
    <w:semiHidden/>
    <w:unhideWhenUsed/>
    <w:rsid w:val="00650EDF"/>
    <w:pPr>
      <w:numPr>
        <w:numId w:val="2"/>
      </w:numPr>
      <w:contextualSpacing/>
    </w:pPr>
  </w:style>
  <w:style w:type="paragraph" w:styleId="ListBullet3">
    <w:name w:val="List Bullet 3"/>
    <w:basedOn w:val="Normal"/>
    <w:uiPriority w:val="99"/>
    <w:semiHidden/>
    <w:unhideWhenUsed/>
    <w:rsid w:val="00650EDF"/>
    <w:pPr>
      <w:numPr>
        <w:numId w:val="3"/>
      </w:numPr>
      <w:contextualSpacing/>
    </w:pPr>
  </w:style>
  <w:style w:type="paragraph" w:styleId="ListBullet4">
    <w:name w:val="List Bullet 4"/>
    <w:basedOn w:val="Normal"/>
    <w:uiPriority w:val="99"/>
    <w:semiHidden/>
    <w:unhideWhenUsed/>
    <w:rsid w:val="00650EDF"/>
    <w:pPr>
      <w:numPr>
        <w:numId w:val="4"/>
      </w:numPr>
      <w:contextualSpacing/>
    </w:pPr>
  </w:style>
  <w:style w:type="paragraph" w:styleId="ListNumber">
    <w:name w:val="List Number"/>
    <w:basedOn w:val="Normal"/>
    <w:uiPriority w:val="99"/>
    <w:semiHidden/>
    <w:unhideWhenUsed/>
    <w:rsid w:val="00650EDF"/>
    <w:pPr>
      <w:numPr>
        <w:numId w:val="5"/>
      </w:numPr>
      <w:contextualSpacing/>
    </w:pPr>
  </w:style>
  <w:style w:type="paragraph" w:styleId="ListNumber2">
    <w:name w:val="List Number 2"/>
    <w:basedOn w:val="Normal"/>
    <w:uiPriority w:val="99"/>
    <w:semiHidden/>
    <w:unhideWhenUsed/>
    <w:rsid w:val="00650EDF"/>
    <w:pPr>
      <w:numPr>
        <w:numId w:val="6"/>
      </w:numPr>
      <w:contextualSpacing/>
    </w:pPr>
  </w:style>
  <w:style w:type="paragraph" w:styleId="ListNumber3">
    <w:name w:val="List Number 3"/>
    <w:basedOn w:val="Normal"/>
    <w:uiPriority w:val="99"/>
    <w:semiHidden/>
    <w:unhideWhenUsed/>
    <w:rsid w:val="00650EDF"/>
    <w:pPr>
      <w:numPr>
        <w:numId w:val="7"/>
      </w:numPr>
      <w:contextualSpacing/>
    </w:pPr>
  </w:style>
  <w:style w:type="paragraph" w:styleId="ListNumber4">
    <w:name w:val="List Number 4"/>
    <w:basedOn w:val="Normal"/>
    <w:uiPriority w:val="99"/>
    <w:semiHidden/>
    <w:unhideWhenUsed/>
    <w:rsid w:val="00650EDF"/>
    <w:pPr>
      <w:numPr>
        <w:numId w:val="8"/>
      </w:numPr>
      <w:contextualSpacing/>
    </w:pPr>
  </w:style>
  <w:style w:type="character" w:styleId="CommentReference">
    <w:name w:val="annotation reference"/>
    <w:basedOn w:val="DefaultParagraphFont"/>
    <w:uiPriority w:val="99"/>
    <w:semiHidden/>
    <w:unhideWhenUsed/>
    <w:rsid w:val="00522A65"/>
    <w:rPr>
      <w:sz w:val="16"/>
      <w:szCs w:val="16"/>
    </w:rPr>
  </w:style>
  <w:style w:type="paragraph" w:styleId="CommentText">
    <w:name w:val="annotation text"/>
    <w:basedOn w:val="Normal"/>
    <w:link w:val="CommentTextChar"/>
    <w:uiPriority w:val="99"/>
    <w:unhideWhenUsed/>
    <w:rsid w:val="00286BFD"/>
    <w:rPr>
      <w:sz w:val="20"/>
      <w:szCs w:val="20"/>
    </w:rPr>
  </w:style>
  <w:style w:type="character" w:customStyle="1" w:styleId="CommentTextChar">
    <w:name w:val="Comment Text Char"/>
    <w:basedOn w:val="DefaultParagraphFont"/>
    <w:link w:val="CommentText"/>
    <w:uiPriority w:val="99"/>
    <w:rsid w:val="00522A65"/>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22A65"/>
    <w:rPr>
      <w:b/>
      <w:bCs/>
    </w:rPr>
  </w:style>
  <w:style w:type="character" w:customStyle="1" w:styleId="CommentSubjectChar">
    <w:name w:val="Comment Subject Char"/>
    <w:basedOn w:val="CommentTextChar"/>
    <w:link w:val="CommentSubject"/>
    <w:uiPriority w:val="99"/>
    <w:semiHidden/>
    <w:rsid w:val="00522A65"/>
    <w:rPr>
      <w:rFonts w:ascii="Times New Roman" w:hAnsi="Times New Roman" w:cs="Times New Roman"/>
      <w:b/>
      <w:bCs/>
      <w:sz w:val="20"/>
      <w:szCs w:val="20"/>
      <w:lang w:val="en-GB"/>
    </w:rPr>
  </w:style>
  <w:style w:type="character" w:styleId="Hyperlink">
    <w:name w:val="Hyperlink"/>
    <w:basedOn w:val="DefaultParagraphFont"/>
    <w:uiPriority w:val="99"/>
    <w:unhideWhenUsed/>
    <w:rsid w:val="00522A65"/>
    <w:rPr>
      <w:color w:val="0000FF" w:themeColor="hyperlink"/>
      <w:u w:val="single"/>
    </w:rPr>
  </w:style>
  <w:style w:type="paragraph" w:styleId="BalloonText">
    <w:name w:val="Balloon Text"/>
    <w:basedOn w:val="Normal"/>
    <w:link w:val="BalloonTextChar"/>
    <w:uiPriority w:val="99"/>
    <w:semiHidden/>
    <w:unhideWhenUsed/>
    <w:rsid w:val="00522A6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A65"/>
    <w:rPr>
      <w:rFonts w:ascii="Tahoma" w:hAnsi="Tahoma" w:cs="Tahoma"/>
      <w:sz w:val="16"/>
      <w:szCs w:val="16"/>
      <w:lang w:val="en-GB"/>
    </w:rPr>
  </w:style>
  <w:style w:type="paragraph" w:customStyle="1" w:styleId="List1">
    <w:name w:val="List1"/>
    <w:autoRedefine/>
    <w:qFormat/>
    <w:rsid w:val="009E12AA"/>
    <w:pPr>
      <w:numPr>
        <w:numId w:val="9"/>
      </w:numPr>
      <w:spacing w:after="0" w:line="240" w:lineRule="auto"/>
    </w:pPr>
    <w:rPr>
      <w:rFonts w:eastAsiaTheme="minorEastAsia"/>
    </w:rPr>
  </w:style>
  <w:style w:type="paragraph" w:customStyle="1" w:styleId="Numpar">
    <w:name w:val="Num par"/>
    <w:basedOn w:val="Bullet3"/>
    <w:rsid w:val="00056293"/>
    <w:pPr>
      <w:numPr>
        <w:numId w:val="0"/>
      </w:numPr>
      <w:tabs>
        <w:tab w:val="num" w:pos="2551"/>
      </w:tabs>
      <w:ind w:left="2551" w:hanging="567"/>
    </w:pPr>
    <w:rPr>
      <w:noProof/>
    </w:rPr>
  </w:style>
  <w:style w:type="paragraph" w:styleId="Revision">
    <w:name w:val="Revision"/>
    <w:hidden/>
    <w:uiPriority w:val="99"/>
    <w:semiHidden/>
    <w:rsid w:val="002319C6"/>
    <w:pPr>
      <w:spacing w:after="0" w:line="240" w:lineRule="auto"/>
    </w:pPr>
    <w:rPr>
      <w:rFonts w:ascii="Times New Roman" w:hAnsi="Times New Roman" w:cs="Times New Roman"/>
      <w:sz w:val="24"/>
      <w:lang w:val="en-GB"/>
    </w:rPr>
  </w:style>
  <w:style w:type="character" w:styleId="FollowedHyperlink">
    <w:name w:val="FollowedHyperlink"/>
    <w:basedOn w:val="DefaultParagraphFont"/>
    <w:uiPriority w:val="99"/>
    <w:semiHidden/>
    <w:unhideWhenUsed/>
    <w:rsid w:val="00C86058"/>
    <w:rPr>
      <w:color w:val="800080" w:themeColor="followedHyperlink"/>
      <w:u w:val="single"/>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11"/>
      </w:numPr>
    </w:pPr>
  </w:style>
  <w:style w:type="paragraph" w:customStyle="1" w:styleId="Tiret1">
    <w:name w:val="Tiret 1"/>
    <w:basedOn w:val="Point1"/>
    <w:rsid w:val="007D53B6"/>
    <w:pPr>
      <w:numPr>
        <w:numId w:val="12"/>
      </w:numPr>
    </w:pPr>
  </w:style>
  <w:style w:type="paragraph" w:customStyle="1" w:styleId="Tiret2">
    <w:name w:val="Tiret 2"/>
    <w:basedOn w:val="Point2"/>
    <w:rsid w:val="007D53B6"/>
    <w:pPr>
      <w:numPr>
        <w:numId w:val="13"/>
      </w:numPr>
    </w:pPr>
  </w:style>
  <w:style w:type="paragraph" w:customStyle="1" w:styleId="Tiret3">
    <w:name w:val="Tiret 3"/>
    <w:basedOn w:val="Point3"/>
    <w:rsid w:val="007D53B6"/>
    <w:pPr>
      <w:numPr>
        <w:numId w:val="14"/>
      </w:numPr>
    </w:pPr>
  </w:style>
  <w:style w:type="paragraph" w:customStyle="1" w:styleId="Tiret4">
    <w:name w:val="Tiret 4"/>
    <w:basedOn w:val="Point4"/>
    <w:rsid w:val="007D53B6"/>
    <w:pPr>
      <w:numPr>
        <w:numId w:val="15"/>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16"/>
      </w:numPr>
    </w:pPr>
  </w:style>
  <w:style w:type="paragraph" w:customStyle="1" w:styleId="NumPar2">
    <w:name w:val="NumPar 2"/>
    <w:basedOn w:val="Normal"/>
    <w:next w:val="Text1"/>
    <w:rsid w:val="007D53B6"/>
    <w:pPr>
      <w:numPr>
        <w:ilvl w:val="1"/>
        <w:numId w:val="16"/>
      </w:numPr>
    </w:pPr>
  </w:style>
  <w:style w:type="paragraph" w:customStyle="1" w:styleId="NumPar3">
    <w:name w:val="NumPar 3"/>
    <w:basedOn w:val="Normal"/>
    <w:next w:val="Text1"/>
    <w:rsid w:val="007D53B6"/>
    <w:pPr>
      <w:numPr>
        <w:ilvl w:val="2"/>
        <w:numId w:val="16"/>
      </w:numPr>
    </w:pPr>
  </w:style>
  <w:style w:type="paragraph" w:customStyle="1" w:styleId="NumPar4">
    <w:name w:val="NumPar 4"/>
    <w:basedOn w:val="Normal"/>
    <w:next w:val="Text1"/>
    <w:rsid w:val="007D53B6"/>
    <w:pPr>
      <w:numPr>
        <w:ilvl w:val="3"/>
        <w:numId w:val="16"/>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18"/>
      </w:numPr>
    </w:pPr>
  </w:style>
  <w:style w:type="paragraph" w:customStyle="1" w:styleId="Point1number">
    <w:name w:val="Point 1 (number)"/>
    <w:basedOn w:val="Normal"/>
    <w:rsid w:val="007D53B6"/>
    <w:pPr>
      <w:numPr>
        <w:ilvl w:val="2"/>
        <w:numId w:val="18"/>
      </w:numPr>
    </w:pPr>
  </w:style>
  <w:style w:type="paragraph" w:customStyle="1" w:styleId="Point2number">
    <w:name w:val="Point 2 (number)"/>
    <w:basedOn w:val="Normal"/>
    <w:rsid w:val="007D53B6"/>
    <w:pPr>
      <w:numPr>
        <w:ilvl w:val="4"/>
        <w:numId w:val="18"/>
      </w:numPr>
    </w:pPr>
  </w:style>
  <w:style w:type="paragraph" w:customStyle="1" w:styleId="Point3number">
    <w:name w:val="Point 3 (number)"/>
    <w:basedOn w:val="Normal"/>
    <w:rsid w:val="007D53B6"/>
    <w:pPr>
      <w:numPr>
        <w:ilvl w:val="6"/>
        <w:numId w:val="18"/>
      </w:numPr>
    </w:pPr>
  </w:style>
  <w:style w:type="paragraph" w:customStyle="1" w:styleId="Point0letter">
    <w:name w:val="Point 0 (letter)"/>
    <w:basedOn w:val="Normal"/>
    <w:rsid w:val="007D53B6"/>
    <w:pPr>
      <w:numPr>
        <w:ilvl w:val="1"/>
        <w:numId w:val="18"/>
      </w:numPr>
    </w:pPr>
  </w:style>
  <w:style w:type="paragraph" w:customStyle="1" w:styleId="Point1letter">
    <w:name w:val="Point 1 (letter)"/>
    <w:basedOn w:val="Normal"/>
    <w:rsid w:val="007D53B6"/>
    <w:pPr>
      <w:numPr>
        <w:ilvl w:val="3"/>
        <w:numId w:val="18"/>
      </w:numPr>
    </w:pPr>
  </w:style>
  <w:style w:type="paragraph" w:customStyle="1" w:styleId="Point2letter">
    <w:name w:val="Point 2 (letter)"/>
    <w:basedOn w:val="Normal"/>
    <w:rsid w:val="007D53B6"/>
    <w:pPr>
      <w:numPr>
        <w:ilvl w:val="5"/>
        <w:numId w:val="18"/>
      </w:numPr>
    </w:pPr>
  </w:style>
  <w:style w:type="paragraph" w:customStyle="1" w:styleId="Point3letter">
    <w:name w:val="Point 3 (letter)"/>
    <w:basedOn w:val="Normal"/>
    <w:rsid w:val="007D53B6"/>
    <w:pPr>
      <w:numPr>
        <w:ilvl w:val="7"/>
        <w:numId w:val="18"/>
      </w:numPr>
    </w:pPr>
  </w:style>
  <w:style w:type="paragraph" w:customStyle="1" w:styleId="Point4letter">
    <w:name w:val="Point 4 (letter)"/>
    <w:basedOn w:val="Normal"/>
    <w:rsid w:val="007D53B6"/>
    <w:pPr>
      <w:numPr>
        <w:ilvl w:val="8"/>
        <w:numId w:val="18"/>
      </w:numPr>
    </w:pPr>
  </w:style>
  <w:style w:type="paragraph" w:customStyle="1" w:styleId="Bullet0">
    <w:name w:val="Bullet 0"/>
    <w:basedOn w:val="Normal"/>
    <w:rsid w:val="007D53B6"/>
    <w:pPr>
      <w:numPr>
        <w:numId w:val="19"/>
      </w:numPr>
    </w:pPr>
  </w:style>
  <w:style w:type="paragraph" w:customStyle="1" w:styleId="Bullet1">
    <w:name w:val="Bullet 1"/>
    <w:basedOn w:val="Normal"/>
    <w:rsid w:val="007D53B6"/>
    <w:pPr>
      <w:numPr>
        <w:numId w:val="20"/>
      </w:numPr>
    </w:pPr>
  </w:style>
  <w:style w:type="paragraph" w:customStyle="1" w:styleId="Bullet2">
    <w:name w:val="Bullet 2"/>
    <w:basedOn w:val="Normal"/>
    <w:rsid w:val="007D53B6"/>
    <w:pPr>
      <w:numPr>
        <w:numId w:val="21"/>
      </w:numPr>
    </w:pPr>
  </w:style>
  <w:style w:type="paragraph" w:customStyle="1" w:styleId="Bullet3">
    <w:name w:val="Bullet 3"/>
    <w:basedOn w:val="Normal"/>
    <w:rsid w:val="007D53B6"/>
    <w:pPr>
      <w:numPr>
        <w:numId w:val="22"/>
      </w:numPr>
    </w:pPr>
  </w:style>
  <w:style w:type="paragraph" w:customStyle="1" w:styleId="Bullet4">
    <w:name w:val="Bullet 4"/>
    <w:basedOn w:val="Normal"/>
    <w:rsid w:val="007D53B6"/>
    <w:pPr>
      <w:numPr>
        <w:numId w:val="23"/>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24"/>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7D53B6"/>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650EDF"/>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650EDF"/>
    <w:pPr>
      <w:spacing w:after="0"/>
    </w:pPr>
  </w:style>
  <w:style w:type="paragraph" w:styleId="ListBullet">
    <w:name w:val="List Bullet"/>
    <w:basedOn w:val="Normal"/>
    <w:uiPriority w:val="99"/>
    <w:semiHidden/>
    <w:unhideWhenUsed/>
    <w:rsid w:val="00650EDF"/>
    <w:pPr>
      <w:numPr>
        <w:numId w:val="1"/>
      </w:numPr>
      <w:contextualSpacing/>
    </w:pPr>
  </w:style>
  <w:style w:type="paragraph" w:styleId="ListBullet2">
    <w:name w:val="List Bullet 2"/>
    <w:basedOn w:val="Normal"/>
    <w:uiPriority w:val="99"/>
    <w:semiHidden/>
    <w:unhideWhenUsed/>
    <w:rsid w:val="00650EDF"/>
    <w:pPr>
      <w:numPr>
        <w:numId w:val="2"/>
      </w:numPr>
      <w:contextualSpacing/>
    </w:pPr>
  </w:style>
  <w:style w:type="paragraph" w:styleId="ListBullet3">
    <w:name w:val="List Bullet 3"/>
    <w:basedOn w:val="Normal"/>
    <w:uiPriority w:val="99"/>
    <w:semiHidden/>
    <w:unhideWhenUsed/>
    <w:rsid w:val="00650EDF"/>
    <w:pPr>
      <w:numPr>
        <w:numId w:val="3"/>
      </w:numPr>
      <w:contextualSpacing/>
    </w:pPr>
  </w:style>
  <w:style w:type="paragraph" w:styleId="ListBullet4">
    <w:name w:val="List Bullet 4"/>
    <w:basedOn w:val="Normal"/>
    <w:uiPriority w:val="99"/>
    <w:semiHidden/>
    <w:unhideWhenUsed/>
    <w:rsid w:val="00650EDF"/>
    <w:pPr>
      <w:numPr>
        <w:numId w:val="4"/>
      </w:numPr>
      <w:contextualSpacing/>
    </w:pPr>
  </w:style>
  <w:style w:type="paragraph" w:styleId="ListNumber">
    <w:name w:val="List Number"/>
    <w:basedOn w:val="Normal"/>
    <w:uiPriority w:val="99"/>
    <w:semiHidden/>
    <w:unhideWhenUsed/>
    <w:rsid w:val="00650EDF"/>
    <w:pPr>
      <w:numPr>
        <w:numId w:val="5"/>
      </w:numPr>
      <w:contextualSpacing/>
    </w:pPr>
  </w:style>
  <w:style w:type="paragraph" w:styleId="ListNumber2">
    <w:name w:val="List Number 2"/>
    <w:basedOn w:val="Normal"/>
    <w:uiPriority w:val="99"/>
    <w:semiHidden/>
    <w:unhideWhenUsed/>
    <w:rsid w:val="00650EDF"/>
    <w:pPr>
      <w:numPr>
        <w:numId w:val="6"/>
      </w:numPr>
      <w:contextualSpacing/>
    </w:pPr>
  </w:style>
  <w:style w:type="paragraph" w:styleId="ListNumber3">
    <w:name w:val="List Number 3"/>
    <w:basedOn w:val="Normal"/>
    <w:uiPriority w:val="99"/>
    <w:semiHidden/>
    <w:unhideWhenUsed/>
    <w:rsid w:val="00650EDF"/>
    <w:pPr>
      <w:numPr>
        <w:numId w:val="7"/>
      </w:numPr>
      <w:contextualSpacing/>
    </w:pPr>
  </w:style>
  <w:style w:type="paragraph" w:styleId="ListNumber4">
    <w:name w:val="List Number 4"/>
    <w:basedOn w:val="Normal"/>
    <w:uiPriority w:val="99"/>
    <w:semiHidden/>
    <w:unhideWhenUsed/>
    <w:rsid w:val="00650EDF"/>
    <w:pPr>
      <w:numPr>
        <w:numId w:val="8"/>
      </w:numPr>
      <w:contextualSpacing/>
    </w:pPr>
  </w:style>
  <w:style w:type="character" w:styleId="CommentReference">
    <w:name w:val="annotation reference"/>
    <w:basedOn w:val="DefaultParagraphFont"/>
    <w:uiPriority w:val="99"/>
    <w:semiHidden/>
    <w:unhideWhenUsed/>
    <w:rsid w:val="00522A65"/>
    <w:rPr>
      <w:sz w:val="16"/>
      <w:szCs w:val="16"/>
    </w:rPr>
  </w:style>
  <w:style w:type="paragraph" w:styleId="CommentText">
    <w:name w:val="annotation text"/>
    <w:basedOn w:val="Normal"/>
    <w:link w:val="CommentTextChar"/>
    <w:uiPriority w:val="99"/>
    <w:unhideWhenUsed/>
    <w:rsid w:val="00286BFD"/>
    <w:rPr>
      <w:sz w:val="20"/>
      <w:szCs w:val="20"/>
    </w:rPr>
  </w:style>
  <w:style w:type="character" w:customStyle="1" w:styleId="CommentTextChar">
    <w:name w:val="Comment Text Char"/>
    <w:basedOn w:val="DefaultParagraphFont"/>
    <w:link w:val="CommentText"/>
    <w:uiPriority w:val="99"/>
    <w:rsid w:val="00522A65"/>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22A65"/>
    <w:rPr>
      <w:b/>
      <w:bCs/>
    </w:rPr>
  </w:style>
  <w:style w:type="character" w:customStyle="1" w:styleId="CommentSubjectChar">
    <w:name w:val="Comment Subject Char"/>
    <w:basedOn w:val="CommentTextChar"/>
    <w:link w:val="CommentSubject"/>
    <w:uiPriority w:val="99"/>
    <w:semiHidden/>
    <w:rsid w:val="00522A65"/>
    <w:rPr>
      <w:rFonts w:ascii="Times New Roman" w:hAnsi="Times New Roman" w:cs="Times New Roman"/>
      <w:b/>
      <w:bCs/>
      <w:sz w:val="20"/>
      <w:szCs w:val="20"/>
      <w:lang w:val="en-GB"/>
    </w:rPr>
  </w:style>
  <w:style w:type="character" w:styleId="Hyperlink">
    <w:name w:val="Hyperlink"/>
    <w:basedOn w:val="DefaultParagraphFont"/>
    <w:uiPriority w:val="99"/>
    <w:unhideWhenUsed/>
    <w:rsid w:val="00522A65"/>
    <w:rPr>
      <w:color w:val="0000FF" w:themeColor="hyperlink"/>
      <w:u w:val="single"/>
    </w:rPr>
  </w:style>
  <w:style w:type="paragraph" w:styleId="BalloonText">
    <w:name w:val="Balloon Text"/>
    <w:basedOn w:val="Normal"/>
    <w:link w:val="BalloonTextChar"/>
    <w:uiPriority w:val="99"/>
    <w:semiHidden/>
    <w:unhideWhenUsed/>
    <w:rsid w:val="00522A6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A65"/>
    <w:rPr>
      <w:rFonts w:ascii="Tahoma" w:hAnsi="Tahoma" w:cs="Tahoma"/>
      <w:sz w:val="16"/>
      <w:szCs w:val="16"/>
      <w:lang w:val="en-GB"/>
    </w:rPr>
  </w:style>
  <w:style w:type="paragraph" w:customStyle="1" w:styleId="List1">
    <w:name w:val="List1"/>
    <w:autoRedefine/>
    <w:qFormat/>
    <w:rsid w:val="009E12AA"/>
    <w:pPr>
      <w:numPr>
        <w:numId w:val="9"/>
      </w:numPr>
      <w:spacing w:after="0" w:line="240" w:lineRule="auto"/>
    </w:pPr>
    <w:rPr>
      <w:rFonts w:eastAsiaTheme="minorEastAsia"/>
    </w:rPr>
  </w:style>
  <w:style w:type="paragraph" w:customStyle="1" w:styleId="Numpar">
    <w:name w:val="Num par"/>
    <w:basedOn w:val="Bullet3"/>
    <w:rsid w:val="00056293"/>
    <w:pPr>
      <w:numPr>
        <w:numId w:val="0"/>
      </w:numPr>
      <w:tabs>
        <w:tab w:val="num" w:pos="2551"/>
      </w:tabs>
      <w:ind w:left="2551" w:hanging="567"/>
    </w:pPr>
    <w:rPr>
      <w:noProof/>
    </w:rPr>
  </w:style>
  <w:style w:type="paragraph" w:styleId="Revision">
    <w:name w:val="Revision"/>
    <w:hidden/>
    <w:uiPriority w:val="99"/>
    <w:semiHidden/>
    <w:rsid w:val="002319C6"/>
    <w:pPr>
      <w:spacing w:after="0" w:line="240" w:lineRule="auto"/>
    </w:pPr>
    <w:rPr>
      <w:rFonts w:ascii="Times New Roman" w:hAnsi="Times New Roman" w:cs="Times New Roman"/>
      <w:sz w:val="24"/>
      <w:lang w:val="en-GB"/>
    </w:rPr>
  </w:style>
  <w:style w:type="character" w:styleId="FollowedHyperlink">
    <w:name w:val="FollowedHyperlink"/>
    <w:basedOn w:val="DefaultParagraphFont"/>
    <w:uiPriority w:val="99"/>
    <w:semiHidden/>
    <w:unhideWhenUsed/>
    <w:rsid w:val="00C86058"/>
    <w:rPr>
      <w:color w:val="800080" w:themeColor="followedHyperlink"/>
      <w:u w:val="single"/>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11"/>
      </w:numPr>
    </w:pPr>
  </w:style>
  <w:style w:type="paragraph" w:customStyle="1" w:styleId="Tiret1">
    <w:name w:val="Tiret 1"/>
    <w:basedOn w:val="Point1"/>
    <w:rsid w:val="007D53B6"/>
    <w:pPr>
      <w:numPr>
        <w:numId w:val="12"/>
      </w:numPr>
    </w:pPr>
  </w:style>
  <w:style w:type="paragraph" w:customStyle="1" w:styleId="Tiret2">
    <w:name w:val="Tiret 2"/>
    <w:basedOn w:val="Point2"/>
    <w:rsid w:val="007D53B6"/>
    <w:pPr>
      <w:numPr>
        <w:numId w:val="13"/>
      </w:numPr>
    </w:pPr>
  </w:style>
  <w:style w:type="paragraph" w:customStyle="1" w:styleId="Tiret3">
    <w:name w:val="Tiret 3"/>
    <w:basedOn w:val="Point3"/>
    <w:rsid w:val="007D53B6"/>
    <w:pPr>
      <w:numPr>
        <w:numId w:val="14"/>
      </w:numPr>
    </w:pPr>
  </w:style>
  <w:style w:type="paragraph" w:customStyle="1" w:styleId="Tiret4">
    <w:name w:val="Tiret 4"/>
    <w:basedOn w:val="Point4"/>
    <w:rsid w:val="007D53B6"/>
    <w:pPr>
      <w:numPr>
        <w:numId w:val="15"/>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16"/>
      </w:numPr>
    </w:pPr>
  </w:style>
  <w:style w:type="paragraph" w:customStyle="1" w:styleId="NumPar2">
    <w:name w:val="NumPar 2"/>
    <w:basedOn w:val="Normal"/>
    <w:next w:val="Text1"/>
    <w:rsid w:val="007D53B6"/>
    <w:pPr>
      <w:numPr>
        <w:ilvl w:val="1"/>
        <w:numId w:val="16"/>
      </w:numPr>
    </w:pPr>
  </w:style>
  <w:style w:type="paragraph" w:customStyle="1" w:styleId="NumPar3">
    <w:name w:val="NumPar 3"/>
    <w:basedOn w:val="Normal"/>
    <w:next w:val="Text1"/>
    <w:rsid w:val="007D53B6"/>
    <w:pPr>
      <w:numPr>
        <w:ilvl w:val="2"/>
        <w:numId w:val="16"/>
      </w:numPr>
    </w:pPr>
  </w:style>
  <w:style w:type="paragraph" w:customStyle="1" w:styleId="NumPar4">
    <w:name w:val="NumPar 4"/>
    <w:basedOn w:val="Normal"/>
    <w:next w:val="Text1"/>
    <w:rsid w:val="007D53B6"/>
    <w:pPr>
      <w:numPr>
        <w:ilvl w:val="3"/>
        <w:numId w:val="16"/>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18"/>
      </w:numPr>
    </w:pPr>
  </w:style>
  <w:style w:type="paragraph" w:customStyle="1" w:styleId="Point1number">
    <w:name w:val="Point 1 (number)"/>
    <w:basedOn w:val="Normal"/>
    <w:rsid w:val="007D53B6"/>
    <w:pPr>
      <w:numPr>
        <w:ilvl w:val="2"/>
        <w:numId w:val="18"/>
      </w:numPr>
    </w:pPr>
  </w:style>
  <w:style w:type="paragraph" w:customStyle="1" w:styleId="Point2number">
    <w:name w:val="Point 2 (number)"/>
    <w:basedOn w:val="Normal"/>
    <w:rsid w:val="007D53B6"/>
    <w:pPr>
      <w:numPr>
        <w:ilvl w:val="4"/>
        <w:numId w:val="18"/>
      </w:numPr>
    </w:pPr>
  </w:style>
  <w:style w:type="paragraph" w:customStyle="1" w:styleId="Point3number">
    <w:name w:val="Point 3 (number)"/>
    <w:basedOn w:val="Normal"/>
    <w:rsid w:val="007D53B6"/>
    <w:pPr>
      <w:numPr>
        <w:ilvl w:val="6"/>
        <w:numId w:val="18"/>
      </w:numPr>
    </w:pPr>
  </w:style>
  <w:style w:type="paragraph" w:customStyle="1" w:styleId="Point0letter">
    <w:name w:val="Point 0 (letter)"/>
    <w:basedOn w:val="Normal"/>
    <w:rsid w:val="007D53B6"/>
    <w:pPr>
      <w:numPr>
        <w:ilvl w:val="1"/>
        <w:numId w:val="18"/>
      </w:numPr>
    </w:pPr>
  </w:style>
  <w:style w:type="paragraph" w:customStyle="1" w:styleId="Point1letter">
    <w:name w:val="Point 1 (letter)"/>
    <w:basedOn w:val="Normal"/>
    <w:rsid w:val="007D53B6"/>
    <w:pPr>
      <w:numPr>
        <w:ilvl w:val="3"/>
        <w:numId w:val="18"/>
      </w:numPr>
    </w:pPr>
  </w:style>
  <w:style w:type="paragraph" w:customStyle="1" w:styleId="Point2letter">
    <w:name w:val="Point 2 (letter)"/>
    <w:basedOn w:val="Normal"/>
    <w:rsid w:val="007D53B6"/>
    <w:pPr>
      <w:numPr>
        <w:ilvl w:val="5"/>
        <w:numId w:val="18"/>
      </w:numPr>
    </w:pPr>
  </w:style>
  <w:style w:type="paragraph" w:customStyle="1" w:styleId="Point3letter">
    <w:name w:val="Point 3 (letter)"/>
    <w:basedOn w:val="Normal"/>
    <w:rsid w:val="007D53B6"/>
    <w:pPr>
      <w:numPr>
        <w:ilvl w:val="7"/>
        <w:numId w:val="18"/>
      </w:numPr>
    </w:pPr>
  </w:style>
  <w:style w:type="paragraph" w:customStyle="1" w:styleId="Point4letter">
    <w:name w:val="Point 4 (letter)"/>
    <w:basedOn w:val="Normal"/>
    <w:rsid w:val="007D53B6"/>
    <w:pPr>
      <w:numPr>
        <w:ilvl w:val="8"/>
        <w:numId w:val="18"/>
      </w:numPr>
    </w:pPr>
  </w:style>
  <w:style w:type="paragraph" w:customStyle="1" w:styleId="Bullet0">
    <w:name w:val="Bullet 0"/>
    <w:basedOn w:val="Normal"/>
    <w:rsid w:val="007D53B6"/>
    <w:pPr>
      <w:numPr>
        <w:numId w:val="19"/>
      </w:numPr>
    </w:pPr>
  </w:style>
  <w:style w:type="paragraph" w:customStyle="1" w:styleId="Bullet1">
    <w:name w:val="Bullet 1"/>
    <w:basedOn w:val="Normal"/>
    <w:rsid w:val="007D53B6"/>
    <w:pPr>
      <w:numPr>
        <w:numId w:val="20"/>
      </w:numPr>
    </w:pPr>
  </w:style>
  <w:style w:type="paragraph" w:customStyle="1" w:styleId="Bullet2">
    <w:name w:val="Bullet 2"/>
    <w:basedOn w:val="Normal"/>
    <w:rsid w:val="007D53B6"/>
    <w:pPr>
      <w:numPr>
        <w:numId w:val="21"/>
      </w:numPr>
    </w:pPr>
  </w:style>
  <w:style w:type="paragraph" w:customStyle="1" w:styleId="Bullet3">
    <w:name w:val="Bullet 3"/>
    <w:basedOn w:val="Normal"/>
    <w:rsid w:val="007D53B6"/>
    <w:pPr>
      <w:numPr>
        <w:numId w:val="22"/>
      </w:numPr>
    </w:pPr>
  </w:style>
  <w:style w:type="paragraph" w:customStyle="1" w:styleId="Bullet4">
    <w:name w:val="Bullet 4"/>
    <w:basedOn w:val="Normal"/>
    <w:rsid w:val="007D53B6"/>
    <w:pPr>
      <w:numPr>
        <w:numId w:val="23"/>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24"/>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C62E0-51D3-4D46-AA66-83767185A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6</Pages>
  <Words>1781</Words>
  <Characters>9021</Characters>
  <Application>Microsoft Office Word</Application>
  <DocSecurity>0</DocSecurity>
  <Lines>177</Lines>
  <Paragraphs>73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2017-09-01T11:47:00Z</dcterms:created>
  <dcterms:modified xsi:type="dcterms:W3CDTF">2017-09-01T11:48:00Z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COM/AA</vt:lpwstr>
  </property>
  <property fmtid="{D5CDD505-2E9C-101B-9397-08002B2CF9AE}" pid="5" name="Version">
    <vt:lpwstr>5.84.2.0</vt:lpwstr>
  </property>
  <property fmtid="{D5CDD505-2E9C-101B-9397-08002B2CF9AE}" pid="6" name="Created using">
    <vt:lpwstr>LW 5.8.4, Build 20150407</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