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298787969" w:displacedByCustomXml="next"/>
    <w:bookmarkStart w:id="1" w:name="_Toc298788158" w:displacedByCustomXml="next"/>
    <w:bookmarkStart w:id="2" w:name="_Toc298788641" w:displacedByCustomXml="next"/>
    <w:bookmarkStart w:id="3" w:name="_Toc305686691" w:displacedByCustomXml="next"/>
    <w:bookmarkStart w:id="4" w:name="_Toc306350093" w:displacedByCustomXml="next"/>
    <w:bookmarkStart w:id="5" w:name="_Toc306350113" w:displacedByCustomXml="next"/>
    <w:bookmarkStart w:id="6" w:name="_Toc331517265" w:displacedByCustomXml="next"/>
    <w:bookmarkStart w:id="7" w:name="_Toc245891774" w:displacedByCustomXml="next"/>
    <w:bookmarkStart w:id="8" w:name="_Toc238803087" w:displacedByCustomXml="next"/>
    <w:bookmarkStart w:id="9" w:name="_Toc238803888" w:displacedByCustomXml="next"/>
    <w:sdt>
      <w:sdtPr>
        <w:rPr>
          <w:lang w:val="en-GB"/>
        </w:rPr>
        <w:id w:val="1024973533"/>
        <w:docPartObj>
          <w:docPartGallery w:val="Cover Pages"/>
          <w:docPartUnique/>
        </w:docPartObj>
      </w:sdtPr>
      <w:sdtEndPr/>
      <w:sdtContent>
        <w:tbl>
          <w:tblPr>
            <w:tblW w:w="0" w:type="auto"/>
            <w:tblCellMar>
              <w:top w:w="85" w:type="dxa"/>
              <w:bottom w:w="85" w:type="dxa"/>
            </w:tblCellMar>
            <w:tblLook w:val="04A0" w:firstRow="1" w:lastRow="0" w:firstColumn="1" w:lastColumn="0" w:noHBand="0" w:noVBand="1"/>
          </w:tblPr>
          <w:tblGrid>
            <w:gridCol w:w="3686"/>
          </w:tblGrid>
          <w:tr w:rsidR="00B43E07" w:rsidRPr="00396CAB" w14:paraId="43F42155" w14:textId="77777777" w:rsidTr="00993B1E">
            <w:tc>
              <w:tcPr>
                <w:tcW w:w="3686" w:type="dxa"/>
                <w:tcBorders>
                  <w:bottom w:val="single" w:sz="4" w:space="0" w:color="A6A6A6" w:themeColor="background1" w:themeShade="A6"/>
                </w:tcBorders>
                <w:shd w:val="clear" w:color="auto" w:fill="auto"/>
              </w:tcPr>
              <w:p w14:paraId="1B5C6DFC" w14:textId="4FC2BEFA" w:rsidR="00B43E07" w:rsidRPr="00046C82" w:rsidRDefault="006370D7" w:rsidP="00993B1E">
                <w:pPr>
                  <w:rPr>
                    <w:lang w:val="es-ES"/>
                  </w:rPr>
                </w:pPr>
                <w:r w:rsidRPr="006370D7">
                  <w:rPr>
                    <w:lang w:val="en-GB"/>
                  </w:rPr>
                  <w:t>EBA/GL/2019/05</w:t>
                </w:r>
              </w:p>
            </w:tc>
          </w:tr>
          <w:tr w:rsidR="00B43E07" w:rsidRPr="00271D70" w14:paraId="744D1C53" w14:textId="77777777" w:rsidTr="00993B1E">
            <w:tc>
              <w:tcPr>
                <w:tcW w:w="3686" w:type="dxa"/>
                <w:tcBorders>
                  <w:top w:val="single" w:sz="4" w:space="0" w:color="A6A6A6" w:themeColor="background1" w:themeShade="A6"/>
                  <w:bottom w:val="single" w:sz="4" w:space="0" w:color="A6A6A6" w:themeColor="background1" w:themeShade="A6"/>
                </w:tcBorders>
                <w:shd w:val="clear" w:color="auto" w:fill="auto"/>
              </w:tcPr>
              <w:p w14:paraId="07AF89FB" w14:textId="053AA1C6" w:rsidR="00B43E07" w:rsidRPr="00271D70" w:rsidRDefault="006370D7" w:rsidP="00993B1E">
                <w:pPr>
                  <w:rPr>
                    <w:lang w:val="en-GB"/>
                  </w:rPr>
                </w:pPr>
                <w:r w:rsidRPr="006370D7">
                  <w:rPr>
                    <w:lang w:val="en-GB"/>
                  </w:rPr>
                  <w:fldChar w:fldCharType="begin">
                    <w:ffData>
                      <w:name w:val=""/>
                      <w:enabled/>
                      <w:calcOnExit w:val="0"/>
                      <w:textInput>
                        <w:default w:val="09 December 2019"/>
                      </w:textInput>
                    </w:ffData>
                  </w:fldChar>
                </w:r>
                <w:r w:rsidRPr="006370D7">
                  <w:rPr>
                    <w:lang w:val="en-GB"/>
                  </w:rPr>
                  <w:instrText xml:space="preserve"> FORMTEXT </w:instrText>
                </w:r>
                <w:r w:rsidRPr="006370D7">
                  <w:rPr>
                    <w:lang w:val="en-GB"/>
                  </w:rPr>
                </w:r>
                <w:r w:rsidRPr="006370D7">
                  <w:rPr>
                    <w:lang w:val="en-GB"/>
                  </w:rPr>
                  <w:fldChar w:fldCharType="separate"/>
                </w:r>
                <w:r w:rsidRPr="006370D7">
                  <w:rPr>
                    <w:noProof/>
                    <w:lang w:val="en-GB"/>
                  </w:rPr>
                  <w:t>09 December 2019</w:t>
                </w:r>
                <w:r w:rsidRPr="006370D7">
                  <w:rPr>
                    <w:lang w:val="en-GB"/>
                  </w:rPr>
                  <w:fldChar w:fldCharType="end"/>
                </w:r>
              </w:p>
            </w:tc>
          </w:tr>
          <w:tr w:rsidR="00B43E07" w:rsidRPr="00271D70" w14:paraId="5BEA23E8" w14:textId="77777777" w:rsidTr="00993B1E">
            <w:tc>
              <w:tcPr>
                <w:tcW w:w="3686" w:type="dxa"/>
                <w:tcBorders>
                  <w:top w:val="single" w:sz="4" w:space="0" w:color="A6A6A6" w:themeColor="background1" w:themeShade="A6"/>
                </w:tcBorders>
                <w:shd w:val="clear" w:color="auto" w:fill="auto"/>
              </w:tcPr>
              <w:p w14:paraId="4D449A8E" w14:textId="77777777" w:rsidR="00B43E07" w:rsidRPr="00271D70" w:rsidRDefault="00B43E07" w:rsidP="00993B1E">
                <w:pPr>
                  <w:rPr>
                    <w:lang w:val="en-GB"/>
                  </w:rPr>
                </w:pPr>
              </w:p>
            </w:tc>
          </w:tr>
        </w:tbl>
        <w:p w14:paraId="407071D1" w14:textId="77777777" w:rsidR="00B43E07" w:rsidRPr="00271D70" w:rsidRDefault="00B43E07" w:rsidP="00B43E07">
          <w:pPr>
            <w:rPr>
              <w:lang w:val="en-GB"/>
            </w:rPr>
          </w:pPr>
        </w:p>
        <w:tbl>
          <w:tblPr>
            <w:tblStyle w:val="TableGrid"/>
            <w:tblW w:w="0" w:type="auto"/>
            <w:tblBorders>
              <w:bottom w:val="none" w:sz="0" w:space="0" w:color="auto"/>
              <w:insideH w:val="none" w:sz="0" w:space="0" w:color="auto"/>
            </w:tblBorders>
            <w:tblLook w:val="04A0" w:firstRow="1" w:lastRow="0" w:firstColumn="1" w:lastColumn="0" w:noHBand="0" w:noVBand="1"/>
          </w:tblPr>
          <w:tblGrid>
            <w:gridCol w:w="8771"/>
          </w:tblGrid>
          <w:tr w:rsidR="00D52BDD" w:rsidRPr="006C50A8" w14:paraId="39C6DD3F" w14:textId="77777777" w:rsidTr="00D52BDD">
            <w:trPr>
              <w:cnfStyle w:val="100000000000" w:firstRow="1" w:lastRow="0" w:firstColumn="0" w:lastColumn="0" w:oddVBand="0" w:evenVBand="0" w:oddHBand="0" w:evenHBand="0" w:firstRowFirstColumn="0" w:firstRowLastColumn="0" w:lastRowFirstColumn="0" w:lastRowLastColumn="0"/>
              <w:trHeight w:val="4073"/>
            </w:trPr>
            <w:tc>
              <w:tcPr>
                <w:tcW w:w="8771" w:type="dxa"/>
                <w:tcBorders>
                  <w:top w:val="none" w:sz="0" w:space="0" w:color="auto"/>
                  <w:left w:val="none" w:sz="0" w:space="0" w:color="auto"/>
                  <w:bottom w:val="none" w:sz="0" w:space="0" w:color="auto"/>
                  <w:right w:val="none" w:sz="0" w:space="0" w:color="auto"/>
                  <w:tl2br w:val="none" w:sz="0" w:space="0" w:color="auto"/>
                  <w:tr2bl w:val="none" w:sz="0" w:space="0" w:color="auto"/>
                </w:tcBorders>
                <w:tcMar>
                  <w:left w:w="0" w:type="dxa"/>
                  <w:right w:w="0" w:type="dxa"/>
                </w:tcMar>
                <w:vAlign w:val="bottom"/>
              </w:tcPr>
              <w:p w14:paraId="211B9243" w14:textId="0857F56B" w:rsidR="00D52BDD" w:rsidRPr="006C50A8" w:rsidRDefault="00D52BDD" w:rsidP="00EE05F8">
                <w:pPr>
                  <w:pStyle w:val="Contenttitle"/>
                </w:pPr>
                <w:bookmarkStart w:id="10" w:name="_GoBack"/>
                <w:bookmarkEnd w:id="10"/>
                <w:r w:rsidRPr="006C50A8">
                  <w:t>Guidelines</w:t>
                </w:r>
              </w:p>
            </w:tc>
          </w:tr>
          <w:tr w:rsidR="00D52BDD" w:rsidRPr="006C50A8" w14:paraId="285322DC" w14:textId="77777777" w:rsidTr="00D52BDD">
            <w:tc>
              <w:tcPr>
                <w:tcW w:w="8771" w:type="dxa"/>
                <w:tcMar>
                  <w:left w:w="0" w:type="dxa"/>
                  <w:right w:w="0" w:type="dxa"/>
                </w:tcMar>
                <w:vAlign w:val="top"/>
              </w:tcPr>
              <w:p w14:paraId="1D22899D" w14:textId="2CCAD8D0" w:rsidR="00D52BDD" w:rsidRPr="006C50A8" w:rsidRDefault="00D52BDD" w:rsidP="00EE05F8">
                <w:pPr>
                  <w:pStyle w:val="Titlelevel4"/>
                  <w:rPr>
                    <w:rFonts w:asciiTheme="majorHAnsi" w:eastAsiaTheme="majorEastAsia" w:hAnsiTheme="majorHAnsi" w:cstheme="majorBidi"/>
                    <w:bCs/>
                    <w:color w:val="2F5773" w:themeColor="text2"/>
                    <w:spacing w:val="5"/>
                    <w:kern w:val="28"/>
                    <w:sz w:val="52"/>
                    <w:szCs w:val="52"/>
                    <w:highlight w:val="yellow"/>
                  </w:rPr>
                </w:pPr>
                <w:r w:rsidRPr="006C50A8">
                  <w:rPr>
                    <w:rFonts w:asciiTheme="majorHAnsi" w:eastAsiaTheme="majorEastAsia" w:hAnsiTheme="majorHAnsi" w:cstheme="majorBidi"/>
                    <w:bCs/>
                    <w:color w:val="2F5773" w:themeColor="text2"/>
                    <w:spacing w:val="5"/>
                    <w:kern w:val="28"/>
                    <w:sz w:val="52"/>
                    <w:szCs w:val="52"/>
                  </w:rPr>
                  <w:t xml:space="preserve">on harmonised definitions and templates for funding plans of credit institutions under </w:t>
                </w:r>
                <w:r>
                  <w:rPr>
                    <w:rFonts w:asciiTheme="majorHAnsi" w:eastAsiaTheme="majorEastAsia" w:hAnsiTheme="majorHAnsi" w:cstheme="majorBidi"/>
                    <w:bCs/>
                    <w:color w:val="2F5773" w:themeColor="text2"/>
                    <w:spacing w:val="5"/>
                    <w:kern w:val="28"/>
                    <w:sz w:val="52"/>
                    <w:szCs w:val="52"/>
                  </w:rPr>
                  <w:t xml:space="preserve">Recommendation of the European Systemic Risk Board of </w:t>
                </w:r>
                <w:r w:rsidR="00A9416A" w:rsidRPr="00110C9A">
                  <w:rPr>
                    <w:rFonts w:asciiTheme="majorHAnsi" w:eastAsiaTheme="majorEastAsia" w:hAnsiTheme="majorHAnsi" w:cstheme="majorBidi"/>
                    <w:bCs/>
                    <w:color w:val="2F5773"/>
                    <w:spacing w:val="5"/>
                    <w:kern w:val="28"/>
                    <w:sz w:val="52"/>
                    <w:szCs w:val="52"/>
                  </w:rPr>
                  <w:t>20 December 2012</w:t>
                </w:r>
                <w:r>
                  <w:rPr>
                    <w:rFonts w:asciiTheme="majorHAnsi" w:eastAsiaTheme="majorEastAsia" w:hAnsiTheme="majorHAnsi" w:cstheme="majorBidi"/>
                    <w:bCs/>
                    <w:color w:val="2F5773" w:themeColor="text2"/>
                    <w:spacing w:val="5"/>
                    <w:kern w:val="28"/>
                    <w:sz w:val="52"/>
                    <w:szCs w:val="52"/>
                  </w:rPr>
                  <w:t xml:space="preserve"> (</w:t>
                </w:r>
                <w:r w:rsidRPr="006C50A8">
                  <w:rPr>
                    <w:rFonts w:asciiTheme="majorHAnsi" w:eastAsiaTheme="majorEastAsia" w:hAnsiTheme="majorHAnsi" w:cstheme="majorBidi"/>
                    <w:bCs/>
                    <w:color w:val="2F5773" w:themeColor="text2"/>
                    <w:spacing w:val="5"/>
                    <w:kern w:val="28"/>
                    <w:sz w:val="52"/>
                    <w:szCs w:val="52"/>
                  </w:rPr>
                  <w:t>ESRB/2012/2</w:t>
                </w:r>
                <w:r>
                  <w:rPr>
                    <w:rFonts w:asciiTheme="majorHAnsi" w:eastAsiaTheme="majorEastAsia" w:hAnsiTheme="majorHAnsi" w:cstheme="majorBidi"/>
                    <w:bCs/>
                    <w:color w:val="2F5773" w:themeColor="text2"/>
                    <w:spacing w:val="5"/>
                    <w:kern w:val="28"/>
                    <w:sz w:val="52"/>
                    <w:szCs w:val="52"/>
                  </w:rPr>
                  <w:t>)</w:t>
                </w:r>
              </w:p>
              <w:p w14:paraId="510609B3" w14:textId="77777777" w:rsidR="00D52BDD" w:rsidRPr="006C50A8" w:rsidRDefault="00D52BDD" w:rsidP="00EE05F8"/>
              <w:p w14:paraId="6FAF04AC" w14:textId="77777777" w:rsidR="00D52BDD" w:rsidRPr="006C50A8" w:rsidRDefault="00D52BDD" w:rsidP="00EE05F8"/>
            </w:tc>
          </w:tr>
        </w:tbl>
        <w:p w14:paraId="759D1914" w14:textId="77777777" w:rsidR="00B43E07" w:rsidRPr="00271D70" w:rsidRDefault="00B43E07" w:rsidP="00B43E07">
          <w:pPr>
            <w:rPr>
              <w:lang w:val="en-GB"/>
            </w:rPr>
          </w:pPr>
        </w:p>
        <w:p w14:paraId="26D80988" w14:textId="77777777" w:rsidR="00B43E07" w:rsidRPr="00271D70" w:rsidRDefault="00B43E07" w:rsidP="00B43E07">
          <w:pPr>
            <w:rPr>
              <w:lang w:val="en-GB"/>
            </w:rPr>
          </w:pPr>
        </w:p>
        <w:p w14:paraId="48F26439" w14:textId="77777777" w:rsidR="00B43E07" w:rsidRPr="00271D70" w:rsidRDefault="00B43E07" w:rsidP="00B43E07">
          <w:pPr>
            <w:rPr>
              <w:lang w:val="en-GB"/>
            </w:rPr>
          </w:pPr>
          <w:r w:rsidRPr="00271D70">
            <w:rPr>
              <w:lang w:val="en-GB"/>
            </w:rPr>
            <w:br w:type="page"/>
          </w:r>
        </w:p>
      </w:sdtContent>
    </w:sdt>
    <w:p w14:paraId="26DAD5E9" w14:textId="77777777" w:rsidR="00B43E07" w:rsidRPr="00271D70" w:rsidRDefault="00B43E07" w:rsidP="00723668">
      <w:pPr>
        <w:pStyle w:val="Numberedtilelevel1"/>
        <w:numPr>
          <w:ilvl w:val="0"/>
          <w:numId w:val="12"/>
        </w:numPr>
        <w:rPr>
          <w:lang w:val="en-GB"/>
        </w:rPr>
      </w:pPr>
      <w:r w:rsidRPr="00271D70">
        <w:rPr>
          <w:lang w:val="en-GB"/>
        </w:rPr>
        <w:lastRenderedPageBreak/>
        <w:t>Compliance and reporting obligations</w:t>
      </w:r>
    </w:p>
    <w:p w14:paraId="4BFA4DA2" w14:textId="77777777" w:rsidR="00505AA0" w:rsidRDefault="00B43E07" w:rsidP="00B43E07">
      <w:pPr>
        <w:pStyle w:val="Titlelevel2"/>
        <w:rPr>
          <w:lang w:val="en-GB"/>
        </w:rPr>
      </w:pPr>
      <w:r w:rsidRPr="00271D70">
        <w:rPr>
          <w:lang w:val="en-GB"/>
        </w:rPr>
        <w:t>Status of these guidelines</w:t>
      </w:r>
    </w:p>
    <w:p w14:paraId="608F83CA" w14:textId="4B86F513" w:rsidR="00505AA0" w:rsidRDefault="00B43E07" w:rsidP="00723668">
      <w:pPr>
        <w:pStyle w:val="body"/>
        <w:numPr>
          <w:ilvl w:val="0"/>
          <w:numId w:val="10"/>
        </w:numPr>
        <w:rPr>
          <w:lang w:val="en-GB"/>
        </w:rPr>
      </w:pPr>
      <w:r w:rsidRPr="00271D70">
        <w:rPr>
          <w:lang w:val="en-GB"/>
        </w:rPr>
        <w:t xml:space="preserve">This document contains guidelines issued pursuant to </w:t>
      </w:r>
      <w:r w:rsidR="00BD7870" w:rsidRPr="00271D70">
        <w:rPr>
          <w:lang w:val="en-GB"/>
        </w:rPr>
        <w:t>Article</w:t>
      </w:r>
      <w:r w:rsidR="00BD7870">
        <w:rPr>
          <w:lang w:val="en-GB"/>
        </w:rPr>
        <w:t> </w:t>
      </w:r>
      <w:r w:rsidR="00BD7870" w:rsidRPr="00271D70">
        <w:rPr>
          <w:lang w:val="en-GB"/>
        </w:rPr>
        <w:t>1</w:t>
      </w:r>
      <w:r w:rsidRPr="00271D70">
        <w:rPr>
          <w:lang w:val="en-GB"/>
        </w:rPr>
        <w:t>6 of Regulation (EU) No</w:t>
      </w:r>
      <w:r w:rsidR="00DA0718">
        <w:rPr>
          <w:lang w:val="en-GB"/>
        </w:rPr>
        <w:t> </w:t>
      </w:r>
      <w:r w:rsidRPr="00271D70">
        <w:rPr>
          <w:lang w:val="en-GB"/>
        </w:rPr>
        <w:t>1093/2010</w:t>
      </w:r>
      <w:r w:rsidRPr="00271D70">
        <w:rPr>
          <w:rStyle w:val="FootnoteReference"/>
          <w:lang w:val="en-GB"/>
        </w:rPr>
        <w:footnoteReference w:id="2"/>
      </w:r>
      <w:r w:rsidRPr="00271D70">
        <w:rPr>
          <w:lang w:val="en-GB"/>
        </w:rPr>
        <w:t xml:space="preserve">. In accordance with </w:t>
      </w:r>
      <w:r w:rsidR="00BD7870" w:rsidRPr="00271D70">
        <w:rPr>
          <w:lang w:val="en-GB"/>
        </w:rPr>
        <w:t>Article</w:t>
      </w:r>
      <w:r w:rsidR="00BD7870">
        <w:rPr>
          <w:lang w:val="en-GB"/>
        </w:rPr>
        <w:t> </w:t>
      </w:r>
      <w:r w:rsidR="00BD7870" w:rsidRPr="00271D70">
        <w:rPr>
          <w:lang w:val="en-GB"/>
        </w:rPr>
        <w:t>1</w:t>
      </w:r>
      <w:r w:rsidRPr="00271D70">
        <w:rPr>
          <w:lang w:val="en-GB"/>
        </w:rPr>
        <w:t>6(3) of Regulation (EU) No</w:t>
      </w:r>
      <w:r w:rsidR="00DA0718">
        <w:rPr>
          <w:lang w:val="en-GB"/>
        </w:rPr>
        <w:t> </w:t>
      </w:r>
      <w:r w:rsidRPr="00271D70">
        <w:rPr>
          <w:lang w:val="en-GB"/>
        </w:rPr>
        <w:t>1093/2010, competent authorities and financial institutions must make every effort to comply with the guidelines.</w:t>
      </w:r>
    </w:p>
    <w:p w14:paraId="1BDF09A9" w14:textId="1374BE16" w:rsidR="00B43E07" w:rsidRPr="00271D70" w:rsidRDefault="00B43E07" w:rsidP="00723668">
      <w:pPr>
        <w:pStyle w:val="body"/>
        <w:numPr>
          <w:ilvl w:val="0"/>
          <w:numId w:val="10"/>
        </w:numPr>
        <w:rPr>
          <w:lang w:val="en-GB"/>
        </w:rPr>
      </w:pPr>
      <w:r w:rsidRPr="00271D70">
        <w:rPr>
          <w:lang w:val="en-GB"/>
        </w:rPr>
        <w:t>Guidelines set the EBA</w:t>
      </w:r>
      <w:r w:rsidR="006C2A25">
        <w:rPr>
          <w:lang w:val="en-GB"/>
        </w:rPr>
        <w:t>’s</w:t>
      </w:r>
      <w:r w:rsidRPr="00271D70">
        <w:rPr>
          <w:lang w:val="en-GB"/>
        </w:rPr>
        <w:t xml:space="preserve"> view of appropriate supervisory practices within the European System of Financial Supervision or of how Union law should be applied in a particular area.</w:t>
      </w:r>
      <w:r w:rsidR="00505AA0">
        <w:rPr>
          <w:lang w:val="en-GB"/>
        </w:rPr>
        <w:t xml:space="preserve"> </w:t>
      </w:r>
      <w:r w:rsidRPr="00271D70">
        <w:rPr>
          <w:lang w:val="en-GB"/>
        </w:rPr>
        <w:t xml:space="preserve">Competent authorities as defined in </w:t>
      </w:r>
      <w:r w:rsidR="00BD7870" w:rsidRPr="00271D70">
        <w:rPr>
          <w:lang w:val="en-GB"/>
        </w:rPr>
        <w:t>Article</w:t>
      </w:r>
      <w:r w:rsidR="00BD7870">
        <w:rPr>
          <w:lang w:val="en-GB"/>
        </w:rPr>
        <w:t> </w:t>
      </w:r>
      <w:r w:rsidR="00BD7870" w:rsidRPr="00271D70">
        <w:rPr>
          <w:lang w:val="en-GB"/>
        </w:rPr>
        <w:t>4</w:t>
      </w:r>
      <w:r w:rsidRPr="00271D70">
        <w:rPr>
          <w:lang w:val="en-GB"/>
        </w:rPr>
        <w:t xml:space="preserve">(2) of Regulation </w:t>
      </w:r>
      <w:r w:rsidR="007B69D6" w:rsidRPr="00271D70">
        <w:rPr>
          <w:lang w:val="en-GB"/>
        </w:rPr>
        <w:t xml:space="preserve">(EU) </w:t>
      </w:r>
      <w:r w:rsidRPr="00271D70">
        <w:rPr>
          <w:lang w:val="en-GB"/>
        </w:rPr>
        <w:t>No</w:t>
      </w:r>
      <w:r w:rsidR="00DA0718">
        <w:rPr>
          <w:lang w:val="en-GB"/>
        </w:rPr>
        <w:t> </w:t>
      </w:r>
      <w:r w:rsidRPr="00271D70">
        <w:rPr>
          <w:lang w:val="en-GB"/>
        </w:rPr>
        <w:t>1093/2010 to whom guidelines apply should comply by incorporating them into their practices as appropriate (e.g. by amending their legal framework or their supervisory processes), including where guidelines are directed primarily at institutions.</w:t>
      </w:r>
    </w:p>
    <w:p w14:paraId="56824859" w14:textId="77777777" w:rsidR="00B43E07" w:rsidRPr="00271D70" w:rsidRDefault="00B43E07" w:rsidP="00B43E07">
      <w:pPr>
        <w:pStyle w:val="Titlelevel2"/>
        <w:rPr>
          <w:lang w:val="en-GB"/>
        </w:rPr>
      </w:pPr>
      <w:r w:rsidRPr="00271D70">
        <w:rPr>
          <w:lang w:val="en-GB"/>
        </w:rPr>
        <w:t>Reporting requirements</w:t>
      </w:r>
    </w:p>
    <w:p w14:paraId="63D24274" w14:textId="3E122A76" w:rsidR="00505AA0" w:rsidRDefault="00B43E07" w:rsidP="006370D7">
      <w:pPr>
        <w:pStyle w:val="body"/>
        <w:numPr>
          <w:ilvl w:val="0"/>
          <w:numId w:val="10"/>
        </w:numPr>
        <w:rPr>
          <w:lang w:val="en-GB"/>
        </w:rPr>
      </w:pPr>
      <w:r w:rsidRPr="00271D70">
        <w:rPr>
          <w:rFonts w:cs="Arial"/>
          <w:lang w:val="en-GB"/>
        </w:rPr>
        <w:t xml:space="preserve">According to </w:t>
      </w:r>
      <w:r w:rsidR="00BD7870" w:rsidRPr="00271D70">
        <w:rPr>
          <w:rFonts w:cs="Arial"/>
          <w:lang w:val="en-GB"/>
        </w:rPr>
        <w:t>Article</w:t>
      </w:r>
      <w:r w:rsidR="00BD7870">
        <w:rPr>
          <w:rFonts w:cs="Arial"/>
          <w:lang w:val="en-GB"/>
        </w:rPr>
        <w:t> </w:t>
      </w:r>
      <w:r w:rsidR="00BD7870" w:rsidRPr="00271D70">
        <w:rPr>
          <w:rFonts w:cs="Arial"/>
          <w:lang w:val="en-GB"/>
        </w:rPr>
        <w:t>1</w:t>
      </w:r>
      <w:r w:rsidRPr="00271D70">
        <w:rPr>
          <w:rFonts w:cs="Arial"/>
          <w:lang w:val="en-GB"/>
        </w:rPr>
        <w:t>6(3) of Regulation (EU) No</w:t>
      </w:r>
      <w:r w:rsidR="00DA0718">
        <w:rPr>
          <w:rFonts w:cs="Arial"/>
          <w:lang w:val="en-GB"/>
        </w:rPr>
        <w:t> </w:t>
      </w:r>
      <w:r w:rsidRPr="00271D70">
        <w:rPr>
          <w:rFonts w:cs="Arial"/>
          <w:lang w:val="en-GB"/>
        </w:rPr>
        <w:t>1093/2010, c</w:t>
      </w:r>
      <w:r w:rsidRPr="00271D70">
        <w:rPr>
          <w:lang w:val="en-GB"/>
        </w:rPr>
        <w:t xml:space="preserve">ompetent authorities must notify the EBA </w:t>
      </w:r>
      <w:r w:rsidR="00505AA0" w:rsidRPr="00110C9A">
        <w:rPr>
          <w:color w:val="000000"/>
          <w:lang w:val="en-GB"/>
        </w:rPr>
        <w:t>whether</w:t>
      </w:r>
      <w:r w:rsidRPr="00271D70">
        <w:rPr>
          <w:lang w:val="en-GB"/>
        </w:rPr>
        <w:t xml:space="preserve"> they comply or intend to comply with these guidelines, or otherwise with reasons for non-compliance, by </w:t>
      </w:r>
      <w:r w:rsidR="00B37BFB">
        <w:rPr>
          <w:lang w:val="en-GB"/>
        </w:rPr>
        <w:t>09.02.2020</w:t>
      </w:r>
      <w:r w:rsidRPr="00271D70">
        <w:rPr>
          <w:lang w:val="en-GB"/>
        </w:rPr>
        <w:t xml:space="preserve">. In the absence of any notification by this deadline, competent authorities will be considered by the EBA to be non-compliant. Notifications should be sent by submitting the form available on the EBA website to </w:t>
      </w:r>
      <w:hyperlink r:id="rId8" w:history="1">
        <w:r w:rsidRPr="00271D70">
          <w:rPr>
            <w:rStyle w:val="Hyperlink"/>
            <w:lang w:val="en-GB"/>
          </w:rPr>
          <w:t>compliance@eba.europa.eu</w:t>
        </w:r>
      </w:hyperlink>
      <w:r w:rsidRPr="00271D70">
        <w:rPr>
          <w:lang w:val="en-GB"/>
        </w:rPr>
        <w:t xml:space="preserve"> with the reference </w:t>
      </w:r>
      <w:r w:rsidR="00505AA0" w:rsidRPr="00110C9A">
        <w:rPr>
          <w:color w:val="000000"/>
          <w:lang w:val="en-GB"/>
        </w:rPr>
        <w:t>‘</w:t>
      </w:r>
      <w:r w:rsidR="006370D7" w:rsidRPr="006370D7">
        <w:rPr>
          <w:lang w:val="en-GB"/>
        </w:rPr>
        <w:t>EBA/GL/2019/05</w:t>
      </w:r>
      <w:r w:rsidR="00505AA0" w:rsidRPr="00110C9A">
        <w:rPr>
          <w:color w:val="000000"/>
          <w:lang w:val="en-GB"/>
        </w:rPr>
        <w:t>’</w:t>
      </w:r>
      <w:r w:rsidRPr="00271D70">
        <w:rPr>
          <w:lang w:val="en-GB"/>
        </w:rPr>
        <w:t>. Notifications should be submitted by persons with appropriate authority to report compliance on behalf of their competent authorities.</w:t>
      </w:r>
      <w:r w:rsidR="00505AA0">
        <w:rPr>
          <w:lang w:val="en-GB"/>
        </w:rPr>
        <w:t xml:space="preserve"> </w:t>
      </w:r>
      <w:r w:rsidRPr="00271D70">
        <w:rPr>
          <w:lang w:val="en-GB"/>
        </w:rPr>
        <w:t xml:space="preserve">Any change in the status of compliance must also be reported to </w:t>
      </w:r>
      <w:r w:rsidR="006C7127">
        <w:rPr>
          <w:lang w:val="en-GB"/>
        </w:rPr>
        <w:t xml:space="preserve">the </w:t>
      </w:r>
      <w:r w:rsidRPr="00271D70">
        <w:rPr>
          <w:lang w:val="en-GB"/>
        </w:rPr>
        <w:t>EBA.</w:t>
      </w:r>
    </w:p>
    <w:p w14:paraId="2B99511B" w14:textId="4583BC98" w:rsidR="00B43E07" w:rsidRPr="00271D70" w:rsidRDefault="00B43E07" w:rsidP="00723668">
      <w:pPr>
        <w:pStyle w:val="body"/>
        <w:numPr>
          <w:ilvl w:val="0"/>
          <w:numId w:val="10"/>
        </w:numPr>
        <w:rPr>
          <w:lang w:val="en-GB"/>
        </w:rPr>
      </w:pPr>
      <w:r w:rsidRPr="00271D70">
        <w:rPr>
          <w:lang w:val="en-GB"/>
        </w:rPr>
        <w:t xml:space="preserve">Notifications will be published on the EBA website, in line with </w:t>
      </w:r>
      <w:r w:rsidR="00BD7870" w:rsidRPr="00271D70">
        <w:rPr>
          <w:lang w:val="en-GB"/>
        </w:rPr>
        <w:t>Article</w:t>
      </w:r>
      <w:r w:rsidR="00BD7870">
        <w:rPr>
          <w:lang w:val="en-GB"/>
        </w:rPr>
        <w:t> </w:t>
      </w:r>
      <w:r w:rsidR="00BD7870" w:rsidRPr="00271D70">
        <w:rPr>
          <w:lang w:val="en-GB"/>
        </w:rPr>
        <w:t>1</w:t>
      </w:r>
      <w:r w:rsidRPr="00271D70">
        <w:rPr>
          <w:lang w:val="en-GB"/>
        </w:rPr>
        <w:t>6(3)</w:t>
      </w:r>
      <w:r w:rsidR="006C7127" w:rsidRPr="006C7127">
        <w:rPr>
          <w:rFonts w:cs="Arial"/>
          <w:lang w:val="en-GB"/>
        </w:rPr>
        <w:t xml:space="preserve"> </w:t>
      </w:r>
      <w:r w:rsidR="006C7127" w:rsidRPr="006C7127">
        <w:rPr>
          <w:lang w:val="en-GB"/>
        </w:rPr>
        <w:t>of Regulation (EU) No 1093/2010</w:t>
      </w:r>
      <w:r w:rsidRPr="00271D70">
        <w:rPr>
          <w:lang w:val="en-GB"/>
        </w:rPr>
        <w:t>.</w:t>
      </w:r>
    </w:p>
    <w:p w14:paraId="33C9356D" w14:textId="77777777" w:rsidR="00B43E07" w:rsidRPr="00271D70" w:rsidRDefault="00B43E07" w:rsidP="00B43E07">
      <w:pPr>
        <w:pStyle w:val="Titlelevel2"/>
        <w:rPr>
          <w:lang w:val="en-GB"/>
        </w:rPr>
      </w:pPr>
      <w:r w:rsidRPr="00271D70">
        <w:rPr>
          <w:lang w:val="en-GB"/>
        </w:rPr>
        <w:br w:type="page"/>
      </w:r>
    </w:p>
    <w:p w14:paraId="49136E6A" w14:textId="77777777" w:rsidR="00B43E07" w:rsidRPr="00271D70" w:rsidRDefault="00B43E07" w:rsidP="00CC6A89">
      <w:pPr>
        <w:pStyle w:val="Numberedtilelevel1"/>
        <w:numPr>
          <w:ilvl w:val="0"/>
          <w:numId w:val="12"/>
        </w:numPr>
        <w:rPr>
          <w:lang w:val="en-GB"/>
        </w:rPr>
      </w:pPr>
      <w:r w:rsidRPr="00271D70">
        <w:rPr>
          <w:lang w:val="en-GB"/>
        </w:rPr>
        <w:lastRenderedPageBreak/>
        <w:t>Subject matter, scope and definitions</w:t>
      </w:r>
    </w:p>
    <w:p w14:paraId="097FADDB" w14:textId="77777777" w:rsidR="00B43E07" w:rsidRPr="00271D70" w:rsidRDefault="00B43E07" w:rsidP="00B43E07">
      <w:pPr>
        <w:pStyle w:val="Titlelevel2"/>
        <w:rPr>
          <w:lang w:val="en-GB"/>
        </w:rPr>
      </w:pPr>
      <w:r w:rsidRPr="00271D70">
        <w:rPr>
          <w:lang w:val="en-GB"/>
        </w:rPr>
        <w:t>Subject matter</w:t>
      </w:r>
    </w:p>
    <w:p w14:paraId="1F601BF8" w14:textId="26627945" w:rsidR="00FD4C91" w:rsidRPr="00215ADD" w:rsidRDefault="00FD4C91" w:rsidP="00723668">
      <w:pPr>
        <w:pStyle w:val="body"/>
        <w:numPr>
          <w:ilvl w:val="0"/>
          <w:numId w:val="10"/>
        </w:numPr>
        <w:rPr>
          <w:lang w:val="en-GB"/>
        </w:rPr>
      </w:pPr>
      <w:r w:rsidRPr="00215ADD">
        <w:rPr>
          <w:lang w:val="en-GB"/>
        </w:rPr>
        <w:t>These guidelines specify the content, instructions and uniform formats for the reporting of funding plans</w:t>
      </w:r>
      <w:r w:rsidRPr="00135528">
        <w:t xml:space="preserve"> </w:t>
      </w:r>
      <w:r>
        <w:t xml:space="preserve">on the basis of </w:t>
      </w:r>
      <w:r w:rsidRPr="00215ADD">
        <w:rPr>
          <w:szCs w:val="22"/>
        </w:rPr>
        <w:t>paragraph</w:t>
      </w:r>
      <w:r w:rsidR="006C7127">
        <w:rPr>
          <w:szCs w:val="22"/>
        </w:rPr>
        <w:t> </w:t>
      </w:r>
      <w:r w:rsidRPr="00215ADD">
        <w:rPr>
          <w:szCs w:val="22"/>
        </w:rPr>
        <w:t>4 of Recommendation</w:t>
      </w:r>
      <w:r w:rsidR="006C7127">
        <w:rPr>
          <w:szCs w:val="22"/>
        </w:rPr>
        <w:t> </w:t>
      </w:r>
      <w:r w:rsidRPr="00215ADD">
        <w:rPr>
          <w:szCs w:val="22"/>
        </w:rPr>
        <w:t>A of the Recommendation of the European Systemic Risk Board</w:t>
      </w:r>
      <w:r w:rsidR="00505AA0">
        <w:rPr>
          <w:szCs w:val="22"/>
        </w:rPr>
        <w:t xml:space="preserve"> </w:t>
      </w:r>
      <w:r w:rsidRPr="00215ADD">
        <w:rPr>
          <w:szCs w:val="22"/>
        </w:rPr>
        <w:t xml:space="preserve">of </w:t>
      </w:r>
      <w:r w:rsidR="00A9416A" w:rsidRPr="00110C9A">
        <w:rPr>
          <w:color w:val="000000"/>
          <w:szCs w:val="22"/>
        </w:rPr>
        <w:t>20 December 2012</w:t>
      </w:r>
      <w:r w:rsidRPr="00215ADD">
        <w:rPr>
          <w:szCs w:val="22"/>
        </w:rPr>
        <w:t xml:space="preserve"> on funding of credit institutions (</w:t>
      </w:r>
      <w:r w:rsidR="00505AA0" w:rsidRPr="00110C9A">
        <w:rPr>
          <w:color w:val="000000"/>
          <w:szCs w:val="22"/>
        </w:rPr>
        <w:t>‘</w:t>
      </w:r>
      <w:r w:rsidRPr="00215ADD">
        <w:rPr>
          <w:szCs w:val="22"/>
        </w:rPr>
        <w:t>ESRB Recommendations</w:t>
      </w:r>
      <w:r w:rsidR="00505AA0" w:rsidRPr="00110C9A">
        <w:rPr>
          <w:color w:val="000000"/>
          <w:szCs w:val="22"/>
        </w:rPr>
        <w:t>’</w:t>
      </w:r>
      <w:r w:rsidRPr="00215ADD">
        <w:rPr>
          <w:szCs w:val="22"/>
        </w:rPr>
        <w:t xml:space="preserve"> and </w:t>
      </w:r>
      <w:r w:rsidR="00505AA0" w:rsidRPr="00110C9A">
        <w:rPr>
          <w:color w:val="000000"/>
          <w:szCs w:val="22"/>
        </w:rPr>
        <w:t>‘</w:t>
      </w:r>
      <w:r w:rsidRPr="00215ADD">
        <w:rPr>
          <w:szCs w:val="22"/>
        </w:rPr>
        <w:t>ESRB Recommendation</w:t>
      </w:r>
      <w:r w:rsidR="009322B3">
        <w:rPr>
          <w:szCs w:val="22"/>
        </w:rPr>
        <w:t> </w:t>
      </w:r>
      <w:r w:rsidRPr="00215ADD">
        <w:rPr>
          <w:szCs w:val="22"/>
        </w:rPr>
        <w:t>A</w:t>
      </w:r>
      <w:r w:rsidR="00505AA0" w:rsidRPr="00110C9A">
        <w:rPr>
          <w:color w:val="000000"/>
          <w:szCs w:val="22"/>
        </w:rPr>
        <w:t>’</w:t>
      </w:r>
      <w:r w:rsidRPr="00215ADD">
        <w:rPr>
          <w:szCs w:val="22"/>
        </w:rPr>
        <w:t>)</w:t>
      </w:r>
      <w:r>
        <w:rPr>
          <w:rStyle w:val="FootnoteReference"/>
          <w:lang w:val="en-GB"/>
        </w:rPr>
        <w:footnoteReference w:id="3"/>
      </w:r>
      <w:r w:rsidRPr="00215ADD">
        <w:rPr>
          <w:lang w:val="en-GB"/>
        </w:rPr>
        <w:t>.</w:t>
      </w:r>
    </w:p>
    <w:p w14:paraId="06A97851" w14:textId="77777777" w:rsidR="00B43E07" w:rsidRPr="00271D70" w:rsidRDefault="00B43E07" w:rsidP="00B43E07">
      <w:pPr>
        <w:pStyle w:val="Titlelevel2"/>
        <w:rPr>
          <w:lang w:val="en-GB"/>
        </w:rPr>
      </w:pPr>
      <w:r w:rsidRPr="00271D70">
        <w:rPr>
          <w:lang w:val="en-GB"/>
        </w:rPr>
        <w:t>Scope of application</w:t>
      </w:r>
    </w:p>
    <w:p w14:paraId="3D85BDCE" w14:textId="5D5DC3C9" w:rsidR="00FD4C91" w:rsidRPr="003911A0" w:rsidRDefault="00FD4C91" w:rsidP="00723668">
      <w:pPr>
        <w:pStyle w:val="body"/>
        <w:numPr>
          <w:ilvl w:val="0"/>
          <w:numId w:val="10"/>
        </w:numPr>
        <w:rPr>
          <w:lang w:val="en-GB"/>
        </w:rPr>
      </w:pPr>
      <w:r w:rsidRPr="00623C37">
        <w:rPr>
          <w:lang w:val="en-GB"/>
        </w:rPr>
        <w:t xml:space="preserve">Competent authorities should apply </w:t>
      </w:r>
      <w:r>
        <w:rPr>
          <w:lang w:val="en-GB"/>
        </w:rPr>
        <w:t>t</w:t>
      </w:r>
      <w:r w:rsidRPr="003911A0">
        <w:rPr>
          <w:lang w:val="en-GB"/>
        </w:rPr>
        <w:t xml:space="preserve">hese guidelines on a consolidated basis in accordance with </w:t>
      </w:r>
      <w:r w:rsidR="00A9416A" w:rsidRPr="00110C9A">
        <w:rPr>
          <w:color w:val="000000"/>
          <w:lang w:val="en-GB"/>
        </w:rPr>
        <w:t>Chapter 2</w:t>
      </w:r>
      <w:r w:rsidRPr="003911A0">
        <w:rPr>
          <w:lang w:val="en-GB"/>
        </w:rPr>
        <w:t xml:space="preserve"> of Title</w:t>
      </w:r>
      <w:r w:rsidR="006C7127">
        <w:rPr>
          <w:lang w:val="en-GB"/>
        </w:rPr>
        <w:t> </w:t>
      </w:r>
      <w:r w:rsidRPr="003911A0">
        <w:rPr>
          <w:lang w:val="en-GB"/>
        </w:rPr>
        <w:t>II</w:t>
      </w:r>
      <w:r>
        <w:rPr>
          <w:lang w:val="en-GB"/>
        </w:rPr>
        <w:t xml:space="preserve"> of Part</w:t>
      </w:r>
      <w:r w:rsidR="006C7127">
        <w:rPr>
          <w:lang w:val="en-GB"/>
        </w:rPr>
        <w:t> </w:t>
      </w:r>
      <w:r>
        <w:rPr>
          <w:lang w:val="en-GB"/>
        </w:rPr>
        <w:t>One</w:t>
      </w:r>
      <w:r w:rsidRPr="003911A0">
        <w:rPr>
          <w:lang w:val="en-GB"/>
        </w:rPr>
        <w:t xml:space="preserve"> of Regulation (EU) No</w:t>
      </w:r>
      <w:r w:rsidR="00DA0718">
        <w:rPr>
          <w:lang w:val="en-GB"/>
        </w:rPr>
        <w:t> </w:t>
      </w:r>
      <w:r w:rsidRPr="003911A0">
        <w:rPr>
          <w:lang w:val="en-GB"/>
        </w:rPr>
        <w:t>575/2013</w:t>
      </w:r>
      <w:r w:rsidRPr="00623C37">
        <w:rPr>
          <w:rStyle w:val="FootnoteReference"/>
          <w:lang w:val="en-GB"/>
        </w:rPr>
        <w:footnoteReference w:id="4"/>
      </w:r>
      <w:r w:rsidR="00A13953">
        <w:rPr>
          <w:lang w:val="en-GB"/>
        </w:rPr>
        <w:t>.</w:t>
      </w:r>
    </w:p>
    <w:p w14:paraId="4B6C2818" w14:textId="1F56B064" w:rsidR="00505AA0" w:rsidRDefault="00FD4C91" w:rsidP="00723668">
      <w:pPr>
        <w:pStyle w:val="body"/>
        <w:numPr>
          <w:ilvl w:val="0"/>
          <w:numId w:val="10"/>
        </w:numPr>
        <w:rPr>
          <w:rFonts w:cs="Arial"/>
          <w:lang w:val="en-GB"/>
        </w:rPr>
      </w:pPr>
      <w:r w:rsidRPr="00623C37">
        <w:rPr>
          <w:lang w:val="en-GB"/>
        </w:rPr>
        <w:t>Competent authorities should apply these guidelines</w:t>
      </w:r>
      <w:r w:rsidRPr="00623C37">
        <w:rPr>
          <w:rFonts w:cs="Arial"/>
          <w:lang w:val="en-GB"/>
        </w:rPr>
        <w:t xml:space="preserve"> </w:t>
      </w:r>
      <w:r>
        <w:rPr>
          <w:rFonts w:cs="Arial"/>
          <w:lang w:val="en-GB"/>
        </w:rPr>
        <w:t>on an</w:t>
      </w:r>
      <w:r w:rsidRPr="00623C37">
        <w:rPr>
          <w:rFonts w:cs="Arial"/>
          <w:lang w:val="en-GB"/>
        </w:rPr>
        <w:t xml:space="preserve"> individual basis</w:t>
      </w:r>
      <w:r w:rsidRPr="00623C37">
        <w:rPr>
          <w:lang w:val="en-GB"/>
        </w:rPr>
        <w:t xml:space="preserve"> </w:t>
      </w:r>
      <w:r>
        <w:rPr>
          <w:lang w:val="en-GB"/>
        </w:rPr>
        <w:t xml:space="preserve">in accordance with </w:t>
      </w:r>
      <w:r w:rsidR="00A9416A" w:rsidRPr="00110C9A">
        <w:rPr>
          <w:color w:val="000000"/>
          <w:lang w:val="en-GB"/>
        </w:rPr>
        <w:t>Chapter 1</w:t>
      </w:r>
      <w:r>
        <w:rPr>
          <w:lang w:val="en-GB"/>
        </w:rPr>
        <w:t xml:space="preserve"> of Title</w:t>
      </w:r>
      <w:r w:rsidR="00A13953">
        <w:rPr>
          <w:lang w:val="en-GB"/>
        </w:rPr>
        <w:t> </w:t>
      </w:r>
      <w:r>
        <w:rPr>
          <w:lang w:val="en-GB"/>
        </w:rPr>
        <w:t>II of Part</w:t>
      </w:r>
      <w:r w:rsidR="00A13953">
        <w:rPr>
          <w:lang w:val="en-GB"/>
        </w:rPr>
        <w:t> </w:t>
      </w:r>
      <w:r>
        <w:rPr>
          <w:lang w:val="en-GB"/>
        </w:rPr>
        <w:t>One</w:t>
      </w:r>
      <w:r w:rsidRPr="00623C37">
        <w:rPr>
          <w:lang w:val="en-GB"/>
        </w:rPr>
        <w:t xml:space="preserve"> of Regulation (EU) No</w:t>
      </w:r>
      <w:r w:rsidR="00DA0718">
        <w:rPr>
          <w:lang w:val="en-GB"/>
        </w:rPr>
        <w:t> </w:t>
      </w:r>
      <w:r w:rsidRPr="00623C37">
        <w:rPr>
          <w:lang w:val="en-GB"/>
        </w:rPr>
        <w:t>575/2013</w:t>
      </w:r>
      <w:r w:rsidRPr="00623C37">
        <w:rPr>
          <w:rFonts w:cs="Arial"/>
          <w:lang w:val="en-GB"/>
        </w:rPr>
        <w:t xml:space="preserve"> when the credit institutions</w:t>
      </w:r>
      <w:r>
        <w:rPr>
          <w:rFonts w:cs="Arial"/>
          <w:lang w:val="en-GB"/>
        </w:rPr>
        <w:t xml:space="preserve"> referred to in paragraph</w:t>
      </w:r>
      <w:r w:rsidR="00B20C25">
        <w:rPr>
          <w:rFonts w:cs="Arial"/>
          <w:lang w:val="en-GB"/>
        </w:rPr>
        <w:t> </w:t>
      </w:r>
      <w:r>
        <w:rPr>
          <w:rFonts w:cs="Arial"/>
          <w:lang w:val="en-GB"/>
        </w:rPr>
        <w:t xml:space="preserve">9 are not part of a group subject to consolidated supervision pursuant to </w:t>
      </w:r>
      <w:r w:rsidR="00BD7870">
        <w:rPr>
          <w:rFonts w:cs="Arial"/>
          <w:lang w:val="en-GB"/>
        </w:rPr>
        <w:t>Articles 1</w:t>
      </w:r>
      <w:r>
        <w:rPr>
          <w:rFonts w:cs="Arial"/>
          <w:lang w:val="en-GB"/>
        </w:rPr>
        <w:t>11 and 112 of Directive 2013/36/EU</w:t>
      </w:r>
      <w:r>
        <w:rPr>
          <w:rStyle w:val="FootnoteReference"/>
          <w:rFonts w:cs="Arial"/>
          <w:lang w:val="en-GB"/>
        </w:rPr>
        <w:footnoteReference w:id="5"/>
      </w:r>
      <w:r w:rsidRPr="00623C37">
        <w:rPr>
          <w:rFonts w:cs="Arial"/>
          <w:lang w:val="en-GB"/>
        </w:rPr>
        <w:t>.</w:t>
      </w:r>
    </w:p>
    <w:p w14:paraId="0430C38B" w14:textId="05157630" w:rsidR="00FD4C91" w:rsidRPr="006F386E" w:rsidRDefault="00FD4C91" w:rsidP="009151BC">
      <w:pPr>
        <w:pStyle w:val="body"/>
        <w:numPr>
          <w:ilvl w:val="0"/>
          <w:numId w:val="10"/>
        </w:numPr>
        <w:rPr>
          <w:lang w:val="en-GB"/>
        </w:rPr>
      </w:pPr>
      <w:r>
        <w:rPr>
          <w:lang w:val="en-GB"/>
        </w:rPr>
        <w:t>Notwithstanding paragraphs</w:t>
      </w:r>
      <w:r w:rsidR="00106CBB">
        <w:rPr>
          <w:lang w:val="en-GB"/>
        </w:rPr>
        <w:t> </w:t>
      </w:r>
      <w:r>
        <w:rPr>
          <w:lang w:val="en-GB"/>
        </w:rPr>
        <w:t>6 and 7, c</w:t>
      </w:r>
      <w:r w:rsidRPr="00623C37">
        <w:rPr>
          <w:lang w:val="en-GB"/>
        </w:rPr>
        <w:t xml:space="preserve">ompetent authorities may </w:t>
      </w:r>
      <w:r w:rsidR="009151BC">
        <w:rPr>
          <w:lang w:val="en-GB"/>
        </w:rPr>
        <w:t xml:space="preserve">also </w:t>
      </w:r>
      <w:r w:rsidRPr="00623C37">
        <w:rPr>
          <w:lang w:val="en-GB"/>
        </w:rPr>
        <w:t xml:space="preserve">apply these guidelines </w:t>
      </w:r>
      <w:r>
        <w:rPr>
          <w:lang w:val="en-GB"/>
        </w:rPr>
        <w:t>on an</w:t>
      </w:r>
      <w:r w:rsidRPr="00623C37">
        <w:rPr>
          <w:lang w:val="en-GB"/>
        </w:rPr>
        <w:t xml:space="preserve"> individual basis </w:t>
      </w:r>
      <w:r>
        <w:rPr>
          <w:lang w:val="en-GB"/>
        </w:rPr>
        <w:t>in accordance with</w:t>
      </w:r>
      <w:r w:rsidRPr="00623C37">
        <w:rPr>
          <w:lang w:val="en-GB"/>
        </w:rPr>
        <w:t xml:space="preserve"> </w:t>
      </w:r>
      <w:r w:rsidR="00A9416A" w:rsidRPr="00110C9A">
        <w:rPr>
          <w:color w:val="000000"/>
          <w:lang w:val="en-GB"/>
        </w:rPr>
        <w:t>Chapter 1</w:t>
      </w:r>
      <w:r>
        <w:rPr>
          <w:lang w:val="en-GB"/>
        </w:rPr>
        <w:t xml:space="preserve"> of Title</w:t>
      </w:r>
      <w:r w:rsidR="009151BC">
        <w:rPr>
          <w:lang w:val="en-GB"/>
        </w:rPr>
        <w:t> </w:t>
      </w:r>
      <w:r w:rsidRPr="009151BC">
        <w:rPr>
          <w:lang w:val="en-GB"/>
        </w:rPr>
        <w:t>II of Part</w:t>
      </w:r>
      <w:r w:rsidR="009151BC">
        <w:rPr>
          <w:lang w:val="en-GB"/>
        </w:rPr>
        <w:t> </w:t>
      </w:r>
      <w:r w:rsidRPr="009151BC">
        <w:rPr>
          <w:lang w:val="en-GB"/>
        </w:rPr>
        <w:t>One of Regulation (EU) No</w:t>
      </w:r>
      <w:r w:rsidR="00DA0718" w:rsidRPr="006F386E">
        <w:rPr>
          <w:lang w:val="en-GB"/>
        </w:rPr>
        <w:t> </w:t>
      </w:r>
      <w:r w:rsidRPr="006F386E">
        <w:rPr>
          <w:lang w:val="en-GB"/>
        </w:rPr>
        <w:t>575/2013 for all institutions.</w:t>
      </w:r>
    </w:p>
    <w:p w14:paraId="5DCA517C" w14:textId="4873C7BF" w:rsidR="00FD4C91" w:rsidRPr="00623C37" w:rsidRDefault="00FD4C91" w:rsidP="00723668">
      <w:pPr>
        <w:pStyle w:val="body"/>
        <w:numPr>
          <w:ilvl w:val="0"/>
          <w:numId w:val="10"/>
        </w:numPr>
        <w:rPr>
          <w:lang w:val="en-GB"/>
        </w:rPr>
      </w:pPr>
      <w:r w:rsidRPr="00623C37">
        <w:rPr>
          <w:lang w:val="en-GB"/>
        </w:rPr>
        <w:t xml:space="preserve">When applying these guidelines, competent authorities should ensure that </w:t>
      </w:r>
      <w:r>
        <w:rPr>
          <w:lang w:val="en-GB"/>
        </w:rPr>
        <w:t>the</w:t>
      </w:r>
      <w:r w:rsidRPr="00623C37">
        <w:rPr>
          <w:lang w:val="en-GB"/>
        </w:rPr>
        <w:t xml:space="preserve"> largest credit institutions in terms of volume of assets in each Member State are covered, and that the coverage amounts to at least 75</w:t>
      </w:r>
      <w:r w:rsidR="00505AA0" w:rsidRPr="00110C9A">
        <w:rPr>
          <w:color w:val="000000"/>
          <w:lang w:val="en-GB"/>
        </w:rPr>
        <w:t>%</w:t>
      </w:r>
      <w:r w:rsidRPr="00623C37">
        <w:rPr>
          <w:lang w:val="en-GB"/>
        </w:rPr>
        <w:t xml:space="preserve"> of the banking system</w:t>
      </w:r>
      <w:r w:rsidR="00505AA0" w:rsidRPr="00110C9A">
        <w:rPr>
          <w:color w:val="000000"/>
          <w:lang w:val="en-GB"/>
        </w:rPr>
        <w:t>’</w:t>
      </w:r>
      <w:r w:rsidRPr="00623C37">
        <w:rPr>
          <w:lang w:val="en-GB"/>
        </w:rPr>
        <w:t xml:space="preserve">s total consolidated assets in </w:t>
      </w:r>
      <w:r>
        <w:rPr>
          <w:lang w:val="en-GB"/>
        </w:rPr>
        <w:t>that</w:t>
      </w:r>
      <w:r w:rsidRPr="00623C37">
        <w:rPr>
          <w:lang w:val="en-GB"/>
        </w:rPr>
        <w:t xml:space="preserve"> Member State.</w:t>
      </w:r>
    </w:p>
    <w:p w14:paraId="13A07A32" w14:textId="77777777" w:rsidR="00FD4C91" w:rsidRDefault="00FD4C91">
      <w:pPr>
        <w:rPr>
          <w:rFonts w:asciiTheme="majorHAnsi" w:eastAsiaTheme="majorEastAsia" w:hAnsiTheme="majorHAnsi" w:cstheme="majorBidi"/>
          <w:bCs/>
          <w:color w:val="2F5773" w:themeColor="text2"/>
          <w:sz w:val="32"/>
          <w:lang w:val="en-GB"/>
        </w:rPr>
      </w:pPr>
      <w:r>
        <w:rPr>
          <w:lang w:val="en-GB"/>
        </w:rPr>
        <w:br w:type="page"/>
      </w:r>
    </w:p>
    <w:p w14:paraId="4C85DB56" w14:textId="4AF4279C" w:rsidR="00B43E07" w:rsidRPr="00271D70" w:rsidRDefault="00B43E07" w:rsidP="00B43E07">
      <w:pPr>
        <w:pStyle w:val="Titlelevel2"/>
        <w:rPr>
          <w:lang w:val="en-GB"/>
        </w:rPr>
      </w:pPr>
      <w:r w:rsidRPr="00271D70">
        <w:rPr>
          <w:lang w:val="en-GB"/>
        </w:rPr>
        <w:lastRenderedPageBreak/>
        <w:t>Addressees</w:t>
      </w:r>
    </w:p>
    <w:p w14:paraId="3CC80D34" w14:textId="5F9F2F33" w:rsidR="00FD4C91" w:rsidRPr="0019025E" w:rsidRDefault="00FD4C91" w:rsidP="00723668">
      <w:pPr>
        <w:pStyle w:val="body"/>
        <w:numPr>
          <w:ilvl w:val="0"/>
          <w:numId w:val="10"/>
        </w:numPr>
        <w:rPr>
          <w:lang w:val="en-GB"/>
        </w:rPr>
      </w:pPr>
      <w:r w:rsidRPr="0019025E">
        <w:rPr>
          <w:lang w:val="en-GB"/>
        </w:rPr>
        <w:t>These guidelines are addressed to competent authorities as defined in point</w:t>
      </w:r>
      <w:r w:rsidR="006F386E">
        <w:rPr>
          <w:lang w:val="en-GB"/>
        </w:rPr>
        <w:t> </w:t>
      </w:r>
      <w:r>
        <w:rPr>
          <w:lang w:val="en-GB"/>
        </w:rPr>
        <w:t>(</w:t>
      </w:r>
      <w:r w:rsidRPr="0019025E">
        <w:rPr>
          <w:lang w:val="en-GB"/>
        </w:rPr>
        <w:t>i</w:t>
      </w:r>
      <w:r>
        <w:rPr>
          <w:lang w:val="en-GB"/>
        </w:rPr>
        <w:t>) of point</w:t>
      </w:r>
      <w:r w:rsidR="006F386E">
        <w:rPr>
          <w:lang w:val="en-GB"/>
        </w:rPr>
        <w:t> </w:t>
      </w:r>
      <w:r>
        <w:rPr>
          <w:lang w:val="en-GB"/>
        </w:rPr>
        <w:t>(2)</w:t>
      </w:r>
      <w:r w:rsidRPr="0019025E">
        <w:rPr>
          <w:lang w:val="en-GB"/>
        </w:rPr>
        <w:t xml:space="preserve"> of </w:t>
      </w:r>
      <w:r w:rsidR="00BD7870" w:rsidRPr="0019025E">
        <w:rPr>
          <w:lang w:val="en-GB"/>
        </w:rPr>
        <w:t>Article</w:t>
      </w:r>
      <w:r w:rsidR="00BD7870">
        <w:rPr>
          <w:lang w:val="en-GB"/>
        </w:rPr>
        <w:t> </w:t>
      </w:r>
      <w:r w:rsidR="00BD7870" w:rsidRPr="0019025E">
        <w:rPr>
          <w:lang w:val="en-GB"/>
        </w:rPr>
        <w:t>4</w:t>
      </w:r>
      <w:r w:rsidRPr="0019025E">
        <w:rPr>
          <w:lang w:val="en-GB"/>
        </w:rPr>
        <w:t xml:space="preserve"> of Regulation (EU) No</w:t>
      </w:r>
      <w:r w:rsidR="00DA0718">
        <w:rPr>
          <w:lang w:val="en-GB"/>
        </w:rPr>
        <w:t> </w:t>
      </w:r>
      <w:r w:rsidRPr="0019025E">
        <w:rPr>
          <w:lang w:val="en-GB"/>
        </w:rPr>
        <w:t xml:space="preserve">1093/2010 and to </w:t>
      </w:r>
      <w:r>
        <w:rPr>
          <w:lang w:val="en-GB"/>
        </w:rPr>
        <w:t xml:space="preserve">credit </w:t>
      </w:r>
      <w:r w:rsidRPr="0019025E">
        <w:rPr>
          <w:lang w:val="en-GB"/>
        </w:rPr>
        <w:t>institutions that report funding plans to their competent authorities, in accordance with the national implementation framework of</w:t>
      </w:r>
      <w:r>
        <w:rPr>
          <w:lang w:val="en-GB"/>
        </w:rPr>
        <w:t xml:space="preserve"> the</w:t>
      </w:r>
      <w:r w:rsidRPr="0019025E">
        <w:rPr>
          <w:lang w:val="en-GB"/>
        </w:rPr>
        <w:t xml:space="preserve"> ESRB Recommendation</w:t>
      </w:r>
      <w:r>
        <w:rPr>
          <w:lang w:val="en-GB"/>
        </w:rPr>
        <w:t>s</w:t>
      </w:r>
      <w:r w:rsidRPr="0019025E">
        <w:rPr>
          <w:lang w:val="en-GB"/>
        </w:rPr>
        <w:t xml:space="preserve"> </w:t>
      </w:r>
      <w:r>
        <w:rPr>
          <w:lang w:val="en-GB"/>
        </w:rPr>
        <w:t>and the scope of application of these guidelines</w:t>
      </w:r>
      <w:r w:rsidRPr="0019025E">
        <w:rPr>
          <w:lang w:val="en-GB"/>
        </w:rPr>
        <w:t>.</w:t>
      </w:r>
    </w:p>
    <w:p w14:paraId="014FD7D7" w14:textId="77777777" w:rsidR="00B43E07" w:rsidRPr="00271D70" w:rsidRDefault="00B43E07" w:rsidP="00B43E07">
      <w:pPr>
        <w:pStyle w:val="Titlelevel2"/>
        <w:rPr>
          <w:lang w:val="en-GB"/>
        </w:rPr>
      </w:pPr>
      <w:r w:rsidRPr="00271D70">
        <w:rPr>
          <w:lang w:val="en-GB"/>
        </w:rPr>
        <w:t>Definitions</w:t>
      </w:r>
    </w:p>
    <w:p w14:paraId="4D9A2DAB" w14:textId="7D7299C5" w:rsidR="00505AA0" w:rsidRDefault="00FD4C91" w:rsidP="00723668">
      <w:pPr>
        <w:pStyle w:val="body"/>
        <w:numPr>
          <w:ilvl w:val="0"/>
          <w:numId w:val="10"/>
        </w:numPr>
        <w:rPr>
          <w:lang w:val="en-GB"/>
        </w:rPr>
      </w:pPr>
      <w:r w:rsidRPr="0019025E">
        <w:rPr>
          <w:lang w:val="en-GB"/>
        </w:rPr>
        <w:t>Unless otherwise specified, terms used and defined in Regulation (EU) No</w:t>
      </w:r>
      <w:r w:rsidR="00DA0718">
        <w:rPr>
          <w:lang w:val="en-GB"/>
        </w:rPr>
        <w:t> </w:t>
      </w:r>
      <w:r w:rsidRPr="0019025E">
        <w:rPr>
          <w:lang w:val="en-GB"/>
        </w:rPr>
        <w:t>575/2013, Regulation (EU) No</w:t>
      </w:r>
      <w:r w:rsidR="00DA0718">
        <w:rPr>
          <w:lang w:val="en-GB"/>
        </w:rPr>
        <w:t> </w:t>
      </w:r>
      <w:r w:rsidRPr="0019025E">
        <w:rPr>
          <w:lang w:val="en-GB"/>
        </w:rPr>
        <w:t>680/2014</w:t>
      </w:r>
      <w:r>
        <w:rPr>
          <w:rStyle w:val="FootnoteReference"/>
          <w:lang w:val="en-GB"/>
        </w:rPr>
        <w:footnoteReference w:id="6"/>
      </w:r>
      <w:r w:rsidRPr="0019025E">
        <w:rPr>
          <w:lang w:val="en-GB"/>
        </w:rPr>
        <w:t xml:space="preserve"> and</w:t>
      </w:r>
      <w:r w:rsidRPr="006C50A8">
        <w:rPr>
          <w:lang w:val="en-GB"/>
        </w:rPr>
        <w:t xml:space="preserve"> Regulation (EU) 2018/1624</w:t>
      </w:r>
      <w:r>
        <w:rPr>
          <w:rStyle w:val="FootnoteReference"/>
          <w:lang w:val="en-GB"/>
        </w:rPr>
        <w:footnoteReference w:id="7"/>
      </w:r>
      <w:r w:rsidRPr="006C50A8">
        <w:rPr>
          <w:lang w:val="en-GB"/>
        </w:rPr>
        <w:t xml:space="preserve"> have the same meaning in the guidelines.</w:t>
      </w:r>
    </w:p>
    <w:p w14:paraId="2CF6C56A" w14:textId="0F4B0F64" w:rsidR="00FD4C91" w:rsidRPr="006C50A8" w:rsidRDefault="00FD4C91" w:rsidP="001C4984">
      <w:pPr>
        <w:rPr>
          <w:lang w:val="en-GB"/>
        </w:rPr>
      </w:pPr>
      <w:r>
        <w:rPr>
          <w:lang w:val="en-GB"/>
        </w:rPr>
        <w:br w:type="page"/>
      </w:r>
    </w:p>
    <w:p w14:paraId="6EA4E03E" w14:textId="77777777" w:rsidR="00B43E07" w:rsidRPr="00271D70" w:rsidRDefault="00B43E07" w:rsidP="00CC6A89">
      <w:pPr>
        <w:pStyle w:val="Numberedtilelevel1"/>
        <w:numPr>
          <w:ilvl w:val="0"/>
          <w:numId w:val="12"/>
        </w:numPr>
        <w:rPr>
          <w:lang w:val="en-GB"/>
        </w:rPr>
      </w:pPr>
      <w:r w:rsidRPr="00271D70">
        <w:rPr>
          <w:lang w:val="en-GB"/>
        </w:rPr>
        <w:lastRenderedPageBreak/>
        <w:t>Implementation</w:t>
      </w:r>
    </w:p>
    <w:p w14:paraId="463B9A17" w14:textId="77777777" w:rsidR="00B43E07" w:rsidRPr="00271D70" w:rsidRDefault="00B43E07" w:rsidP="00B43E07">
      <w:pPr>
        <w:pStyle w:val="Titlelevel2"/>
        <w:rPr>
          <w:lang w:val="en-GB"/>
        </w:rPr>
      </w:pPr>
      <w:r w:rsidRPr="00271D70">
        <w:rPr>
          <w:lang w:val="en-GB"/>
        </w:rPr>
        <w:t>Date of application</w:t>
      </w:r>
    </w:p>
    <w:p w14:paraId="031FF0C4" w14:textId="4F995DBD" w:rsidR="00505AA0" w:rsidRDefault="001C4984" w:rsidP="00723668">
      <w:pPr>
        <w:pStyle w:val="body"/>
        <w:numPr>
          <w:ilvl w:val="0"/>
          <w:numId w:val="10"/>
        </w:numPr>
        <w:rPr>
          <w:lang w:val="en-GB"/>
        </w:rPr>
      </w:pPr>
      <w:r w:rsidRPr="00B73143">
        <w:rPr>
          <w:lang w:val="en-GB"/>
        </w:rPr>
        <w:t xml:space="preserve">These guidelines apply from </w:t>
      </w:r>
      <w:r w:rsidR="00A9416A" w:rsidRPr="00110C9A">
        <w:rPr>
          <w:color w:val="000000"/>
          <w:lang w:val="en-GB"/>
        </w:rPr>
        <w:t>31 December 2020</w:t>
      </w:r>
      <w:r w:rsidRPr="00B73143">
        <w:rPr>
          <w:lang w:val="en-GB"/>
        </w:rPr>
        <w:t>.</w:t>
      </w:r>
    </w:p>
    <w:p w14:paraId="51059762" w14:textId="77777777" w:rsidR="00505AA0" w:rsidRDefault="00B43E07" w:rsidP="00B43E07">
      <w:pPr>
        <w:pStyle w:val="Titlelevel2"/>
        <w:rPr>
          <w:lang w:val="en-GB"/>
        </w:rPr>
      </w:pPr>
      <w:r w:rsidRPr="00271D70">
        <w:rPr>
          <w:lang w:val="en-GB"/>
        </w:rPr>
        <w:t>Repeal</w:t>
      </w:r>
    </w:p>
    <w:p w14:paraId="7363FCED" w14:textId="308211A1" w:rsidR="00505AA0" w:rsidRDefault="001C4984" w:rsidP="00723668">
      <w:pPr>
        <w:pStyle w:val="body"/>
        <w:numPr>
          <w:ilvl w:val="0"/>
          <w:numId w:val="10"/>
        </w:numPr>
        <w:rPr>
          <w:lang w:val="en-GB"/>
        </w:rPr>
      </w:pPr>
      <w:r w:rsidRPr="00B73143">
        <w:rPr>
          <w:lang w:val="en-GB"/>
        </w:rPr>
        <w:t>The EBA guidelines on harmonised definitions and templates for funding plans of credit institutions under Recommendation</w:t>
      </w:r>
      <w:r w:rsidR="00622DC2">
        <w:rPr>
          <w:lang w:val="en-GB"/>
        </w:rPr>
        <w:t> </w:t>
      </w:r>
      <w:r w:rsidRPr="00B73143">
        <w:rPr>
          <w:lang w:val="en-GB"/>
        </w:rPr>
        <w:t xml:space="preserve">A4 of ESRB/2012/2 </w:t>
      </w:r>
      <w:r w:rsidR="00505AA0" w:rsidRPr="00110C9A">
        <w:rPr>
          <w:color w:val="000000"/>
          <w:lang w:val="en-GB"/>
        </w:rPr>
        <w:t>(</w:t>
      </w:r>
      <w:r w:rsidRPr="00B73143">
        <w:rPr>
          <w:lang w:val="en-GB"/>
        </w:rPr>
        <w:t xml:space="preserve">EBA/GL/2014/04) of </w:t>
      </w:r>
      <w:r w:rsidR="00A9416A" w:rsidRPr="00110C9A">
        <w:rPr>
          <w:color w:val="000000"/>
          <w:lang w:val="en-GB"/>
        </w:rPr>
        <w:t>19 June 2014</w:t>
      </w:r>
      <w:r>
        <w:rPr>
          <w:rStyle w:val="FootnoteReference"/>
          <w:lang w:val="en-GB"/>
        </w:rPr>
        <w:footnoteReference w:id="8"/>
      </w:r>
      <w:r w:rsidRPr="00B73143">
        <w:rPr>
          <w:lang w:val="en-GB"/>
        </w:rPr>
        <w:t xml:space="preserve"> are repealed with effect from </w:t>
      </w:r>
      <w:r w:rsidR="00A9416A" w:rsidRPr="00110C9A">
        <w:rPr>
          <w:color w:val="000000"/>
          <w:lang w:val="en-GB"/>
        </w:rPr>
        <w:t>31 December 2020</w:t>
      </w:r>
      <w:r w:rsidRPr="00B73143">
        <w:rPr>
          <w:lang w:val="en-GB"/>
        </w:rPr>
        <w:t>.</w:t>
      </w:r>
    </w:p>
    <w:p w14:paraId="79677506" w14:textId="5E8D723A" w:rsidR="00B43E07" w:rsidRPr="00271D70" w:rsidRDefault="00B43E07" w:rsidP="00B43E07">
      <w:pPr>
        <w:pStyle w:val="body"/>
        <w:rPr>
          <w:lang w:val="en-GB"/>
        </w:rPr>
      </w:pPr>
    </w:p>
    <w:p w14:paraId="0D18DA59" w14:textId="77777777" w:rsidR="001C4984" w:rsidRDefault="001C4984">
      <w:pPr>
        <w:rPr>
          <w:rFonts w:asciiTheme="majorHAnsi" w:eastAsiaTheme="majorEastAsia" w:hAnsiTheme="majorHAnsi" w:cstheme="majorBidi"/>
          <w:color w:val="2F5773" w:themeColor="text2"/>
          <w:spacing w:val="5"/>
          <w:kern w:val="28"/>
          <w:sz w:val="52"/>
          <w:szCs w:val="52"/>
          <w:lang w:val="en-GB"/>
        </w:rPr>
      </w:pPr>
      <w:r>
        <w:rPr>
          <w:lang w:val="en-GB"/>
        </w:rPr>
        <w:br w:type="page"/>
      </w:r>
    </w:p>
    <w:p w14:paraId="19651F32" w14:textId="77777777" w:rsidR="00505AA0" w:rsidRPr="00106D34" w:rsidRDefault="001C4984" w:rsidP="00CC6A89">
      <w:pPr>
        <w:pStyle w:val="Numberedtilelevel1"/>
        <w:numPr>
          <w:ilvl w:val="0"/>
          <w:numId w:val="12"/>
        </w:numPr>
        <w:rPr>
          <w:lang w:val="en-GB"/>
        </w:rPr>
      </w:pPr>
      <w:r w:rsidRPr="00A04BBC">
        <w:rPr>
          <w:lang w:val="en-GB"/>
        </w:rPr>
        <w:lastRenderedPageBreak/>
        <w:t>Requirements for reporting of funding plans</w:t>
      </w:r>
    </w:p>
    <w:p w14:paraId="5ADF9603" w14:textId="3E2E6BC3" w:rsidR="001C4984" w:rsidRDefault="001C4984" w:rsidP="00723668">
      <w:pPr>
        <w:pStyle w:val="body"/>
        <w:numPr>
          <w:ilvl w:val="0"/>
          <w:numId w:val="10"/>
        </w:numPr>
        <w:rPr>
          <w:rFonts w:cs="Arial"/>
          <w:lang w:val="en-GB"/>
        </w:rPr>
      </w:pPr>
      <w:r>
        <w:rPr>
          <w:rFonts w:cs="Arial"/>
          <w:lang w:val="en-GB"/>
        </w:rPr>
        <w:t>Credit i</w:t>
      </w:r>
      <w:r w:rsidRPr="006C50A8">
        <w:rPr>
          <w:rFonts w:cs="Arial"/>
          <w:lang w:val="en-GB"/>
        </w:rPr>
        <w:t xml:space="preserve">nstitutions </w:t>
      </w:r>
      <w:r>
        <w:rPr>
          <w:rFonts w:cs="Arial"/>
          <w:lang w:val="en-GB"/>
        </w:rPr>
        <w:t xml:space="preserve">should </w:t>
      </w:r>
      <w:r w:rsidRPr="006C50A8">
        <w:rPr>
          <w:rFonts w:cs="Arial"/>
          <w:lang w:val="en-GB"/>
        </w:rPr>
        <w:t>report their funding plans in accordance with the harmonised instructions and templates referred to in Annex</w:t>
      </w:r>
      <w:r w:rsidR="002D24DC">
        <w:rPr>
          <w:rFonts w:cs="Arial"/>
          <w:lang w:val="en-GB"/>
        </w:rPr>
        <w:t> </w:t>
      </w:r>
      <w:r w:rsidRPr="006C50A8">
        <w:rPr>
          <w:rFonts w:cs="Arial"/>
          <w:lang w:val="en-GB"/>
        </w:rPr>
        <w:t>I and Annex</w:t>
      </w:r>
      <w:r w:rsidR="002D24DC">
        <w:rPr>
          <w:rFonts w:cs="Arial"/>
          <w:lang w:val="en-GB"/>
        </w:rPr>
        <w:t> </w:t>
      </w:r>
      <w:r w:rsidRPr="006C50A8">
        <w:rPr>
          <w:rFonts w:cs="Arial"/>
          <w:lang w:val="en-GB"/>
        </w:rPr>
        <w:t>II to these guidelines.</w:t>
      </w:r>
    </w:p>
    <w:p w14:paraId="4E8AE3BB" w14:textId="211719B8" w:rsidR="001C4984" w:rsidRDefault="001C4984" w:rsidP="00723668">
      <w:pPr>
        <w:pStyle w:val="body"/>
        <w:numPr>
          <w:ilvl w:val="0"/>
          <w:numId w:val="10"/>
        </w:numPr>
        <w:rPr>
          <w:rFonts w:cs="Arial"/>
          <w:lang w:val="en-GB"/>
        </w:rPr>
      </w:pPr>
      <w:r w:rsidRPr="000447B7">
        <w:rPr>
          <w:rFonts w:cs="Arial"/>
          <w:lang w:val="en-GB"/>
        </w:rPr>
        <w:t xml:space="preserve">Competent authorities should also provide the EBA with full transparency on the </w:t>
      </w:r>
      <w:r>
        <w:rPr>
          <w:rFonts w:cs="Arial"/>
          <w:lang w:val="en-GB"/>
        </w:rPr>
        <w:t>scope</w:t>
      </w:r>
      <w:r w:rsidRPr="000447B7">
        <w:rPr>
          <w:rFonts w:cs="Arial"/>
          <w:lang w:val="en-GB"/>
        </w:rPr>
        <w:t xml:space="preserve"> of </w:t>
      </w:r>
      <w:r>
        <w:rPr>
          <w:rFonts w:cs="Arial"/>
          <w:lang w:val="en-GB"/>
        </w:rPr>
        <w:t xml:space="preserve">application of these guidelines and an explanation </w:t>
      </w:r>
      <w:r w:rsidR="00A05B43">
        <w:rPr>
          <w:rFonts w:cs="Arial"/>
          <w:lang w:val="en-GB"/>
        </w:rPr>
        <w:t>of</w:t>
      </w:r>
      <w:r>
        <w:rPr>
          <w:rFonts w:cs="Arial"/>
          <w:lang w:val="en-GB"/>
        </w:rPr>
        <w:t xml:space="preserve"> how the guidance referred to in paragraph</w:t>
      </w:r>
      <w:r w:rsidR="00A05B43">
        <w:rPr>
          <w:rFonts w:cs="Arial"/>
          <w:lang w:val="en-GB"/>
        </w:rPr>
        <w:t> </w:t>
      </w:r>
      <w:r>
        <w:rPr>
          <w:rFonts w:cs="Arial"/>
          <w:lang w:val="en-GB"/>
        </w:rPr>
        <w:t>9 has been observed</w:t>
      </w:r>
      <w:r w:rsidRPr="000447B7">
        <w:rPr>
          <w:rFonts w:cs="Arial"/>
          <w:lang w:val="en-GB"/>
        </w:rPr>
        <w:t>.</w:t>
      </w:r>
    </w:p>
    <w:p w14:paraId="29996E4C" w14:textId="77777777" w:rsidR="00505AA0" w:rsidRDefault="001C4984" w:rsidP="001C4984">
      <w:pPr>
        <w:pStyle w:val="Numberedtitlelevel2"/>
        <w:rPr>
          <w:lang w:val="en-GB"/>
        </w:rPr>
      </w:pPr>
      <w:r w:rsidRPr="006C50A8">
        <w:rPr>
          <w:lang w:val="en-GB"/>
        </w:rPr>
        <w:t>Reporting format</w:t>
      </w:r>
    </w:p>
    <w:p w14:paraId="1B3C818E" w14:textId="0EBAFBE9" w:rsidR="001C4984" w:rsidRPr="006C50A8" w:rsidRDefault="001C4984" w:rsidP="00723668">
      <w:pPr>
        <w:pStyle w:val="body"/>
        <w:numPr>
          <w:ilvl w:val="0"/>
          <w:numId w:val="10"/>
        </w:numPr>
        <w:rPr>
          <w:rFonts w:cs="Arial"/>
          <w:lang w:val="en-GB"/>
        </w:rPr>
      </w:pPr>
      <w:r>
        <w:rPr>
          <w:rFonts w:cs="Arial"/>
          <w:lang w:val="en-GB"/>
        </w:rPr>
        <w:t>Credit i</w:t>
      </w:r>
      <w:r w:rsidRPr="006C50A8">
        <w:rPr>
          <w:rFonts w:cs="Arial"/>
          <w:lang w:val="en-GB"/>
        </w:rPr>
        <w:t>nstitutions should submit the information referred to in these guidelines in the data exchange formats and representations specified by competent authorities, respecting the data point definition included in the data point model referred to in Annex</w:t>
      </w:r>
      <w:r w:rsidR="005350E4">
        <w:rPr>
          <w:rFonts w:cs="Arial"/>
          <w:lang w:val="en-GB"/>
        </w:rPr>
        <w:t> </w:t>
      </w:r>
      <w:r w:rsidRPr="006C50A8">
        <w:rPr>
          <w:rFonts w:cs="Arial"/>
          <w:lang w:val="en-GB"/>
        </w:rPr>
        <w:t>XIV and the validation formulae specified in Annex</w:t>
      </w:r>
      <w:r w:rsidR="005350E4">
        <w:rPr>
          <w:rFonts w:cs="Arial"/>
          <w:lang w:val="en-GB"/>
        </w:rPr>
        <w:t> </w:t>
      </w:r>
      <w:r w:rsidRPr="006C50A8">
        <w:rPr>
          <w:rFonts w:cs="Arial"/>
          <w:lang w:val="en-GB"/>
        </w:rPr>
        <w:t>XV of Commission Implementing Regulation (EU) No</w:t>
      </w:r>
      <w:r w:rsidR="00DA0718">
        <w:rPr>
          <w:rFonts w:cs="Arial"/>
          <w:lang w:val="en-GB"/>
        </w:rPr>
        <w:t> </w:t>
      </w:r>
      <w:r w:rsidRPr="006C50A8">
        <w:rPr>
          <w:rFonts w:cs="Arial"/>
          <w:lang w:val="en-GB"/>
        </w:rPr>
        <w:t>680/2014, as well as the following specifications:</w:t>
      </w:r>
    </w:p>
    <w:p w14:paraId="08ED6AE6" w14:textId="77777777" w:rsidR="00505AA0" w:rsidRDefault="001C4984" w:rsidP="00723668">
      <w:pPr>
        <w:pStyle w:val="Titlelevel2"/>
        <w:numPr>
          <w:ilvl w:val="0"/>
          <w:numId w:val="15"/>
        </w:numPr>
        <w:jc w:val="both"/>
        <w:rPr>
          <w:rFonts w:asciiTheme="minorHAnsi" w:eastAsiaTheme="minorEastAsia" w:hAnsiTheme="minorHAnsi" w:cstheme="minorBidi"/>
          <w:bCs w:val="0"/>
          <w:color w:val="auto"/>
          <w:sz w:val="22"/>
          <w:lang w:val="en-GB"/>
        </w:rPr>
      </w:pPr>
      <w:r w:rsidRPr="006C50A8">
        <w:rPr>
          <w:rFonts w:asciiTheme="minorHAnsi" w:eastAsiaTheme="minorEastAsia" w:hAnsiTheme="minorHAnsi" w:cstheme="minorBidi"/>
          <w:bCs w:val="0"/>
          <w:color w:val="auto"/>
          <w:sz w:val="22"/>
          <w:lang w:val="en-GB"/>
        </w:rPr>
        <w:t>information that is not required or not applicable should not be included in a data submission;</w:t>
      </w:r>
    </w:p>
    <w:p w14:paraId="5C790F5A" w14:textId="77777777" w:rsidR="00505AA0" w:rsidRDefault="001C4984" w:rsidP="00723668">
      <w:pPr>
        <w:pStyle w:val="Titlelevel2"/>
        <w:numPr>
          <w:ilvl w:val="0"/>
          <w:numId w:val="15"/>
        </w:numPr>
        <w:jc w:val="both"/>
        <w:rPr>
          <w:rFonts w:asciiTheme="minorHAnsi" w:eastAsiaTheme="minorEastAsia" w:hAnsiTheme="minorHAnsi" w:cstheme="minorBidi"/>
          <w:bCs w:val="0"/>
          <w:color w:val="auto"/>
          <w:sz w:val="22"/>
          <w:lang w:val="en-GB"/>
        </w:rPr>
      </w:pPr>
      <w:r w:rsidRPr="006C50A8">
        <w:rPr>
          <w:rFonts w:asciiTheme="minorHAnsi" w:eastAsiaTheme="minorEastAsia" w:hAnsiTheme="minorHAnsi" w:cstheme="minorBidi"/>
          <w:bCs w:val="0"/>
          <w:color w:val="auto"/>
          <w:sz w:val="22"/>
          <w:lang w:val="en-GB"/>
        </w:rPr>
        <w:t>numeric values should be submitted as facts according to the following:</w:t>
      </w:r>
    </w:p>
    <w:p w14:paraId="78DD1D85" w14:textId="3DD3CC7A" w:rsidR="001C4984" w:rsidRPr="006C50A8" w:rsidRDefault="001C4984" w:rsidP="00723668">
      <w:pPr>
        <w:pStyle w:val="Titlelevel2"/>
        <w:numPr>
          <w:ilvl w:val="0"/>
          <w:numId w:val="13"/>
        </w:numPr>
        <w:rPr>
          <w:rFonts w:asciiTheme="minorHAnsi" w:eastAsiaTheme="minorEastAsia" w:hAnsiTheme="minorHAnsi" w:cstheme="minorBidi"/>
          <w:bCs w:val="0"/>
          <w:color w:val="auto"/>
          <w:sz w:val="22"/>
          <w:lang w:val="en-GB"/>
        </w:rPr>
      </w:pPr>
      <w:r w:rsidRPr="006C50A8">
        <w:rPr>
          <w:rFonts w:asciiTheme="minorHAnsi" w:eastAsiaTheme="minorEastAsia" w:hAnsiTheme="minorHAnsi" w:cstheme="minorBidi"/>
          <w:bCs w:val="0"/>
          <w:color w:val="auto"/>
          <w:sz w:val="22"/>
          <w:lang w:val="en-GB"/>
        </w:rPr>
        <w:t xml:space="preserve">data points with the data type </w:t>
      </w:r>
      <w:r w:rsidR="00505AA0" w:rsidRPr="00110C9A">
        <w:rPr>
          <w:rFonts w:asciiTheme="minorHAnsi" w:eastAsiaTheme="minorEastAsia" w:hAnsiTheme="minorHAnsi" w:cstheme="minorBidi"/>
          <w:bCs w:val="0"/>
          <w:color w:val="000000"/>
          <w:sz w:val="22"/>
          <w:lang w:val="en-GB"/>
        </w:rPr>
        <w:t>‘</w:t>
      </w:r>
      <w:r w:rsidRPr="006C50A8">
        <w:rPr>
          <w:rFonts w:asciiTheme="minorHAnsi" w:eastAsiaTheme="minorEastAsia" w:hAnsiTheme="minorHAnsi" w:cstheme="minorBidi"/>
          <w:bCs w:val="0"/>
          <w:color w:val="auto"/>
          <w:sz w:val="22"/>
          <w:lang w:val="en-GB"/>
        </w:rPr>
        <w:t>Monetary</w:t>
      </w:r>
      <w:r w:rsidR="00505AA0" w:rsidRPr="00110C9A">
        <w:rPr>
          <w:rFonts w:asciiTheme="minorHAnsi" w:eastAsiaTheme="minorEastAsia" w:hAnsiTheme="minorHAnsi" w:cstheme="minorBidi"/>
          <w:bCs w:val="0"/>
          <w:color w:val="000000"/>
          <w:sz w:val="22"/>
          <w:lang w:val="en-GB"/>
        </w:rPr>
        <w:t>’</w:t>
      </w:r>
      <w:r w:rsidRPr="006C50A8">
        <w:rPr>
          <w:rFonts w:asciiTheme="minorHAnsi" w:eastAsiaTheme="minorEastAsia" w:hAnsiTheme="minorHAnsi" w:cstheme="minorBidi"/>
          <w:bCs w:val="0"/>
          <w:color w:val="auto"/>
          <w:sz w:val="22"/>
          <w:lang w:val="en-GB"/>
        </w:rPr>
        <w:t xml:space="preserve"> should be reported using a minimum precision equivalent to millions of units;</w:t>
      </w:r>
    </w:p>
    <w:p w14:paraId="09935310" w14:textId="0F2F0849" w:rsidR="00505AA0" w:rsidRDefault="001C4984" w:rsidP="00723668">
      <w:pPr>
        <w:pStyle w:val="Titlelevel2"/>
        <w:numPr>
          <w:ilvl w:val="0"/>
          <w:numId w:val="13"/>
        </w:numPr>
        <w:rPr>
          <w:rFonts w:asciiTheme="minorHAnsi" w:eastAsiaTheme="minorEastAsia" w:hAnsiTheme="minorHAnsi" w:cstheme="minorBidi"/>
          <w:bCs w:val="0"/>
          <w:color w:val="auto"/>
          <w:sz w:val="22"/>
          <w:lang w:val="en-GB"/>
        </w:rPr>
      </w:pPr>
      <w:r w:rsidRPr="006C50A8">
        <w:rPr>
          <w:rFonts w:asciiTheme="minorHAnsi" w:eastAsiaTheme="minorEastAsia" w:hAnsiTheme="minorHAnsi" w:cstheme="minorBidi"/>
          <w:bCs w:val="0"/>
          <w:color w:val="auto"/>
          <w:sz w:val="22"/>
          <w:lang w:val="en-GB"/>
        </w:rPr>
        <w:t xml:space="preserve">data points with the data type </w:t>
      </w:r>
      <w:r w:rsidR="00505AA0" w:rsidRPr="00110C9A">
        <w:rPr>
          <w:rFonts w:asciiTheme="minorHAnsi" w:eastAsiaTheme="minorEastAsia" w:hAnsiTheme="minorHAnsi" w:cstheme="minorBidi"/>
          <w:bCs w:val="0"/>
          <w:color w:val="000000"/>
          <w:sz w:val="22"/>
          <w:lang w:val="en-GB"/>
        </w:rPr>
        <w:t>‘</w:t>
      </w:r>
      <w:r w:rsidRPr="006C50A8">
        <w:rPr>
          <w:rFonts w:asciiTheme="minorHAnsi" w:eastAsiaTheme="minorEastAsia" w:hAnsiTheme="minorHAnsi" w:cstheme="minorBidi"/>
          <w:bCs w:val="0"/>
          <w:color w:val="auto"/>
          <w:sz w:val="22"/>
          <w:lang w:val="en-GB"/>
        </w:rPr>
        <w:t>Percentage</w:t>
      </w:r>
      <w:r w:rsidR="00505AA0" w:rsidRPr="00110C9A">
        <w:rPr>
          <w:rFonts w:asciiTheme="minorHAnsi" w:eastAsiaTheme="minorEastAsia" w:hAnsiTheme="minorHAnsi" w:cstheme="minorBidi"/>
          <w:bCs w:val="0"/>
          <w:color w:val="000000"/>
          <w:sz w:val="22"/>
          <w:lang w:val="en-GB"/>
        </w:rPr>
        <w:t>’</w:t>
      </w:r>
      <w:r w:rsidRPr="006C50A8">
        <w:rPr>
          <w:rFonts w:asciiTheme="minorHAnsi" w:eastAsiaTheme="minorEastAsia" w:hAnsiTheme="minorHAnsi" w:cstheme="minorBidi"/>
          <w:bCs w:val="0"/>
          <w:color w:val="auto"/>
          <w:sz w:val="22"/>
          <w:lang w:val="en-GB"/>
        </w:rPr>
        <w:t xml:space="preserve"> should be expressed as per unit with a minimum precision equivalent to four decimals;</w:t>
      </w:r>
    </w:p>
    <w:p w14:paraId="1EC3AE69" w14:textId="192C3D51" w:rsidR="001C4984" w:rsidRPr="006C50A8" w:rsidRDefault="001C4984" w:rsidP="00723668">
      <w:pPr>
        <w:pStyle w:val="Titlelevel2"/>
        <w:numPr>
          <w:ilvl w:val="0"/>
          <w:numId w:val="13"/>
        </w:numPr>
        <w:rPr>
          <w:rFonts w:asciiTheme="minorHAnsi" w:eastAsiaTheme="minorEastAsia" w:hAnsiTheme="minorHAnsi" w:cstheme="minorBidi"/>
          <w:bCs w:val="0"/>
          <w:color w:val="auto"/>
          <w:sz w:val="22"/>
          <w:lang w:val="en-GB"/>
        </w:rPr>
      </w:pPr>
      <w:r w:rsidRPr="006C50A8">
        <w:rPr>
          <w:rFonts w:asciiTheme="minorHAnsi" w:eastAsiaTheme="minorEastAsia" w:hAnsiTheme="minorHAnsi" w:cstheme="minorBidi"/>
          <w:bCs w:val="0"/>
          <w:color w:val="auto"/>
          <w:sz w:val="22"/>
          <w:lang w:val="en-GB"/>
        </w:rPr>
        <w:t xml:space="preserve">data points with the data type </w:t>
      </w:r>
      <w:r w:rsidR="00505AA0" w:rsidRPr="00110C9A">
        <w:rPr>
          <w:rFonts w:asciiTheme="minorHAnsi" w:eastAsiaTheme="minorEastAsia" w:hAnsiTheme="minorHAnsi" w:cstheme="minorBidi"/>
          <w:bCs w:val="0"/>
          <w:color w:val="000000"/>
          <w:sz w:val="22"/>
          <w:lang w:val="en-GB"/>
        </w:rPr>
        <w:t>‘</w:t>
      </w:r>
      <w:r w:rsidRPr="006C50A8">
        <w:rPr>
          <w:rFonts w:asciiTheme="minorHAnsi" w:eastAsiaTheme="minorEastAsia" w:hAnsiTheme="minorHAnsi" w:cstheme="minorBidi"/>
          <w:bCs w:val="0"/>
          <w:color w:val="auto"/>
          <w:sz w:val="22"/>
          <w:lang w:val="en-GB"/>
        </w:rPr>
        <w:t>Integer</w:t>
      </w:r>
      <w:r w:rsidR="00505AA0" w:rsidRPr="00110C9A">
        <w:rPr>
          <w:rFonts w:asciiTheme="minorHAnsi" w:eastAsiaTheme="minorEastAsia" w:hAnsiTheme="minorHAnsi" w:cstheme="minorBidi"/>
          <w:bCs w:val="0"/>
          <w:color w:val="000000"/>
          <w:sz w:val="22"/>
          <w:lang w:val="en-GB"/>
        </w:rPr>
        <w:t>’</w:t>
      </w:r>
      <w:r w:rsidRPr="006C50A8">
        <w:rPr>
          <w:rFonts w:asciiTheme="minorHAnsi" w:eastAsiaTheme="minorEastAsia" w:hAnsiTheme="minorHAnsi" w:cstheme="minorBidi"/>
          <w:bCs w:val="0"/>
          <w:color w:val="auto"/>
          <w:sz w:val="22"/>
          <w:lang w:val="en-GB"/>
        </w:rPr>
        <w:t xml:space="preserve"> should be reported using no decimals and a precision equivalent to units.</w:t>
      </w:r>
    </w:p>
    <w:p w14:paraId="6650C51E" w14:textId="77777777" w:rsidR="00505AA0" w:rsidRDefault="001C4984" w:rsidP="00723668">
      <w:pPr>
        <w:pStyle w:val="body"/>
        <w:numPr>
          <w:ilvl w:val="0"/>
          <w:numId w:val="10"/>
        </w:numPr>
        <w:rPr>
          <w:rFonts w:cs="Arial"/>
          <w:lang w:val="en-GB"/>
        </w:rPr>
      </w:pPr>
      <w:r w:rsidRPr="006C50A8">
        <w:rPr>
          <w:rFonts w:cs="Arial"/>
          <w:lang w:val="en-GB"/>
        </w:rPr>
        <w:t xml:space="preserve">The data submitted by the </w:t>
      </w:r>
      <w:r>
        <w:rPr>
          <w:rFonts w:cs="Arial"/>
          <w:lang w:val="en-GB"/>
        </w:rPr>
        <w:t xml:space="preserve">credit </w:t>
      </w:r>
      <w:r w:rsidRPr="006C50A8">
        <w:rPr>
          <w:rFonts w:cs="Arial"/>
          <w:lang w:val="en-GB"/>
        </w:rPr>
        <w:t xml:space="preserve">institutions </w:t>
      </w:r>
      <w:r w:rsidRPr="006C50A8">
        <w:rPr>
          <w:bCs/>
          <w:lang w:val="en-GB"/>
        </w:rPr>
        <w:t>should</w:t>
      </w:r>
      <w:r w:rsidRPr="006C50A8">
        <w:rPr>
          <w:lang w:val="en-GB"/>
        </w:rPr>
        <w:t xml:space="preserve"> </w:t>
      </w:r>
      <w:r w:rsidRPr="006C50A8">
        <w:rPr>
          <w:rFonts w:cs="Arial"/>
          <w:lang w:val="en-GB"/>
        </w:rPr>
        <w:t>be associated with the following information:</w:t>
      </w:r>
    </w:p>
    <w:p w14:paraId="7892249A" w14:textId="77777777" w:rsidR="00505AA0" w:rsidRDefault="001C4984" w:rsidP="00723668">
      <w:pPr>
        <w:pStyle w:val="Titlelevel2"/>
        <w:numPr>
          <w:ilvl w:val="0"/>
          <w:numId w:val="14"/>
        </w:numPr>
        <w:ind w:left="720"/>
        <w:jc w:val="both"/>
        <w:rPr>
          <w:rFonts w:asciiTheme="minorHAnsi" w:eastAsiaTheme="minorEastAsia" w:hAnsiTheme="minorHAnsi" w:cstheme="minorBidi"/>
          <w:bCs w:val="0"/>
          <w:color w:val="auto"/>
          <w:sz w:val="22"/>
          <w:lang w:val="en-GB"/>
        </w:rPr>
      </w:pPr>
      <w:r w:rsidRPr="006C50A8">
        <w:rPr>
          <w:rFonts w:asciiTheme="minorHAnsi" w:eastAsiaTheme="minorEastAsia" w:hAnsiTheme="minorHAnsi" w:cstheme="minorBidi"/>
          <w:bCs w:val="0"/>
          <w:color w:val="auto"/>
          <w:sz w:val="22"/>
          <w:lang w:val="en-GB"/>
        </w:rPr>
        <w:t>reporting reference date and reference period;</w:t>
      </w:r>
    </w:p>
    <w:p w14:paraId="3A7B6DF4" w14:textId="77777777" w:rsidR="00505AA0" w:rsidRDefault="001C4984" w:rsidP="00723668">
      <w:pPr>
        <w:pStyle w:val="Titlelevel2"/>
        <w:numPr>
          <w:ilvl w:val="0"/>
          <w:numId w:val="14"/>
        </w:numPr>
        <w:ind w:left="720"/>
        <w:jc w:val="both"/>
        <w:rPr>
          <w:rFonts w:asciiTheme="minorHAnsi" w:eastAsiaTheme="minorEastAsia" w:hAnsiTheme="minorHAnsi" w:cstheme="minorBidi"/>
          <w:bCs w:val="0"/>
          <w:color w:val="auto"/>
          <w:sz w:val="22"/>
          <w:lang w:val="en-GB"/>
        </w:rPr>
      </w:pPr>
      <w:r w:rsidRPr="006C50A8">
        <w:rPr>
          <w:rFonts w:asciiTheme="minorHAnsi" w:eastAsiaTheme="minorEastAsia" w:hAnsiTheme="minorHAnsi" w:cstheme="minorBidi"/>
          <w:bCs w:val="0"/>
          <w:color w:val="auto"/>
          <w:sz w:val="22"/>
          <w:lang w:val="en-GB"/>
        </w:rPr>
        <w:t>reporting currency;</w:t>
      </w:r>
    </w:p>
    <w:p w14:paraId="2DB7C84C" w14:textId="77777777" w:rsidR="00505AA0" w:rsidRDefault="001C4984" w:rsidP="00723668">
      <w:pPr>
        <w:pStyle w:val="Titlelevel2"/>
        <w:numPr>
          <w:ilvl w:val="0"/>
          <w:numId w:val="14"/>
        </w:numPr>
        <w:ind w:left="720"/>
        <w:jc w:val="both"/>
        <w:rPr>
          <w:rFonts w:asciiTheme="minorHAnsi" w:eastAsiaTheme="minorEastAsia" w:hAnsiTheme="minorHAnsi" w:cstheme="minorBidi"/>
          <w:bCs w:val="0"/>
          <w:color w:val="auto"/>
          <w:sz w:val="22"/>
          <w:lang w:val="en-GB"/>
        </w:rPr>
      </w:pPr>
      <w:r w:rsidRPr="006C50A8">
        <w:rPr>
          <w:rFonts w:asciiTheme="minorHAnsi" w:eastAsiaTheme="minorEastAsia" w:hAnsiTheme="minorHAnsi" w:cstheme="minorBidi"/>
          <w:bCs w:val="0"/>
          <w:color w:val="auto"/>
          <w:sz w:val="22"/>
          <w:lang w:val="en-GB"/>
        </w:rPr>
        <w:t>accounting standard;</w:t>
      </w:r>
    </w:p>
    <w:p w14:paraId="58475A70" w14:textId="77777777" w:rsidR="00505AA0" w:rsidRDefault="001C4984" w:rsidP="00723668">
      <w:pPr>
        <w:pStyle w:val="Titlelevel2"/>
        <w:numPr>
          <w:ilvl w:val="0"/>
          <w:numId w:val="14"/>
        </w:numPr>
        <w:ind w:left="720"/>
        <w:jc w:val="both"/>
        <w:rPr>
          <w:rFonts w:asciiTheme="minorHAnsi" w:eastAsiaTheme="minorEastAsia" w:hAnsiTheme="minorHAnsi" w:cstheme="minorBidi"/>
          <w:bCs w:val="0"/>
          <w:color w:val="auto"/>
          <w:sz w:val="22"/>
          <w:lang w:val="en-GB"/>
        </w:rPr>
      </w:pPr>
      <w:r w:rsidRPr="006C50A8">
        <w:rPr>
          <w:rFonts w:asciiTheme="minorHAnsi" w:eastAsiaTheme="minorEastAsia" w:hAnsiTheme="minorHAnsi" w:cstheme="minorBidi"/>
          <w:bCs w:val="0"/>
          <w:color w:val="auto"/>
          <w:sz w:val="22"/>
          <w:lang w:val="en-GB"/>
        </w:rPr>
        <w:t>identifier of the reporting institution;</w:t>
      </w:r>
    </w:p>
    <w:p w14:paraId="02342502" w14:textId="77777777" w:rsidR="00505AA0" w:rsidRDefault="001C4984" w:rsidP="00723668">
      <w:pPr>
        <w:pStyle w:val="Titlelevel2"/>
        <w:numPr>
          <w:ilvl w:val="0"/>
          <w:numId w:val="14"/>
        </w:numPr>
        <w:ind w:left="720"/>
        <w:jc w:val="both"/>
        <w:rPr>
          <w:rFonts w:asciiTheme="minorHAnsi" w:eastAsiaTheme="minorEastAsia" w:hAnsiTheme="minorHAnsi" w:cstheme="minorBidi"/>
          <w:bCs w:val="0"/>
          <w:color w:val="auto"/>
          <w:sz w:val="22"/>
          <w:lang w:val="en-GB"/>
        </w:rPr>
      </w:pPr>
      <w:r w:rsidRPr="006C50A8">
        <w:rPr>
          <w:rFonts w:asciiTheme="minorHAnsi" w:eastAsiaTheme="minorEastAsia" w:hAnsiTheme="minorHAnsi" w:cstheme="minorBidi"/>
          <w:bCs w:val="0"/>
          <w:color w:val="auto"/>
          <w:sz w:val="22"/>
          <w:lang w:val="en-GB"/>
        </w:rPr>
        <w:t>level of application as individual or consolidated.</w:t>
      </w:r>
    </w:p>
    <w:p w14:paraId="16D94529" w14:textId="77777777" w:rsidR="001C4984" w:rsidRDefault="001C4984" w:rsidP="001C4984">
      <w:pPr>
        <w:pStyle w:val="Numberedtitlelevel2"/>
        <w:rPr>
          <w:lang w:val="en-GB"/>
        </w:rPr>
      </w:pPr>
      <w:r>
        <w:rPr>
          <w:lang w:val="en-GB"/>
        </w:rPr>
        <w:lastRenderedPageBreak/>
        <w:t>Frequency, r</w:t>
      </w:r>
      <w:r w:rsidRPr="006C50A8">
        <w:rPr>
          <w:lang w:val="en-GB"/>
        </w:rPr>
        <w:t>eporting reference date</w:t>
      </w:r>
      <w:r>
        <w:rPr>
          <w:lang w:val="en-GB"/>
        </w:rPr>
        <w:t xml:space="preserve"> and </w:t>
      </w:r>
      <w:r w:rsidRPr="006C50A8">
        <w:rPr>
          <w:lang w:val="en-GB"/>
        </w:rPr>
        <w:t>remittance date</w:t>
      </w:r>
    </w:p>
    <w:p w14:paraId="283EFAD5" w14:textId="77777777" w:rsidR="001C4984" w:rsidRPr="007D2C32" w:rsidRDefault="001C4984" w:rsidP="00723668">
      <w:pPr>
        <w:pStyle w:val="body"/>
        <w:numPr>
          <w:ilvl w:val="0"/>
          <w:numId w:val="10"/>
        </w:numPr>
        <w:rPr>
          <w:lang w:val="en-GB"/>
        </w:rPr>
      </w:pPr>
      <w:r>
        <w:rPr>
          <w:lang w:val="en-GB"/>
        </w:rPr>
        <w:t>Credit i</w:t>
      </w:r>
      <w:r w:rsidRPr="006C50A8">
        <w:rPr>
          <w:lang w:val="en-GB"/>
        </w:rPr>
        <w:t xml:space="preserve">nstitutions </w:t>
      </w:r>
      <w:r w:rsidRPr="006C50A8">
        <w:rPr>
          <w:bCs/>
          <w:lang w:val="en-GB"/>
        </w:rPr>
        <w:t>should</w:t>
      </w:r>
      <w:r w:rsidRPr="006C50A8">
        <w:rPr>
          <w:lang w:val="en-GB"/>
        </w:rPr>
        <w:t xml:space="preserve"> submit the information with an annual frequency</w:t>
      </w:r>
      <w:r>
        <w:rPr>
          <w:lang w:val="en-GB"/>
        </w:rPr>
        <w:t>.</w:t>
      </w:r>
    </w:p>
    <w:p w14:paraId="13298C0F" w14:textId="6EC4A65C" w:rsidR="001C4984" w:rsidRPr="00E228EE" w:rsidRDefault="001C4984" w:rsidP="00723668">
      <w:pPr>
        <w:pStyle w:val="body"/>
        <w:numPr>
          <w:ilvl w:val="0"/>
          <w:numId w:val="10"/>
        </w:numPr>
        <w:rPr>
          <w:vanish/>
          <w:lang w:val="en-GB"/>
          <w:specVanish/>
        </w:rPr>
      </w:pPr>
      <w:r>
        <w:rPr>
          <w:lang w:val="en-GB"/>
        </w:rPr>
        <w:t>Credit i</w:t>
      </w:r>
      <w:r w:rsidRPr="006C50A8">
        <w:rPr>
          <w:lang w:val="en-GB"/>
        </w:rPr>
        <w:t xml:space="preserve">nstitutions </w:t>
      </w:r>
      <w:r>
        <w:rPr>
          <w:lang w:val="en-GB"/>
        </w:rPr>
        <w:t xml:space="preserve">should </w:t>
      </w:r>
      <w:r w:rsidRPr="006C50A8">
        <w:rPr>
          <w:lang w:val="en-GB"/>
        </w:rPr>
        <w:t xml:space="preserve">report their funding plans in accordance with these </w:t>
      </w:r>
      <w:r w:rsidRPr="001F0641">
        <w:rPr>
          <w:lang w:val="en-GB"/>
        </w:rPr>
        <w:t xml:space="preserve">guidelines by </w:t>
      </w:r>
      <w:r w:rsidR="008A07D5">
        <w:rPr>
          <w:lang w:val="en-GB"/>
        </w:rPr>
        <w:t>15</w:t>
      </w:r>
      <w:r w:rsidR="003B6583">
        <w:rPr>
          <w:lang w:val="en-GB"/>
        </w:rPr>
        <w:t> </w:t>
      </w:r>
      <w:r w:rsidR="008A07D5">
        <w:rPr>
          <w:lang w:val="en-GB"/>
        </w:rPr>
        <w:t>March</w:t>
      </w:r>
      <w:r>
        <w:rPr>
          <w:lang w:val="en-GB"/>
        </w:rPr>
        <w:t xml:space="preserve"> </w:t>
      </w:r>
      <w:r w:rsidRPr="001F0641">
        <w:rPr>
          <w:lang w:val="en-GB"/>
        </w:rPr>
        <w:t>with a</w:t>
      </w:r>
      <w:r w:rsidRPr="006C50A8">
        <w:rPr>
          <w:lang w:val="en-GB"/>
        </w:rPr>
        <w:t xml:space="preserve"> reference date of 31</w:t>
      </w:r>
      <w:r w:rsidR="003B6583">
        <w:rPr>
          <w:lang w:val="en-GB"/>
        </w:rPr>
        <w:t> </w:t>
      </w:r>
      <w:r>
        <w:rPr>
          <w:lang w:val="en-GB"/>
        </w:rPr>
        <w:t>December of the previous year.</w:t>
      </w:r>
      <w:r w:rsidRPr="006C50A8">
        <w:rPr>
          <w:lang w:val="en-GB"/>
        </w:rPr>
        <w:t xml:space="preserve"> </w:t>
      </w:r>
    </w:p>
    <w:p w14:paraId="3BEEC449" w14:textId="77777777" w:rsidR="001C4984" w:rsidRDefault="001C4984" w:rsidP="001C4984">
      <w:pPr>
        <w:pStyle w:val="body"/>
        <w:rPr>
          <w:lang w:val="en-GB"/>
        </w:rPr>
      </w:pPr>
    </w:p>
    <w:p w14:paraId="30383EC7" w14:textId="4AA546FA" w:rsidR="00505AA0" w:rsidRDefault="001C4984" w:rsidP="00723668">
      <w:pPr>
        <w:pStyle w:val="body"/>
        <w:numPr>
          <w:ilvl w:val="0"/>
          <w:numId w:val="10"/>
        </w:numPr>
        <w:rPr>
          <w:lang w:val="en-GB"/>
        </w:rPr>
      </w:pPr>
      <w:r w:rsidRPr="00E228EE">
        <w:rPr>
          <w:lang w:val="en-GB"/>
        </w:rPr>
        <w:t xml:space="preserve">Where </w:t>
      </w:r>
      <w:r>
        <w:rPr>
          <w:lang w:val="en-GB"/>
        </w:rPr>
        <w:t xml:space="preserve">credit </w:t>
      </w:r>
      <w:r w:rsidRPr="00E228EE">
        <w:rPr>
          <w:lang w:val="en-GB"/>
        </w:rPr>
        <w:t>institutions are permitted by national laws to report their financial information based on their accounting year-end</w:t>
      </w:r>
      <w:r w:rsidR="002D3F7F">
        <w:rPr>
          <w:lang w:val="en-GB"/>
        </w:rPr>
        <w:t>,</w:t>
      </w:r>
      <w:r w:rsidRPr="00E228EE">
        <w:rPr>
          <w:lang w:val="en-GB"/>
        </w:rPr>
        <w:t xml:space="preserve"> which deviates from the calendar year-end, the latest available accounting year-end should be considered as the reference date.</w:t>
      </w:r>
    </w:p>
    <w:p w14:paraId="0BDE417C" w14:textId="257C64EA" w:rsidR="001C4984" w:rsidRPr="006C50A8" w:rsidRDefault="001C4984" w:rsidP="001C4984">
      <w:pPr>
        <w:rPr>
          <w:lang w:val="en-GB"/>
        </w:rPr>
      </w:pPr>
      <w:r w:rsidRPr="006C50A8">
        <w:rPr>
          <w:lang w:val="en-GB"/>
        </w:rPr>
        <w:br w:type="page"/>
      </w:r>
    </w:p>
    <w:p w14:paraId="5613DC07" w14:textId="6EE3A448" w:rsidR="00B43E07" w:rsidRPr="00271D70" w:rsidRDefault="00B43E07" w:rsidP="000F33D3">
      <w:pPr>
        <w:pStyle w:val="Contenttitle"/>
        <w:rPr>
          <w:lang w:val="en-GB" w:eastAsia="en-GB"/>
        </w:rPr>
      </w:pPr>
      <w:r w:rsidRPr="00271D70">
        <w:rPr>
          <w:lang w:val="en-GB" w:eastAsia="en-GB"/>
        </w:rPr>
        <w:lastRenderedPageBreak/>
        <w:t xml:space="preserve">Annex </w:t>
      </w:r>
      <w:r w:rsidR="002D3F7F">
        <w:rPr>
          <w:lang w:val="en-GB" w:eastAsia="en-GB"/>
        </w:rPr>
        <w:t>I</w:t>
      </w:r>
      <w:r w:rsidRPr="00271D70">
        <w:rPr>
          <w:lang w:val="en-GB" w:eastAsia="en-GB"/>
        </w:rPr>
        <w:t xml:space="preserve"> </w:t>
      </w:r>
      <w:r w:rsidR="002F50E6">
        <w:rPr>
          <w:lang w:val="en-GB" w:eastAsia="en-GB"/>
        </w:rPr>
        <w:t>–</w:t>
      </w:r>
      <w:r w:rsidR="00650677" w:rsidRPr="006C50A8">
        <w:rPr>
          <w:lang w:val="en-GB" w:eastAsia="en-GB"/>
        </w:rPr>
        <w:t xml:space="preserve"> Instructions</w:t>
      </w:r>
    </w:p>
    <w:p w14:paraId="38517FCA" w14:textId="5138BFA4" w:rsidR="00E620EB" w:rsidRDefault="00E620EB">
      <w:pPr>
        <w:rPr>
          <w:lang w:val="en-GB" w:eastAsia="en-GB"/>
        </w:rPr>
      </w:pPr>
      <w:r>
        <w:rPr>
          <w:lang w:val="en-GB" w:eastAsia="en-GB"/>
        </w:rPr>
        <w:br w:type="page"/>
      </w:r>
    </w:p>
    <w:p w14:paraId="29A03064" w14:textId="6B1202C2" w:rsidR="00B43E07" w:rsidRDefault="00E620EB" w:rsidP="008A2911">
      <w:pPr>
        <w:pStyle w:val="Contenttitle"/>
        <w:rPr>
          <w:lang w:val="en-GB" w:eastAsia="en-GB"/>
        </w:rPr>
      </w:pPr>
      <w:r>
        <w:rPr>
          <w:lang w:val="en-GB" w:eastAsia="en-GB"/>
        </w:rPr>
        <w:lastRenderedPageBreak/>
        <w:t xml:space="preserve">Annex </w:t>
      </w:r>
      <w:r w:rsidR="002D3F7F">
        <w:rPr>
          <w:lang w:val="en-GB" w:eastAsia="en-GB"/>
        </w:rPr>
        <w:t>II</w:t>
      </w:r>
      <w:r w:rsidRPr="00271D70">
        <w:rPr>
          <w:lang w:val="en-GB" w:eastAsia="en-GB"/>
        </w:rPr>
        <w:t xml:space="preserve"> </w:t>
      </w:r>
      <w:r>
        <w:rPr>
          <w:lang w:val="en-GB" w:eastAsia="en-GB"/>
        </w:rPr>
        <w:t>–</w:t>
      </w:r>
      <w:r w:rsidRPr="006C50A8">
        <w:rPr>
          <w:lang w:val="en-GB" w:eastAsia="en-GB"/>
        </w:rPr>
        <w:t xml:space="preserve"> </w:t>
      </w:r>
      <w:r>
        <w:rPr>
          <w:lang w:val="en-GB" w:eastAsia="en-GB"/>
        </w:rPr>
        <w:t>Templates</w:t>
      </w:r>
    </w:p>
    <w:bookmarkEnd w:id="9"/>
    <w:bookmarkEnd w:id="8"/>
    <w:bookmarkEnd w:id="7"/>
    <w:bookmarkEnd w:id="6"/>
    <w:bookmarkEnd w:id="5"/>
    <w:bookmarkEnd w:id="4"/>
    <w:bookmarkEnd w:id="3"/>
    <w:bookmarkEnd w:id="2"/>
    <w:bookmarkEnd w:id="1"/>
    <w:bookmarkEnd w:id="0"/>
    <w:sectPr w:rsidR="00B43E07" w:rsidSect="008A2911">
      <w:pgSz w:w="11900" w:h="16840"/>
      <w:pgMar w:top="2268" w:right="1418" w:bottom="1134" w:left="1701" w:header="709" w:footer="709" w:gutter="0"/>
      <w:cols w:space="708"/>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8782BF" w16cid:durableId="218FB197"/>
  <w16cid:commentId w16cid:paraId="4D11E3AC" w16cid:durableId="218FBBB0"/>
  <w16cid:commentId w16cid:paraId="42BCD49A" w16cid:durableId="218FAEFF"/>
  <w16cid:commentId w16cid:paraId="4B9FEA39" w16cid:durableId="218FB08F"/>
  <w16cid:commentId w16cid:paraId="653AE1E7" w16cid:durableId="218FB03E"/>
  <w16cid:commentId w16cid:paraId="57701312" w16cid:durableId="218FB287"/>
  <w16cid:commentId w16cid:paraId="3939C72F" w16cid:durableId="21938BCC"/>
  <w16cid:commentId w16cid:paraId="54826F37" w16cid:durableId="218FB3B4"/>
  <w16cid:commentId w16cid:paraId="1699DECA" w16cid:durableId="218FB56F"/>
  <w16cid:commentId w16cid:paraId="62CC21CE" w16cid:durableId="218FB99E"/>
  <w16cid:commentId w16cid:paraId="66586263" w16cid:durableId="218FBA31"/>
  <w16cid:commentId w16cid:paraId="273BF098" w16cid:durableId="218FB0CB"/>
  <w16cid:commentId w16cid:paraId="6B0B2583" w16cid:durableId="218FBB15"/>
  <w16cid:commentId w16cid:paraId="3B2C1134" w16cid:durableId="218FBC12"/>
  <w16cid:commentId w16cid:paraId="3206F486" w16cid:durableId="218FBC8B"/>
  <w16cid:commentId w16cid:paraId="0137B2D8" w16cid:durableId="218FBE86"/>
  <w16cid:commentId w16cid:paraId="75B22C92" w16cid:durableId="218FC07F"/>
  <w16cid:commentId w16cid:paraId="37C7B1D9" w16cid:durableId="218FC273"/>
  <w16cid:commentId w16cid:paraId="654570DB" w16cid:durableId="2190BFF7"/>
  <w16cid:commentId w16cid:paraId="4074CC7D" w16cid:durableId="218FC378"/>
  <w16cid:commentId w16cid:paraId="230C9630" w16cid:durableId="218FC4CB"/>
  <w16cid:commentId w16cid:paraId="33CF9347" w16cid:durableId="218FC4F0"/>
  <w16cid:commentId w16cid:paraId="56114B60" w16cid:durableId="2190C4E4"/>
  <w16cid:commentId w16cid:paraId="09EC219B" w16cid:durableId="2190C676"/>
  <w16cid:commentId w16cid:paraId="6B0F74FF" w16cid:durableId="2190C64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081B6" w14:textId="77777777" w:rsidR="001C391D" w:rsidRDefault="001C391D" w:rsidP="00A00E34">
      <w:r>
        <w:separator/>
      </w:r>
    </w:p>
    <w:p w14:paraId="152CF9F6" w14:textId="77777777" w:rsidR="001C391D" w:rsidRDefault="001C391D"/>
  </w:endnote>
  <w:endnote w:type="continuationSeparator" w:id="0">
    <w:p w14:paraId="75B27E9C" w14:textId="77777777" w:rsidR="001C391D" w:rsidRDefault="001C391D" w:rsidP="00A00E34">
      <w:r>
        <w:continuationSeparator/>
      </w:r>
    </w:p>
    <w:p w14:paraId="5BB00C59" w14:textId="77777777" w:rsidR="001C391D" w:rsidRDefault="001C39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9E5D0" w14:textId="77777777" w:rsidR="001C391D" w:rsidRPr="00DB5E8F" w:rsidRDefault="001C391D">
      <w:pPr>
        <w:rPr>
          <w:sz w:val="12"/>
          <w:szCs w:val="12"/>
        </w:rPr>
      </w:pPr>
      <w:r w:rsidRPr="00DB5E8F">
        <w:rPr>
          <w:sz w:val="12"/>
          <w:szCs w:val="12"/>
        </w:rPr>
        <w:separator/>
      </w:r>
    </w:p>
  </w:footnote>
  <w:footnote w:type="continuationSeparator" w:id="0">
    <w:p w14:paraId="1A9E742D" w14:textId="77777777" w:rsidR="001C391D" w:rsidRDefault="001C391D" w:rsidP="00A00E34">
      <w:r>
        <w:continuationSeparator/>
      </w:r>
    </w:p>
    <w:p w14:paraId="4BDBA568" w14:textId="77777777" w:rsidR="001C391D" w:rsidRDefault="001C391D"/>
  </w:footnote>
  <w:footnote w:type="continuationNotice" w:id="1">
    <w:p w14:paraId="037CFFCE" w14:textId="77777777" w:rsidR="001C391D" w:rsidRDefault="001C391D"/>
  </w:footnote>
  <w:footnote w:id="2">
    <w:p w14:paraId="3E9D9898" w14:textId="0354E53C" w:rsidR="001C391D" w:rsidRPr="001761C5" w:rsidRDefault="001C391D" w:rsidP="00B43E07">
      <w:pPr>
        <w:pStyle w:val="FootnoteText"/>
        <w:rPr>
          <w:lang w:val="en-GB"/>
        </w:rPr>
      </w:pPr>
      <w:r>
        <w:rPr>
          <w:rStyle w:val="FootnoteReference"/>
        </w:rPr>
        <w:footnoteRef/>
      </w:r>
      <w:r>
        <w:t xml:space="preserve"> </w:t>
      </w:r>
      <w:r>
        <w:rPr>
          <w:lang w:val="en-GB"/>
        </w:rPr>
        <w:t xml:space="preserve">Regulation (EU) No 1093/2010 </w:t>
      </w:r>
      <w:r w:rsidRPr="00A725D6">
        <w:rPr>
          <w:lang w:val="en-GB"/>
        </w:rPr>
        <w:t xml:space="preserve">of the European Parliament and of the Council of </w:t>
      </w:r>
      <w:r w:rsidRPr="00E766EE">
        <w:rPr>
          <w:lang w:val="en-GB"/>
        </w:rPr>
        <w:t>24 November 2010</w:t>
      </w:r>
      <w:r w:rsidRPr="00A725D6">
        <w:rPr>
          <w:lang w:val="en-GB"/>
        </w:rPr>
        <w:t xml:space="preserve"> establishing a European Supervisory Authority (European Banking Authority), amending Decision No</w:t>
      </w:r>
      <w:r>
        <w:rPr>
          <w:lang w:val="en-GB"/>
        </w:rPr>
        <w:t> </w:t>
      </w:r>
      <w:r w:rsidRPr="00A725D6">
        <w:rPr>
          <w:lang w:val="en-GB"/>
        </w:rPr>
        <w:t>716/2009/EC and repealing Commission Decision 2009/78/EC</w:t>
      </w:r>
      <w:r>
        <w:rPr>
          <w:lang w:val="en-GB"/>
        </w:rPr>
        <w:t xml:space="preserve"> </w:t>
      </w:r>
      <w:r w:rsidRPr="001761C5">
        <w:rPr>
          <w:rFonts w:hint="eastAsia"/>
          <w:lang w:val="en-GB"/>
        </w:rPr>
        <w:t>(OJ L 331, 15.12.2010, p.</w:t>
      </w:r>
      <w:r>
        <w:rPr>
          <w:lang w:val="en-GB"/>
        </w:rPr>
        <w:t> </w:t>
      </w:r>
      <w:r w:rsidRPr="001761C5">
        <w:rPr>
          <w:rFonts w:hint="eastAsia"/>
          <w:lang w:val="en-GB"/>
        </w:rPr>
        <w:t>12)</w:t>
      </w:r>
      <w:r w:rsidRPr="001761C5">
        <w:rPr>
          <w:lang w:val="en-GB"/>
        </w:rPr>
        <w:t>.</w:t>
      </w:r>
    </w:p>
  </w:footnote>
  <w:footnote w:id="3">
    <w:p w14:paraId="451DBD0E" w14:textId="42080A5D" w:rsidR="001C391D" w:rsidRPr="008B01B8" w:rsidRDefault="001C391D" w:rsidP="00FD4C91">
      <w:pPr>
        <w:pStyle w:val="FootnoteText"/>
      </w:pPr>
      <w:r>
        <w:rPr>
          <w:rStyle w:val="FootnoteReference"/>
        </w:rPr>
        <w:footnoteRef/>
      </w:r>
      <w:r>
        <w:t xml:space="preserve"> </w:t>
      </w:r>
      <w:r w:rsidRPr="006C50A8">
        <w:rPr>
          <w:lang w:val="en-GB"/>
        </w:rPr>
        <w:t>Recommendation</w:t>
      </w:r>
      <w:r>
        <w:rPr>
          <w:lang w:val="en-GB"/>
        </w:rPr>
        <w:t xml:space="preserve"> of the European Systemic Risk Board </w:t>
      </w:r>
      <w:r w:rsidRPr="006C50A8">
        <w:rPr>
          <w:lang w:val="en-GB"/>
        </w:rPr>
        <w:t xml:space="preserve">of </w:t>
      </w:r>
      <w:r w:rsidRPr="00E766EE">
        <w:rPr>
          <w:lang w:val="en-GB"/>
        </w:rPr>
        <w:t>20 December 2012</w:t>
      </w:r>
      <w:r w:rsidRPr="006C50A8">
        <w:rPr>
          <w:lang w:val="en-GB"/>
        </w:rPr>
        <w:t xml:space="preserve"> on funding of credit institutions</w:t>
      </w:r>
      <w:r>
        <w:rPr>
          <w:lang w:val="en-GB"/>
        </w:rPr>
        <w:t xml:space="preserve"> </w:t>
      </w:r>
      <w:r>
        <w:t xml:space="preserve">(OJ L 119, 25.4.2013, </w:t>
      </w:r>
      <w:r w:rsidRPr="00E766EE">
        <w:t>p. 1</w:t>
      </w:r>
      <w:r>
        <w:t>).</w:t>
      </w:r>
    </w:p>
  </w:footnote>
  <w:footnote w:id="4">
    <w:p w14:paraId="35A4DF69" w14:textId="52308F7F" w:rsidR="001C391D" w:rsidRPr="006D4EFC" w:rsidRDefault="001C391D" w:rsidP="00FD4C91">
      <w:pPr>
        <w:pStyle w:val="FootnoteText"/>
      </w:pPr>
      <w:r>
        <w:rPr>
          <w:rStyle w:val="FootnoteReference"/>
        </w:rPr>
        <w:footnoteRef/>
      </w:r>
      <w:r>
        <w:t xml:space="preserve"> Regulation (EU) No 575/2013 of the European Parliament and of the Council of </w:t>
      </w:r>
      <w:r w:rsidRPr="00E766EE">
        <w:t>26 June 2013</w:t>
      </w:r>
      <w:r>
        <w:t xml:space="preserve"> on prudential requirements for credit institutions and investment firms and amending Regulation (EU) No 648/2012 Text with EEA relevance (OJ L 176, 27.6.2013, </w:t>
      </w:r>
      <w:r w:rsidRPr="00E766EE">
        <w:t>p. 1</w:t>
      </w:r>
      <w:r>
        <w:t>).</w:t>
      </w:r>
    </w:p>
  </w:footnote>
  <w:footnote w:id="5">
    <w:p w14:paraId="111B7F10" w14:textId="7B9EBD68" w:rsidR="001C391D" w:rsidRPr="00197216" w:rsidRDefault="001C391D" w:rsidP="00FD4C91">
      <w:pPr>
        <w:pStyle w:val="FootnoteText"/>
      </w:pPr>
      <w:r>
        <w:rPr>
          <w:rStyle w:val="FootnoteReference"/>
        </w:rPr>
        <w:footnoteRef/>
      </w:r>
      <w:r>
        <w:t xml:space="preserve"> </w:t>
      </w:r>
      <w:r w:rsidRPr="00197216">
        <w:t xml:space="preserve">Directive 2013/36/EU of the European Parliament and of the Council of </w:t>
      </w:r>
      <w:r w:rsidRPr="00E766EE">
        <w:t>26 June 2013</w:t>
      </w:r>
      <w:r w:rsidRPr="00197216">
        <w:t xml:space="preserve"> on access to the activity of credit institutions and the prudential supervision of credit institutions and investment firms, amending Directive 2002/87/EC and repealing Directives 2006/48/EC and 2006/49/EC (OJ L 176, 27.6.2013, </w:t>
      </w:r>
      <w:r w:rsidRPr="00E766EE">
        <w:t>p. 3</w:t>
      </w:r>
      <w:r w:rsidRPr="00197216">
        <w:t>38).</w:t>
      </w:r>
    </w:p>
  </w:footnote>
  <w:footnote w:id="6">
    <w:p w14:paraId="064F612D" w14:textId="45B7B748" w:rsidR="001C391D" w:rsidRPr="00097B4A" w:rsidRDefault="001C391D" w:rsidP="00FD4C91">
      <w:pPr>
        <w:pStyle w:val="FootnoteText"/>
      </w:pPr>
      <w:r>
        <w:rPr>
          <w:rStyle w:val="FootnoteReference"/>
        </w:rPr>
        <w:footnoteRef/>
      </w:r>
      <w:r>
        <w:t xml:space="preserve"> </w:t>
      </w:r>
      <w:r w:rsidRPr="00097B4A">
        <w:t>Commission Implementing Regulation (EU) No</w:t>
      </w:r>
      <w:r>
        <w:t> </w:t>
      </w:r>
      <w:r w:rsidRPr="00097B4A">
        <w:t xml:space="preserve">680/2014 of </w:t>
      </w:r>
      <w:r w:rsidRPr="00E766EE">
        <w:t>16 April 2014</w:t>
      </w:r>
      <w:r w:rsidRPr="00097B4A">
        <w:t xml:space="preserve"> laying down implementing technical standards with regard to supervisory reporting of institutions according to Regulation (EU) No</w:t>
      </w:r>
      <w:r>
        <w:t> </w:t>
      </w:r>
      <w:r w:rsidRPr="00097B4A">
        <w:t xml:space="preserve">575/2013 of the European Parliament and of the Council (OJ L 191, 28.6.2014, </w:t>
      </w:r>
      <w:r w:rsidRPr="00E766EE">
        <w:t>p. 1</w:t>
      </w:r>
      <w:r w:rsidRPr="00097B4A">
        <w:t xml:space="preserve">).  </w:t>
      </w:r>
    </w:p>
  </w:footnote>
  <w:footnote w:id="7">
    <w:p w14:paraId="2E4FBB6A" w14:textId="32205B73" w:rsidR="001C391D" w:rsidRPr="00097B4A" w:rsidRDefault="001C391D" w:rsidP="00FD4C91">
      <w:pPr>
        <w:pStyle w:val="FootnoteText"/>
      </w:pPr>
      <w:r>
        <w:rPr>
          <w:rStyle w:val="FootnoteReference"/>
        </w:rPr>
        <w:footnoteRef/>
      </w:r>
      <w:r>
        <w:t xml:space="preserve"> </w:t>
      </w:r>
      <w:r w:rsidRPr="00097B4A">
        <w:t xml:space="preserve">Commission Implementing Regulation (EU) 2018/1624 of </w:t>
      </w:r>
      <w:r w:rsidRPr="00E766EE">
        <w:t>23 October 2018</w:t>
      </w:r>
      <w:r w:rsidRPr="00097B4A">
        <w:t xml:space="preserve"> laying down implementing technical standards with regard to procedures and standard forms and templates for the provision of information for the purposes of resolution plans for credit institutions and investment firms pursuant to Directive 2014/59/EU of the European Parliament and of the Council, and repealing Commission Implementing Regulation (EU) 2016/1066</w:t>
      </w:r>
      <w:r>
        <w:t xml:space="preserve"> (OJ L 277, 7</w:t>
      </w:r>
      <w:r w:rsidRPr="00097B4A">
        <w:t>.</w:t>
      </w:r>
      <w:r>
        <w:t>11.2018</w:t>
      </w:r>
      <w:r w:rsidRPr="00097B4A">
        <w:t xml:space="preserve">, </w:t>
      </w:r>
      <w:r w:rsidRPr="00E766EE">
        <w:t>p. 1</w:t>
      </w:r>
      <w:r w:rsidRPr="00097B4A">
        <w:t>)</w:t>
      </w:r>
      <w:r>
        <w:t>.</w:t>
      </w:r>
    </w:p>
  </w:footnote>
  <w:footnote w:id="8">
    <w:p w14:paraId="1FBB0D5C" w14:textId="33FF2D3C" w:rsidR="001C391D" w:rsidRPr="00EE1573" w:rsidRDefault="001C391D" w:rsidP="001C4984">
      <w:pPr>
        <w:pStyle w:val="FootnoteText"/>
      </w:pPr>
      <w:r>
        <w:rPr>
          <w:rStyle w:val="FootnoteReference"/>
        </w:rPr>
        <w:footnoteRef/>
      </w:r>
      <w:r>
        <w:t xml:space="preserve"> The guidelines can be accessed at </w:t>
      </w:r>
      <w:hyperlink r:id="rId1" w:history="1">
        <w:r w:rsidRPr="00C943EB">
          <w:rPr>
            <w:rStyle w:val="Hyperlink"/>
          </w:rPr>
          <w:t>https://eba.europa.eu/regulation-and-policy/liquidity-risk/guidelines-on-harmonised-definitions-and-templates-for-funding-plans-of-credit-institutions/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4" w15:restartNumberingAfterBreak="0">
    <w:nsid w:val="2D0B464E"/>
    <w:multiLevelType w:val="multilevel"/>
    <w:tmpl w:val="D26C2EE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5"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91167B6"/>
    <w:multiLevelType w:val="hybridMultilevel"/>
    <w:tmpl w:val="F6F269FE"/>
    <w:lvl w:ilvl="0" w:tplc="5338004C">
      <w:start w:val="1"/>
      <w:numFmt w:val="lowerLetter"/>
      <w:lvlText w:val="(%1)"/>
      <w:lvlJc w:val="left"/>
      <w:pPr>
        <w:ind w:left="720" w:hanging="360"/>
      </w:pPr>
      <w:rPr>
        <w:rFonts w:ascii="Times New Roman" w:eastAsia="Times New Roman" w:hAnsi="Times New Roman" w:cs="Times New Roman"/>
      </w:rPr>
    </w:lvl>
    <w:lvl w:ilvl="1" w:tplc="5338004C">
      <w:start w:val="1"/>
      <w:numFmt w:val="lowerLetter"/>
      <w:lvlText w:val="(%2)"/>
      <w:lvlJc w:val="left"/>
      <w:pPr>
        <w:ind w:left="1440" w:hanging="360"/>
      </w:pPr>
      <w:rPr>
        <w:rFonts w:ascii="Times New Roman" w:eastAsia="Times New Roman" w:hAnsi="Times New Roman"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A27A98"/>
    <w:multiLevelType w:val="hybridMultilevel"/>
    <w:tmpl w:val="FB7C84C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01922F5"/>
    <w:multiLevelType w:val="hybridMultilevel"/>
    <w:tmpl w:val="B5C24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227369"/>
    <w:multiLevelType w:val="hybridMultilevel"/>
    <w:tmpl w:val="24B8E800"/>
    <w:lvl w:ilvl="0" w:tplc="4A2A8390">
      <w:start w:val="1"/>
      <w:numFmt w:val="decimal"/>
      <w:pStyle w:val="numberedparagraph"/>
      <w:lvlText w:val="%1."/>
      <w:lvlJc w:val="left"/>
      <w:pPr>
        <w:tabs>
          <w:tab w:val="num" w:pos="284"/>
        </w:tabs>
        <w:ind w:left="284" w:hanging="284"/>
      </w:pPr>
      <w:rPr>
        <w:rFonts w:hint="default"/>
      </w:rPr>
    </w:lvl>
    <w:lvl w:ilvl="1" w:tplc="E5F0B41A">
      <w:numFmt w:val="bullet"/>
      <w:lvlText w:val="-"/>
      <w:lvlJc w:val="left"/>
      <w:pPr>
        <w:ind w:left="1440" w:hanging="360"/>
      </w:pPr>
      <w:rPr>
        <w:rFonts w:ascii="Calibri" w:eastAsia="Times New Roman" w:hAnsi="Calibri" w:cs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8E06E8"/>
    <w:multiLevelType w:val="hybridMultilevel"/>
    <w:tmpl w:val="3A8436A2"/>
    <w:lvl w:ilvl="0" w:tplc="08090017">
      <w:start w:val="1"/>
      <w:numFmt w:val="lowerLetter"/>
      <w:lvlText w:val="%1)"/>
      <w:lvlJc w:val="left"/>
      <w:pPr>
        <w:ind w:left="776" w:hanging="360"/>
      </w:p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12" w15:restartNumberingAfterBreak="0">
    <w:nsid w:val="6BCD57BB"/>
    <w:multiLevelType w:val="multilevel"/>
    <w:tmpl w:val="E6087122"/>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3" w15:restartNumberingAfterBreak="0">
    <w:nsid w:val="6CEC73C1"/>
    <w:multiLevelType w:val="hybridMultilevel"/>
    <w:tmpl w:val="F08E1AEC"/>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9A4F86"/>
    <w:multiLevelType w:val="hybridMultilevel"/>
    <w:tmpl w:val="3D3EF5BE"/>
    <w:lvl w:ilvl="0" w:tplc="5338004C">
      <w:start w:val="1"/>
      <w:numFmt w:val="lowerLetter"/>
      <w:lvlText w:val="(%1)"/>
      <w:lvlJc w:val="left"/>
      <w:pPr>
        <w:ind w:left="1080" w:hanging="360"/>
      </w:pPr>
      <w:rPr>
        <w:rFonts w:ascii="Times New Roman" w:eastAsia="Times New Roman"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A0A1380"/>
    <w:multiLevelType w:val="hybridMultilevel"/>
    <w:tmpl w:val="3EAEE6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6"/>
  </w:num>
  <w:num w:numId="2">
    <w:abstractNumId w:val="2"/>
  </w:num>
  <w:num w:numId="3">
    <w:abstractNumId w:val="4"/>
  </w:num>
  <w:num w:numId="4">
    <w:abstractNumId w:val="5"/>
  </w:num>
  <w:num w:numId="5">
    <w:abstractNumId w:val="14"/>
  </w:num>
  <w:num w:numId="6">
    <w:abstractNumId w:val="1"/>
  </w:num>
  <w:num w:numId="7">
    <w:abstractNumId w:val="12"/>
  </w:num>
  <w:num w:numId="8">
    <w:abstractNumId w:val="10"/>
  </w:num>
  <w:num w:numId="9">
    <w:abstractNumId w:val="0"/>
  </w:num>
  <w:num w:numId="10">
    <w:abstractNumId w:val="16"/>
  </w:num>
  <w:num w:numId="11">
    <w:abstractNumId w:val="3"/>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5"/>
  </w:num>
  <w:num w:numId="15">
    <w:abstractNumId w:val="7"/>
  </w:num>
  <w:num w:numId="16">
    <w:abstractNumId w:val="11"/>
  </w:num>
  <w:num w:numId="17">
    <w:abstractNumId w:val="9"/>
  </w:num>
  <w:num w:numId="18">
    <w:abstractNumId w:val="12"/>
  </w:num>
  <w:num w:numId="19">
    <w:abstractNumId w:val="12"/>
  </w:num>
  <w:num w:numId="20">
    <w:abstractNumId w:val="12"/>
  </w:num>
  <w:num w:numId="21">
    <w:abstractNumId w:val="12"/>
  </w:num>
  <w:num w:numId="22">
    <w:abstractNumId w:val="12"/>
  </w:num>
  <w:num w:numId="23">
    <w:abstractNumId w:val="12"/>
  </w:num>
  <w:num w:numId="24">
    <w:abstractNumId w:val="12"/>
  </w:num>
  <w:num w:numId="25">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lvlOverride w:ilvl="2"/>
    <w:lvlOverride w:ilvl="3"/>
    <w:lvlOverride w:ilvl="4"/>
    <w:lvlOverride w:ilvl="5"/>
    <w:lvlOverride w:ilvl="6"/>
    <w:lvlOverride w:ilvl="7"/>
    <w:lvlOverride w:ilv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GB" w:vendorID="64" w:dllVersion="131078" w:nlCheck="1" w:checkStyle="1"/>
  <w:activeWritingStyle w:appName="MSWord" w:lang="es-ES" w:vendorID="64" w:dllVersion="131078" w:nlCheck="1" w:checkStyle="0"/>
  <w:activeWritingStyle w:appName="MSWord" w:lang="en-US" w:vendorID="64" w:dllVersion="131078" w:nlCheck="1" w:checkStyle="1"/>
  <w:activeWritingStyle w:appName="MSWord" w:lang="fr-FR" w:vendorID="64" w:dllVersion="131078" w:nlCheck="1" w:checkStyle="0"/>
  <w:defaultTabStop w:val="720"/>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EBA GL-REC 20XX XX (FINAL GLS-REC ON"/>
  </w:docVars>
  <w:rsids>
    <w:rsidRoot w:val="006307A5"/>
    <w:rsid w:val="00001873"/>
    <w:rsid w:val="00001DA4"/>
    <w:rsid w:val="00002378"/>
    <w:rsid w:val="000031E6"/>
    <w:rsid w:val="00003714"/>
    <w:rsid w:val="00003F50"/>
    <w:rsid w:val="00013281"/>
    <w:rsid w:val="0001755C"/>
    <w:rsid w:val="000210D3"/>
    <w:rsid w:val="00022E16"/>
    <w:rsid w:val="00022E23"/>
    <w:rsid w:val="000231B7"/>
    <w:rsid w:val="00023E24"/>
    <w:rsid w:val="000252E9"/>
    <w:rsid w:val="00026009"/>
    <w:rsid w:val="000260C5"/>
    <w:rsid w:val="0002694F"/>
    <w:rsid w:val="00026E93"/>
    <w:rsid w:val="00027812"/>
    <w:rsid w:val="00027CA0"/>
    <w:rsid w:val="00030D65"/>
    <w:rsid w:val="00033759"/>
    <w:rsid w:val="00034146"/>
    <w:rsid w:val="00034DF7"/>
    <w:rsid w:val="00035FFC"/>
    <w:rsid w:val="0003624D"/>
    <w:rsid w:val="000377F0"/>
    <w:rsid w:val="00040129"/>
    <w:rsid w:val="0004046A"/>
    <w:rsid w:val="00040660"/>
    <w:rsid w:val="00042210"/>
    <w:rsid w:val="00043E6E"/>
    <w:rsid w:val="000443CA"/>
    <w:rsid w:val="00044416"/>
    <w:rsid w:val="00046C82"/>
    <w:rsid w:val="00046E94"/>
    <w:rsid w:val="00051804"/>
    <w:rsid w:val="00060F40"/>
    <w:rsid w:val="00062830"/>
    <w:rsid w:val="00063678"/>
    <w:rsid w:val="000702CE"/>
    <w:rsid w:val="00072084"/>
    <w:rsid w:val="0007246B"/>
    <w:rsid w:val="000769C4"/>
    <w:rsid w:val="000774B3"/>
    <w:rsid w:val="000828D7"/>
    <w:rsid w:val="000843CD"/>
    <w:rsid w:val="0008707D"/>
    <w:rsid w:val="00087BD0"/>
    <w:rsid w:val="00090DA4"/>
    <w:rsid w:val="000A12EB"/>
    <w:rsid w:val="000A1C81"/>
    <w:rsid w:val="000A1FEB"/>
    <w:rsid w:val="000A279D"/>
    <w:rsid w:val="000A3851"/>
    <w:rsid w:val="000A76C2"/>
    <w:rsid w:val="000A76F1"/>
    <w:rsid w:val="000A7D73"/>
    <w:rsid w:val="000B09CC"/>
    <w:rsid w:val="000B1645"/>
    <w:rsid w:val="000B1E3B"/>
    <w:rsid w:val="000B2B29"/>
    <w:rsid w:val="000B741E"/>
    <w:rsid w:val="000C0882"/>
    <w:rsid w:val="000C1E2D"/>
    <w:rsid w:val="000C3A16"/>
    <w:rsid w:val="000C4DCB"/>
    <w:rsid w:val="000C4F99"/>
    <w:rsid w:val="000C5A8A"/>
    <w:rsid w:val="000C6949"/>
    <w:rsid w:val="000C7FD8"/>
    <w:rsid w:val="000D0029"/>
    <w:rsid w:val="000D0BEE"/>
    <w:rsid w:val="000D37EC"/>
    <w:rsid w:val="000D53AE"/>
    <w:rsid w:val="000D7155"/>
    <w:rsid w:val="000D7A44"/>
    <w:rsid w:val="000E0C27"/>
    <w:rsid w:val="000E0FD7"/>
    <w:rsid w:val="000E30F0"/>
    <w:rsid w:val="000E3446"/>
    <w:rsid w:val="000E4A13"/>
    <w:rsid w:val="000E6D15"/>
    <w:rsid w:val="000F33D3"/>
    <w:rsid w:val="000F5459"/>
    <w:rsid w:val="000F607B"/>
    <w:rsid w:val="000F6495"/>
    <w:rsid w:val="000F678B"/>
    <w:rsid w:val="000F6FD8"/>
    <w:rsid w:val="00101164"/>
    <w:rsid w:val="00101FC3"/>
    <w:rsid w:val="0010482B"/>
    <w:rsid w:val="001061FA"/>
    <w:rsid w:val="0010623C"/>
    <w:rsid w:val="00106CBB"/>
    <w:rsid w:val="00106D34"/>
    <w:rsid w:val="001070DB"/>
    <w:rsid w:val="0010732F"/>
    <w:rsid w:val="0011028F"/>
    <w:rsid w:val="00110C9A"/>
    <w:rsid w:val="00111550"/>
    <w:rsid w:val="00113178"/>
    <w:rsid w:val="0011517F"/>
    <w:rsid w:val="001173B2"/>
    <w:rsid w:val="0011786D"/>
    <w:rsid w:val="001206BE"/>
    <w:rsid w:val="00120C5D"/>
    <w:rsid w:val="00121BB0"/>
    <w:rsid w:val="001229A4"/>
    <w:rsid w:val="00123897"/>
    <w:rsid w:val="0012686C"/>
    <w:rsid w:val="00127542"/>
    <w:rsid w:val="0013090C"/>
    <w:rsid w:val="00131C5D"/>
    <w:rsid w:val="001329B5"/>
    <w:rsid w:val="00132A64"/>
    <w:rsid w:val="00132BE5"/>
    <w:rsid w:val="00133CF3"/>
    <w:rsid w:val="00135CD1"/>
    <w:rsid w:val="00135E42"/>
    <w:rsid w:val="00136594"/>
    <w:rsid w:val="00137B16"/>
    <w:rsid w:val="001406E7"/>
    <w:rsid w:val="00140C5A"/>
    <w:rsid w:val="00141BEA"/>
    <w:rsid w:val="00143543"/>
    <w:rsid w:val="00143699"/>
    <w:rsid w:val="00144C2F"/>
    <w:rsid w:val="00145D24"/>
    <w:rsid w:val="00146031"/>
    <w:rsid w:val="001471A1"/>
    <w:rsid w:val="00147E1D"/>
    <w:rsid w:val="00152832"/>
    <w:rsid w:val="00156709"/>
    <w:rsid w:val="00156FED"/>
    <w:rsid w:val="00157172"/>
    <w:rsid w:val="001600FC"/>
    <w:rsid w:val="00161E20"/>
    <w:rsid w:val="00163292"/>
    <w:rsid w:val="00164620"/>
    <w:rsid w:val="00165C3E"/>
    <w:rsid w:val="00165F94"/>
    <w:rsid w:val="001662D2"/>
    <w:rsid w:val="0016660A"/>
    <w:rsid w:val="001674E0"/>
    <w:rsid w:val="00170FE9"/>
    <w:rsid w:val="00171AC0"/>
    <w:rsid w:val="00172007"/>
    <w:rsid w:val="00173081"/>
    <w:rsid w:val="0017446F"/>
    <w:rsid w:val="00174947"/>
    <w:rsid w:val="0017579E"/>
    <w:rsid w:val="00177CB9"/>
    <w:rsid w:val="00181CA8"/>
    <w:rsid w:val="00183418"/>
    <w:rsid w:val="001834D4"/>
    <w:rsid w:val="00183553"/>
    <w:rsid w:val="00184166"/>
    <w:rsid w:val="00184C0C"/>
    <w:rsid w:val="00184C96"/>
    <w:rsid w:val="001850A3"/>
    <w:rsid w:val="00185795"/>
    <w:rsid w:val="00187B3B"/>
    <w:rsid w:val="00190379"/>
    <w:rsid w:val="0019133E"/>
    <w:rsid w:val="00191E32"/>
    <w:rsid w:val="001920ED"/>
    <w:rsid w:val="00192287"/>
    <w:rsid w:val="00194E69"/>
    <w:rsid w:val="001971E0"/>
    <w:rsid w:val="00197871"/>
    <w:rsid w:val="001A016C"/>
    <w:rsid w:val="001A0237"/>
    <w:rsid w:val="001A1D52"/>
    <w:rsid w:val="001A2A81"/>
    <w:rsid w:val="001A4064"/>
    <w:rsid w:val="001A47E8"/>
    <w:rsid w:val="001A5140"/>
    <w:rsid w:val="001A5BD4"/>
    <w:rsid w:val="001A70A8"/>
    <w:rsid w:val="001A753C"/>
    <w:rsid w:val="001B032B"/>
    <w:rsid w:val="001B28AD"/>
    <w:rsid w:val="001B2C0D"/>
    <w:rsid w:val="001B344B"/>
    <w:rsid w:val="001B3813"/>
    <w:rsid w:val="001B4527"/>
    <w:rsid w:val="001B6017"/>
    <w:rsid w:val="001B60EF"/>
    <w:rsid w:val="001B7A0B"/>
    <w:rsid w:val="001B7EB3"/>
    <w:rsid w:val="001C1FD9"/>
    <w:rsid w:val="001C391D"/>
    <w:rsid w:val="001C4939"/>
    <w:rsid w:val="001C4984"/>
    <w:rsid w:val="001C5933"/>
    <w:rsid w:val="001C5BC2"/>
    <w:rsid w:val="001D0179"/>
    <w:rsid w:val="001D1659"/>
    <w:rsid w:val="001D2D5E"/>
    <w:rsid w:val="001D404C"/>
    <w:rsid w:val="001D5407"/>
    <w:rsid w:val="001E1188"/>
    <w:rsid w:val="001E1780"/>
    <w:rsid w:val="001E2EE5"/>
    <w:rsid w:val="001E2FB6"/>
    <w:rsid w:val="001E3386"/>
    <w:rsid w:val="001E3595"/>
    <w:rsid w:val="001E3599"/>
    <w:rsid w:val="001E3D89"/>
    <w:rsid w:val="001E5384"/>
    <w:rsid w:val="001F09CB"/>
    <w:rsid w:val="001F1CB9"/>
    <w:rsid w:val="001F1DEC"/>
    <w:rsid w:val="001F277B"/>
    <w:rsid w:val="001F490A"/>
    <w:rsid w:val="001F4FA8"/>
    <w:rsid w:val="001F6417"/>
    <w:rsid w:val="001F7501"/>
    <w:rsid w:val="002008A3"/>
    <w:rsid w:val="00200CBB"/>
    <w:rsid w:val="00200EAA"/>
    <w:rsid w:val="0020295D"/>
    <w:rsid w:val="0020497D"/>
    <w:rsid w:val="00205878"/>
    <w:rsid w:val="0020755C"/>
    <w:rsid w:val="002114A2"/>
    <w:rsid w:val="00212C69"/>
    <w:rsid w:val="00213D7B"/>
    <w:rsid w:val="0021424C"/>
    <w:rsid w:val="00214DEC"/>
    <w:rsid w:val="002162B2"/>
    <w:rsid w:val="00216D20"/>
    <w:rsid w:val="002208AD"/>
    <w:rsid w:val="002216AC"/>
    <w:rsid w:val="00221BCC"/>
    <w:rsid w:val="00223A40"/>
    <w:rsid w:val="00223ECA"/>
    <w:rsid w:val="00224699"/>
    <w:rsid w:val="00224761"/>
    <w:rsid w:val="00224A3F"/>
    <w:rsid w:val="00224D96"/>
    <w:rsid w:val="00225E83"/>
    <w:rsid w:val="00226589"/>
    <w:rsid w:val="002306C7"/>
    <w:rsid w:val="002320AA"/>
    <w:rsid w:val="0023722E"/>
    <w:rsid w:val="00241BD8"/>
    <w:rsid w:val="002427A2"/>
    <w:rsid w:val="002434B0"/>
    <w:rsid w:val="00243CFA"/>
    <w:rsid w:val="00243E22"/>
    <w:rsid w:val="00246533"/>
    <w:rsid w:val="00246D1D"/>
    <w:rsid w:val="00251BE6"/>
    <w:rsid w:val="002528DD"/>
    <w:rsid w:val="00254637"/>
    <w:rsid w:val="00254B55"/>
    <w:rsid w:val="00254CA9"/>
    <w:rsid w:val="00256B28"/>
    <w:rsid w:val="002610E7"/>
    <w:rsid w:val="00263364"/>
    <w:rsid w:val="002633C2"/>
    <w:rsid w:val="002640D7"/>
    <w:rsid w:val="00264BE8"/>
    <w:rsid w:val="00266610"/>
    <w:rsid w:val="00271D70"/>
    <w:rsid w:val="0027418E"/>
    <w:rsid w:val="00281BAE"/>
    <w:rsid w:val="0028352C"/>
    <w:rsid w:val="0028397E"/>
    <w:rsid w:val="00283B3B"/>
    <w:rsid w:val="00283EEE"/>
    <w:rsid w:val="00285B78"/>
    <w:rsid w:val="00290152"/>
    <w:rsid w:val="00290173"/>
    <w:rsid w:val="0029033B"/>
    <w:rsid w:val="00290DA3"/>
    <w:rsid w:val="00291E08"/>
    <w:rsid w:val="00292C1E"/>
    <w:rsid w:val="002950A3"/>
    <w:rsid w:val="00297AA6"/>
    <w:rsid w:val="002A1EA5"/>
    <w:rsid w:val="002A3A19"/>
    <w:rsid w:val="002A423B"/>
    <w:rsid w:val="002A4FB3"/>
    <w:rsid w:val="002B7098"/>
    <w:rsid w:val="002C0DCF"/>
    <w:rsid w:val="002C280D"/>
    <w:rsid w:val="002C2A24"/>
    <w:rsid w:val="002C4D9B"/>
    <w:rsid w:val="002D0048"/>
    <w:rsid w:val="002D1867"/>
    <w:rsid w:val="002D24DC"/>
    <w:rsid w:val="002D3F7F"/>
    <w:rsid w:val="002D45BA"/>
    <w:rsid w:val="002D4FD9"/>
    <w:rsid w:val="002D6993"/>
    <w:rsid w:val="002E0A44"/>
    <w:rsid w:val="002E0C64"/>
    <w:rsid w:val="002E167E"/>
    <w:rsid w:val="002E1BA8"/>
    <w:rsid w:val="002E207E"/>
    <w:rsid w:val="002E4B30"/>
    <w:rsid w:val="002E5F39"/>
    <w:rsid w:val="002E61FE"/>
    <w:rsid w:val="002F1755"/>
    <w:rsid w:val="002F1871"/>
    <w:rsid w:val="002F2009"/>
    <w:rsid w:val="002F2263"/>
    <w:rsid w:val="002F2E15"/>
    <w:rsid w:val="002F32D4"/>
    <w:rsid w:val="002F3CF9"/>
    <w:rsid w:val="002F4057"/>
    <w:rsid w:val="002F50E6"/>
    <w:rsid w:val="002F53E3"/>
    <w:rsid w:val="002F5713"/>
    <w:rsid w:val="002F594B"/>
    <w:rsid w:val="002F722A"/>
    <w:rsid w:val="00300924"/>
    <w:rsid w:val="0030165E"/>
    <w:rsid w:val="003025A8"/>
    <w:rsid w:val="00304403"/>
    <w:rsid w:val="00305A03"/>
    <w:rsid w:val="00307D6C"/>
    <w:rsid w:val="00310756"/>
    <w:rsid w:val="00311EAC"/>
    <w:rsid w:val="0031232A"/>
    <w:rsid w:val="003129B6"/>
    <w:rsid w:val="00312B47"/>
    <w:rsid w:val="003139F2"/>
    <w:rsid w:val="00313C0A"/>
    <w:rsid w:val="00314D6E"/>
    <w:rsid w:val="00316B96"/>
    <w:rsid w:val="0031737B"/>
    <w:rsid w:val="00320162"/>
    <w:rsid w:val="003208F1"/>
    <w:rsid w:val="00320E57"/>
    <w:rsid w:val="003221EF"/>
    <w:rsid w:val="00322C23"/>
    <w:rsid w:val="003248A2"/>
    <w:rsid w:val="00324B33"/>
    <w:rsid w:val="0033344D"/>
    <w:rsid w:val="0033484C"/>
    <w:rsid w:val="0033511C"/>
    <w:rsid w:val="00335B68"/>
    <w:rsid w:val="00337065"/>
    <w:rsid w:val="0033733E"/>
    <w:rsid w:val="00342F70"/>
    <w:rsid w:val="0034533B"/>
    <w:rsid w:val="003453CD"/>
    <w:rsid w:val="00346874"/>
    <w:rsid w:val="0034700B"/>
    <w:rsid w:val="00347AF5"/>
    <w:rsid w:val="00350457"/>
    <w:rsid w:val="003509EF"/>
    <w:rsid w:val="00353CF9"/>
    <w:rsid w:val="0035477B"/>
    <w:rsid w:val="00354CE4"/>
    <w:rsid w:val="0035648B"/>
    <w:rsid w:val="00357016"/>
    <w:rsid w:val="00360465"/>
    <w:rsid w:val="003604AA"/>
    <w:rsid w:val="00361FB3"/>
    <w:rsid w:val="00362717"/>
    <w:rsid w:val="00362C07"/>
    <w:rsid w:val="00372BEC"/>
    <w:rsid w:val="00375005"/>
    <w:rsid w:val="003755E6"/>
    <w:rsid w:val="003763AC"/>
    <w:rsid w:val="0037670A"/>
    <w:rsid w:val="00380C5C"/>
    <w:rsid w:val="003822BA"/>
    <w:rsid w:val="003827A8"/>
    <w:rsid w:val="003830B9"/>
    <w:rsid w:val="00383453"/>
    <w:rsid w:val="0038435F"/>
    <w:rsid w:val="003862CB"/>
    <w:rsid w:val="003867BE"/>
    <w:rsid w:val="003877E5"/>
    <w:rsid w:val="003907A0"/>
    <w:rsid w:val="00390AF7"/>
    <w:rsid w:val="00390BC8"/>
    <w:rsid w:val="00392385"/>
    <w:rsid w:val="00392F39"/>
    <w:rsid w:val="00395F8E"/>
    <w:rsid w:val="00396CAB"/>
    <w:rsid w:val="00396E4A"/>
    <w:rsid w:val="003A1384"/>
    <w:rsid w:val="003B0F57"/>
    <w:rsid w:val="003B0FF1"/>
    <w:rsid w:val="003B1514"/>
    <w:rsid w:val="003B16CD"/>
    <w:rsid w:val="003B2AE1"/>
    <w:rsid w:val="003B6583"/>
    <w:rsid w:val="003C0C30"/>
    <w:rsid w:val="003C3081"/>
    <w:rsid w:val="003C36EC"/>
    <w:rsid w:val="003C5981"/>
    <w:rsid w:val="003C68DB"/>
    <w:rsid w:val="003D0390"/>
    <w:rsid w:val="003D0511"/>
    <w:rsid w:val="003D2846"/>
    <w:rsid w:val="003D2BF1"/>
    <w:rsid w:val="003D4058"/>
    <w:rsid w:val="003D61AC"/>
    <w:rsid w:val="003D7A72"/>
    <w:rsid w:val="003E0766"/>
    <w:rsid w:val="003E101B"/>
    <w:rsid w:val="003E17B5"/>
    <w:rsid w:val="003E1CED"/>
    <w:rsid w:val="003E318D"/>
    <w:rsid w:val="003E6BE6"/>
    <w:rsid w:val="003E6D2C"/>
    <w:rsid w:val="003F27C8"/>
    <w:rsid w:val="003F353B"/>
    <w:rsid w:val="003F4803"/>
    <w:rsid w:val="003F538B"/>
    <w:rsid w:val="003F7CBA"/>
    <w:rsid w:val="00400107"/>
    <w:rsid w:val="00401D68"/>
    <w:rsid w:val="004020DD"/>
    <w:rsid w:val="00403397"/>
    <w:rsid w:val="00404D34"/>
    <w:rsid w:val="00404F5C"/>
    <w:rsid w:val="004070A9"/>
    <w:rsid w:val="004110DD"/>
    <w:rsid w:val="00412567"/>
    <w:rsid w:val="004146BA"/>
    <w:rsid w:val="0041470A"/>
    <w:rsid w:val="004148E6"/>
    <w:rsid w:val="004172D1"/>
    <w:rsid w:val="004224D5"/>
    <w:rsid w:val="0042369A"/>
    <w:rsid w:val="00424530"/>
    <w:rsid w:val="00424CAC"/>
    <w:rsid w:val="00424CC1"/>
    <w:rsid w:val="00424FF8"/>
    <w:rsid w:val="004276E1"/>
    <w:rsid w:val="0043095C"/>
    <w:rsid w:val="00431449"/>
    <w:rsid w:val="00432EA5"/>
    <w:rsid w:val="00433F86"/>
    <w:rsid w:val="00434C52"/>
    <w:rsid w:val="00434E92"/>
    <w:rsid w:val="00434FFB"/>
    <w:rsid w:val="0043577F"/>
    <w:rsid w:val="0043675A"/>
    <w:rsid w:val="004372F4"/>
    <w:rsid w:val="00440C2C"/>
    <w:rsid w:val="0044113D"/>
    <w:rsid w:val="00441F85"/>
    <w:rsid w:val="004431D2"/>
    <w:rsid w:val="00443A32"/>
    <w:rsid w:val="00443F52"/>
    <w:rsid w:val="00444C56"/>
    <w:rsid w:val="00445B2B"/>
    <w:rsid w:val="004464A8"/>
    <w:rsid w:val="00446875"/>
    <w:rsid w:val="00446DC0"/>
    <w:rsid w:val="0045143F"/>
    <w:rsid w:val="0045301B"/>
    <w:rsid w:val="004534D5"/>
    <w:rsid w:val="00455E0E"/>
    <w:rsid w:val="00457D23"/>
    <w:rsid w:val="004607AC"/>
    <w:rsid w:val="004628C5"/>
    <w:rsid w:val="00462927"/>
    <w:rsid w:val="00464A4B"/>
    <w:rsid w:val="00465E27"/>
    <w:rsid w:val="00470213"/>
    <w:rsid w:val="004719B4"/>
    <w:rsid w:val="00471CA1"/>
    <w:rsid w:val="00471CCE"/>
    <w:rsid w:val="00472864"/>
    <w:rsid w:val="00472AFF"/>
    <w:rsid w:val="00474083"/>
    <w:rsid w:val="00475837"/>
    <w:rsid w:val="00475DF5"/>
    <w:rsid w:val="00481AC4"/>
    <w:rsid w:val="00482774"/>
    <w:rsid w:val="00482FB6"/>
    <w:rsid w:val="00486CE0"/>
    <w:rsid w:val="00487A5A"/>
    <w:rsid w:val="00493E2F"/>
    <w:rsid w:val="00494A20"/>
    <w:rsid w:val="00494C31"/>
    <w:rsid w:val="004955E7"/>
    <w:rsid w:val="004A242C"/>
    <w:rsid w:val="004A4266"/>
    <w:rsid w:val="004A5AA5"/>
    <w:rsid w:val="004A5D8B"/>
    <w:rsid w:val="004A78D1"/>
    <w:rsid w:val="004B20C5"/>
    <w:rsid w:val="004B2FC0"/>
    <w:rsid w:val="004B5E70"/>
    <w:rsid w:val="004B66E6"/>
    <w:rsid w:val="004B7784"/>
    <w:rsid w:val="004C1B19"/>
    <w:rsid w:val="004C220B"/>
    <w:rsid w:val="004C2846"/>
    <w:rsid w:val="004C30E4"/>
    <w:rsid w:val="004C3952"/>
    <w:rsid w:val="004C3AC8"/>
    <w:rsid w:val="004C3EA5"/>
    <w:rsid w:val="004C4B03"/>
    <w:rsid w:val="004C5069"/>
    <w:rsid w:val="004C6392"/>
    <w:rsid w:val="004D3523"/>
    <w:rsid w:val="004D5725"/>
    <w:rsid w:val="004D638C"/>
    <w:rsid w:val="004D70A6"/>
    <w:rsid w:val="004D7668"/>
    <w:rsid w:val="004D7710"/>
    <w:rsid w:val="004D789B"/>
    <w:rsid w:val="004E08AD"/>
    <w:rsid w:val="004E405B"/>
    <w:rsid w:val="004E6293"/>
    <w:rsid w:val="004E6AE1"/>
    <w:rsid w:val="004E72FA"/>
    <w:rsid w:val="004E74B4"/>
    <w:rsid w:val="004E7E9E"/>
    <w:rsid w:val="004F0AB6"/>
    <w:rsid w:val="004F33F1"/>
    <w:rsid w:val="004F38ED"/>
    <w:rsid w:val="004F52B8"/>
    <w:rsid w:val="004F63DB"/>
    <w:rsid w:val="0050164F"/>
    <w:rsid w:val="00501B5D"/>
    <w:rsid w:val="00503470"/>
    <w:rsid w:val="00505AA0"/>
    <w:rsid w:val="00505C64"/>
    <w:rsid w:val="00507818"/>
    <w:rsid w:val="00507E6B"/>
    <w:rsid w:val="005105EF"/>
    <w:rsid w:val="005138D0"/>
    <w:rsid w:val="00514C1E"/>
    <w:rsid w:val="005150AE"/>
    <w:rsid w:val="0051798B"/>
    <w:rsid w:val="00520B45"/>
    <w:rsid w:val="00521689"/>
    <w:rsid w:val="005229A1"/>
    <w:rsid w:val="00523895"/>
    <w:rsid w:val="00523ECB"/>
    <w:rsid w:val="005240BC"/>
    <w:rsid w:val="00524229"/>
    <w:rsid w:val="005256C2"/>
    <w:rsid w:val="005257E4"/>
    <w:rsid w:val="00525951"/>
    <w:rsid w:val="005315A3"/>
    <w:rsid w:val="00532BEB"/>
    <w:rsid w:val="00533ADD"/>
    <w:rsid w:val="005350E4"/>
    <w:rsid w:val="0053598F"/>
    <w:rsid w:val="00536793"/>
    <w:rsid w:val="00536D27"/>
    <w:rsid w:val="005410AB"/>
    <w:rsid w:val="005419EE"/>
    <w:rsid w:val="0054390E"/>
    <w:rsid w:val="00543A28"/>
    <w:rsid w:val="00543A44"/>
    <w:rsid w:val="005525B4"/>
    <w:rsid w:val="00552AF1"/>
    <w:rsid w:val="00552C62"/>
    <w:rsid w:val="005533B7"/>
    <w:rsid w:val="00554016"/>
    <w:rsid w:val="0055617F"/>
    <w:rsid w:val="005573A1"/>
    <w:rsid w:val="00557A65"/>
    <w:rsid w:val="00561D00"/>
    <w:rsid w:val="00563B7A"/>
    <w:rsid w:val="00565691"/>
    <w:rsid w:val="00571BB6"/>
    <w:rsid w:val="00572B6C"/>
    <w:rsid w:val="00573FC2"/>
    <w:rsid w:val="005743DC"/>
    <w:rsid w:val="00574644"/>
    <w:rsid w:val="00575BA7"/>
    <w:rsid w:val="00576D70"/>
    <w:rsid w:val="00577959"/>
    <w:rsid w:val="00577F94"/>
    <w:rsid w:val="005806C5"/>
    <w:rsid w:val="00582AA7"/>
    <w:rsid w:val="00582AC7"/>
    <w:rsid w:val="0058477C"/>
    <w:rsid w:val="00584CE6"/>
    <w:rsid w:val="0058568F"/>
    <w:rsid w:val="005869C5"/>
    <w:rsid w:val="00591B46"/>
    <w:rsid w:val="005942FD"/>
    <w:rsid w:val="00594F5A"/>
    <w:rsid w:val="005A32B9"/>
    <w:rsid w:val="005A565C"/>
    <w:rsid w:val="005A6911"/>
    <w:rsid w:val="005A72B9"/>
    <w:rsid w:val="005B12A7"/>
    <w:rsid w:val="005B1818"/>
    <w:rsid w:val="005B238E"/>
    <w:rsid w:val="005B4B9D"/>
    <w:rsid w:val="005B5851"/>
    <w:rsid w:val="005B5C09"/>
    <w:rsid w:val="005B5FDE"/>
    <w:rsid w:val="005B7437"/>
    <w:rsid w:val="005B7A12"/>
    <w:rsid w:val="005C3220"/>
    <w:rsid w:val="005C3A72"/>
    <w:rsid w:val="005C3DFF"/>
    <w:rsid w:val="005C3F45"/>
    <w:rsid w:val="005C498B"/>
    <w:rsid w:val="005C69C9"/>
    <w:rsid w:val="005C7A61"/>
    <w:rsid w:val="005C7F5E"/>
    <w:rsid w:val="005D29E2"/>
    <w:rsid w:val="005D3BC4"/>
    <w:rsid w:val="005D4005"/>
    <w:rsid w:val="005D40D1"/>
    <w:rsid w:val="005E0166"/>
    <w:rsid w:val="005E2424"/>
    <w:rsid w:val="005E3D54"/>
    <w:rsid w:val="005E5696"/>
    <w:rsid w:val="005E7327"/>
    <w:rsid w:val="005F28A1"/>
    <w:rsid w:val="005F28EE"/>
    <w:rsid w:val="005F4EC3"/>
    <w:rsid w:val="006017FA"/>
    <w:rsid w:val="006033D5"/>
    <w:rsid w:val="0060346E"/>
    <w:rsid w:val="00604EE6"/>
    <w:rsid w:val="006059B2"/>
    <w:rsid w:val="00605A8C"/>
    <w:rsid w:val="00605BB6"/>
    <w:rsid w:val="00610305"/>
    <w:rsid w:val="00610419"/>
    <w:rsid w:val="00611DDB"/>
    <w:rsid w:val="00612C7B"/>
    <w:rsid w:val="00613F13"/>
    <w:rsid w:val="006143BB"/>
    <w:rsid w:val="00614B0F"/>
    <w:rsid w:val="00614C57"/>
    <w:rsid w:val="0061576E"/>
    <w:rsid w:val="00616263"/>
    <w:rsid w:val="00616409"/>
    <w:rsid w:val="006209BD"/>
    <w:rsid w:val="00622020"/>
    <w:rsid w:val="006224C1"/>
    <w:rsid w:val="00622DC2"/>
    <w:rsid w:val="00623F1D"/>
    <w:rsid w:val="00624457"/>
    <w:rsid w:val="00624579"/>
    <w:rsid w:val="00626562"/>
    <w:rsid w:val="006269B7"/>
    <w:rsid w:val="0062741C"/>
    <w:rsid w:val="00627CEB"/>
    <w:rsid w:val="00627F6C"/>
    <w:rsid w:val="00630605"/>
    <w:rsid w:val="006307A5"/>
    <w:rsid w:val="0063090A"/>
    <w:rsid w:val="00633DC7"/>
    <w:rsid w:val="00635098"/>
    <w:rsid w:val="00635A85"/>
    <w:rsid w:val="00636060"/>
    <w:rsid w:val="0063699F"/>
    <w:rsid w:val="00636B99"/>
    <w:rsid w:val="00636E1D"/>
    <w:rsid w:val="006370D7"/>
    <w:rsid w:val="00641582"/>
    <w:rsid w:val="00642BDF"/>
    <w:rsid w:val="00643261"/>
    <w:rsid w:val="006439FE"/>
    <w:rsid w:val="0064712B"/>
    <w:rsid w:val="0064736D"/>
    <w:rsid w:val="006500FD"/>
    <w:rsid w:val="00650677"/>
    <w:rsid w:val="00651272"/>
    <w:rsid w:val="00652E6A"/>
    <w:rsid w:val="006534D5"/>
    <w:rsid w:val="006543F4"/>
    <w:rsid w:val="00654CAB"/>
    <w:rsid w:val="00655112"/>
    <w:rsid w:val="00655BE2"/>
    <w:rsid w:val="00657555"/>
    <w:rsid w:val="006614D3"/>
    <w:rsid w:val="00663B0A"/>
    <w:rsid w:val="006641F5"/>
    <w:rsid w:val="006641F8"/>
    <w:rsid w:val="006648F9"/>
    <w:rsid w:val="006649F4"/>
    <w:rsid w:val="00670254"/>
    <w:rsid w:val="00676F79"/>
    <w:rsid w:val="0067785B"/>
    <w:rsid w:val="006801DB"/>
    <w:rsid w:val="00680957"/>
    <w:rsid w:val="00681AB7"/>
    <w:rsid w:val="00682043"/>
    <w:rsid w:val="0068287B"/>
    <w:rsid w:val="00683FD6"/>
    <w:rsid w:val="00685A8C"/>
    <w:rsid w:val="00690BCF"/>
    <w:rsid w:val="0069210C"/>
    <w:rsid w:val="006932E4"/>
    <w:rsid w:val="006933ED"/>
    <w:rsid w:val="00694345"/>
    <w:rsid w:val="006973AC"/>
    <w:rsid w:val="006A3893"/>
    <w:rsid w:val="006A4CE5"/>
    <w:rsid w:val="006A6196"/>
    <w:rsid w:val="006B1430"/>
    <w:rsid w:val="006B1E4B"/>
    <w:rsid w:val="006B3254"/>
    <w:rsid w:val="006B5658"/>
    <w:rsid w:val="006B686C"/>
    <w:rsid w:val="006C09C4"/>
    <w:rsid w:val="006C0CC1"/>
    <w:rsid w:val="006C186D"/>
    <w:rsid w:val="006C2A25"/>
    <w:rsid w:val="006C5074"/>
    <w:rsid w:val="006C551A"/>
    <w:rsid w:val="006C7127"/>
    <w:rsid w:val="006D40F6"/>
    <w:rsid w:val="006D7393"/>
    <w:rsid w:val="006D7B8D"/>
    <w:rsid w:val="006E1CA4"/>
    <w:rsid w:val="006E55E1"/>
    <w:rsid w:val="006E5FEF"/>
    <w:rsid w:val="006E68D9"/>
    <w:rsid w:val="006F0229"/>
    <w:rsid w:val="006F1025"/>
    <w:rsid w:val="006F2CC4"/>
    <w:rsid w:val="006F2E13"/>
    <w:rsid w:val="006F386E"/>
    <w:rsid w:val="006F445D"/>
    <w:rsid w:val="006F4C6C"/>
    <w:rsid w:val="006F547B"/>
    <w:rsid w:val="006F72C6"/>
    <w:rsid w:val="00703406"/>
    <w:rsid w:val="00703E4E"/>
    <w:rsid w:val="007057C6"/>
    <w:rsid w:val="00705A72"/>
    <w:rsid w:val="00706068"/>
    <w:rsid w:val="0070679F"/>
    <w:rsid w:val="007071C6"/>
    <w:rsid w:val="00711E1C"/>
    <w:rsid w:val="00712A27"/>
    <w:rsid w:val="00713007"/>
    <w:rsid w:val="00714142"/>
    <w:rsid w:val="00720554"/>
    <w:rsid w:val="00720815"/>
    <w:rsid w:val="00721FBA"/>
    <w:rsid w:val="007230C1"/>
    <w:rsid w:val="00723668"/>
    <w:rsid w:val="00726312"/>
    <w:rsid w:val="00726982"/>
    <w:rsid w:val="007275E8"/>
    <w:rsid w:val="007279DC"/>
    <w:rsid w:val="00730352"/>
    <w:rsid w:val="00732C11"/>
    <w:rsid w:val="007334E5"/>
    <w:rsid w:val="00734638"/>
    <w:rsid w:val="00734659"/>
    <w:rsid w:val="00735619"/>
    <w:rsid w:val="0073635C"/>
    <w:rsid w:val="00742839"/>
    <w:rsid w:val="007430C6"/>
    <w:rsid w:val="0074327F"/>
    <w:rsid w:val="00743C71"/>
    <w:rsid w:val="00744541"/>
    <w:rsid w:val="007448EE"/>
    <w:rsid w:val="00746BCF"/>
    <w:rsid w:val="007523E4"/>
    <w:rsid w:val="00753604"/>
    <w:rsid w:val="00754B27"/>
    <w:rsid w:val="00754BA0"/>
    <w:rsid w:val="00755505"/>
    <w:rsid w:val="00760BFE"/>
    <w:rsid w:val="00762FAC"/>
    <w:rsid w:val="0076316D"/>
    <w:rsid w:val="007635E7"/>
    <w:rsid w:val="0076382B"/>
    <w:rsid w:val="00764DB4"/>
    <w:rsid w:val="007663BF"/>
    <w:rsid w:val="00766DA6"/>
    <w:rsid w:val="00767DCB"/>
    <w:rsid w:val="0077134D"/>
    <w:rsid w:val="007720AE"/>
    <w:rsid w:val="00772993"/>
    <w:rsid w:val="007738FD"/>
    <w:rsid w:val="00775EB9"/>
    <w:rsid w:val="00776D8E"/>
    <w:rsid w:val="007772E2"/>
    <w:rsid w:val="007815FB"/>
    <w:rsid w:val="00781D80"/>
    <w:rsid w:val="007831BF"/>
    <w:rsid w:val="0078407B"/>
    <w:rsid w:val="0078561A"/>
    <w:rsid w:val="007918BB"/>
    <w:rsid w:val="00791C04"/>
    <w:rsid w:val="00793DE0"/>
    <w:rsid w:val="0079432D"/>
    <w:rsid w:val="00796312"/>
    <w:rsid w:val="007A0054"/>
    <w:rsid w:val="007A0F4F"/>
    <w:rsid w:val="007A2754"/>
    <w:rsid w:val="007A3006"/>
    <w:rsid w:val="007A44A6"/>
    <w:rsid w:val="007A5353"/>
    <w:rsid w:val="007A6145"/>
    <w:rsid w:val="007A77AB"/>
    <w:rsid w:val="007A7E1A"/>
    <w:rsid w:val="007B10CC"/>
    <w:rsid w:val="007B16CA"/>
    <w:rsid w:val="007B2948"/>
    <w:rsid w:val="007B2D6A"/>
    <w:rsid w:val="007B36F7"/>
    <w:rsid w:val="007B3D63"/>
    <w:rsid w:val="007B4C73"/>
    <w:rsid w:val="007B69D6"/>
    <w:rsid w:val="007B6F8E"/>
    <w:rsid w:val="007C1495"/>
    <w:rsid w:val="007C1C53"/>
    <w:rsid w:val="007C4B5D"/>
    <w:rsid w:val="007C4CE7"/>
    <w:rsid w:val="007C55D0"/>
    <w:rsid w:val="007C794C"/>
    <w:rsid w:val="007D0341"/>
    <w:rsid w:val="007D7B9C"/>
    <w:rsid w:val="007E1208"/>
    <w:rsid w:val="007E2B07"/>
    <w:rsid w:val="007E5CFD"/>
    <w:rsid w:val="007E6629"/>
    <w:rsid w:val="007F0435"/>
    <w:rsid w:val="007F0AB0"/>
    <w:rsid w:val="007F25F3"/>
    <w:rsid w:val="007F2804"/>
    <w:rsid w:val="007F2EBD"/>
    <w:rsid w:val="007F5305"/>
    <w:rsid w:val="007F5516"/>
    <w:rsid w:val="007F786E"/>
    <w:rsid w:val="00801FC8"/>
    <w:rsid w:val="00804C31"/>
    <w:rsid w:val="00804C5E"/>
    <w:rsid w:val="00804FD0"/>
    <w:rsid w:val="00805A26"/>
    <w:rsid w:val="008112ED"/>
    <w:rsid w:val="00812FCB"/>
    <w:rsid w:val="0081329A"/>
    <w:rsid w:val="00813BAC"/>
    <w:rsid w:val="00813CD4"/>
    <w:rsid w:val="0081761C"/>
    <w:rsid w:val="00817D64"/>
    <w:rsid w:val="00821B9D"/>
    <w:rsid w:val="00821C4C"/>
    <w:rsid w:val="00822721"/>
    <w:rsid w:val="00823DF7"/>
    <w:rsid w:val="00823FA1"/>
    <w:rsid w:val="0082456E"/>
    <w:rsid w:val="008254BF"/>
    <w:rsid w:val="00825BA6"/>
    <w:rsid w:val="00827949"/>
    <w:rsid w:val="00827E73"/>
    <w:rsid w:val="008318B8"/>
    <w:rsid w:val="008339BC"/>
    <w:rsid w:val="00834DBC"/>
    <w:rsid w:val="00836AD3"/>
    <w:rsid w:val="00842D7A"/>
    <w:rsid w:val="00843E25"/>
    <w:rsid w:val="00843F75"/>
    <w:rsid w:val="008445EF"/>
    <w:rsid w:val="0084468C"/>
    <w:rsid w:val="0084479D"/>
    <w:rsid w:val="00844959"/>
    <w:rsid w:val="008454BB"/>
    <w:rsid w:val="008456A7"/>
    <w:rsid w:val="0085025C"/>
    <w:rsid w:val="008506DF"/>
    <w:rsid w:val="0085133D"/>
    <w:rsid w:val="00851830"/>
    <w:rsid w:val="0085276F"/>
    <w:rsid w:val="008552A0"/>
    <w:rsid w:val="008555DC"/>
    <w:rsid w:val="00856343"/>
    <w:rsid w:val="00856459"/>
    <w:rsid w:val="00860530"/>
    <w:rsid w:val="00862AEA"/>
    <w:rsid w:val="00865492"/>
    <w:rsid w:val="008656D1"/>
    <w:rsid w:val="00867CB4"/>
    <w:rsid w:val="008708AB"/>
    <w:rsid w:val="00872125"/>
    <w:rsid w:val="00872B65"/>
    <w:rsid w:val="00874ED5"/>
    <w:rsid w:val="00877B06"/>
    <w:rsid w:val="00880AAF"/>
    <w:rsid w:val="00884A63"/>
    <w:rsid w:val="00885E32"/>
    <w:rsid w:val="0088664E"/>
    <w:rsid w:val="00887641"/>
    <w:rsid w:val="008957E9"/>
    <w:rsid w:val="00896BD0"/>
    <w:rsid w:val="008977F6"/>
    <w:rsid w:val="00897F19"/>
    <w:rsid w:val="008A057D"/>
    <w:rsid w:val="008A07D5"/>
    <w:rsid w:val="008A2911"/>
    <w:rsid w:val="008A2B16"/>
    <w:rsid w:val="008A5266"/>
    <w:rsid w:val="008A63E2"/>
    <w:rsid w:val="008B1447"/>
    <w:rsid w:val="008B6222"/>
    <w:rsid w:val="008C1A94"/>
    <w:rsid w:val="008C4A4A"/>
    <w:rsid w:val="008C5B82"/>
    <w:rsid w:val="008C7DF2"/>
    <w:rsid w:val="008D1FFE"/>
    <w:rsid w:val="008D24FD"/>
    <w:rsid w:val="008D30DC"/>
    <w:rsid w:val="008D47D4"/>
    <w:rsid w:val="008D4EB2"/>
    <w:rsid w:val="008D5C94"/>
    <w:rsid w:val="008D6A1A"/>
    <w:rsid w:val="008D6D2C"/>
    <w:rsid w:val="008D71DA"/>
    <w:rsid w:val="008D7C47"/>
    <w:rsid w:val="008E0BD0"/>
    <w:rsid w:val="008E1C64"/>
    <w:rsid w:val="008E2D42"/>
    <w:rsid w:val="008E5A7D"/>
    <w:rsid w:val="008E61EA"/>
    <w:rsid w:val="008F13A4"/>
    <w:rsid w:val="008F3908"/>
    <w:rsid w:val="008F3B92"/>
    <w:rsid w:val="008F40E6"/>
    <w:rsid w:val="009014B6"/>
    <w:rsid w:val="009042EC"/>
    <w:rsid w:val="00904BA3"/>
    <w:rsid w:val="00905081"/>
    <w:rsid w:val="00906736"/>
    <w:rsid w:val="00911F6F"/>
    <w:rsid w:val="00912853"/>
    <w:rsid w:val="00912882"/>
    <w:rsid w:val="00912895"/>
    <w:rsid w:val="00912D3B"/>
    <w:rsid w:val="009151BC"/>
    <w:rsid w:val="00916653"/>
    <w:rsid w:val="00916CC7"/>
    <w:rsid w:val="00917515"/>
    <w:rsid w:val="00917EAA"/>
    <w:rsid w:val="009210DE"/>
    <w:rsid w:val="00921129"/>
    <w:rsid w:val="00921A30"/>
    <w:rsid w:val="00926203"/>
    <w:rsid w:val="009262AD"/>
    <w:rsid w:val="00927A17"/>
    <w:rsid w:val="0093200E"/>
    <w:rsid w:val="009322B3"/>
    <w:rsid w:val="0093268A"/>
    <w:rsid w:val="009358F3"/>
    <w:rsid w:val="00936DFD"/>
    <w:rsid w:val="00937DA7"/>
    <w:rsid w:val="009406E9"/>
    <w:rsid w:val="0094165B"/>
    <w:rsid w:val="00942798"/>
    <w:rsid w:val="00942CE0"/>
    <w:rsid w:val="00943784"/>
    <w:rsid w:val="00943B87"/>
    <w:rsid w:val="009443B6"/>
    <w:rsid w:val="0094606A"/>
    <w:rsid w:val="00946299"/>
    <w:rsid w:val="009478CC"/>
    <w:rsid w:val="0095141E"/>
    <w:rsid w:val="00951B37"/>
    <w:rsid w:val="0095261B"/>
    <w:rsid w:val="009543F1"/>
    <w:rsid w:val="00954739"/>
    <w:rsid w:val="00955729"/>
    <w:rsid w:val="0096160F"/>
    <w:rsid w:val="009619FA"/>
    <w:rsid w:val="00962D29"/>
    <w:rsid w:val="00965B80"/>
    <w:rsid w:val="009661D9"/>
    <w:rsid w:val="009663FC"/>
    <w:rsid w:val="00970BD6"/>
    <w:rsid w:val="00973A45"/>
    <w:rsid w:val="00973DF1"/>
    <w:rsid w:val="009741F1"/>
    <w:rsid w:val="00974D91"/>
    <w:rsid w:val="0097568E"/>
    <w:rsid w:val="0097695B"/>
    <w:rsid w:val="00977E62"/>
    <w:rsid w:val="0098141D"/>
    <w:rsid w:val="00982253"/>
    <w:rsid w:val="009837B7"/>
    <w:rsid w:val="00985122"/>
    <w:rsid w:val="00986BAD"/>
    <w:rsid w:val="00986E64"/>
    <w:rsid w:val="00986E69"/>
    <w:rsid w:val="00990C91"/>
    <w:rsid w:val="009926FE"/>
    <w:rsid w:val="00993B1E"/>
    <w:rsid w:val="0099481A"/>
    <w:rsid w:val="009968D0"/>
    <w:rsid w:val="00996A5B"/>
    <w:rsid w:val="00996CE5"/>
    <w:rsid w:val="00997EDD"/>
    <w:rsid w:val="009A0343"/>
    <w:rsid w:val="009A363A"/>
    <w:rsid w:val="009A3EC2"/>
    <w:rsid w:val="009B0F95"/>
    <w:rsid w:val="009B359E"/>
    <w:rsid w:val="009B4E7E"/>
    <w:rsid w:val="009B6821"/>
    <w:rsid w:val="009B7379"/>
    <w:rsid w:val="009C12C9"/>
    <w:rsid w:val="009C1CE7"/>
    <w:rsid w:val="009C3476"/>
    <w:rsid w:val="009C501B"/>
    <w:rsid w:val="009D1A1C"/>
    <w:rsid w:val="009D2E8E"/>
    <w:rsid w:val="009D55F7"/>
    <w:rsid w:val="009D67E7"/>
    <w:rsid w:val="009E31F1"/>
    <w:rsid w:val="009E38A2"/>
    <w:rsid w:val="009E4EAD"/>
    <w:rsid w:val="009E6143"/>
    <w:rsid w:val="009E76BE"/>
    <w:rsid w:val="009E79BF"/>
    <w:rsid w:val="009F12DA"/>
    <w:rsid w:val="009F247E"/>
    <w:rsid w:val="009F365F"/>
    <w:rsid w:val="009F3A43"/>
    <w:rsid w:val="009F3FE6"/>
    <w:rsid w:val="009F53AF"/>
    <w:rsid w:val="009F543A"/>
    <w:rsid w:val="009F622A"/>
    <w:rsid w:val="009F6DFE"/>
    <w:rsid w:val="00A0084C"/>
    <w:rsid w:val="00A00993"/>
    <w:rsid w:val="00A00E34"/>
    <w:rsid w:val="00A01ED2"/>
    <w:rsid w:val="00A0304A"/>
    <w:rsid w:val="00A04B8A"/>
    <w:rsid w:val="00A04BBC"/>
    <w:rsid w:val="00A05B43"/>
    <w:rsid w:val="00A062C7"/>
    <w:rsid w:val="00A07AFF"/>
    <w:rsid w:val="00A10257"/>
    <w:rsid w:val="00A102F4"/>
    <w:rsid w:val="00A104D0"/>
    <w:rsid w:val="00A13953"/>
    <w:rsid w:val="00A13E35"/>
    <w:rsid w:val="00A14332"/>
    <w:rsid w:val="00A14761"/>
    <w:rsid w:val="00A160BA"/>
    <w:rsid w:val="00A168EB"/>
    <w:rsid w:val="00A176F3"/>
    <w:rsid w:val="00A219A2"/>
    <w:rsid w:val="00A23608"/>
    <w:rsid w:val="00A24042"/>
    <w:rsid w:val="00A24A29"/>
    <w:rsid w:val="00A254C9"/>
    <w:rsid w:val="00A25A9E"/>
    <w:rsid w:val="00A267BA"/>
    <w:rsid w:val="00A27B9D"/>
    <w:rsid w:val="00A27D88"/>
    <w:rsid w:val="00A304D0"/>
    <w:rsid w:val="00A3059F"/>
    <w:rsid w:val="00A30CAC"/>
    <w:rsid w:val="00A30FF2"/>
    <w:rsid w:val="00A31C11"/>
    <w:rsid w:val="00A3257E"/>
    <w:rsid w:val="00A3633C"/>
    <w:rsid w:val="00A3653E"/>
    <w:rsid w:val="00A4029C"/>
    <w:rsid w:val="00A45A3B"/>
    <w:rsid w:val="00A45E49"/>
    <w:rsid w:val="00A4607D"/>
    <w:rsid w:val="00A50982"/>
    <w:rsid w:val="00A51702"/>
    <w:rsid w:val="00A52EED"/>
    <w:rsid w:val="00A531C3"/>
    <w:rsid w:val="00A53578"/>
    <w:rsid w:val="00A53EC9"/>
    <w:rsid w:val="00A572A2"/>
    <w:rsid w:val="00A57BAE"/>
    <w:rsid w:val="00A60B3D"/>
    <w:rsid w:val="00A6186E"/>
    <w:rsid w:val="00A62BD7"/>
    <w:rsid w:val="00A643A6"/>
    <w:rsid w:val="00A64A7F"/>
    <w:rsid w:val="00A669E6"/>
    <w:rsid w:val="00A67040"/>
    <w:rsid w:val="00A701A5"/>
    <w:rsid w:val="00A71E98"/>
    <w:rsid w:val="00A72128"/>
    <w:rsid w:val="00A725D6"/>
    <w:rsid w:val="00A72C7D"/>
    <w:rsid w:val="00A72D90"/>
    <w:rsid w:val="00A72E93"/>
    <w:rsid w:val="00A73FB3"/>
    <w:rsid w:val="00A74EDA"/>
    <w:rsid w:val="00A75E88"/>
    <w:rsid w:val="00A80717"/>
    <w:rsid w:val="00A8076F"/>
    <w:rsid w:val="00A80D85"/>
    <w:rsid w:val="00A81586"/>
    <w:rsid w:val="00A84561"/>
    <w:rsid w:val="00A84D04"/>
    <w:rsid w:val="00A878D6"/>
    <w:rsid w:val="00A92440"/>
    <w:rsid w:val="00A92447"/>
    <w:rsid w:val="00A92B67"/>
    <w:rsid w:val="00A93384"/>
    <w:rsid w:val="00A94065"/>
    <w:rsid w:val="00A9416A"/>
    <w:rsid w:val="00A95397"/>
    <w:rsid w:val="00A960E1"/>
    <w:rsid w:val="00A9722F"/>
    <w:rsid w:val="00A97246"/>
    <w:rsid w:val="00AA3490"/>
    <w:rsid w:val="00AA38D9"/>
    <w:rsid w:val="00AA48AC"/>
    <w:rsid w:val="00AB08E6"/>
    <w:rsid w:val="00AB0D9C"/>
    <w:rsid w:val="00AB104D"/>
    <w:rsid w:val="00AB192A"/>
    <w:rsid w:val="00AB2476"/>
    <w:rsid w:val="00AB297D"/>
    <w:rsid w:val="00AB494B"/>
    <w:rsid w:val="00AB5F40"/>
    <w:rsid w:val="00AB60C0"/>
    <w:rsid w:val="00AB76CC"/>
    <w:rsid w:val="00AC1E99"/>
    <w:rsid w:val="00AC3A17"/>
    <w:rsid w:val="00AC407D"/>
    <w:rsid w:val="00AC5735"/>
    <w:rsid w:val="00AC6BA0"/>
    <w:rsid w:val="00AC6CE3"/>
    <w:rsid w:val="00AD02C2"/>
    <w:rsid w:val="00AD0C73"/>
    <w:rsid w:val="00AD2370"/>
    <w:rsid w:val="00AD2A0B"/>
    <w:rsid w:val="00AD446C"/>
    <w:rsid w:val="00AD45BA"/>
    <w:rsid w:val="00AD7FB5"/>
    <w:rsid w:val="00AE12B6"/>
    <w:rsid w:val="00AE14D7"/>
    <w:rsid w:val="00AE17C5"/>
    <w:rsid w:val="00AE1A2D"/>
    <w:rsid w:val="00AE48EC"/>
    <w:rsid w:val="00AE5347"/>
    <w:rsid w:val="00AE55F6"/>
    <w:rsid w:val="00AE56DB"/>
    <w:rsid w:val="00AE775A"/>
    <w:rsid w:val="00AF24D3"/>
    <w:rsid w:val="00AF252B"/>
    <w:rsid w:val="00AF2D1C"/>
    <w:rsid w:val="00AF2F85"/>
    <w:rsid w:val="00AF6359"/>
    <w:rsid w:val="00B02312"/>
    <w:rsid w:val="00B13C87"/>
    <w:rsid w:val="00B153FC"/>
    <w:rsid w:val="00B16179"/>
    <w:rsid w:val="00B1710D"/>
    <w:rsid w:val="00B20C25"/>
    <w:rsid w:val="00B22E63"/>
    <w:rsid w:val="00B24598"/>
    <w:rsid w:val="00B25626"/>
    <w:rsid w:val="00B30318"/>
    <w:rsid w:val="00B3185E"/>
    <w:rsid w:val="00B32510"/>
    <w:rsid w:val="00B32B3C"/>
    <w:rsid w:val="00B3595C"/>
    <w:rsid w:val="00B35B0A"/>
    <w:rsid w:val="00B36D5E"/>
    <w:rsid w:val="00B37BFB"/>
    <w:rsid w:val="00B4008F"/>
    <w:rsid w:val="00B42352"/>
    <w:rsid w:val="00B43E07"/>
    <w:rsid w:val="00B45E55"/>
    <w:rsid w:val="00B46570"/>
    <w:rsid w:val="00B46997"/>
    <w:rsid w:val="00B5154C"/>
    <w:rsid w:val="00B526A8"/>
    <w:rsid w:val="00B52BA9"/>
    <w:rsid w:val="00B539D3"/>
    <w:rsid w:val="00B5481E"/>
    <w:rsid w:val="00B54DE3"/>
    <w:rsid w:val="00B55FAB"/>
    <w:rsid w:val="00B56893"/>
    <w:rsid w:val="00B609BE"/>
    <w:rsid w:val="00B61202"/>
    <w:rsid w:val="00B623D0"/>
    <w:rsid w:val="00B62945"/>
    <w:rsid w:val="00B62F96"/>
    <w:rsid w:val="00B63045"/>
    <w:rsid w:val="00B632A6"/>
    <w:rsid w:val="00B67124"/>
    <w:rsid w:val="00B6734E"/>
    <w:rsid w:val="00B72F3C"/>
    <w:rsid w:val="00B76198"/>
    <w:rsid w:val="00B80DBD"/>
    <w:rsid w:val="00B83D9D"/>
    <w:rsid w:val="00B84529"/>
    <w:rsid w:val="00B84606"/>
    <w:rsid w:val="00B84B03"/>
    <w:rsid w:val="00B8688A"/>
    <w:rsid w:val="00B870D5"/>
    <w:rsid w:val="00B9227D"/>
    <w:rsid w:val="00B92F45"/>
    <w:rsid w:val="00B94108"/>
    <w:rsid w:val="00B951AC"/>
    <w:rsid w:val="00B96F7F"/>
    <w:rsid w:val="00BA6666"/>
    <w:rsid w:val="00BB043D"/>
    <w:rsid w:val="00BB1358"/>
    <w:rsid w:val="00BB2111"/>
    <w:rsid w:val="00BB2F28"/>
    <w:rsid w:val="00BB48D4"/>
    <w:rsid w:val="00BB4F9B"/>
    <w:rsid w:val="00BB5110"/>
    <w:rsid w:val="00BB5B3F"/>
    <w:rsid w:val="00BC2DF8"/>
    <w:rsid w:val="00BC3517"/>
    <w:rsid w:val="00BC5E9D"/>
    <w:rsid w:val="00BC7FD2"/>
    <w:rsid w:val="00BD0545"/>
    <w:rsid w:val="00BD2878"/>
    <w:rsid w:val="00BD7482"/>
    <w:rsid w:val="00BD7870"/>
    <w:rsid w:val="00BD78FA"/>
    <w:rsid w:val="00BE1455"/>
    <w:rsid w:val="00BE258D"/>
    <w:rsid w:val="00BE2C7C"/>
    <w:rsid w:val="00BE47CC"/>
    <w:rsid w:val="00BE487B"/>
    <w:rsid w:val="00BE5AF6"/>
    <w:rsid w:val="00BE771C"/>
    <w:rsid w:val="00BF491D"/>
    <w:rsid w:val="00BF7358"/>
    <w:rsid w:val="00C03AE7"/>
    <w:rsid w:val="00C0531D"/>
    <w:rsid w:val="00C05D9D"/>
    <w:rsid w:val="00C0688C"/>
    <w:rsid w:val="00C10908"/>
    <w:rsid w:val="00C12FA8"/>
    <w:rsid w:val="00C16D83"/>
    <w:rsid w:val="00C16EC3"/>
    <w:rsid w:val="00C20A40"/>
    <w:rsid w:val="00C21391"/>
    <w:rsid w:val="00C22410"/>
    <w:rsid w:val="00C22D47"/>
    <w:rsid w:val="00C24CC7"/>
    <w:rsid w:val="00C2540C"/>
    <w:rsid w:val="00C259D6"/>
    <w:rsid w:val="00C25D9E"/>
    <w:rsid w:val="00C2619E"/>
    <w:rsid w:val="00C27357"/>
    <w:rsid w:val="00C32A4B"/>
    <w:rsid w:val="00C32CAC"/>
    <w:rsid w:val="00C3410D"/>
    <w:rsid w:val="00C347A3"/>
    <w:rsid w:val="00C35592"/>
    <w:rsid w:val="00C356AF"/>
    <w:rsid w:val="00C37CBB"/>
    <w:rsid w:val="00C40A77"/>
    <w:rsid w:val="00C40E23"/>
    <w:rsid w:val="00C41317"/>
    <w:rsid w:val="00C41927"/>
    <w:rsid w:val="00C42E71"/>
    <w:rsid w:val="00C439D6"/>
    <w:rsid w:val="00C43FD9"/>
    <w:rsid w:val="00C44EB2"/>
    <w:rsid w:val="00C46DC2"/>
    <w:rsid w:val="00C46E10"/>
    <w:rsid w:val="00C4796F"/>
    <w:rsid w:val="00C47D0F"/>
    <w:rsid w:val="00C47E8F"/>
    <w:rsid w:val="00C47EB9"/>
    <w:rsid w:val="00C47FF1"/>
    <w:rsid w:val="00C51054"/>
    <w:rsid w:val="00C534E1"/>
    <w:rsid w:val="00C56341"/>
    <w:rsid w:val="00C57BC4"/>
    <w:rsid w:val="00C60915"/>
    <w:rsid w:val="00C63FDC"/>
    <w:rsid w:val="00C665B4"/>
    <w:rsid w:val="00C707BD"/>
    <w:rsid w:val="00C715FB"/>
    <w:rsid w:val="00C72223"/>
    <w:rsid w:val="00C7523A"/>
    <w:rsid w:val="00C803AC"/>
    <w:rsid w:val="00C81298"/>
    <w:rsid w:val="00C86D8F"/>
    <w:rsid w:val="00C912CE"/>
    <w:rsid w:val="00C92DB9"/>
    <w:rsid w:val="00C939FF"/>
    <w:rsid w:val="00C9537E"/>
    <w:rsid w:val="00C96153"/>
    <w:rsid w:val="00C964B8"/>
    <w:rsid w:val="00C966B8"/>
    <w:rsid w:val="00C969B2"/>
    <w:rsid w:val="00C976DA"/>
    <w:rsid w:val="00CA0A7C"/>
    <w:rsid w:val="00CA1B05"/>
    <w:rsid w:val="00CA1C56"/>
    <w:rsid w:val="00CA3927"/>
    <w:rsid w:val="00CA7448"/>
    <w:rsid w:val="00CB1EF0"/>
    <w:rsid w:val="00CB23C6"/>
    <w:rsid w:val="00CB4C46"/>
    <w:rsid w:val="00CB6AA4"/>
    <w:rsid w:val="00CC1AB7"/>
    <w:rsid w:val="00CC2518"/>
    <w:rsid w:val="00CC2624"/>
    <w:rsid w:val="00CC6471"/>
    <w:rsid w:val="00CC6A89"/>
    <w:rsid w:val="00CC7578"/>
    <w:rsid w:val="00CD035B"/>
    <w:rsid w:val="00CD2816"/>
    <w:rsid w:val="00CD4480"/>
    <w:rsid w:val="00CD4AF7"/>
    <w:rsid w:val="00CD5E55"/>
    <w:rsid w:val="00CD6E13"/>
    <w:rsid w:val="00CE01BF"/>
    <w:rsid w:val="00CE0F19"/>
    <w:rsid w:val="00CE1BB6"/>
    <w:rsid w:val="00CE3517"/>
    <w:rsid w:val="00CE4421"/>
    <w:rsid w:val="00CF0E7E"/>
    <w:rsid w:val="00CF3E98"/>
    <w:rsid w:val="00CF4147"/>
    <w:rsid w:val="00CF42B6"/>
    <w:rsid w:val="00CF5216"/>
    <w:rsid w:val="00D00FDF"/>
    <w:rsid w:val="00D01670"/>
    <w:rsid w:val="00D01E10"/>
    <w:rsid w:val="00D021C8"/>
    <w:rsid w:val="00D028CE"/>
    <w:rsid w:val="00D02F1F"/>
    <w:rsid w:val="00D05C26"/>
    <w:rsid w:val="00D062AC"/>
    <w:rsid w:val="00D0658A"/>
    <w:rsid w:val="00D10718"/>
    <w:rsid w:val="00D14502"/>
    <w:rsid w:val="00D152E7"/>
    <w:rsid w:val="00D1792E"/>
    <w:rsid w:val="00D17DE7"/>
    <w:rsid w:val="00D2157F"/>
    <w:rsid w:val="00D2196D"/>
    <w:rsid w:val="00D21F91"/>
    <w:rsid w:val="00D22D69"/>
    <w:rsid w:val="00D22E19"/>
    <w:rsid w:val="00D230F7"/>
    <w:rsid w:val="00D23E3C"/>
    <w:rsid w:val="00D2542D"/>
    <w:rsid w:val="00D27396"/>
    <w:rsid w:val="00D27773"/>
    <w:rsid w:val="00D27F24"/>
    <w:rsid w:val="00D30181"/>
    <w:rsid w:val="00D31F0F"/>
    <w:rsid w:val="00D327FD"/>
    <w:rsid w:val="00D32885"/>
    <w:rsid w:val="00D33275"/>
    <w:rsid w:val="00D36912"/>
    <w:rsid w:val="00D36A21"/>
    <w:rsid w:val="00D3796C"/>
    <w:rsid w:val="00D40034"/>
    <w:rsid w:val="00D42B92"/>
    <w:rsid w:val="00D43158"/>
    <w:rsid w:val="00D44360"/>
    <w:rsid w:val="00D450EB"/>
    <w:rsid w:val="00D45708"/>
    <w:rsid w:val="00D47D05"/>
    <w:rsid w:val="00D5229F"/>
    <w:rsid w:val="00D523A6"/>
    <w:rsid w:val="00D52BDD"/>
    <w:rsid w:val="00D53426"/>
    <w:rsid w:val="00D53948"/>
    <w:rsid w:val="00D539E0"/>
    <w:rsid w:val="00D54521"/>
    <w:rsid w:val="00D549B9"/>
    <w:rsid w:val="00D557EE"/>
    <w:rsid w:val="00D56058"/>
    <w:rsid w:val="00D56547"/>
    <w:rsid w:val="00D57F4B"/>
    <w:rsid w:val="00D616C5"/>
    <w:rsid w:val="00D628DC"/>
    <w:rsid w:val="00D63436"/>
    <w:rsid w:val="00D65031"/>
    <w:rsid w:val="00D653D6"/>
    <w:rsid w:val="00D656AD"/>
    <w:rsid w:val="00D67418"/>
    <w:rsid w:val="00D67685"/>
    <w:rsid w:val="00D67AB0"/>
    <w:rsid w:val="00D70179"/>
    <w:rsid w:val="00D709D8"/>
    <w:rsid w:val="00D74175"/>
    <w:rsid w:val="00D758CA"/>
    <w:rsid w:val="00D76E91"/>
    <w:rsid w:val="00D76FA1"/>
    <w:rsid w:val="00D80D56"/>
    <w:rsid w:val="00D82E8C"/>
    <w:rsid w:val="00D83497"/>
    <w:rsid w:val="00D83CB1"/>
    <w:rsid w:val="00D849AA"/>
    <w:rsid w:val="00D872D1"/>
    <w:rsid w:val="00D91389"/>
    <w:rsid w:val="00D92449"/>
    <w:rsid w:val="00D92EB3"/>
    <w:rsid w:val="00D93AF2"/>
    <w:rsid w:val="00DA0718"/>
    <w:rsid w:val="00DA294E"/>
    <w:rsid w:val="00DA2A95"/>
    <w:rsid w:val="00DA39A8"/>
    <w:rsid w:val="00DA3B33"/>
    <w:rsid w:val="00DA5241"/>
    <w:rsid w:val="00DA557B"/>
    <w:rsid w:val="00DA6064"/>
    <w:rsid w:val="00DA6122"/>
    <w:rsid w:val="00DA6E55"/>
    <w:rsid w:val="00DA71BF"/>
    <w:rsid w:val="00DB0C93"/>
    <w:rsid w:val="00DB1037"/>
    <w:rsid w:val="00DB1D96"/>
    <w:rsid w:val="00DB35B7"/>
    <w:rsid w:val="00DB4809"/>
    <w:rsid w:val="00DB4A83"/>
    <w:rsid w:val="00DB5D81"/>
    <w:rsid w:val="00DB5E8F"/>
    <w:rsid w:val="00DB713D"/>
    <w:rsid w:val="00DB7CFD"/>
    <w:rsid w:val="00DC0814"/>
    <w:rsid w:val="00DC0B6A"/>
    <w:rsid w:val="00DC2EE0"/>
    <w:rsid w:val="00DC3E93"/>
    <w:rsid w:val="00DC3E99"/>
    <w:rsid w:val="00DC3FDC"/>
    <w:rsid w:val="00DC5D89"/>
    <w:rsid w:val="00DC786B"/>
    <w:rsid w:val="00DC7C3E"/>
    <w:rsid w:val="00DD01A6"/>
    <w:rsid w:val="00DD0582"/>
    <w:rsid w:val="00DD0DC6"/>
    <w:rsid w:val="00DD1CB7"/>
    <w:rsid w:val="00DD5D46"/>
    <w:rsid w:val="00DD630F"/>
    <w:rsid w:val="00DD68B4"/>
    <w:rsid w:val="00DD7059"/>
    <w:rsid w:val="00DD7FF6"/>
    <w:rsid w:val="00DE2FBF"/>
    <w:rsid w:val="00DE30E0"/>
    <w:rsid w:val="00DE3807"/>
    <w:rsid w:val="00DE4925"/>
    <w:rsid w:val="00DE4B83"/>
    <w:rsid w:val="00DE7C5C"/>
    <w:rsid w:val="00DE7F99"/>
    <w:rsid w:val="00DF19BF"/>
    <w:rsid w:val="00DF2272"/>
    <w:rsid w:val="00DF3284"/>
    <w:rsid w:val="00DF4F90"/>
    <w:rsid w:val="00E003A0"/>
    <w:rsid w:val="00E00EF6"/>
    <w:rsid w:val="00E0209F"/>
    <w:rsid w:val="00E03B31"/>
    <w:rsid w:val="00E04005"/>
    <w:rsid w:val="00E04B71"/>
    <w:rsid w:val="00E05248"/>
    <w:rsid w:val="00E05900"/>
    <w:rsid w:val="00E0741D"/>
    <w:rsid w:val="00E11F22"/>
    <w:rsid w:val="00E13420"/>
    <w:rsid w:val="00E175EC"/>
    <w:rsid w:val="00E20A0B"/>
    <w:rsid w:val="00E20BDF"/>
    <w:rsid w:val="00E22BCE"/>
    <w:rsid w:val="00E23397"/>
    <w:rsid w:val="00E2423C"/>
    <w:rsid w:val="00E24337"/>
    <w:rsid w:val="00E247BB"/>
    <w:rsid w:val="00E24EEF"/>
    <w:rsid w:val="00E31A2A"/>
    <w:rsid w:val="00E326FF"/>
    <w:rsid w:val="00E351A3"/>
    <w:rsid w:val="00E35F06"/>
    <w:rsid w:val="00E361B0"/>
    <w:rsid w:val="00E37E89"/>
    <w:rsid w:val="00E40DCA"/>
    <w:rsid w:val="00E44115"/>
    <w:rsid w:val="00E47213"/>
    <w:rsid w:val="00E4769E"/>
    <w:rsid w:val="00E51371"/>
    <w:rsid w:val="00E54138"/>
    <w:rsid w:val="00E5471D"/>
    <w:rsid w:val="00E557C5"/>
    <w:rsid w:val="00E5676A"/>
    <w:rsid w:val="00E61CA9"/>
    <w:rsid w:val="00E61F30"/>
    <w:rsid w:val="00E620EB"/>
    <w:rsid w:val="00E62DAA"/>
    <w:rsid w:val="00E62DB8"/>
    <w:rsid w:val="00E63DDF"/>
    <w:rsid w:val="00E64479"/>
    <w:rsid w:val="00E64A61"/>
    <w:rsid w:val="00E664D2"/>
    <w:rsid w:val="00E677EF"/>
    <w:rsid w:val="00E754D4"/>
    <w:rsid w:val="00E7600F"/>
    <w:rsid w:val="00E76268"/>
    <w:rsid w:val="00E766EE"/>
    <w:rsid w:val="00E76D0A"/>
    <w:rsid w:val="00E81033"/>
    <w:rsid w:val="00E813AD"/>
    <w:rsid w:val="00E81493"/>
    <w:rsid w:val="00E822A5"/>
    <w:rsid w:val="00E82C66"/>
    <w:rsid w:val="00E830C9"/>
    <w:rsid w:val="00E859DF"/>
    <w:rsid w:val="00E87041"/>
    <w:rsid w:val="00E871BB"/>
    <w:rsid w:val="00E87DEC"/>
    <w:rsid w:val="00E90DB1"/>
    <w:rsid w:val="00E92B48"/>
    <w:rsid w:val="00E9309F"/>
    <w:rsid w:val="00E93433"/>
    <w:rsid w:val="00E94613"/>
    <w:rsid w:val="00E94A37"/>
    <w:rsid w:val="00E95201"/>
    <w:rsid w:val="00E95360"/>
    <w:rsid w:val="00E967EC"/>
    <w:rsid w:val="00E97A26"/>
    <w:rsid w:val="00EA1807"/>
    <w:rsid w:val="00EA348E"/>
    <w:rsid w:val="00EA3E57"/>
    <w:rsid w:val="00EA4947"/>
    <w:rsid w:val="00EA4E10"/>
    <w:rsid w:val="00EB0F40"/>
    <w:rsid w:val="00EB342B"/>
    <w:rsid w:val="00EB729A"/>
    <w:rsid w:val="00EB78B8"/>
    <w:rsid w:val="00EC0C41"/>
    <w:rsid w:val="00EC11F0"/>
    <w:rsid w:val="00EC1594"/>
    <w:rsid w:val="00EC2C22"/>
    <w:rsid w:val="00EC2EE9"/>
    <w:rsid w:val="00EC33A0"/>
    <w:rsid w:val="00EC604E"/>
    <w:rsid w:val="00EC63DE"/>
    <w:rsid w:val="00EC7CFC"/>
    <w:rsid w:val="00ED0AE7"/>
    <w:rsid w:val="00ED14D5"/>
    <w:rsid w:val="00ED15A2"/>
    <w:rsid w:val="00ED2521"/>
    <w:rsid w:val="00ED2BAA"/>
    <w:rsid w:val="00ED2FB9"/>
    <w:rsid w:val="00ED60B0"/>
    <w:rsid w:val="00ED6ACF"/>
    <w:rsid w:val="00EE05F8"/>
    <w:rsid w:val="00EE160F"/>
    <w:rsid w:val="00EE1C3D"/>
    <w:rsid w:val="00EE1F89"/>
    <w:rsid w:val="00EE31B2"/>
    <w:rsid w:val="00EE456B"/>
    <w:rsid w:val="00EE470C"/>
    <w:rsid w:val="00EE563A"/>
    <w:rsid w:val="00EE6E4A"/>
    <w:rsid w:val="00EE781D"/>
    <w:rsid w:val="00EF013F"/>
    <w:rsid w:val="00EF2B0C"/>
    <w:rsid w:val="00EF35BF"/>
    <w:rsid w:val="00EF5873"/>
    <w:rsid w:val="00EF6087"/>
    <w:rsid w:val="00EF7B9E"/>
    <w:rsid w:val="00F00C37"/>
    <w:rsid w:val="00F01472"/>
    <w:rsid w:val="00F01E12"/>
    <w:rsid w:val="00F034AC"/>
    <w:rsid w:val="00F0409E"/>
    <w:rsid w:val="00F04712"/>
    <w:rsid w:val="00F050C8"/>
    <w:rsid w:val="00F07FAF"/>
    <w:rsid w:val="00F10F53"/>
    <w:rsid w:val="00F15DDA"/>
    <w:rsid w:val="00F15F46"/>
    <w:rsid w:val="00F160D2"/>
    <w:rsid w:val="00F169FB"/>
    <w:rsid w:val="00F205EB"/>
    <w:rsid w:val="00F20C55"/>
    <w:rsid w:val="00F20EA2"/>
    <w:rsid w:val="00F267E4"/>
    <w:rsid w:val="00F268D2"/>
    <w:rsid w:val="00F26ACA"/>
    <w:rsid w:val="00F30579"/>
    <w:rsid w:val="00F32303"/>
    <w:rsid w:val="00F32E5D"/>
    <w:rsid w:val="00F3311F"/>
    <w:rsid w:val="00F33EB2"/>
    <w:rsid w:val="00F3423F"/>
    <w:rsid w:val="00F34839"/>
    <w:rsid w:val="00F3487A"/>
    <w:rsid w:val="00F34E14"/>
    <w:rsid w:val="00F353A8"/>
    <w:rsid w:val="00F36272"/>
    <w:rsid w:val="00F40467"/>
    <w:rsid w:val="00F40FEB"/>
    <w:rsid w:val="00F41C86"/>
    <w:rsid w:val="00F44378"/>
    <w:rsid w:val="00F45886"/>
    <w:rsid w:val="00F4748D"/>
    <w:rsid w:val="00F52D21"/>
    <w:rsid w:val="00F54A36"/>
    <w:rsid w:val="00F5558F"/>
    <w:rsid w:val="00F612B3"/>
    <w:rsid w:val="00F63586"/>
    <w:rsid w:val="00F6442D"/>
    <w:rsid w:val="00F64E6C"/>
    <w:rsid w:val="00F653FF"/>
    <w:rsid w:val="00F65C2D"/>
    <w:rsid w:val="00F668E4"/>
    <w:rsid w:val="00F7064A"/>
    <w:rsid w:val="00F7247A"/>
    <w:rsid w:val="00F73463"/>
    <w:rsid w:val="00F747AD"/>
    <w:rsid w:val="00F754A7"/>
    <w:rsid w:val="00F762A3"/>
    <w:rsid w:val="00F76E0E"/>
    <w:rsid w:val="00F76FF6"/>
    <w:rsid w:val="00F774FF"/>
    <w:rsid w:val="00F77FE7"/>
    <w:rsid w:val="00F824CB"/>
    <w:rsid w:val="00F82F6D"/>
    <w:rsid w:val="00F8347C"/>
    <w:rsid w:val="00F84E5E"/>
    <w:rsid w:val="00F85A03"/>
    <w:rsid w:val="00F85A82"/>
    <w:rsid w:val="00F93872"/>
    <w:rsid w:val="00F942CA"/>
    <w:rsid w:val="00F9452C"/>
    <w:rsid w:val="00F94674"/>
    <w:rsid w:val="00F95836"/>
    <w:rsid w:val="00F95C43"/>
    <w:rsid w:val="00F978F9"/>
    <w:rsid w:val="00FA1419"/>
    <w:rsid w:val="00FA1AF7"/>
    <w:rsid w:val="00FA5240"/>
    <w:rsid w:val="00FA594F"/>
    <w:rsid w:val="00FA656F"/>
    <w:rsid w:val="00FA6D43"/>
    <w:rsid w:val="00FA7BB0"/>
    <w:rsid w:val="00FB5066"/>
    <w:rsid w:val="00FB7206"/>
    <w:rsid w:val="00FC14DA"/>
    <w:rsid w:val="00FC16B0"/>
    <w:rsid w:val="00FC1D72"/>
    <w:rsid w:val="00FC51A2"/>
    <w:rsid w:val="00FC6B18"/>
    <w:rsid w:val="00FC6F4E"/>
    <w:rsid w:val="00FC72CA"/>
    <w:rsid w:val="00FD0CD7"/>
    <w:rsid w:val="00FD4328"/>
    <w:rsid w:val="00FD498A"/>
    <w:rsid w:val="00FD4C91"/>
    <w:rsid w:val="00FD6701"/>
    <w:rsid w:val="00FD7329"/>
    <w:rsid w:val="00FD7E35"/>
    <w:rsid w:val="00FE0053"/>
    <w:rsid w:val="00FE09CC"/>
    <w:rsid w:val="00FE0C92"/>
    <w:rsid w:val="00FE16F8"/>
    <w:rsid w:val="00FE18AE"/>
    <w:rsid w:val="00FE4DF9"/>
    <w:rsid w:val="00FE5577"/>
    <w:rsid w:val="00FE6477"/>
    <w:rsid w:val="00FF0495"/>
    <w:rsid w:val="00FF13B8"/>
    <w:rsid w:val="00FF29B7"/>
    <w:rsid w:val="00FF34CA"/>
    <w:rsid w:val="00FF3612"/>
    <w:rsid w:val="00FF6108"/>
    <w:rsid w:val="00FF66E8"/>
    <w:rsid w:val="00FF7F7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E91D5BC"/>
  <w15:docId w15:val="{D92D954F-0C25-4944-942E-E1B0A234E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unhideWhenUsed="1" w:qFormat="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DA3"/>
    <w:rPr>
      <w:sz w:val="22"/>
    </w:rPr>
  </w:style>
  <w:style w:type="paragraph" w:styleId="Heading1">
    <w:name w:val="heading 1"/>
    <w:aliases w:val="Cover title white"/>
    <w:next w:val="Normal"/>
    <w:link w:val="Heading1Char"/>
    <w:semiHidden/>
    <w:qFormat/>
    <w:rsid w:val="00B32510"/>
    <w:pPr>
      <w:keepNext/>
      <w:keepLines/>
      <w:outlineLvl w:val="0"/>
    </w:pPr>
    <w:rPr>
      <w:rFonts w:asciiTheme="majorHAnsi" w:eastAsiaTheme="majorEastAsia" w:hAnsiTheme="majorHAnsi" w:cstheme="majorBidi"/>
      <w:b/>
      <w:bCs/>
      <w:caps/>
      <w:color w:val="FFFFFF" w:themeColor="background1"/>
      <w:sz w:val="40"/>
      <w:szCs w:val="40"/>
    </w:rPr>
  </w:style>
  <w:style w:type="paragraph" w:styleId="Heading2">
    <w:name w:val="heading 2"/>
    <w:basedOn w:val="Numberedtilelevel1"/>
    <w:next w:val="Normal"/>
    <w:link w:val="Heading2Char"/>
    <w:uiPriority w:val="9"/>
    <w:semiHidden/>
    <w:qFormat/>
    <w:rsid w:val="002F2009"/>
    <w:pPr>
      <w:outlineLvl w:val="1"/>
    </w:pPr>
  </w:style>
  <w:style w:type="paragraph" w:styleId="Heading3">
    <w:name w:val="heading 3"/>
    <w:aliases w:val="Title 2"/>
    <w:basedOn w:val="Numberedtitlelevel2"/>
    <w:next w:val="Normal"/>
    <w:link w:val="Heading3Char"/>
    <w:uiPriority w:val="9"/>
    <w:semiHidden/>
    <w:rsid w:val="002F2009"/>
    <w:pPr>
      <w:outlineLvl w:val="2"/>
    </w:pPr>
  </w:style>
  <w:style w:type="paragraph" w:styleId="Heading4">
    <w:name w:val="heading 4"/>
    <w:basedOn w:val="Normal"/>
    <w:next w:val="Normal"/>
    <w:link w:val="Heading4Char"/>
    <w:uiPriority w:val="9"/>
    <w:semiHidden/>
    <w:qFormat/>
    <w:rsid w:val="001C5BC2"/>
    <w:pPr>
      <w:keepNext/>
      <w:keepLines/>
      <w:numPr>
        <w:ilvl w:val="3"/>
        <w:numId w:val="3"/>
      </w:numPr>
      <w:spacing w:before="200"/>
      <w:outlineLvl w:val="3"/>
    </w:pPr>
    <w:rPr>
      <w:rFonts w:asciiTheme="majorHAnsi" w:eastAsiaTheme="majorEastAsia" w:hAnsiTheme="majorHAnsi" w:cstheme="majorBidi"/>
      <w:b/>
      <w:bCs/>
      <w:i/>
      <w:iCs/>
      <w:color w:val="2F5773" w:themeColor="accent1"/>
    </w:rPr>
  </w:style>
  <w:style w:type="paragraph" w:styleId="Heading5">
    <w:name w:val="heading 5"/>
    <w:aliases w:val="Cover subtitle white"/>
    <w:next w:val="Normal"/>
    <w:link w:val="Heading5Char"/>
    <w:semiHidden/>
    <w:qFormat/>
    <w:rsid w:val="00B32510"/>
    <w:pPr>
      <w:keepNext/>
      <w:keepLines/>
      <w:spacing w:before="200"/>
      <w:outlineLvl w:val="4"/>
    </w:pPr>
    <w:rPr>
      <w:rFonts w:asciiTheme="majorHAnsi" w:eastAsiaTheme="majorEastAsia" w:hAnsiTheme="majorHAnsi" w:cstheme="majorBidi"/>
      <w:caps/>
      <w:color w:val="FFFFFF" w:themeColor="background1"/>
      <w:sz w:val="28"/>
      <w:szCs w:val="28"/>
    </w:rPr>
  </w:style>
  <w:style w:type="paragraph" w:styleId="Heading6">
    <w:name w:val="heading 6"/>
    <w:basedOn w:val="Normal"/>
    <w:next w:val="Normal"/>
    <w:link w:val="Heading6Char"/>
    <w:uiPriority w:val="9"/>
    <w:semiHidden/>
    <w:qFormat/>
    <w:rsid w:val="001C5BC2"/>
    <w:pPr>
      <w:keepNext/>
      <w:keepLines/>
      <w:numPr>
        <w:ilvl w:val="5"/>
        <w:numId w:val="3"/>
      </w:numPr>
      <w:spacing w:before="200"/>
      <w:outlineLvl w:val="5"/>
    </w:pPr>
    <w:rPr>
      <w:rFonts w:asciiTheme="majorHAnsi" w:eastAsiaTheme="majorEastAsia" w:hAnsiTheme="majorHAnsi" w:cstheme="majorBidi"/>
      <w:i/>
      <w:iCs/>
      <w:color w:val="172B39" w:themeColor="accent1" w:themeShade="7F"/>
    </w:rPr>
  </w:style>
  <w:style w:type="paragraph" w:styleId="Heading7">
    <w:name w:val="heading 7"/>
    <w:basedOn w:val="Normal"/>
    <w:next w:val="Normal"/>
    <w:link w:val="Heading7Char"/>
    <w:uiPriority w:val="9"/>
    <w:semiHidden/>
    <w:qFormat/>
    <w:rsid w:val="001C5BC2"/>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1C5BC2"/>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1C5BC2"/>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semiHidden/>
    <w:rsid w:val="00290DA3"/>
    <w:rPr>
      <w:rFonts w:asciiTheme="majorHAnsi" w:eastAsiaTheme="majorEastAsia" w:hAnsiTheme="majorHAnsi" w:cstheme="majorBidi"/>
      <w:b/>
      <w:bCs/>
      <w:caps/>
      <w:color w:val="FFFFFF" w:themeColor="background1"/>
      <w:sz w:val="40"/>
      <w:szCs w:val="40"/>
    </w:rPr>
  </w:style>
  <w:style w:type="paragraph" w:customStyle="1" w:styleId="Numberedtilelevel1">
    <w:name w:val="Numbered tile level 1"/>
    <w:basedOn w:val="Titlelevel1"/>
    <w:qFormat/>
    <w:rsid w:val="00482FB6"/>
    <w:pPr>
      <w:numPr>
        <w:numId w:val="7"/>
      </w:numPr>
    </w:pPr>
  </w:style>
  <w:style w:type="character" w:customStyle="1" w:styleId="Heading2Char">
    <w:name w:val="Heading 2 Char"/>
    <w:basedOn w:val="DefaultParagraphFont"/>
    <w:link w:val="Heading2"/>
    <w:uiPriority w:val="9"/>
    <w:semiHidden/>
    <w:rsid w:val="00582AA7"/>
    <w:rPr>
      <w:rFonts w:asciiTheme="majorHAnsi" w:eastAsiaTheme="majorEastAsia" w:hAnsiTheme="majorHAnsi" w:cstheme="majorBidi"/>
      <w:color w:val="2F5773" w:themeColor="text2"/>
      <w:spacing w:val="5"/>
      <w:kern w:val="28"/>
      <w:sz w:val="52"/>
      <w:szCs w:val="52"/>
    </w:rPr>
  </w:style>
  <w:style w:type="paragraph" w:customStyle="1" w:styleId="Numberedtitlelevel2">
    <w:name w:val="Numbered title level 2"/>
    <w:basedOn w:val="Titlelevel2"/>
    <w:next w:val="body"/>
    <w:qFormat/>
    <w:rsid w:val="00482FB6"/>
    <w:pPr>
      <w:numPr>
        <w:ilvl w:val="1"/>
        <w:numId w:val="7"/>
      </w:numPr>
    </w:pPr>
  </w:style>
  <w:style w:type="paragraph" w:customStyle="1" w:styleId="Titlelevel2">
    <w:name w:val="Title level 2"/>
    <w:qFormat/>
    <w:rsid w:val="005D4005"/>
    <w:pPr>
      <w:spacing w:before="240" w:after="240"/>
    </w:pPr>
    <w:rPr>
      <w:rFonts w:asciiTheme="majorHAnsi" w:eastAsiaTheme="majorEastAsia" w:hAnsiTheme="majorHAnsi" w:cstheme="majorBidi"/>
      <w:bCs/>
      <w:color w:val="2F5773" w:themeColor="text2"/>
      <w:sz w:val="32"/>
    </w:rPr>
  </w:style>
  <w:style w:type="paragraph" w:customStyle="1" w:styleId="body">
    <w:name w:val="body"/>
    <w:link w:val="bodyChar"/>
    <w:qFormat/>
    <w:rsid w:val="00CD4AF7"/>
    <w:pPr>
      <w:spacing w:before="240" w:after="120" w:line="276" w:lineRule="auto"/>
      <w:jc w:val="both"/>
    </w:pPr>
    <w:rPr>
      <w:sz w:val="22"/>
    </w:rPr>
  </w:style>
  <w:style w:type="character" w:customStyle="1" w:styleId="Heading3Char">
    <w:name w:val="Heading 3 Char"/>
    <w:aliases w:val="Title 2 Char"/>
    <w:basedOn w:val="DefaultParagraphFont"/>
    <w:link w:val="Heading3"/>
    <w:uiPriority w:val="9"/>
    <w:semiHidden/>
    <w:rsid w:val="00582AA7"/>
    <w:rPr>
      <w:rFonts w:asciiTheme="majorHAnsi" w:eastAsiaTheme="majorEastAsia" w:hAnsiTheme="majorHAnsi" w:cstheme="majorBidi"/>
      <w:bCs/>
      <w:color w:val="2F5773" w:themeColor="text2"/>
      <w:sz w:val="32"/>
    </w:rPr>
  </w:style>
  <w:style w:type="character" w:customStyle="1" w:styleId="Heading4Char">
    <w:name w:val="Heading 4 Char"/>
    <w:basedOn w:val="DefaultParagraphFont"/>
    <w:link w:val="Heading4"/>
    <w:uiPriority w:val="9"/>
    <w:semiHidden/>
    <w:rsid w:val="00582AA7"/>
    <w:rPr>
      <w:rFonts w:asciiTheme="majorHAnsi" w:eastAsiaTheme="majorEastAsia" w:hAnsiTheme="majorHAnsi" w:cstheme="majorBidi"/>
      <w:b/>
      <w:bCs/>
      <w:i/>
      <w:iCs/>
      <w:color w:val="2F5773" w:themeColor="accent1"/>
      <w:sz w:val="22"/>
    </w:rPr>
  </w:style>
  <w:style w:type="character" w:customStyle="1" w:styleId="Heading5Char">
    <w:name w:val="Heading 5 Char"/>
    <w:aliases w:val="Cover subtitle white Char"/>
    <w:basedOn w:val="DefaultParagraphFont"/>
    <w:link w:val="Heading5"/>
    <w:semiHidden/>
    <w:rsid w:val="00290DA3"/>
    <w:rPr>
      <w:rFonts w:asciiTheme="majorHAnsi" w:eastAsiaTheme="majorEastAsia" w:hAnsiTheme="majorHAnsi" w:cstheme="majorBidi"/>
      <w:caps/>
      <w:color w:val="FFFFFF" w:themeColor="background1"/>
      <w:sz w:val="28"/>
      <w:szCs w:val="28"/>
    </w:rPr>
  </w:style>
  <w:style w:type="character" w:customStyle="1" w:styleId="Heading6Char">
    <w:name w:val="Heading 6 Char"/>
    <w:basedOn w:val="DefaultParagraphFont"/>
    <w:link w:val="Heading6"/>
    <w:uiPriority w:val="9"/>
    <w:semiHidden/>
    <w:rsid w:val="00582AA7"/>
    <w:rPr>
      <w:rFonts w:asciiTheme="majorHAnsi" w:eastAsiaTheme="majorEastAsia" w:hAnsiTheme="majorHAnsi" w:cstheme="majorBidi"/>
      <w:i/>
      <w:iCs/>
      <w:color w:val="172B39" w:themeColor="accent1" w:themeShade="7F"/>
      <w:sz w:val="22"/>
    </w:rPr>
  </w:style>
  <w:style w:type="character" w:customStyle="1" w:styleId="Heading7Char">
    <w:name w:val="Heading 7 Char"/>
    <w:basedOn w:val="DefaultParagraphFont"/>
    <w:link w:val="Heading7"/>
    <w:uiPriority w:val="9"/>
    <w:semiHidden/>
    <w:rsid w:val="00582AA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82AA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82AA7"/>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rsid w:val="00372B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2AA7"/>
    <w:rPr>
      <w:rFonts w:ascii="Lucida Grande" w:hAnsi="Lucida Grande" w:cs="Lucida Grande"/>
      <w:sz w:val="18"/>
      <w:szCs w:val="18"/>
    </w:rPr>
  </w:style>
  <w:style w:type="paragraph" w:customStyle="1" w:styleId="Tableheader">
    <w:name w:val="Table header"/>
    <w:next w:val="Tabledata"/>
    <w:qFormat/>
    <w:rsid w:val="00813BAC"/>
    <w:pPr>
      <w:spacing w:after="80"/>
    </w:pPr>
    <w:rPr>
      <w:rFonts w:ascii="Calibri" w:eastAsia="Times New Roman" w:hAnsi="Calibri" w:cs="Times New Roman"/>
      <w:b/>
      <w:color w:val="000000"/>
      <w:sz w:val="22"/>
      <w:szCs w:val="22"/>
    </w:rPr>
  </w:style>
  <w:style w:type="paragraph" w:customStyle="1" w:styleId="Tabledata">
    <w:name w:val="Table data"/>
    <w:basedOn w:val="body"/>
    <w:qFormat/>
    <w:rsid w:val="00455E0E"/>
    <w:pPr>
      <w:spacing w:before="120" w:line="240" w:lineRule="auto"/>
    </w:pPr>
    <w:rPr>
      <w:rFonts w:eastAsia="Times New Roman" w:cstheme="minorHAnsi"/>
      <w:bCs/>
      <w:color w:val="000000"/>
      <w:sz w:val="20"/>
      <w:szCs w:val="22"/>
      <w:lang w:val="en-GB" w:eastAsia="en-GB"/>
    </w:rPr>
  </w:style>
  <w:style w:type="paragraph" w:customStyle="1" w:styleId="List1">
    <w:name w:val="List1"/>
    <w:autoRedefine/>
    <w:qFormat/>
    <w:rsid w:val="008F3908"/>
    <w:pPr>
      <w:numPr>
        <w:numId w:val="5"/>
      </w:numPr>
    </w:pPr>
    <w:rPr>
      <w:sz w:val="22"/>
      <w:szCs w:val="22"/>
    </w:rPr>
  </w:style>
  <w:style w:type="paragraph" w:styleId="Footer">
    <w:name w:val="footer"/>
    <w:basedOn w:val="Normal"/>
    <w:link w:val="FooterChar"/>
    <w:rsid w:val="00A00E34"/>
    <w:pPr>
      <w:tabs>
        <w:tab w:val="center" w:pos="4320"/>
        <w:tab w:val="right" w:pos="8640"/>
      </w:tabs>
    </w:pPr>
  </w:style>
  <w:style w:type="character" w:customStyle="1" w:styleId="FooterChar">
    <w:name w:val="Footer Char"/>
    <w:basedOn w:val="DefaultParagraphFont"/>
    <w:link w:val="Footer"/>
    <w:uiPriority w:val="99"/>
    <w:rsid w:val="00582AA7"/>
    <w:rPr>
      <w:sz w:val="22"/>
    </w:rPr>
  </w:style>
  <w:style w:type="table" w:styleId="TableGrid">
    <w:name w:val="Table Grid"/>
    <w:basedOn w:val="TableProfessional"/>
    <w:uiPriority w:val="59"/>
    <w:rsid w:val="00A14332"/>
    <w:rPr>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rsid w:val="00D560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rsid w:val="007A0054"/>
    <w:pPr>
      <w:numPr>
        <w:numId w:val="6"/>
      </w:numPr>
      <w:spacing w:before="240" w:after="120"/>
      <w:contextualSpacing/>
    </w:pPr>
    <w:rPr>
      <w:sz w:val="22"/>
    </w:rPr>
  </w:style>
  <w:style w:type="paragraph" w:customStyle="1" w:styleId="Titlelevel1">
    <w:name w:val="Title level 1"/>
    <w:autoRedefine/>
    <w:qFormat/>
    <w:rsid w:val="00471CA1"/>
    <w:pPr>
      <w:pBdr>
        <w:bottom w:val="single" w:sz="8" w:space="1" w:color="2F5773" w:themeColor="text2"/>
      </w:pBdr>
      <w:spacing w:before="360" w:after="600" w:line="560" w:lineRule="exact"/>
    </w:pPr>
    <w:rPr>
      <w:rFonts w:asciiTheme="majorHAnsi" w:eastAsiaTheme="majorEastAsia" w:hAnsiTheme="majorHAnsi" w:cstheme="majorBidi"/>
      <w:color w:val="2F5773" w:themeColor="text2"/>
      <w:spacing w:val="5"/>
      <w:kern w:val="28"/>
      <w:sz w:val="52"/>
      <w:szCs w:val="52"/>
    </w:rPr>
  </w:style>
  <w:style w:type="paragraph" w:customStyle="1" w:styleId="Titlelevel3">
    <w:name w:val="Title level 3"/>
    <w:qFormat/>
    <w:rsid w:val="005D4005"/>
    <w:pPr>
      <w:spacing w:before="240" w:after="240"/>
    </w:pPr>
    <w:rPr>
      <w:b/>
      <w:color w:val="2F5773" w:themeColor="text2"/>
    </w:rPr>
  </w:style>
  <w:style w:type="paragraph" w:customStyle="1" w:styleId="Titlelevel4">
    <w:name w:val="Title level 4"/>
    <w:next w:val="body"/>
    <w:qFormat/>
    <w:rsid w:val="00AE55F6"/>
    <w:pPr>
      <w:spacing w:before="240" w:after="240"/>
    </w:pPr>
    <w:rPr>
      <w:color w:val="E98E31" w:themeColor="background2"/>
    </w:rPr>
  </w:style>
  <w:style w:type="paragraph" w:customStyle="1" w:styleId="Figuretitle">
    <w:name w:val="Figure title"/>
    <w:basedOn w:val="body"/>
    <w:next w:val="Normal"/>
    <w:autoRedefine/>
    <w:qFormat/>
    <w:rsid w:val="003221EF"/>
    <w:pPr>
      <w:keepNext/>
      <w:spacing w:before="360" w:after="360"/>
    </w:pPr>
    <w:rPr>
      <w:rFonts w:eastAsia="Times New Roman" w:cs="Times New Roman"/>
      <w:bCs/>
      <w:noProof/>
      <w:color w:val="2F5773" w:themeColor="text2"/>
      <w:szCs w:val="20"/>
      <w:lang w:val="en-GB" w:eastAsia="en-GB"/>
    </w:rPr>
  </w:style>
  <w:style w:type="table" w:customStyle="1" w:styleId="EBAtable">
    <w:name w:val="EBA table"/>
    <w:basedOn w:val="TableNormal"/>
    <w:uiPriority w:val="99"/>
    <w:rsid w:val="002434B0"/>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98E31" w:themeColor="background2"/>
          <w:right w:val="nil"/>
          <w:insideH w:val="nil"/>
          <w:insideV w:val="nil"/>
          <w:tl2br w:val="nil"/>
          <w:tr2bl w:val="nil"/>
        </w:tcBorders>
      </w:tcPr>
    </w:tblStylePr>
    <w:tblStylePr w:type="lastRow">
      <w:tblPr/>
      <w:tcPr>
        <w:tcBorders>
          <w:top w:val="nil"/>
          <w:left w:val="nil"/>
          <w:bottom w:val="single" w:sz="4" w:space="0" w:color="E98E31" w:themeColor="background2"/>
          <w:right w:val="nil"/>
          <w:insideH w:val="nil"/>
          <w:insideV w:val="nil"/>
          <w:tl2br w:val="nil"/>
          <w:tr2bl w:val="nil"/>
        </w:tcBorders>
      </w:tcPr>
    </w:tblStylePr>
  </w:style>
  <w:style w:type="character" w:styleId="PageNumber">
    <w:name w:val="page number"/>
    <w:basedOn w:val="DefaultParagraphFont"/>
    <w:uiPriority w:val="99"/>
    <w:semiHidden/>
    <w:rsid w:val="00610305"/>
    <w:rPr>
      <w:rFonts w:asciiTheme="minorHAnsi" w:hAnsiTheme="minorHAnsi"/>
      <w:color w:val="auto"/>
      <w:sz w:val="22"/>
    </w:rPr>
  </w:style>
  <w:style w:type="paragraph" w:customStyle="1" w:styleId="Runningtitle">
    <w:name w:val="Running title"/>
    <w:qFormat/>
    <w:rsid w:val="009F53AF"/>
    <w:rPr>
      <w:caps/>
      <w:sz w:val="16"/>
      <w:szCs w:val="18"/>
    </w:rPr>
  </w:style>
  <w:style w:type="paragraph" w:styleId="FootnoteText">
    <w:name w:val="footnote text"/>
    <w:basedOn w:val="body"/>
    <w:link w:val="FootnoteTextChar"/>
    <w:autoRedefine/>
    <w:qFormat/>
    <w:rsid w:val="00DB5E8F"/>
    <w:pPr>
      <w:spacing w:before="80" w:after="0" w:line="200" w:lineRule="exact"/>
    </w:pPr>
    <w:rPr>
      <w:sz w:val="18"/>
      <w:szCs w:val="18"/>
    </w:rPr>
  </w:style>
  <w:style w:type="character" w:customStyle="1" w:styleId="FootnoteTextChar">
    <w:name w:val="Footnote Text Char"/>
    <w:basedOn w:val="DefaultParagraphFont"/>
    <w:link w:val="FootnoteText"/>
    <w:rsid w:val="00582AA7"/>
    <w:rPr>
      <w:sz w:val="18"/>
      <w:szCs w:val="18"/>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basedOn w:val="DefaultParagraphFont"/>
    <w:qFormat/>
    <w:rsid w:val="00B13C87"/>
    <w:rPr>
      <w:rFonts w:asciiTheme="minorHAnsi" w:hAnsiTheme="minorHAnsi"/>
      <w:sz w:val="22"/>
      <w:szCs w:val="18"/>
      <w:vertAlign w:val="superscript"/>
    </w:rPr>
  </w:style>
  <w:style w:type="paragraph" w:customStyle="1" w:styleId="bullet1">
    <w:name w:val="bullet 1"/>
    <w:basedOn w:val="body"/>
    <w:next w:val="body"/>
    <w:qFormat/>
    <w:rsid w:val="001C5BC2"/>
    <w:pPr>
      <w:numPr>
        <w:numId w:val="2"/>
      </w:numPr>
    </w:pPr>
    <w:rPr>
      <w:szCs w:val="22"/>
    </w:rPr>
  </w:style>
  <w:style w:type="paragraph" w:styleId="TOC1">
    <w:name w:val="toc 1"/>
    <w:autoRedefine/>
    <w:uiPriority w:val="39"/>
    <w:qFormat/>
    <w:rsid w:val="00C47E8F"/>
    <w:pPr>
      <w:tabs>
        <w:tab w:val="left" w:pos="312"/>
        <w:tab w:val="left" w:pos="421"/>
        <w:tab w:val="right" w:pos="8771"/>
      </w:tabs>
      <w:spacing w:before="120" w:after="120"/>
      <w:outlineLvl w:val="0"/>
    </w:pPr>
    <w:rPr>
      <w:b/>
      <w:bCs/>
      <w:noProof/>
      <w:color w:val="2F5773" w:themeColor="text2"/>
      <w:sz w:val="22"/>
      <w:szCs w:val="22"/>
    </w:rPr>
  </w:style>
  <w:style w:type="paragraph" w:styleId="TOC2">
    <w:name w:val="toc 2"/>
    <w:next w:val="Normal"/>
    <w:autoRedefine/>
    <w:uiPriority w:val="39"/>
    <w:qFormat/>
    <w:rsid w:val="00C41927"/>
    <w:pPr>
      <w:tabs>
        <w:tab w:val="left" w:pos="529"/>
        <w:tab w:val="right" w:pos="8771"/>
      </w:tabs>
      <w:spacing w:before="80" w:after="80"/>
    </w:pPr>
    <w:rPr>
      <w:noProof/>
      <w:sz w:val="22"/>
      <w:szCs w:val="22"/>
    </w:rPr>
  </w:style>
  <w:style w:type="paragraph" w:styleId="TOC3">
    <w:name w:val="toc 3"/>
    <w:basedOn w:val="Normal"/>
    <w:next w:val="Normal"/>
    <w:autoRedefine/>
    <w:uiPriority w:val="39"/>
    <w:qFormat/>
    <w:rsid w:val="00663B0A"/>
    <w:pPr>
      <w:tabs>
        <w:tab w:val="right" w:pos="8771"/>
      </w:tabs>
      <w:ind w:left="567"/>
    </w:pPr>
    <w:rPr>
      <w:szCs w:val="22"/>
    </w:rPr>
  </w:style>
  <w:style w:type="paragraph" w:styleId="TOC4">
    <w:name w:val="toc 4"/>
    <w:basedOn w:val="Normal"/>
    <w:next w:val="Normal"/>
    <w:autoRedefine/>
    <w:uiPriority w:val="39"/>
    <w:rsid w:val="00EE456B"/>
    <w:pPr>
      <w:tabs>
        <w:tab w:val="right" w:pos="8771"/>
      </w:tabs>
      <w:ind w:left="1134"/>
    </w:pPr>
    <w:rPr>
      <w:szCs w:val="22"/>
    </w:rPr>
  </w:style>
  <w:style w:type="paragraph" w:customStyle="1" w:styleId="bullet2">
    <w:name w:val="bullet 2"/>
    <w:basedOn w:val="body"/>
    <w:qFormat/>
    <w:rsid w:val="001C5BC2"/>
    <w:pPr>
      <w:numPr>
        <w:numId w:val="1"/>
      </w:numPr>
    </w:pPr>
    <w:rPr>
      <w:szCs w:val="22"/>
    </w:rPr>
  </w:style>
  <w:style w:type="paragraph" w:customStyle="1" w:styleId="Numberedtitlelevel3">
    <w:name w:val="Numbered title level 3"/>
    <w:basedOn w:val="Titlelevel3"/>
    <w:next w:val="body"/>
    <w:qFormat/>
    <w:rsid w:val="008F3908"/>
    <w:pPr>
      <w:numPr>
        <w:ilvl w:val="2"/>
        <w:numId w:val="7"/>
      </w:numPr>
    </w:pPr>
  </w:style>
  <w:style w:type="table" w:styleId="LightShading">
    <w:name w:val="Light Shading"/>
    <w:basedOn w:val="TableNormal"/>
    <w:uiPriority w:val="60"/>
    <w:rsid w:val="00F942C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5301B"/>
    <w:rPr>
      <w:color w:val="234156" w:themeColor="accent1" w:themeShade="BF"/>
    </w:rPr>
    <w:tblPr>
      <w:tblStyleRowBandSize w:val="1"/>
      <w:tblStyleColBandSize w:val="1"/>
      <w:tblBorders>
        <w:top w:val="single" w:sz="8" w:space="0" w:color="2F5773" w:themeColor="accent1"/>
        <w:bottom w:val="single" w:sz="8" w:space="0" w:color="2F5773" w:themeColor="accent1"/>
      </w:tblBorders>
    </w:tblPr>
    <w:tblStylePr w:type="fir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la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hemeFill="accent1" w:themeFillTint="3F"/>
      </w:tcPr>
    </w:tblStylePr>
    <w:tblStylePr w:type="band1Horz">
      <w:tblPr/>
      <w:tcPr>
        <w:tcBorders>
          <w:left w:val="nil"/>
          <w:right w:val="nil"/>
          <w:insideH w:val="nil"/>
          <w:insideV w:val="nil"/>
        </w:tcBorders>
        <w:shd w:val="clear" w:color="auto" w:fill="C1D7E6" w:themeFill="accent1" w:themeFillTint="3F"/>
      </w:tcPr>
    </w:tblStylePr>
  </w:style>
  <w:style w:type="paragraph" w:customStyle="1" w:styleId="Contenttitle">
    <w:name w:val="Content title"/>
    <w:basedOn w:val="Titlelevel1"/>
    <w:qFormat/>
    <w:rsid w:val="00172007"/>
  </w:style>
  <w:style w:type="paragraph" w:customStyle="1" w:styleId="Numberedtitlelevel4">
    <w:name w:val="Numbered title level 4"/>
    <w:basedOn w:val="Titlelevel4"/>
    <w:qFormat/>
    <w:rsid w:val="005D4005"/>
    <w:pPr>
      <w:numPr>
        <w:numId w:val="4"/>
      </w:numPr>
    </w:pPr>
  </w:style>
  <w:style w:type="paragraph" w:styleId="Header">
    <w:name w:val="header"/>
    <w:basedOn w:val="Normal"/>
    <w:link w:val="HeaderChar"/>
    <w:uiPriority w:val="99"/>
    <w:semiHidden/>
    <w:rsid w:val="00A92440"/>
    <w:pPr>
      <w:tabs>
        <w:tab w:val="center" w:pos="4320"/>
        <w:tab w:val="right" w:pos="8640"/>
      </w:tabs>
    </w:pPr>
  </w:style>
  <w:style w:type="character" w:customStyle="1" w:styleId="HeaderChar">
    <w:name w:val="Header Char"/>
    <w:basedOn w:val="DefaultParagraphFont"/>
    <w:link w:val="Header"/>
    <w:uiPriority w:val="99"/>
    <w:semiHidden/>
    <w:rsid w:val="00582AA7"/>
    <w:rPr>
      <w:sz w:val="22"/>
    </w:rPr>
  </w:style>
  <w:style w:type="paragraph" w:styleId="Title">
    <w:name w:val="Title"/>
    <w:basedOn w:val="Normal"/>
    <w:next w:val="Normal"/>
    <w:link w:val="TitleChar"/>
    <w:qFormat/>
    <w:rsid w:val="004719B4"/>
    <w:pPr>
      <w:pBdr>
        <w:bottom w:val="single" w:sz="8" w:space="4" w:color="2F5773" w:themeColor="accent1"/>
      </w:pBdr>
      <w:spacing w:after="300"/>
      <w:contextualSpacing/>
    </w:pPr>
    <w:rPr>
      <w:rFonts w:asciiTheme="majorHAnsi" w:eastAsiaTheme="majorEastAsia" w:hAnsiTheme="majorHAnsi" w:cstheme="majorBidi"/>
      <w:color w:val="2F5773" w:themeColor="text2"/>
      <w:spacing w:val="5"/>
      <w:kern w:val="28"/>
      <w:sz w:val="52"/>
      <w:szCs w:val="52"/>
    </w:rPr>
  </w:style>
  <w:style w:type="character" w:customStyle="1" w:styleId="TitleChar">
    <w:name w:val="Title Char"/>
    <w:basedOn w:val="DefaultParagraphFont"/>
    <w:link w:val="Title"/>
    <w:rsid w:val="00582AA7"/>
    <w:rPr>
      <w:rFonts w:asciiTheme="majorHAnsi" w:eastAsiaTheme="majorEastAsia" w:hAnsiTheme="majorHAnsi" w:cstheme="majorBidi"/>
      <w:color w:val="2F5773" w:themeColor="text2"/>
      <w:spacing w:val="5"/>
      <w:kern w:val="28"/>
      <w:sz w:val="52"/>
      <w:szCs w:val="52"/>
    </w:rPr>
  </w:style>
  <w:style w:type="paragraph" w:styleId="TableofFigures">
    <w:name w:val="table of figures"/>
    <w:basedOn w:val="Normal"/>
    <w:next w:val="Normal"/>
    <w:autoRedefine/>
    <w:uiPriority w:val="99"/>
    <w:qFormat/>
    <w:rsid w:val="00172007"/>
    <w:pPr>
      <w:spacing w:before="160"/>
    </w:pPr>
  </w:style>
  <w:style w:type="paragraph" w:styleId="Subtitle">
    <w:name w:val="Subtitle"/>
    <w:next w:val="Normal"/>
    <w:link w:val="SubtitleChar"/>
    <w:autoRedefine/>
    <w:uiPriority w:val="11"/>
    <w:qFormat/>
    <w:rsid w:val="004719B4"/>
    <w:pPr>
      <w:numPr>
        <w:ilvl w:val="1"/>
      </w:numPr>
      <w:spacing w:before="240" w:after="120"/>
    </w:pPr>
    <w:rPr>
      <w:rFonts w:asciiTheme="majorHAnsi" w:eastAsiaTheme="majorEastAsia" w:hAnsiTheme="majorHAnsi" w:cstheme="majorBidi"/>
      <w:color w:val="2F5773" w:themeColor="accent1"/>
      <w:sz w:val="32"/>
      <w:szCs w:val="32"/>
      <w:lang w:val="en-GB"/>
    </w:rPr>
  </w:style>
  <w:style w:type="character" w:customStyle="1" w:styleId="SubtitleChar">
    <w:name w:val="Subtitle Char"/>
    <w:basedOn w:val="DefaultParagraphFont"/>
    <w:link w:val="Subtitle"/>
    <w:uiPriority w:val="11"/>
    <w:rsid w:val="00290DA3"/>
    <w:rPr>
      <w:rFonts w:asciiTheme="majorHAnsi" w:eastAsiaTheme="majorEastAsia" w:hAnsiTheme="majorHAnsi" w:cstheme="majorBidi"/>
      <w:color w:val="2F5773" w:themeColor="accent1"/>
      <w:sz w:val="32"/>
      <w:szCs w:val="32"/>
      <w:lang w:val="en-GB"/>
    </w:rPr>
  </w:style>
  <w:style w:type="character" w:styleId="BookTitle">
    <w:name w:val="Book Title"/>
    <w:basedOn w:val="DefaultParagraphFont"/>
    <w:uiPriority w:val="33"/>
    <w:semiHidden/>
    <w:qFormat/>
    <w:rsid w:val="000D7A44"/>
    <w:rPr>
      <w:b/>
      <w:bCs/>
      <w:smallCaps/>
      <w:spacing w:val="5"/>
    </w:rPr>
  </w:style>
  <w:style w:type="character" w:customStyle="1" w:styleId="Highlighttext">
    <w:name w:val="Highlight text"/>
    <w:basedOn w:val="DefaultParagraphFont"/>
    <w:uiPriority w:val="1"/>
    <w:semiHidden/>
    <w:qFormat/>
    <w:rsid w:val="00AE55F6"/>
    <w:rPr>
      <w:rFonts w:asciiTheme="minorHAnsi" w:hAnsiTheme="minorHAnsi"/>
      <w:b/>
      <w:bCs/>
      <w:caps w:val="0"/>
      <w:smallCaps w:val="0"/>
      <w:color w:val="E98E31" w:themeColor="background2"/>
      <w:sz w:val="22"/>
      <w:szCs w:val="22"/>
    </w:rPr>
  </w:style>
  <w:style w:type="paragraph" w:customStyle="1" w:styleId="abbreviation">
    <w:name w:val="abbreviation"/>
    <w:basedOn w:val="Tableheader"/>
    <w:qFormat/>
    <w:rsid w:val="00455E0E"/>
    <w:rPr>
      <w:bCs/>
      <w:lang w:val="en-GB" w:eastAsia="en-GB"/>
    </w:rPr>
  </w:style>
  <w:style w:type="paragraph" w:styleId="ListBullet">
    <w:name w:val="List Bullet"/>
    <w:basedOn w:val="Normal"/>
    <w:semiHidden/>
    <w:qFormat/>
    <w:rsid w:val="00A304D0"/>
    <w:pPr>
      <w:numPr>
        <w:numId w:val="9"/>
      </w:numPr>
      <w:contextualSpacing/>
    </w:pPr>
  </w:style>
  <w:style w:type="character" w:styleId="Hyperlink">
    <w:name w:val="Hyperlink"/>
    <w:basedOn w:val="DefaultParagraphFont"/>
    <w:uiPriority w:val="99"/>
    <w:rsid w:val="00392385"/>
    <w:rPr>
      <w:color w:val="2F5773" w:themeColor="hyperlink"/>
      <w:u w:val="single"/>
    </w:rPr>
  </w:style>
  <w:style w:type="paragraph" w:customStyle="1" w:styleId="numberedparagraph">
    <w:name w:val="numbered paragraph"/>
    <w:basedOn w:val="body"/>
    <w:qFormat/>
    <w:rsid w:val="00E22BCE"/>
    <w:pPr>
      <w:numPr>
        <w:numId w:val="8"/>
      </w:numPr>
    </w:pPr>
  </w:style>
  <w:style w:type="paragraph" w:styleId="TOC5">
    <w:name w:val="toc 5"/>
    <w:basedOn w:val="Normal"/>
    <w:next w:val="Normal"/>
    <w:autoRedefine/>
    <w:uiPriority w:val="39"/>
    <w:semiHidden/>
    <w:rsid w:val="00B526A8"/>
    <w:pPr>
      <w:ind w:left="880"/>
    </w:pPr>
  </w:style>
  <w:style w:type="paragraph" w:styleId="TOC6">
    <w:name w:val="toc 6"/>
    <w:basedOn w:val="Normal"/>
    <w:next w:val="Normal"/>
    <w:autoRedefine/>
    <w:uiPriority w:val="39"/>
    <w:semiHidden/>
    <w:rsid w:val="00B526A8"/>
    <w:pPr>
      <w:ind w:left="1100"/>
    </w:pPr>
  </w:style>
  <w:style w:type="paragraph" w:styleId="TOC7">
    <w:name w:val="toc 7"/>
    <w:basedOn w:val="Normal"/>
    <w:next w:val="Normal"/>
    <w:autoRedefine/>
    <w:uiPriority w:val="39"/>
    <w:semiHidden/>
    <w:rsid w:val="00B526A8"/>
    <w:pPr>
      <w:ind w:left="1320"/>
    </w:pPr>
  </w:style>
  <w:style w:type="paragraph" w:styleId="TOC8">
    <w:name w:val="toc 8"/>
    <w:basedOn w:val="Normal"/>
    <w:next w:val="Normal"/>
    <w:autoRedefine/>
    <w:uiPriority w:val="39"/>
    <w:semiHidden/>
    <w:rsid w:val="00B526A8"/>
    <w:pPr>
      <w:ind w:left="1540"/>
    </w:pPr>
  </w:style>
  <w:style w:type="paragraph" w:styleId="TOC9">
    <w:name w:val="toc 9"/>
    <w:basedOn w:val="Normal"/>
    <w:next w:val="Normal"/>
    <w:autoRedefine/>
    <w:uiPriority w:val="39"/>
    <w:semiHidden/>
    <w:rsid w:val="00B526A8"/>
    <w:pPr>
      <w:ind w:left="1760"/>
    </w:pPr>
  </w:style>
  <w:style w:type="paragraph" w:customStyle="1" w:styleId="Default">
    <w:name w:val="Default"/>
    <w:rsid w:val="000C7FD8"/>
    <w:pPr>
      <w:autoSpaceDE w:val="0"/>
      <w:autoSpaceDN w:val="0"/>
      <w:adjustRightInd w:val="0"/>
    </w:pPr>
    <w:rPr>
      <w:rFonts w:ascii="Calibri" w:eastAsiaTheme="minorHAnsi" w:hAnsi="Calibri" w:cs="Calibri"/>
      <w:color w:val="000000"/>
      <w:lang w:val="en-GB"/>
    </w:rPr>
  </w:style>
  <w:style w:type="paragraph" w:styleId="TOCHeading">
    <w:name w:val="TOC Heading"/>
    <w:basedOn w:val="Heading1"/>
    <w:next w:val="Normal"/>
    <w:uiPriority w:val="39"/>
    <w:semiHidden/>
    <w:qFormat/>
    <w:rsid w:val="00B43E07"/>
    <w:pPr>
      <w:spacing w:before="480"/>
      <w:outlineLvl w:val="9"/>
    </w:pPr>
    <w:rPr>
      <w:caps w:val="0"/>
      <w:color w:val="234156" w:themeColor="accent1" w:themeShade="BF"/>
      <w:sz w:val="28"/>
      <w:szCs w:val="28"/>
    </w:rPr>
  </w:style>
  <w:style w:type="character" w:customStyle="1" w:styleId="Marker">
    <w:name w:val="Marker"/>
    <w:rsid w:val="00B43E07"/>
    <w:rPr>
      <w:color w:val="0000FF"/>
      <w:shd w:val="clear" w:color="auto" w:fill="auto"/>
    </w:rPr>
  </w:style>
  <w:style w:type="character" w:customStyle="1" w:styleId="Marker2">
    <w:name w:val="Marker2"/>
    <w:rsid w:val="00B43E07"/>
    <w:rPr>
      <w:color w:val="FF0000"/>
      <w:shd w:val="clear" w:color="auto" w:fill="auto"/>
    </w:rPr>
  </w:style>
  <w:style w:type="paragraph" w:customStyle="1" w:styleId="Annexetitre">
    <w:name w:val="Annexe titre"/>
    <w:basedOn w:val="Normal"/>
    <w:next w:val="Normal"/>
    <w:rsid w:val="00B43E07"/>
    <w:pPr>
      <w:spacing w:before="120" w:after="120"/>
      <w:jc w:val="center"/>
    </w:pPr>
    <w:rPr>
      <w:rFonts w:ascii="Times New Roman" w:eastAsia="Times New Roman" w:hAnsi="Times New Roman" w:cs="Times New Roman"/>
      <w:b/>
      <w:sz w:val="24"/>
      <w:u w:val="single"/>
      <w:lang w:val="en-GB"/>
    </w:rPr>
  </w:style>
  <w:style w:type="paragraph" w:customStyle="1" w:styleId="Applicationdirecte">
    <w:name w:val="Application directe"/>
    <w:basedOn w:val="Normal"/>
    <w:next w:val="Fait"/>
    <w:rsid w:val="00B43E07"/>
    <w:pPr>
      <w:spacing w:before="480" w:after="120"/>
      <w:jc w:val="both"/>
    </w:pPr>
    <w:rPr>
      <w:rFonts w:ascii="Times New Roman" w:eastAsia="Times New Roman" w:hAnsi="Times New Roman" w:cs="Times New Roman"/>
      <w:sz w:val="24"/>
      <w:lang w:val="en-GB"/>
    </w:rPr>
  </w:style>
  <w:style w:type="paragraph" w:customStyle="1" w:styleId="Considrant">
    <w:name w:val="Considérant"/>
    <w:basedOn w:val="Normal"/>
    <w:rsid w:val="00B43E07"/>
    <w:pPr>
      <w:numPr>
        <w:numId w:val="11"/>
      </w:numPr>
      <w:spacing w:before="120" w:after="120"/>
      <w:jc w:val="both"/>
    </w:pPr>
    <w:rPr>
      <w:rFonts w:ascii="Times New Roman" w:eastAsia="Times New Roman" w:hAnsi="Times New Roman" w:cs="Times New Roman"/>
      <w:sz w:val="24"/>
      <w:lang w:val="en-GB"/>
    </w:rPr>
  </w:style>
  <w:style w:type="paragraph" w:customStyle="1" w:styleId="Datedadoption">
    <w:name w:val="Date d'adoption"/>
    <w:basedOn w:val="Normal"/>
    <w:next w:val="Titreobjet"/>
    <w:rsid w:val="00B43E07"/>
    <w:pPr>
      <w:spacing w:before="360"/>
      <w:jc w:val="center"/>
    </w:pPr>
    <w:rPr>
      <w:rFonts w:ascii="Times New Roman" w:eastAsia="Times New Roman" w:hAnsi="Times New Roman" w:cs="Times New Roman"/>
      <w:b/>
      <w:sz w:val="24"/>
      <w:lang w:val="en-GB"/>
    </w:rPr>
  </w:style>
  <w:style w:type="paragraph" w:customStyle="1" w:styleId="Fait">
    <w:name w:val="Fait à"/>
    <w:basedOn w:val="Normal"/>
    <w:next w:val="Institutionquisigne"/>
    <w:rsid w:val="00B43E07"/>
    <w:pPr>
      <w:keepNext/>
      <w:spacing w:before="120"/>
      <w:jc w:val="both"/>
    </w:pPr>
    <w:rPr>
      <w:rFonts w:ascii="Times New Roman" w:eastAsia="Times New Roman" w:hAnsi="Times New Roman" w:cs="Times New Roman"/>
      <w:sz w:val="24"/>
      <w:lang w:val="en-GB"/>
    </w:rPr>
  </w:style>
  <w:style w:type="paragraph" w:customStyle="1" w:styleId="Formuledadoption">
    <w:name w:val="Formule d'adoption"/>
    <w:basedOn w:val="Normal"/>
    <w:next w:val="Titrearticle"/>
    <w:rsid w:val="00B43E07"/>
    <w:pPr>
      <w:keepNext/>
      <w:spacing w:before="120" w:after="120"/>
      <w:jc w:val="both"/>
    </w:pPr>
    <w:rPr>
      <w:rFonts w:ascii="Times New Roman" w:eastAsia="Times New Roman" w:hAnsi="Times New Roman" w:cs="Times New Roman"/>
      <w:sz w:val="24"/>
      <w:lang w:val="en-GB"/>
    </w:rPr>
  </w:style>
  <w:style w:type="paragraph" w:customStyle="1" w:styleId="Institutionquisigne">
    <w:name w:val="Institution qui signe"/>
    <w:basedOn w:val="Normal"/>
    <w:next w:val="Personnequisigne"/>
    <w:rsid w:val="00B43E07"/>
    <w:pPr>
      <w:keepNext/>
      <w:tabs>
        <w:tab w:val="left" w:pos="4252"/>
      </w:tabs>
      <w:spacing w:before="720"/>
      <w:jc w:val="both"/>
    </w:pPr>
    <w:rPr>
      <w:rFonts w:ascii="Times New Roman" w:eastAsia="Times New Roman" w:hAnsi="Times New Roman" w:cs="Times New Roman"/>
      <w:i/>
      <w:sz w:val="24"/>
      <w:lang w:val="en-GB"/>
    </w:rPr>
  </w:style>
  <w:style w:type="paragraph" w:customStyle="1" w:styleId="Personnequisigne">
    <w:name w:val="Personne qui signe"/>
    <w:basedOn w:val="Normal"/>
    <w:next w:val="Institutionquisigne"/>
    <w:rsid w:val="00B43E07"/>
    <w:pPr>
      <w:tabs>
        <w:tab w:val="left" w:pos="4252"/>
      </w:tabs>
    </w:pPr>
    <w:rPr>
      <w:rFonts w:ascii="Times New Roman" w:eastAsia="Times New Roman" w:hAnsi="Times New Roman" w:cs="Times New Roman"/>
      <w:i/>
      <w:sz w:val="24"/>
      <w:lang w:val="en-GB"/>
    </w:rPr>
  </w:style>
  <w:style w:type="paragraph" w:customStyle="1" w:styleId="Titrearticle">
    <w:name w:val="Titre article"/>
    <w:basedOn w:val="Normal"/>
    <w:next w:val="Normal"/>
    <w:rsid w:val="00B43E07"/>
    <w:pPr>
      <w:keepNext/>
      <w:spacing w:before="360" w:after="120"/>
      <w:jc w:val="center"/>
    </w:pPr>
    <w:rPr>
      <w:rFonts w:ascii="Times New Roman" w:eastAsia="Times New Roman" w:hAnsi="Times New Roman" w:cs="Times New Roman"/>
      <w:i/>
      <w:sz w:val="24"/>
      <w:lang w:val="en-GB"/>
    </w:rPr>
  </w:style>
  <w:style w:type="paragraph" w:customStyle="1" w:styleId="Titreobjet">
    <w:name w:val="Titre objet"/>
    <w:basedOn w:val="Normal"/>
    <w:next w:val="Normal"/>
    <w:rsid w:val="00B43E07"/>
    <w:pPr>
      <w:spacing w:before="360" w:after="360"/>
      <w:jc w:val="center"/>
    </w:pPr>
    <w:rPr>
      <w:rFonts w:ascii="Times New Roman" w:eastAsia="Times New Roman" w:hAnsi="Times New Roman" w:cs="Times New Roman"/>
      <w:b/>
      <w:sz w:val="24"/>
      <w:lang w:val="en-GB"/>
    </w:rPr>
  </w:style>
  <w:style w:type="paragraph" w:customStyle="1" w:styleId="Typedudocument">
    <w:name w:val="Type du document"/>
    <w:basedOn w:val="Normal"/>
    <w:next w:val="Titreobjet"/>
    <w:rsid w:val="00B43E07"/>
    <w:pPr>
      <w:spacing w:before="360"/>
      <w:jc w:val="center"/>
    </w:pPr>
    <w:rPr>
      <w:rFonts w:ascii="Times New Roman" w:eastAsia="Times New Roman" w:hAnsi="Times New Roman" w:cs="Times New Roman"/>
      <w:b/>
      <w:sz w:val="24"/>
      <w:lang w:val="en-GB"/>
    </w:rPr>
  </w:style>
  <w:style w:type="paragraph" w:customStyle="1" w:styleId="Pagedecouverture">
    <w:name w:val="Page de couverture"/>
    <w:basedOn w:val="Normal"/>
    <w:next w:val="Normal"/>
    <w:rsid w:val="00B43E07"/>
    <w:pPr>
      <w:spacing w:before="120" w:after="120"/>
      <w:jc w:val="both"/>
    </w:pPr>
    <w:rPr>
      <w:rFonts w:ascii="Times New Roman" w:eastAsia="Times New Roman" w:hAnsi="Times New Roman" w:cs="Times New Roman"/>
      <w:sz w:val="24"/>
      <w:lang w:val="en-GB"/>
    </w:rPr>
  </w:style>
  <w:style w:type="paragraph" w:customStyle="1" w:styleId="Institutionquiagit">
    <w:name w:val="Institution qui agit"/>
    <w:basedOn w:val="Normal"/>
    <w:next w:val="Normal"/>
    <w:rsid w:val="00B43E07"/>
    <w:pPr>
      <w:keepNext/>
      <w:spacing w:before="600" w:after="120"/>
      <w:jc w:val="both"/>
    </w:pPr>
    <w:rPr>
      <w:rFonts w:ascii="Times New Roman" w:eastAsia="Times New Roman" w:hAnsi="Times New Roman" w:cs="Times New Roman"/>
      <w:sz w:val="24"/>
      <w:lang w:val="en-GB"/>
    </w:rPr>
  </w:style>
  <w:style w:type="paragraph" w:styleId="ListParagraph">
    <w:name w:val="List Paragraph"/>
    <w:basedOn w:val="Normal"/>
    <w:uiPriority w:val="34"/>
    <w:qFormat/>
    <w:rsid w:val="009F12DA"/>
    <w:pPr>
      <w:ind w:left="720"/>
    </w:pPr>
    <w:rPr>
      <w:rFonts w:ascii="Calibri" w:eastAsia="Calibri" w:hAnsi="Calibri" w:cs="Times New Roman"/>
      <w:szCs w:val="22"/>
      <w:lang w:val="en-GB"/>
    </w:rPr>
  </w:style>
  <w:style w:type="character" w:styleId="CommentReference">
    <w:name w:val="annotation reference"/>
    <w:basedOn w:val="DefaultParagraphFont"/>
    <w:uiPriority w:val="99"/>
    <w:semiHidden/>
    <w:unhideWhenUsed/>
    <w:rsid w:val="00EB729A"/>
    <w:rPr>
      <w:sz w:val="16"/>
      <w:szCs w:val="16"/>
    </w:rPr>
  </w:style>
  <w:style w:type="paragraph" w:styleId="CommentText">
    <w:name w:val="annotation text"/>
    <w:basedOn w:val="Normal"/>
    <w:link w:val="CommentTextChar"/>
    <w:uiPriority w:val="99"/>
    <w:semiHidden/>
    <w:unhideWhenUsed/>
    <w:rsid w:val="00EB729A"/>
    <w:rPr>
      <w:sz w:val="20"/>
      <w:szCs w:val="20"/>
    </w:rPr>
  </w:style>
  <w:style w:type="character" w:customStyle="1" w:styleId="CommentTextChar">
    <w:name w:val="Comment Text Char"/>
    <w:basedOn w:val="DefaultParagraphFont"/>
    <w:link w:val="CommentText"/>
    <w:uiPriority w:val="99"/>
    <w:semiHidden/>
    <w:rsid w:val="00EB729A"/>
    <w:rPr>
      <w:sz w:val="20"/>
      <w:szCs w:val="20"/>
    </w:rPr>
  </w:style>
  <w:style w:type="paragraph" w:styleId="CommentSubject">
    <w:name w:val="annotation subject"/>
    <w:basedOn w:val="CommentText"/>
    <w:next w:val="CommentText"/>
    <w:link w:val="CommentSubjectChar"/>
    <w:uiPriority w:val="99"/>
    <w:semiHidden/>
    <w:unhideWhenUsed/>
    <w:rsid w:val="00EB729A"/>
    <w:rPr>
      <w:b/>
      <w:bCs/>
    </w:rPr>
  </w:style>
  <w:style w:type="character" w:customStyle="1" w:styleId="CommentSubjectChar">
    <w:name w:val="Comment Subject Char"/>
    <w:basedOn w:val="CommentTextChar"/>
    <w:link w:val="CommentSubject"/>
    <w:uiPriority w:val="99"/>
    <w:semiHidden/>
    <w:rsid w:val="00EB729A"/>
    <w:rPr>
      <w:b/>
      <w:bCs/>
      <w:sz w:val="20"/>
      <w:szCs w:val="20"/>
    </w:rPr>
  </w:style>
  <w:style w:type="paragraph" w:customStyle="1" w:styleId="CM1">
    <w:name w:val="CM1"/>
    <w:basedOn w:val="Default"/>
    <w:next w:val="Default"/>
    <w:uiPriority w:val="99"/>
    <w:rsid w:val="006641F5"/>
    <w:rPr>
      <w:rFonts w:ascii="Times New Roman" w:eastAsiaTheme="minorEastAsia" w:hAnsi="Times New Roman" w:cs="Times New Roman"/>
      <w:color w:val="auto"/>
    </w:rPr>
  </w:style>
  <w:style w:type="paragraph" w:customStyle="1" w:styleId="CM3">
    <w:name w:val="CM3"/>
    <w:basedOn w:val="Default"/>
    <w:next w:val="Default"/>
    <w:uiPriority w:val="99"/>
    <w:rsid w:val="006641F5"/>
    <w:rPr>
      <w:rFonts w:ascii="Times New Roman" w:eastAsiaTheme="minorEastAsia" w:hAnsi="Times New Roman" w:cs="Times New Roman"/>
      <w:color w:val="auto"/>
    </w:rPr>
  </w:style>
  <w:style w:type="character" w:customStyle="1" w:styleId="bodyChar">
    <w:name w:val="body Char"/>
    <w:basedOn w:val="DefaultParagraphFont"/>
    <w:link w:val="body"/>
    <w:rsid w:val="00FD4C91"/>
    <w:rPr>
      <w:sz w:val="22"/>
    </w:rPr>
  </w:style>
  <w:style w:type="character" w:styleId="FollowedHyperlink">
    <w:name w:val="FollowedHyperlink"/>
    <w:basedOn w:val="DefaultParagraphFont"/>
    <w:uiPriority w:val="99"/>
    <w:semiHidden/>
    <w:unhideWhenUsed/>
    <w:rsid w:val="00DA07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663650">
      <w:bodyDiv w:val="1"/>
      <w:marLeft w:val="0"/>
      <w:marRight w:val="0"/>
      <w:marTop w:val="0"/>
      <w:marBottom w:val="0"/>
      <w:divBdr>
        <w:top w:val="none" w:sz="0" w:space="0" w:color="auto"/>
        <w:left w:val="none" w:sz="0" w:space="0" w:color="auto"/>
        <w:bottom w:val="none" w:sz="0" w:space="0" w:color="auto"/>
        <w:right w:val="none" w:sz="0" w:space="0" w:color="auto"/>
      </w:divBdr>
    </w:div>
    <w:div w:id="426080022">
      <w:bodyDiv w:val="1"/>
      <w:marLeft w:val="0"/>
      <w:marRight w:val="0"/>
      <w:marTop w:val="0"/>
      <w:marBottom w:val="0"/>
      <w:divBdr>
        <w:top w:val="none" w:sz="0" w:space="0" w:color="auto"/>
        <w:left w:val="none" w:sz="0" w:space="0" w:color="auto"/>
        <w:bottom w:val="none" w:sz="0" w:space="0" w:color="auto"/>
        <w:right w:val="none" w:sz="0" w:space="0" w:color="auto"/>
      </w:divBdr>
    </w:div>
    <w:div w:id="568349685">
      <w:bodyDiv w:val="1"/>
      <w:marLeft w:val="0"/>
      <w:marRight w:val="0"/>
      <w:marTop w:val="0"/>
      <w:marBottom w:val="0"/>
      <w:divBdr>
        <w:top w:val="none" w:sz="0" w:space="0" w:color="auto"/>
        <w:left w:val="none" w:sz="0" w:space="0" w:color="auto"/>
        <w:bottom w:val="none" w:sz="0" w:space="0" w:color="auto"/>
        <w:right w:val="none" w:sz="0" w:space="0" w:color="auto"/>
      </w:divBdr>
    </w:div>
    <w:div w:id="704209379">
      <w:bodyDiv w:val="1"/>
      <w:marLeft w:val="0"/>
      <w:marRight w:val="0"/>
      <w:marTop w:val="0"/>
      <w:marBottom w:val="0"/>
      <w:divBdr>
        <w:top w:val="none" w:sz="0" w:space="0" w:color="auto"/>
        <w:left w:val="none" w:sz="0" w:space="0" w:color="auto"/>
        <w:bottom w:val="none" w:sz="0" w:space="0" w:color="auto"/>
        <w:right w:val="none" w:sz="0" w:space="0" w:color="auto"/>
      </w:divBdr>
    </w:div>
    <w:div w:id="1124035648">
      <w:bodyDiv w:val="1"/>
      <w:marLeft w:val="0"/>
      <w:marRight w:val="0"/>
      <w:marTop w:val="0"/>
      <w:marBottom w:val="0"/>
      <w:divBdr>
        <w:top w:val="none" w:sz="0" w:space="0" w:color="auto"/>
        <w:left w:val="none" w:sz="0" w:space="0" w:color="auto"/>
        <w:bottom w:val="none" w:sz="0" w:space="0" w:color="auto"/>
        <w:right w:val="none" w:sz="0" w:space="0" w:color="auto"/>
      </w:divBdr>
    </w:div>
    <w:div w:id="1209341947">
      <w:bodyDiv w:val="1"/>
      <w:marLeft w:val="0"/>
      <w:marRight w:val="0"/>
      <w:marTop w:val="0"/>
      <w:marBottom w:val="0"/>
      <w:divBdr>
        <w:top w:val="none" w:sz="0" w:space="0" w:color="auto"/>
        <w:left w:val="none" w:sz="0" w:space="0" w:color="auto"/>
        <w:bottom w:val="none" w:sz="0" w:space="0" w:color="auto"/>
        <w:right w:val="none" w:sz="0" w:space="0" w:color="auto"/>
      </w:divBdr>
    </w:div>
    <w:div w:id="1352029809">
      <w:bodyDiv w:val="1"/>
      <w:marLeft w:val="0"/>
      <w:marRight w:val="0"/>
      <w:marTop w:val="0"/>
      <w:marBottom w:val="0"/>
      <w:divBdr>
        <w:top w:val="none" w:sz="0" w:space="0" w:color="auto"/>
        <w:left w:val="none" w:sz="0" w:space="0" w:color="auto"/>
        <w:bottom w:val="none" w:sz="0" w:space="0" w:color="auto"/>
        <w:right w:val="none" w:sz="0" w:space="0" w:color="auto"/>
      </w:divBdr>
    </w:div>
    <w:div w:id="1596016369">
      <w:bodyDiv w:val="1"/>
      <w:marLeft w:val="0"/>
      <w:marRight w:val="0"/>
      <w:marTop w:val="0"/>
      <w:marBottom w:val="0"/>
      <w:divBdr>
        <w:top w:val="none" w:sz="0" w:space="0" w:color="auto"/>
        <w:left w:val="none" w:sz="0" w:space="0" w:color="auto"/>
        <w:bottom w:val="none" w:sz="0" w:space="0" w:color="auto"/>
        <w:right w:val="none" w:sz="0" w:space="0" w:color="auto"/>
      </w:divBdr>
    </w:div>
    <w:div w:id="1644120237">
      <w:bodyDiv w:val="1"/>
      <w:marLeft w:val="0"/>
      <w:marRight w:val="0"/>
      <w:marTop w:val="0"/>
      <w:marBottom w:val="0"/>
      <w:divBdr>
        <w:top w:val="none" w:sz="0" w:space="0" w:color="auto"/>
        <w:left w:val="none" w:sz="0" w:space="0" w:color="auto"/>
        <w:bottom w:val="none" w:sz="0" w:space="0" w:color="auto"/>
        <w:right w:val="none" w:sz="0" w:space="0" w:color="auto"/>
      </w:divBdr>
    </w:div>
    <w:div w:id="1881749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iance@eba.europa.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ba.europa.eu/regulation-and-policy/liquidity-risk/guidelines-on-harmonised-definitions-and-templates-for-funding-plans-of-credit-institutions/" TargetMode="External"/></Relationships>
</file>

<file path=word/theme/theme1.xml><?xml version="1.0" encoding="utf-8"?>
<a:theme xmlns:a="http://schemas.openxmlformats.org/drawingml/2006/main" name="EBA template">
  <a:themeElements>
    <a:clrScheme name="EBA theme 2">
      <a:dk1>
        <a:srgbClr val="000000"/>
      </a:dk1>
      <a:lt1>
        <a:sysClr val="window" lastClr="FFFFFF"/>
      </a:lt1>
      <a:dk2>
        <a:srgbClr val="2F5773"/>
      </a:dk2>
      <a:lt2>
        <a:srgbClr val="E98E31"/>
      </a:lt2>
      <a:accent1>
        <a:srgbClr val="2F5773"/>
      </a:accent1>
      <a:accent2>
        <a:srgbClr val="EA933B"/>
      </a:accent2>
      <a:accent3>
        <a:srgbClr val="D44D2A"/>
      </a:accent3>
      <a:accent4>
        <a:srgbClr val="49AB74"/>
      </a:accent4>
      <a:accent5>
        <a:srgbClr val="52666E"/>
      </a:accent5>
      <a:accent6>
        <a:srgbClr val="163A5A"/>
      </a:accent6>
      <a:hlink>
        <a:srgbClr val="2F5773"/>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31217-CE44-410A-A1B4-908F3AACB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970</Words>
  <Characters>5533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CDT</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CDT</dc:creator>
  <cp:lastModifiedBy>Cristina Abascal</cp:lastModifiedBy>
  <cp:revision>3</cp:revision>
  <dcterms:created xsi:type="dcterms:W3CDTF">2019-12-09T16:16:00Z</dcterms:created>
  <dcterms:modified xsi:type="dcterms:W3CDTF">2020-05-05T14:42:00Z</dcterms:modified>
</cp:coreProperties>
</file>