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B8995" w14:textId="77777777" w:rsidR="00AE5644" w:rsidRPr="005B2FEB" w:rsidRDefault="005B2FEB">
      <w:pPr>
        <w:spacing w:after="240" w:line="240" w:lineRule="auto"/>
        <w:jc w:val="center"/>
        <w:rPr>
          <w:rFonts w:ascii="Times New Roman" w:eastAsia="Times New Roman" w:hAnsi="Times New Roman" w:cs="Times New Roman"/>
          <w:b/>
          <w:sz w:val="24"/>
          <w:szCs w:val="20"/>
          <w:lang w:val="en-IE" w:eastAsia="en-GB"/>
        </w:rPr>
      </w:pPr>
      <w:bookmarkStart w:id="0" w:name="_Toc359315628"/>
      <w:bookmarkStart w:id="1" w:name="_Toc361844197"/>
      <w:bookmarkStart w:id="2" w:name="_Toc473560873"/>
      <w:bookmarkStart w:id="3" w:name="_Toc7084158"/>
      <w:bookmarkStart w:id="4" w:name="_Toc308175820"/>
      <w:bookmarkStart w:id="5" w:name="_Toc360188325"/>
      <w:r w:rsidRPr="005B2FEB">
        <w:rPr>
          <w:rFonts w:ascii="Times New Roman" w:eastAsia="Times New Roman" w:hAnsi="Times New Roman" w:cs="Times New Roman"/>
          <w:b/>
          <w:sz w:val="24"/>
          <w:szCs w:val="24"/>
          <w:lang w:val="en-IE" w:eastAsia="de-DE"/>
        </w:rPr>
        <w:t>EN</w:t>
      </w:r>
      <w:r w:rsidRPr="005B2FEB">
        <w:rPr>
          <w:rFonts w:ascii="Times New Roman" w:eastAsia="Times New Roman" w:hAnsi="Times New Roman" w:cs="Times New Roman"/>
          <w:b/>
          <w:sz w:val="24"/>
          <w:szCs w:val="24"/>
          <w:lang w:val="en-IE" w:eastAsia="de-DE"/>
        </w:rPr>
        <w:br/>
      </w:r>
      <w:r w:rsidRPr="005B2FEB">
        <w:rPr>
          <w:rFonts w:ascii="Times New Roman" w:eastAsia="Times New Roman" w:hAnsi="Times New Roman" w:cs="Times New Roman"/>
          <w:b/>
          <w:sz w:val="24"/>
          <w:szCs w:val="20"/>
          <w:lang w:val="en-IE" w:eastAsia="en-GB"/>
        </w:rPr>
        <w:t>ANNEX IX</w:t>
      </w:r>
    </w:p>
    <w:p w14:paraId="371A1570" w14:textId="77777777" w:rsidR="00AE5644" w:rsidRPr="005B2FEB" w:rsidRDefault="005B2FEB">
      <w:pPr>
        <w:spacing w:after="240" w:line="240" w:lineRule="auto"/>
        <w:jc w:val="center"/>
        <w:rPr>
          <w:rFonts w:ascii="Times New Roman" w:eastAsia="Times New Roman" w:hAnsi="Times New Roman" w:cs="Times New Roman"/>
          <w:b/>
          <w:sz w:val="24"/>
          <w:szCs w:val="20"/>
          <w:u w:val="single"/>
          <w:lang w:val="en-IE" w:eastAsia="en-GB"/>
        </w:rPr>
      </w:pPr>
      <w:r w:rsidRPr="005B2FEB">
        <w:rPr>
          <w:rFonts w:ascii="Times New Roman" w:eastAsia="Times New Roman" w:hAnsi="Times New Roman" w:cs="Times New Roman"/>
          <w:b/>
          <w:sz w:val="24"/>
          <w:szCs w:val="20"/>
          <w:u w:val="single"/>
          <w:lang w:val="en-IE" w:eastAsia="en-GB"/>
        </w:rPr>
        <w:t>“</w:t>
      </w:r>
      <w:r w:rsidRPr="005B2FEB">
        <w:rPr>
          <w:rFonts w:ascii="Times New Roman" w:eastAsia="Times New Roman" w:hAnsi="Times New Roman" w:cs="Times New Roman"/>
          <w:b/>
          <w:sz w:val="24"/>
          <w:szCs w:val="20"/>
          <w:u w:val="single"/>
          <w:lang w:val="en-IE" w:eastAsia="en-GB"/>
        </w:rPr>
        <w:t xml:space="preserve">ANNEX </w:t>
      </w:r>
      <w:bookmarkEnd w:id="0"/>
      <w:bookmarkEnd w:id="1"/>
      <w:r w:rsidRPr="005B2FEB">
        <w:rPr>
          <w:rFonts w:ascii="Times New Roman" w:eastAsia="Times New Roman" w:hAnsi="Times New Roman" w:cs="Times New Roman"/>
          <w:b/>
          <w:sz w:val="24"/>
          <w:szCs w:val="20"/>
          <w:u w:val="single"/>
          <w:lang w:val="en-IE" w:eastAsia="en-GB"/>
        </w:rPr>
        <w:t>IX</w:t>
      </w:r>
    </w:p>
    <w:p w14:paraId="7EB52A59" w14:textId="77777777" w:rsidR="00AE5644" w:rsidRPr="005B2FEB" w:rsidRDefault="005B2FEB">
      <w:pPr>
        <w:spacing w:after="240" w:line="240" w:lineRule="auto"/>
        <w:jc w:val="center"/>
        <w:rPr>
          <w:rFonts w:ascii="Times New Roman" w:eastAsia="Times New Roman" w:hAnsi="Times New Roman" w:cs="Times New Roman"/>
          <w:b/>
          <w:sz w:val="24"/>
          <w:szCs w:val="20"/>
          <w:lang w:val="en-IE" w:eastAsia="en-GB"/>
        </w:rPr>
      </w:pPr>
      <w:r w:rsidRPr="005B2FEB">
        <w:rPr>
          <w:rFonts w:ascii="Times New Roman" w:eastAsia="Times New Roman" w:hAnsi="Times New Roman" w:cs="Times New Roman"/>
          <w:b/>
          <w:sz w:val="24"/>
          <w:szCs w:val="20"/>
          <w:lang w:val="en-IE" w:eastAsia="en-GB"/>
        </w:rPr>
        <w:t>REPORTING ON GROUP CAPITAL TEST</w:t>
      </w:r>
    </w:p>
    <w:p w14:paraId="07268F2C" w14:textId="77777777" w:rsidR="00AE5644" w:rsidRPr="005B2FEB" w:rsidRDefault="005B2FEB">
      <w:pPr>
        <w:spacing w:after="0" w:line="240" w:lineRule="auto"/>
        <w:rPr>
          <w:rFonts w:ascii="Times New Roman" w:eastAsia="Times New Roman" w:hAnsi="Times New Roman" w:cs="Times New Roman"/>
          <w:sz w:val="24"/>
          <w:szCs w:val="24"/>
          <w:lang w:val="en-IE" w:eastAsia="en-GB"/>
        </w:rPr>
      </w:pPr>
      <w:r w:rsidRPr="005B2FEB">
        <w:rPr>
          <w:rFonts w:ascii="Times New Roman" w:eastAsia="Times New Roman" w:hAnsi="Times New Roman" w:cs="Times New Roman"/>
          <w:sz w:val="24"/>
          <w:szCs w:val="24"/>
          <w:lang w:val="en-IE" w:eastAsia="en-GB"/>
        </w:rPr>
        <w:t>Table of contents</w:t>
      </w:r>
    </w:p>
    <w:p w14:paraId="6D4F41C1" w14:textId="77777777" w:rsidR="00AE5644" w:rsidRPr="005B2FEB" w:rsidRDefault="005B2FEB">
      <w:pPr>
        <w:pStyle w:val="TOC2"/>
        <w:tabs>
          <w:tab w:val="right" w:leader="dot" w:pos="9016"/>
        </w:tabs>
        <w:rPr>
          <w:rFonts w:eastAsiaTheme="minorEastAsia"/>
          <w:noProof/>
          <w:lang w:val="en-IE" w:eastAsia="en-GB"/>
        </w:rPr>
      </w:pPr>
      <w:r w:rsidRPr="005B2FEB">
        <w:rPr>
          <w:rFonts w:ascii="Times New Roman" w:hAnsi="Times New Roman"/>
          <w:noProof/>
          <w:lang w:val="en-IE"/>
        </w:rPr>
        <w:t>PART I: GENERAL INSTRUCTIONS</w:t>
      </w:r>
      <w:r w:rsidRPr="005B2FEB">
        <w:rPr>
          <w:noProof/>
          <w:lang w:val="en-IE"/>
        </w:rPr>
        <w:tab/>
        <w:t>2</w:t>
      </w:r>
    </w:p>
    <w:p w14:paraId="149A80DA" w14:textId="77777777" w:rsidR="00AE5644" w:rsidRPr="005B2FEB" w:rsidRDefault="005B2FEB">
      <w:pPr>
        <w:pStyle w:val="TOC2"/>
        <w:tabs>
          <w:tab w:val="right" w:leader="dot" w:pos="9016"/>
        </w:tabs>
        <w:rPr>
          <w:rFonts w:eastAsiaTheme="minorEastAsia"/>
          <w:noProof/>
          <w:lang w:val="en-IE" w:eastAsia="en-GB"/>
        </w:rPr>
      </w:pPr>
      <w:r w:rsidRPr="005B2FEB">
        <w:rPr>
          <w:rFonts w:ascii="Times New Roman" w:eastAsia="Arial" w:hAnsi="Times New Roman" w:cs="Times New Roman"/>
          <w:noProof/>
          <w:lang w:val="en-IE"/>
        </w:rPr>
        <w:t>1. Structure and conventions</w:t>
      </w:r>
      <w:r w:rsidRPr="005B2FEB">
        <w:rPr>
          <w:noProof/>
          <w:lang w:val="en-IE"/>
        </w:rPr>
        <w:tab/>
        <w:t>2</w:t>
      </w:r>
    </w:p>
    <w:p w14:paraId="064DE8DD" w14:textId="77777777" w:rsidR="00AE5644" w:rsidRPr="005B2FEB" w:rsidRDefault="005B2FEB">
      <w:pPr>
        <w:pStyle w:val="TOC2"/>
        <w:tabs>
          <w:tab w:val="right" w:leader="dot" w:pos="9016"/>
        </w:tabs>
        <w:rPr>
          <w:rFonts w:eastAsiaTheme="minorEastAsia"/>
          <w:noProof/>
          <w:lang w:val="en-IE" w:eastAsia="en-GB"/>
        </w:rPr>
      </w:pPr>
      <w:r w:rsidRPr="005B2FEB">
        <w:rPr>
          <w:rFonts w:ascii="Times New Roman" w:eastAsia="Arial" w:hAnsi="Times New Roman" w:cs="Times New Roman"/>
          <w:noProof/>
          <w:u w:val="single"/>
          <w:lang w:val="en-IE"/>
        </w:rPr>
        <w:t>1.1</w:t>
      </w:r>
      <w:r w:rsidRPr="005B2FEB">
        <w:rPr>
          <w:rFonts w:ascii="Times New Roman" w:eastAsia="Arial" w:hAnsi="Times New Roman" w:cs="Times New Roman"/>
          <w:noProof/>
          <w:u w:val="single"/>
          <w:lang w:val="en-IE"/>
        </w:rPr>
        <w:t xml:space="preserve"> Structure</w:t>
      </w:r>
      <w:r w:rsidRPr="005B2FEB">
        <w:rPr>
          <w:noProof/>
          <w:lang w:val="en-IE"/>
        </w:rPr>
        <w:tab/>
        <w:t>2</w:t>
      </w:r>
    </w:p>
    <w:p w14:paraId="75EB2C91" w14:textId="77777777" w:rsidR="00AE5644" w:rsidRPr="005B2FEB" w:rsidRDefault="005B2FEB">
      <w:pPr>
        <w:pStyle w:val="TOC2"/>
        <w:tabs>
          <w:tab w:val="right" w:leader="dot" w:pos="9016"/>
        </w:tabs>
        <w:rPr>
          <w:rFonts w:eastAsiaTheme="minorEastAsia"/>
          <w:noProof/>
          <w:lang w:val="en-IE" w:eastAsia="en-GB"/>
        </w:rPr>
      </w:pPr>
      <w:r w:rsidRPr="005B2FEB">
        <w:rPr>
          <w:rFonts w:ascii="Times New Roman" w:eastAsia="Arial" w:hAnsi="Times New Roman" w:cs="Times New Roman"/>
          <w:noProof/>
          <w:u w:val="single"/>
          <w:lang w:val="en-IE"/>
        </w:rPr>
        <w:t>1.2</w:t>
      </w:r>
      <w:r w:rsidRPr="005B2FEB">
        <w:rPr>
          <w:rFonts w:ascii="Times New Roman" w:eastAsia="Arial" w:hAnsi="Times New Roman" w:cs="Times New Roman"/>
          <w:noProof/>
          <w:u w:val="single"/>
          <w:lang w:val="en-IE"/>
        </w:rPr>
        <w:t xml:space="preserve"> Numbering convention</w:t>
      </w:r>
      <w:r w:rsidRPr="005B2FEB">
        <w:rPr>
          <w:noProof/>
          <w:lang w:val="en-IE"/>
        </w:rPr>
        <w:tab/>
        <w:t>2</w:t>
      </w:r>
    </w:p>
    <w:p w14:paraId="5A199F0D" w14:textId="77777777" w:rsidR="00AE5644" w:rsidRPr="005B2FEB" w:rsidRDefault="005B2FEB">
      <w:pPr>
        <w:pStyle w:val="TOC2"/>
        <w:tabs>
          <w:tab w:val="right" w:leader="dot" w:pos="9016"/>
        </w:tabs>
        <w:rPr>
          <w:rFonts w:eastAsiaTheme="minorEastAsia"/>
          <w:noProof/>
          <w:lang w:val="en-IE" w:eastAsia="en-GB"/>
        </w:rPr>
      </w:pPr>
      <w:r w:rsidRPr="005B2FEB">
        <w:rPr>
          <w:rFonts w:ascii="Times New Roman" w:eastAsia="Arial" w:hAnsi="Times New Roman" w:cs="Times New Roman"/>
          <w:noProof/>
          <w:u w:val="single"/>
          <w:lang w:val="en-IE"/>
        </w:rPr>
        <w:t>1.3</w:t>
      </w:r>
      <w:r w:rsidRPr="005B2FEB">
        <w:rPr>
          <w:rFonts w:ascii="Times New Roman" w:eastAsia="Arial" w:hAnsi="Times New Roman" w:cs="Times New Roman"/>
          <w:noProof/>
          <w:u w:val="single"/>
          <w:lang w:val="en-IE"/>
        </w:rPr>
        <w:t xml:space="preserve"> Sign convention</w:t>
      </w:r>
      <w:r w:rsidRPr="005B2FEB">
        <w:rPr>
          <w:noProof/>
          <w:lang w:val="en-IE"/>
        </w:rPr>
        <w:tab/>
        <w:t>3</w:t>
      </w:r>
    </w:p>
    <w:p w14:paraId="23F7909D" w14:textId="77777777" w:rsidR="00AE5644" w:rsidRPr="005B2FEB" w:rsidRDefault="005B2FEB">
      <w:pPr>
        <w:pStyle w:val="TOC2"/>
        <w:tabs>
          <w:tab w:val="right" w:leader="dot" w:pos="9016"/>
        </w:tabs>
        <w:rPr>
          <w:rFonts w:eastAsiaTheme="minorEastAsia"/>
          <w:noProof/>
          <w:lang w:val="en-IE" w:eastAsia="en-GB"/>
        </w:rPr>
      </w:pPr>
      <w:r w:rsidRPr="005B2FEB">
        <w:rPr>
          <w:rFonts w:ascii="Times New Roman" w:hAnsi="Times New Roman"/>
          <w:noProof/>
          <w:lang w:val="en-IE"/>
        </w:rPr>
        <w:t xml:space="preserve">PART II: TEMPLATE RELATED </w:t>
      </w:r>
      <w:r w:rsidRPr="005B2FEB">
        <w:rPr>
          <w:rFonts w:ascii="Times New Roman" w:hAnsi="Times New Roman"/>
          <w:noProof/>
          <w:lang w:val="en-IE"/>
        </w:rPr>
        <w:t>INSTRUCTIONS</w:t>
      </w:r>
      <w:r w:rsidRPr="005B2FEB">
        <w:rPr>
          <w:noProof/>
          <w:lang w:val="en-IE"/>
        </w:rPr>
        <w:tab/>
        <w:t>3</w:t>
      </w:r>
    </w:p>
    <w:p w14:paraId="6B73972C" w14:textId="77777777" w:rsidR="00AE5644" w:rsidRPr="005B2FEB" w:rsidRDefault="005B2FEB">
      <w:pPr>
        <w:pStyle w:val="TOC2"/>
        <w:tabs>
          <w:tab w:val="right" w:leader="dot" w:pos="9016"/>
        </w:tabs>
        <w:rPr>
          <w:rFonts w:eastAsiaTheme="minorEastAsia"/>
          <w:noProof/>
          <w:lang w:val="en-IE" w:eastAsia="en-GB"/>
        </w:rPr>
      </w:pPr>
      <w:r w:rsidRPr="005B2FEB">
        <w:rPr>
          <w:rFonts w:ascii="Times New Roman" w:hAnsi="Times New Roman" w:cs="Times New Roman"/>
          <w:b/>
          <w:noProof/>
          <w:lang w:val="en-IE"/>
        </w:rPr>
        <w:t>1. OWN FUNDS: LEVEL, COMPOSITION, REQUIREMENTS AND CALCULATION</w:t>
      </w:r>
      <w:r w:rsidRPr="005B2FEB">
        <w:rPr>
          <w:noProof/>
          <w:lang w:val="en-IE"/>
        </w:rPr>
        <w:tab/>
        <w:t>3</w:t>
      </w:r>
    </w:p>
    <w:p w14:paraId="4C7B5F68" w14:textId="77777777" w:rsidR="00AE5644" w:rsidRPr="005B2FEB" w:rsidRDefault="005B2FEB">
      <w:pPr>
        <w:pStyle w:val="TOC2"/>
        <w:tabs>
          <w:tab w:val="right" w:leader="dot" w:pos="9016"/>
        </w:tabs>
        <w:rPr>
          <w:rFonts w:eastAsiaTheme="minorEastAsia"/>
          <w:noProof/>
          <w:lang w:val="en-IE" w:eastAsia="en-GB"/>
        </w:rPr>
      </w:pPr>
      <w:r w:rsidRPr="005B2FEB">
        <w:rPr>
          <w:rFonts w:ascii="Times New Roman" w:hAnsi="Times New Roman" w:cs="Times New Roman"/>
          <w:noProof/>
          <w:lang w:val="en-IE"/>
        </w:rPr>
        <w:t>1.1</w:t>
      </w:r>
      <w:r w:rsidRPr="005B2FEB">
        <w:rPr>
          <w:rFonts w:ascii="Times New Roman" w:hAnsi="Times New Roman" w:cs="Times New Roman"/>
          <w:noProof/>
          <w:lang w:val="en-IE"/>
        </w:rPr>
        <w:t xml:space="preserve"> General Remarks</w:t>
      </w:r>
      <w:r w:rsidRPr="005B2FEB">
        <w:rPr>
          <w:noProof/>
          <w:lang w:val="en-IE"/>
        </w:rPr>
        <w:tab/>
        <w:t>3</w:t>
      </w:r>
    </w:p>
    <w:p w14:paraId="3407EC54" w14:textId="77777777" w:rsidR="00AE5644" w:rsidRPr="005B2FEB" w:rsidRDefault="005B2FEB">
      <w:pPr>
        <w:pStyle w:val="TOC2"/>
        <w:tabs>
          <w:tab w:val="right" w:leader="dot" w:pos="9016"/>
        </w:tabs>
        <w:rPr>
          <w:rFonts w:eastAsiaTheme="minorEastAsia"/>
          <w:noProof/>
          <w:lang w:val="en-IE" w:eastAsia="en-GB"/>
        </w:rPr>
      </w:pPr>
      <w:r w:rsidRPr="005B2FEB">
        <w:rPr>
          <w:rFonts w:ascii="Times New Roman" w:hAnsi="Times New Roman" w:cs="Times New Roman"/>
          <w:noProof/>
          <w:lang w:val="en-IE"/>
        </w:rPr>
        <w:t>1.2.</w:t>
      </w:r>
      <w:r w:rsidRPr="005B2FEB">
        <w:rPr>
          <w:rFonts w:ascii="Times New Roman" w:hAnsi="Times New Roman" w:cs="Times New Roman"/>
          <w:noProof/>
          <w:lang w:val="en-IE"/>
        </w:rPr>
        <w:t xml:space="preserve"> IF </w:t>
      </w:r>
      <w:r w:rsidRPr="005B2FEB">
        <w:rPr>
          <w:rFonts w:ascii="Times New Roman" w:hAnsi="Times New Roman" w:cs="Times New Roman"/>
          <w:noProof/>
          <w:lang w:val="en-IE"/>
        </w:rPr>
        <w:t>11.01</w:t>
      </w:r>
      <w:r w:rsidRPr="005B2FEB">
        <w:rPr>
          <w:rFonts w:ascii="Times New Roman" w:hAnsi="Times New Roman" w:cs="Times New Roman"/>
          <w:noProof/>
          <w:lang w:val="en-IE"/>
        </w:rPr>
        <w:t xml:space="preserve"> – OWN FUNDS COMPOSITION – GROUP CAPITAL TEST (IF</w:t>
      </w:r>
      <w:r w:rsidRPr="005B2FEB">
        <w:rPr>
          <w:rFonts w:ascii="Times New Roman" w:hAnsi="Times New Roman" w:cs="Times New Roman"/>
          <w:noProof/>
          <w:lang w:val="en-IE"/>
        </w:rPr>
        <w:t>11.1</w:t>
      </w:r>
      <w:r w:rsidRPr="005B2FEB">
        <w:rPr>
          <w:rFonts w:ascii="Times New Roman" w:hAnsi="Times New Roman" w:cs="Times New Roman"/>
          <w:noProof/>
          <w:lang w:val="en-IE"/>
        </w:rPr>
        <w:t>)</w:t>
      </w:r>
      <w:r w:rsidRPr="005B2FEB">
        <w:rPr>
          <w:noProof/>
          <w:lang w:val="en-IE"/>
        </w:rPr>
        <w:tab/>
        <w:t>3</w:t>
      </w:r>
    </w:p>
    <w:p w14:paraId="2F021A4C" w14:textId="77777777" w:rsidR="00AE5644" w:rsidRPr="005B2FEB" w:rsidRDefault="005B2FEB">
      <w:pPr>
        <w:pStyle w:val="TOC2"/>
        <w:tabs>
          <w:tab w:val="left" w:pos="1100"/>
          <w:tab w:val="right" w:leader="dot" w:pos="9016"/>
        </w:tabs>
        <w:rPr>
          <w:rFonts w:eastAsiaTheme="minorEastAsia"/>
          <w:noProof/>
          <w:lang w:val="en-IE" w:eastAsia="en-GB"/>
        </w:rPr>
      </w:pPr>
      <w:r w:rsidRPr="005B2FEB">
        <w:rPr>
          <w:rFonts w:ascii="Times New Roman" w:hAnsi="Times New Roman" w:cs="Times New Roman"/>
          <w:noProof/>
          <w:lang w:val="en-IE"/>
        </w:rPr>
        <w:t>1.2.1.</w:t>
      </w:r>
      <w:r w:rsidRPr="005B2FEB">
        <w:rPr>
          <w:rFonts w:eastAsiaTheme="minorEastAsia"/>
          <w:noProof/>
          <w:lang w:val="en-IE" w:eastAsia="en-GB"/>
        </w:rPr>
        <w:tab/>
      </w:r>
      <w:r w:rsidRPr="005B2FEB">
        <w:rPr>
          <w:rFonts w:ascii="Times New Roman" w:hAnsi="Times New Roman" w:cs="Times New Roman"/>
          <w:noProof/>
          <w:lang w:val="en-IE"/>
        </w:rPr>
        <w:t>Instructions concerning specific positions</w:t>
      </w:r>
      <w:r w:rsidRPr="005B2FEB">
        <w:rPr>
          <w:noProof/>
          <w:lang w:val="en-IE"/>
        </w:rPr>
        <w:tab/>
        <w:t>3</w:t>
      </w:r>
    </w:p>
    <w:p w14:paraId="7EB7AFE5" w14:textId="77777777" w:rsidR="00AE5644" w:rsidRPr="005B2FEB" w:rsidRDefault="005B2FEB">
      <w:pPr>
        <w:pStyle w:val="TOC2"/>
        <w:tabs>
          <w:tab w:val="right" w:leader="dot" w:pos="9016"/>
        </w:tabs>
        <w:rPr>
          <w:rFonts w:eastAsiaTheme="minorEastAsia"/>
          <w:noProof/>
          <w:lang w:val="en-IE" w:eastAsia="en-GB"/>
        </w:rPr>
      </w:pPr>
      <w:r w:rsidRPr="005B2FEB">
        <w:rPr>
          <w:rFonts w:ascii="Times New Roman" w:hAnsi="Times New Roman" w:cs="Times New Roman"/>
          <w:noProof/>
          <w:lang w:val="en-IE"/>
        </w:rPr>
        <w:t>1.3</w:t>
      </w:r>
      <w:r w:rsidRPr="005B2FEB">
        <w:rPr>
          <w:rFonts w:ascii="Times New Roman" w:hAnsi="Times New Roman" w:cs="Times New Roman"/>
          <w:noProof/>
          <w:lang w:val="en-IE"/>
        </w:rPr>
        <w:t xml:space="preserve"> IF </w:t>
      </w:r>
      <w:r w:rsidRPr="005B2FEB">
        <w:rPr>
          <w:rFonts w:ascii="Times New Roman" w:hAnsi="Times New Roman" w:cs="Times New Roman"/>
          <w:noProof/>
          <w:lang w:val="en-IE"/>
        </w:rPr>
        <w:t>11.02</w:t>
      </w:r>
      <w:r w:rsidRPr="005B2FEB">
        <w:rPr>
          <w:rFonts w:ascii="Times New Roman" w:hAnsi="Times New Roman" w:cs="Times New Roman"/>
          <w:noProof/>
          <w:lang w:val="en-IE"/>
        </w:rPr>
        <w:t xml:space="preserve"> OWN FUNDS REQUIREMENTS – GROUP CAPITAL TEST (IF</w:t>
      </w:r>
      <w:r w:rsidRPr="005B2FEB">
        <w:rPr>
          <w:rFonts w:ascii="Times New Roman" w:hAnsi="Times New Roman" w:cs="Times New Roman"/>
          <w:noProof/>
          <w:lang w:val="en-IE"/>
        </w:rPr>
        <w:t>11.2</w:t>
      </w:r>
      <w:r w:rsidRPr="005B2FEB">
        <w:rPr>
          <w:rFonts w:ascii="Times New Roman" w:hAnsi="Times New Roman" w:cs="Times New Roman"/>
          <w:noProof/>
          <w:lang w:val="en-IE"/>
        </w:rPr>
        <w:t>)</w:t>
      </w:r>
      <w:r w:rsidRPr="005B2FEB">
        <w:rPr>
          <w:noProof/>
          <w:lang w:val="en-IE"/>
        </w:rPr>
        <w:tab/>
        <w:t>7</w:t>
      </w:r>
    </w:p>
    <w:p w14:paraId="67E3DFAC" w14:textId="77777777" w:rsidR="00AE5644" w:rsidRPr="005B2FEB" w:rsidRDefault="005B2FEB">
      <w:pPr>
        <w:pStyle w:val="TOC2"/>
        <w:tabs>
          <w:tab w:val="left" w:pos="1100"/>
          <w:tab w:val="right" w:leader="dot" w:pos="9016"/>
        </w:tabs>
        <w:rPr>
          <w:rFonts w:eastAsiaTheme="minorEastAsia"/>
          <w:noProof/>
          <w:lang w:val="en-IE" w:eastAsia="en-GB"/>
        </w:rPr>
      </w:pPr>
      <w:r w:rsidRPr="005B2FEB">
        <w:rPr>
          <w:rFonts w:ascii="Times New Roman" w:eastAsia="Arial" w:hAnsi="Times New Roman" w:cs="Times New Roman"/>
          <w:noProof/>
          <w:lang w:val="en-IE"/>
        </w:rPr>
        <w:t>1.3.1.</w:t>
      </w:r>
      <w:r w:rsidRPr="005B2FEB">
        <w:rPr>
          <w:rFonts w:eastAsiaTheme="minorEastAsia"/>
          <w:noProof/>
          <w:lang w:val="en-IE" w:eastAsia="en-GB"/>
        </w:rPr>
        <w:tab/>
      </w:r>
      <w:r w:rsidRPr="005B2FEB">
        <w:rPr>
          <w:rFonts w:ascii="Times New Roman" w:eastAsia="Arial" w:hAnsi="Times New Roman" w:cs="Times New Roman"/>
          <w:noProof/>
          <w:u w:val="single"/>
          <w:lang w:val="en-IE"/>
        </w:rPr>
        <w:t>Instructions concerning specific positions</w:t>
      </w:r>
      <w:r w:rsidRPr="005B2FEB">
        <w:rPr>
          <w:noProof/>
          <w:lang w:val="en-IE"/>
        </w:rPr>
        <w:tab/>
        <w:t>7</w:t>
      </w:r>
    </w:p>
    <w:p w14:paraId="2C08B083" w14:textId="77777777" w:rsidR="00AE5644" w:rsidRPr="005B2FEB" w:rsidRDefault="005B2FEB">
      <w:pPr>
        <w:pStyle w:val="TOC2"/>
        <w:tabs>
          <w:tab w:val="right" w:leader="dot" w:pos="9016"/>
        </w:tabs>
        <w:rPr>
          <w:rFonts w:eastAsiaTheme="minorEastAsia"/>
          <w:noProof/>
          <w:lang w:val="en-IE" w:eastAsia="en-GB"/>
        </w:rPr>
      </w:pPr>
      <w:r w:rsidRPr="005B2FEB">
        <w:rPr>
          <w:rFonts w:ascii="Times New Roman" w:hAnsi="Times New Roman" w:cs="Times New Roman"/>
          <w:noProof/>
          <w:lang w:val="en-IE"/>
        </w:rPr>
        <w:t>1.4</w:t>
      </w:r>
      <w:r w:rsidRPr="005B2FEB">
        <w:rPr>
          <w:rFonts w:ascii="Times New Roman" w:hAnsi="Times New Roman" w:cs="Times New Roman"/>
          <w:noProof/>
          <w:lang w:val="en-IE"/>
        </w:rPr>
        <w:t xml:space="preserve"> IF </w:t>
      </w:r>
      <w:r w:rsidRPr="005B2FEB">
        <w:rPr>
          <w:rFonts w:ascii="Times New Roman" w:hAnsi="Times New Roman" w:cs="Times New Roman"/>
          <w:noProof/>
          <w:lang w:val="en-IE"/>
        </w:rPr>
        <w:t>11.03</w:t>
      </w:r>
      <w:r w:rsidRPr="005B2FEB">
        <w:rPr>
          <w:rFonts w:ascii="Times New Roman" w:hAnsi="Times New Roman" w:cs="Times New Roman"/>
          <w:noProof/>
          <w:lang w:val="en-IE"/>
        </w:rPr>
        <w:t xml:space="preserve"> INFORMATION ON SUBSIDIARIES UNDERTAKINGS (IF</w:t>
      </w:r>
      <w:r w:rsidRPr="005B2FEB">
        <w:rPr>
          <w:rFonts w:ascii="Times New Roman" w:hAnsi="Times New Roman" w:cs="Times New Roman"/>
          <w:noProof/>
          <w:lang w:val="en-IE"/>
        </w:rPr>
        <w:t>11.3</w:t>
      </w:r>
      <w:r w:rsidRPr="005B2FEB">
        <w:rPr>
          <w:rFonts w:ascii="Times New Roman" w:hAnsi="Times New Roman" w:cs="Times New Roman"/>
          <w:noProof/>
          <w:lang w:val="en-IE"/>
        </w:rPr>
        <w:t>)</w:t>
      </w:r>
      <w:r w:rsidRPr="005B2FEB">
        <w:rPr>
          <w:noProof/>
          <w:lang w:val="en-IE"/>
        </w:rPr>
        <w:tab/>
        <w:t>8</w:t>
      </w:r>
    </w:p>
    <w:p w14:paraId="64686210" w14:textId="77777777" w:rsidR="00AE5644" w:rsidRPr="005B2FEB" w:rsidRDefault="005B2FEB">
      <w:pPr>
        <w:pStyle w:val="TOC2"/>
        <w:tabs>
          <w:tab w:val="left" w:pos="1100"/>
          <w:tab w:val="right" w:leader="dot" w:pos="9016"/>
        </w:tabs>
        <w:rPr>
          <w:rFonts w:eastAsiaTheme="minorEastAsia"/>
          <w:noProof/>
          <w:lang w:val="en-IE" w:eastAsia="en-GB"/>
        </w:rPr>
      </w:pPr>
      <w:r w:rsidRPr="005B2FEB">
        <w:rPr>
          <w:rFonts w:ascii="Times New Roman" w:eastAsia="Arial" w:hAnsi="Times New Roman" w:cs="Times New Roman"/>
          <w:noProof/>
          <w:lang w:val="en-IE"/>
        </w:rPr>
        <w:t>1.4.1.</w:t>
      </w:r>
      <w:r w:rsidRPr="005B2FEB">
        <w:rPr>
          <w:rFonts w:eastAsiaTheme="minorEastAsia"/>
          <w:noProof/>
          <w:lang w:val="en-IE" w:eastAsia="en-GB"/>
        </w:rPr>
        <w:tab/>
      </w:r>
      <w:r w:rsidRPr="005B2FEB">
        <w:rPr>
          <w:rFonts w:ascii="Times New Roman" w:eastAsia="Arial" w:hAnsi="Times New Roman" w:cs="Times New Roman"/>
          <w:noProof/>
          <w:u w:val="single"/>
          <w:lang w:val="en-IE"/>
        </w:rPr>
        <w:t>Instructions concerning specific positions</w:t>
      </w:r>
      <w:r w:rsidRPr="005B2FEB">
        <w:rPr>
          <w:noProof/>
          <w:lang w:val="en-IE"/>
        </w:rPr>
        <w:tab/>
        <w:t>8</w:t>
      </w:r>
      <w:bookmarkStart w:id="6" w:name="_Toc360188322"/>
      <w:bookmarkStart w:id="7" w:name="_Toc473560870"/>
      <w:bookmarkStart w:id="8" w:name="_Toc7084155"/>
    </w:p>
    <w:p w14:paraId="1386DCCD" w14:textId="77777777" w:rsidR="00AE5644" w:rsidRPr="005B2FEB" w:rsidRDefault="00AE5644">
      <w:pPr>
        <w:rPr>
          <w:lang w:val="en-IE"/>
        </w:rPr>
      </w:pPr>
    </w:p>
    <w:p w14:paraId="37D167E9" w14:textId="77777777" w:rsidR="00AE5644" w:rsidRPr="005B2FEB" w:rsidRDefault="00AE5644">
      <w:pPr>
        <w:rPr>
          <w:lang w:val="en-IE"/>
        </w:rPr>
      </w:pPr>
    </w:p>
    <w:p w14:paraId="778C1B66" w14:textId="77777777" w:rsidR="00AE5644" w:rsidRPr="005B2FEB" w:rsidRDefault="005B2FEB">
      <w:pPr>
        <w:pStyle w:val="Heading2"/>
        <w:rPr>
          <w:rFonts w:ascii="Times New Roman" w:hAnsi="Times New Roman"/>
          <w:lang w:val="en-IE"/>
        </w:rPr>
      </w:pPr>
      <w:bookmarkStart w:id="9" w:name="_Toc44434021"/>
      <w:r w:rsidRPr="005B2FEB">
        <w:rPr>
          <w:rFonts w:ascii="Times New Roman" w:hAnsi="Times New Roman"/>
          <w:lang w:val="en-IE"/>
        </w:rPr>
        <w:t xml:space="preserve">PART I: GENERAL </w:t>
      </w:r>
      <w:r w:rsidRPr="005B2FEB">
        <w:rPr>
          <w:rFonts w:ascii="Times New Roman" w:hAnsi="Times New Roman"/>
          <w:lang w:val="en-IE"/>
        </w:rPr>
        <w:t>INSTRUCTIONS</w:t>
      </w:r>
      <w:bookmarkEnd w:id="9"/>
    </w:p>
    <w:p w14:paraId="55041C61" w14:textId="77777777" w:rsidR="00AE5644" w:rsidRPr="005B2FEB" w:rsidRDefault="005B2FEB">
      <w:pPr>
        <w:keepNext/>
        <w:spacing w:before="240" w:after="240" w:line="240" w:lineRule="auto"/>
        <w:jc w:val="both"/>
        <w:outlineLvl w:val="1"/>
        <w:rPr>
          <w:rFonts w:ascii="Times New Roman" w:eastAsia="Arial" w:hAnsi="Times New Roman" w:cs="Times New Roman"/>
          <w:sz w:val="24"/>
          <w:szCs w:val="24"/>
          <w:lang w:val="en-IE"/>
        </w:rPr>
      </w:pPr>
      <w:bookmarkStart w:id="10" w:name="_Toc44434022"/>
      <w:r w:rsidRPr="005B2FEB">
        <w:rPr>
          <w:rFonts w:ascii="Times New Roman" w:eastAsia="Arial" w:hAnsi="Times New Roman" w:cs="Times New Roman"/>
          <w:sz w:val="24"/>
          <w:szCs w:val="24"/>
          <w:lang w:val="en-IE"/>
        </w:rPr>
        <w:t>1. Structure and conventions</w:t>
      </w:r>
      <w:bookmarkEnd w:id="10"/>
    </w:p>
    <w:p w14:paraId="19C186B0" w14:textId="77777777" w:rsidR="00AE5644" w:rsidRPr="005B2FEB" w:rsidRDefault="005B2FEB">
      <w:pPr>
        <w:keepNext/>
        <w:spacing w:before="240" w:after="240" w:line="240" w:lineRule="auto"/>
        <w:jc w:val="both"/>
        <w:outlineLvl w:val="1"/>
        <w:rPr>
          <w:rFonts w:ascii="Times New Roman" w:eastAsia="Arial" w:hAnsi="Times New Roman" w:cs="Times New Roman"/>
          <w:sz w:val="24"/>
          <w:szCs w:val="24"/>
          <w:u w:val="single"/>
          <w:lang w:val="en-IE"/>
        </w:rPr>
      </w:pPr>
      <w:bookmarkStart w:id="11" w:name="_Toc44434023"/>
      <w:r w:rsidRPr="005B2FEB">
        <w:rPr>
          <w:rFonts w:ascii="Times New Roman" w:eastAsia="Arial" w:hAnsi="Times New Roman" w:cs="Times New Roman"/>
          <w:sz w:val="24"/>
          <w:szCs w:val="24"/>
          <w:u w:val="single"/>
          <w:lang w:val="en-IE"/>
        </w:rPr>
        <w:t>1.1</w:t>
      </w:r>
      <w:r w:rsidRPr="005B2FEB">
        <w:rPr>
          <w:rFonts w:ascii="Times New Roman" w:eastAsia="Arial" w:hAnsi="Times New Roman" w:cs="Times New Roman"/>
          <w:sz w:val="24"/>
          <w:szCs w:val="24"/>
          <w:u w:val="single"/>
          <w:lang w:val="en-IE"/>
        </w:rPr>
        <w:t xml:space="preserve"> Structure</w:t>
      </w:r>
      <w:bookmarkEnd w:id="11"/>
    </w:p>
    <w:p w14:paraId="3058D26C" w14:textId="77777777" w:rsidR="00AE5644" w:rsidRPr="005B2FEB" w:rsidRDefault="005B2FEB">
      <w:pPr>
        <w:spacing w:line="256" w:lineRule="auto"/>
        <w:ind w:left="993" w:hanging="504"/>
        <w:jc w:val="both"/>
        <w:rPr>
          <w:rFonts w:ascii="Times New Roman" w:hAnsi="Times New Roman" w:cs="Times New Roman"/>
          <w:lang w:val="en-IE"/>
        </w:rPr>
      </w:pPr>
      <w:r w:rsidRPr="005B2FEB">
        <w:rPr>
          <w:rFonts w:ascii="Times New Roman" w:hAnsi="Times New Roman" w:cs="Times New Roman"/>
          <w:lang w:val="en-IE"/>
        </w:rPr>
        <w:t>1.</w:t>
      </w:r>
      <w:r w:rsidRPr="005B2FEB">
        <w:rPr>
          <w:rFonts w:ascii="Times New Roman" w:hAnsi="Times New Roman" w:cs="Times New Roman"/>
          <w:lang w:val="en-IE"/>
        </w:rPr>
        <w:tab/>
        <w:t>Overall, group capital test reporting consists of 2 templates:</w:t>
      </w:r>
    </w:p>
    <w:p w14:paraId="5A8D53D2" w14:textId="77777777" w:rsidR="00AE5644" w:rsidRPr="005B2FEB" w:rsidRDefault="005B2FEB">
      <w:pPr>
        <w:spacing w:line="256" w:lineRule="auto"/>
        <w:ind w:left="1728" w:hanging="648"/>
        <w:jc w:val="both"/>
        <w:rPr>
          <w:rFonts w:ascii="Times New Roman" w:hAnsi="Times New Roman" w:cs="Times New Roman"/>
          <w:lang w:val="en-IE"/>
        </w:rPr>
      </w:pPr>
      <w:r w:rsidRPr="005B2FEB">
        <w:rPr>
          <w:rFonts w:ascii="Times New Roman" w:hAnsi="Times New Roman" w:cs="Times New Roman"/>
          <w:lang w:val="en-IE"/>
        </w:rPr>
        <w:t>(a)</w:t>
      </w:r>
      <w:r w:rsidRPr="005B2FEB">
        <w:rPr>
          <w:rFonts w:ascii="Times New Roman" w:hAnsi="Times New Roman" w:cs="Times New Roman"/>
          <w:lang w:val="en-IE"/>
        </w:rPr>
        <w:tab/>
        <w:t>Own funds composition</w:t>
      </w:r>
    </w:p>
    <w:p w14:paraId="7AD59047" w14:textId="77777777" w:rsidR="00AE5644" w:rsidRPr="005B2FEB" w:rsidRDefault="005B2FEB">
      <w:pPr>
        <w:spacing w:line="256" w:lineRule="auto"/>
        <w:ind w:left="1728" w:hanging="648"/>
        <w:jc w:val="both"/>
        <w:rPr>
          <w:rFonts w:ascii="Times New Roman" w:hAnsi="Times New Roman" w:cs="Times New Roman"/>
          <w:lang w:val="en-IE"/>
        </w:rPr>
      </w:pPr>
      <w:r w:rsidRPr="005B2FEB">
        <w:rPr>
          <w:rFonts w:ascii="Times New Roman" w:hAnsi="Times New Roman" w:cs="Times New Roman"/>
          <w:lang w:val="en-IE"/>
        </w:rPr>
        <w:t>(b)</w:t>
      </w:r>
      <w:r w:rsidRPr="005B2FEB">
        <w:rPr>
          <w:rFonts w:ascii="Times New Roman" w:hAnsi="Times New Roman" w:cs="Times New Roman"/>
          <w:lang w:val="en-IE"/>
        </w:rPr>
        <w:tab/>
        <w:t>Own fund instruments.</w:t>
      </w:r>
    </w:p>
    <w:p w14:paraId="6E0CF0B2" w14:textId="77777777" w:rsidR="00AE5644" w:rsidRPr="005B2FEB" w:rsidRDefault="005B2FEB">
      <w:pPr>
        <w:pStyle w:val="InstructionsText2"/>
        <w:numPr>
          <w:ilvl w:val="0"/>
          <w:numId w:val="0"/>
        </w:numPr>
        <w:ind w:left="360" w:hanging="360"/>
        <w:rPr>
          <w:lang w:val="en-IE"/>
        </w:rPr>
      </w:pPr>
      <w:r w:rsidRPr="005B2FEB">
        <w:rPr>
          <w:lang w:val="en-IE"/>
        </w:rPr>
        <w:t>2.</w:t>
      </w:r>
      <w:r w:rsidRPr="005B2FEB">
        <w:rPr>
          <w:lang w:val="en-IE"/>
        </w:rPr>
        <w:tab/>
        <w:t xml:space="preserve">For each template, legal references are provided. Further detailed </w:t>
      </w:r>
      <w:r w:rsidRPr="005B2FEB">
        <w:rPr>
          <w:lang w:val="en-IE"/>
        </w:rPr>
        <w:t>information regarding more general aspects of the reporting of each block of templates, instructions concerning specific positions as well as validation rules are included in this part of this Regulation.</w:t>
      </w:r>
    </w:p>
    <w:p w14:paraId="017AD514" w14:textId="77777777" w:rsidR="00AE5644" w:rsidRPr="005B2FEB" w:rsidRDefault="005B2FEB">
      <w:pPr>
        <w:keepNext/>
        <w:spacing w:before="240" w:after="240" w:line="240" w:lineRule="auto"/>
        <w:jc w:val="both"/>
        <w:outlineLvl w:val="1"/>
        <w:rPr>
          <w:rFonts w:ascii="Times New Roman" w:eastAsia="Arial" w:hAnsi="Times New Roman" w:cs="Times New Roman"/>
          <w:sz w:val="24"/>
          <w:szCs w:val="24"/>
          <w:u w:val="single"/>
          <w:lang w:val="en-IE"/>
        </w:rPr>
      </w:pPr>
      <w:bookmarkStart w:id="12" w:name="_Toc44434024"/>
      <w:r w:rsidRPr="005B2FEB">
        <w:rPr>
          <w:rFonts w:ascii="Times New Roman" w:eastAsia="Arial" w:hAnsi="Times New Roman" w:cs="Times New Roman"/>
          <w:sz w:val="24"/>
          <w:szCs w:val="24"/>
          <w:u w:val="single"/>
          <w:lang w:val="en-IE"/>
        </w:rPr>
        <w:t>1.2</w:t>
      </w:r>
      <w:r w:rsidRPr="005B2FEB">
        <w:rPr>
          <w:rFonts w:ascii="Times New Roman" w:eastAsia="Arial" w:hAnsi="Times New Roman" w:cs="Times New Roman"/>
          <w:sz w:val="24"/>
          <w:szCs w:val="24"/>
          <w:u w:val="single"/>
          <w:lang w:val="en-IE"/>
        </w:rPr>
        <w:t xml:space="preserve"> Numbering convention</w:t>
      </w:r>
      <w:bookmarkEnd w:id="12"/>
    </w:p>
    <w:p w14:paraId="604D0FD8" w14:textId="77777777" w:rsidR="00AE5644" w:rsidRPr="005B2FEB" w:rsidRDefault="005B2FEB">
      <w:pPr>
        <w:pStyle w:val="InstructionsText2"/>
        <w:numPr>
          <w:ilvl w:val="0"/>
          <w:numId w:val="0"/>
        </w:numPr>
        <w:ind w:left="360" w:hanging="360"/>
        <w:rPr>
          <w:lang w:val="en-IE"/>
        </w:rPr>
      </w:pPr>
      <w:r w:rsidRPr="005B2FEB">
        <w:rPr>
          <w:lang w:val="en-IE"/>
        </w:rPr>
        <w:t>3.</w:t>
      </w:r>
      <w:r w:rsidRPr="005B2FEB">
        <w:rPr>
          <w:lang w:val="en-IE"/>
        </w:rPr>
        <w:tab/>
        <w:t>The document follows th</w:t>
      </w:r>
      <w:r w:rsidRPr="005B2FEB">
        <w:rPr>
          <w:lang w:val="en-IE"/>
        </w:rPr>
        <w:t xml:space="preserve">e labelling convention set in points 4 to 7, when referring to the columns, </w:t>
      </w:r>
      <w:proofErr w:type="gramStart"/>
      <w:r w:rsidRPr="005B2FEB">
        <w:rPr>
          <w:lang w:val="en-IE"/>
        </w:rPr>
        <w:t>rows</w:t>
      </w:r>
      <w:proofErr w:type="gramEnd"/>
      <w:r w:rsidRPr="005B2FEB">
        <w:rPr>
          <w:lang w:val="en-IE"/>
        </w:rPr>
        <w:t xml:space="preserve"> and cells of the templates. Those numerical codes are extensively used in the validation rules.</w:t>
      </w:r>
    </w:p>
    <w:p w14:paraId="0765B86D" w14:textId="77777777" w:rsidR="00AE5644" w:rsidRPr="005B2FEB" w:rsidRDefault="005B2FEB">
      <w:pPr>
        <w:pStyle w:val="InstructionsText2"/>
        <w:numPr>
          <w:ilvl w:val="0"/>
          <w:numId w:val="0"/>
        </w:numPr>
        <w:ind w:left="360" w:hanging="360"/>
        <w:rPr>
          <w:lang w:val="en-IE"/>
        </w:rPr>
      </w:pPr>
      <w:r w:rsidRPr="005B2FEB">
        <w:rPr>
          <w:lang w:val="en-IE"/>
        </w:rPr>
        <w:lastRenderedPageBreak/>
        <w:t>4.</w:t>
      </w:r>
      <w:r w:rsidRPr="005B2FEB">
        <w:rPr>
          <w:lang w:val="en-IE"/>
        </w:rPr>
        <w:tab/>
        <w:t>The following general notation is followed in the instructions: {Template; R</w:t>
      </w:r>
      <w:r w:rsidRPr="005B2FEB">
        <w:rPr>
          <w:lang w:val="en-IE"/>
        </w:rPr>
        <w:t>ow; Column}.</w:t>
      </w:r>
    </w:p>
    <w:p w14:paraId="6460DC33" w14:textId="77777777" w:rsidR="00AE5644" w:rsidRPr="005B2FEB" w:rsidRDefault="005B2FEB">
      <w:pPr>
        <w:pStyle w:val="InstructionsText2"/>
        <w:numPr>
          <w:ilvl w:val="0"/>
          <w:numId w:val="0"/>
        </w:numPr>
        <w:ind w:left="360" w:hanging="360"/>
        <w:rPr>
          <w:lang w:val="en-IE"/>
        </w:rPr>
      </w:pPr>
      <w:r w:rsidRPr="005B2FEB">
        <w:rPr>
          <w:lang w:val="en-IE"/>
        </w:rPr>
        <w:t>5.</w:t>
      </w:r>
      <w:r w:rsidRPr="005B2FEB">
        <w:rPr>
          <w:lang w:val="en-IE"/>
        </w:rPr>
        <w:tab/>
        <w:t>In the case of validations inside a template, in which only data points of that template are used, notations do not refer to a template: {Row; Column}.</w:t>
      </w:r>
    </w:p>
    <w:p w14:paraId="72EC8FFA" w14:textId="77777777" w:rsidR="00AE5644" w:rsidRPr="005B2FEB" w:rsidRDefault="005B2FEB">
      <w:pPr>
        <w:pStyle w:val="InstructionsText2"/>
        <w:numPr>
          <w:ilvl w:val="0"/>
          <w:numId w:val="0"/>
        </w:numPr>
        <w:ind w:left="360" w:hanging="360"/>
        <w:rPr>
          <w:lang w:val="en-IE"/>
        </w:rPr>
      </w:pPr>
      <w:r w:rsidRPr="005B2FEB">
        <w:rPr>
          <w:lang w:val="en-IE"/>
        </w:rPr>
        <w:t>6.</w:t>
      </w:r>
      <w:r w:rsidRPr="005B2FEB">
        <w:rPr>
          <w:lang w:val="en-IE"/>
        </w:rPr>
        <w:tab/>
        <w:t xml:space="preserve">In the case of templates with only one column, only rows are referred to. {Template; </w:t>
      </w:r>
      <w:r w:rsidRPr="005B2FEB">
        <w:rPr>
          <w:lang w:val="en-IE"/>
        </w:rPr>
        <w:t>Row}</w:t>
      </w:r>
    </w:p>
    <w:p w14:paraId="785C68E5" w14:textId="77777777" w:rsidR="00AE5644" w:rsidRPr="005B2FEB" w:rsidRDefault="005B2FEB">
      <w:pPr>
        <w:pStyle w:val="InstructionsText2"/>
        <w:numPr>
          <w:ilvl w:val="0"/>
          <w:numId w:val="0"/>
        </w:numPr>
        <w:ind w:left="360" w:hanging="360"/>
        <w:rPr>
          <w:lang w:val="en-IE"/>
        </w:rPr>
      </w:pPr>
      <w:r w:rsidRPr="005B2FEB">
        <w:rPr>
          <w:lang w:val="en-IE"/>
        </w:rPr>
        <w:t>7.</w:t>
      </w:r>
      <w:r w:rsidRPr="005B2FEB">
        <w:rPr>
          <w:lang w:val="en-IE"/>
        </w:rPr>
        <w:tab/>
        <w:t>An asterisk sign is used to express that the validation is done for the rows or columns specified before.</w:t>
      </w:r>
    </w:p>
    <w:p w14:paraId="0C311BCB" w14:textId="77777777" w:rsidR="00AE5644" w:rsidRPr="005B2FEB" w:rsidRDefault="005B2FEB">
      <w:pPr>
        <w:keepNext/>
        <w:spacing w:before="240" w:after="240" w:line="240" w:lineRule="auto"/>
        <w:jc w:val="both"/>
        <w:outlineLvl w:val="1"/>
        <w:rPr>
          <w:rFonts w:ascii="Times New Roman" w:eastAsia="Arial" w:hAnsi="Times New Roman" w:cs="Times New Roman"/>
          <w:sz w:val="24"/>
          <w:szCs w:val="24"/>
          <w:u w:val="single"/>
          <w:lang w:val="en-IE"/>
        </w:rPr>
      </w:pPr>
      <w:bookmarkStart w:id="13" w:name="_Toc44434025"/>
      <w:r w:rsidRPr="005B2FEB">
        <w:rPr>
          <w:rFonts w:ascii="Times New Roman" w:eastAsia="Arial" w:hAnsi="Times New Roman" w:cs="Times New Roman"/>
          <w:sz w:val="24"/>
          <w:szCs w:val="24"/>
          <w:u w:val="single"/>
          <w:lang w:val="en-IE"/>
        </w:rPr>
        <w:t>1.3</w:t>
      </w:r>
      <w:r w:rsidRPr="005B2FEB">
        <w:rPr>
          <w:rFonts w:ascii="Times New Roman" w:eastAsia="Arial" w:hAnsi="Times New Roman" w:cs="Times New Roman"/>
          <w:sz w:val="24"/>
          <w:szCs w:val="24"/>
          <w:u w:val="single"/>
          <w:lang w:val="en-IE"/>
        </w:rPr>
        <w:t xml:space="preserve"> Sign convention</w:t>
      </w:r>
      <w:bookmarkEnd w:id="13"/>
    </w:p>
    <w:p w14:paraId="5304054D" w14:textId="77777777" w:rsidR="00AE5644" w:rsidRPr="005B2FEB" w:rsidRDefault="005B2FEB">
      <w:pPr>
        <w:pStyle w:val="InstructionsText2"/>
        <w:numPr>
          <w:ilvl w:val="0"/>
          <w:numId w:val="0"/>
        </w:numPr>
        <w:ind w:left="360" w:hanging="360"/>
        <w:rPr>
          <w:lang w:val="en-IE"/>
        </w:rPr>
      </w:pPr>
      <w:r w:rsidRPr="005B2FEB">
        <w:rPr>
          <w:lang w:val="en-IE"/>
        </w:rPr>
        <w:t>8.</w:t>
      </w:r>
      <w:r w:rsidRPr="005B2FEB">
        <w:rPr>
          <w:lang w:val="en-IE"/>
        </w:rPr>
        <w:tab/>
        <w:t xml:space="preserve">Any amount that increases the own funds or own funds requirements, or the liquidity requirements, shall be </w:t>
      </w:r>
      <w:r w:rsidRPr="005B2FEB">
        <w:rPr>
          <w:lang w:val="en-IE"/>
        </w:rPr>
        <w:t>reported as a positive figure. On the contrary, any amount that reduces the total own funds or own funds requirements shall be reported as a negative figure. Where there is a negative sign (-) preceding the label of an item no positive figure is expected t</w:t>
      </w:r>
      <w:r w:rsidRPr="005B2FEB">
        <w:rPr>
          <w:lang w:val="en-IE"/>
        </w:rPr>
        <w:t>o be reported of that item.</w:t>
      </w:r>
    </w:p>
    <w:p w14:paraId="5C4C2A8C" w14:textId="77777777" w:rsidR="00AE5644" w:rsidRPr="005B2FEB" w:rsidRDefault="005B2FEB">
      <w:pPr>
        <w:pStyle w:val="Heading2"/>
        <w:rPr>
          <w:rFonts w:ascii="Times New Roman" w:hAnsi="Times New Roman"/>
          <w:lang w:val="en-IE"/>
        </w:rPr>
      </w:pPr>
      <w:bookmarkStart w:id="14" w:name="_Toc44434027"/>
      <w:r w:rsidRPr="005B2FEB">
        <w:rPr>
          <w:rFonts w:ascii="Times New Roman" w:hAnsi="Times New Roman"/>
          <w:lang w:val="en-IE"/>
        </w:rPr>
        <w:t>PART II: TEMPLATE RELATED INSTRUCTIONS</w:t>
      </w:r>
      <w:bookmarkEnd w:id="6"/>
      <w:bookmarkEnd w:id="7"/>
      <w:bookmarkEnd w:id="8"/>
      <w:bookmarkEnd w:id="14"/>
    </w:p>
    <w:p w14:paraId="710912F3" w14:textId="77777777" w:rsidR="00AE5644" w:rsidRPr="005B2FEB" w:rsidRDefault="005B2FEB">
      <w:pPr>
        <w:pStyle w:val="Instructionsberschrift2"/>
        <w:ind w:left="357" w:hanging="357"/>
        <w:rPr>
          <w:rFonts w:ascii="Times New Roman" w:hAnsi="Times New Roman" w:cs="Times New Roman"/>
          <w:b/>
          <w:sz w:val="24"/>
          <w:lang w:val="en-IE"/>
        </w:rPr>
      </w:pPr>
      <w:bookmarkStart w:id="15" w:name="_Toc44434028"/>
      <w:r w:rsidRPr="005B2FEB">
        <w:rPr>
          <w:rFonts w:ascii="Times New Roman" w:hAnsi="Times New Roman" w:cs="Times New Roman"/>
          <w:b/>
          <w:sz w:val="24"/>
          <w:u w:val="none"/>
          <w:lang w:val="en-IE"/>
        </w:rPr>
        <w:t>1. OWN FUNDS: LEVEL, COMPOSITION, REQUIREMENTS AND CALCULATION</w:t>
      </w:r>
      <w:bookmarkEnd w:id="15"/>
    </w:p>
    <w:p w14:paraId="0428E92B" w14:textId="77777777" w:rsidR="00AE5644" w:rsidRPr="005B2FEB" w:rsidRDefault="005B2FEB">
      <w:pPr>
        <w:pStyle w:val="Instructionsberschrift2"/>
        <w:ind w:left="357" w:hanging="357"/>
        <w:rPr>
          <w:rFonts w:ascii="Times New Roman" w:hAnsi="Times New Roman" w:cs="Times New Roman"/>
          <w:sz w:val="24"/>
          <w:lang w:val="en-IE"/>
        </w:rPr>
      </w:pPr>
      <w:bookmarkStart w:id="16" w:name="_Toc44434029"/>
      <w:r w:rsidRPr="005B2FEB">
        <w:rPr>
          <w:rFonts w:ascii="Times New Roman" w:hAnsi="Times New Roman" w:cs="Times New Roman"/>
          <w:sz w:val="24"/>
          <w:u w:val="none"/>
          <w:lang w:val="en-IE"/>
        </w:rPr>
        <w:t>1.1</w:t>
      </w:r>
      <w:r w:rsidRPr="005B2FEB">
        <w:rPr>
          <w:rFonts w:ascii="Times New Roman" w:hAnsi="Times New Roman" w:cs="Times New Roman"/>
          <w:sz w:val="24"/>
          <w:u w:val="none"/>
          <w:lang w:val="en-IE"/>
        </w:rPr>
        <w:t xml:space="preserve"> </w:t>
      </w:r>
      <w:r w:rsidRPr="005B2FEB">
        <w:rPr>
          <w:rFonts w:ascii="Times New Roman" w:hAnsi="Times New Roman" w:cs="Times New Roman"/>
          <w:sz w:val="24"/>
          <w:lang w:val="en-IE"/>
        </w:rPr>
        <w:t>General Remarks</w:t>
      </w:r>
      <w:bookmarkEnd w:id="16"/>
    </w:p>
    <w:p w14:paraId="3085D7E3" w14:textId="77777777" w:rsidR="00AE5644" w:rsidRPr="005B2FEB" w:rsidRDefault="005B2FEB">
      <w:pPr>
        <w:spacing w:line="256" w:lineRule="auto"/>
        <w:ind w:left="993" w:hanging="567"/>
        <w:jc w:val="both"/>
        <w:rPr>
          <w:rFonts w:ascii="Times New Roman" w:hAnsi="Times New Roman" w:cs="Times New Roman"/>
          <w:sz w:val="24"/>
          <w:lang w:val="en-IE"/>
        </w:rPr>
      </w:pPr>
      <w:r w:rsidRPr="005B2FEB">
        <w:rPr>
          <w:rFonts w:ascii="Times New Roman" w:hAnsi="Times New Roman" w:cs="Times New Roman"/>
          <w:sz w:val="24"/>
          <w:lang w:val="en-IE"/>
        </w:rPr>
        <w:t>10.</w:t>
      </w:r>
      <w:r w:rsidRPr="005B2FEB">
        <w:rPr>
          <w:rFonts w:ascii="Times New Roman" w:hAnsi="Times New Roman" w:cs="Times New Roman"/>
          <w:sz w:val="24"/>
          <w:lang w:val="en-IE"/>
        </w:rPr>
        <w:tab/>
        <w:t xml:space="preserve">Own funds overview section contains information about the own funds that an investment firm holds </w:t>
      </w:r>
      <w:r w:rsidRPr="005B2FEB">
        <w:rPr>
          <w:rFonts w:ascii="Times New Roman" w:hAnsi="Times New Roman" w:cs="Times New Roman"/>
          <w:sz w:val="24"/>
          <w:lang w:val="en-IE"/>
        </w:rPr>
        <w:t>and its own funds requirements. It consists of two templates:</w:t>
      </w:r>
    </w:p>
    <w:p w14:paraId="19B7DAF6" w14:textId="77777777" w:rsidR="00AE5644" w:rsidRPr="005B2FEB" w:rsidRDefault="005B2FEB">
      <w:pPr>
        <w:spacing w:line="256" w:lineRule="auto"/>
        <w:ind w:left="1728" w:hanging="648"/>
        <w:jc w:val="both"/>
        <w:rPr>
          <w:rFonts w:ascii="Times New Roman" w:hAnsi="Times New Roman" w:cs="Times New Roman"/>
          <w:sz w:val="24"/>
          <w:lang w:val="en-IE"/>
        </w:rPr>
      </w:pPr>
      <w:r w:rsidRPr="005B2FEB">
        <w:rPr>
          <w:rFonts w:ascii="Times New Roman" w:hAnsi="Times New Roman" w:cs="Times New Roman"/>
          <w:sz w:val="24"/>
          <w:lang w:val="en-IE"/>
        </w:rPr>
        <w:t>(a)</w:t>
      </w:r>
      <w:r w:rsidRPr="005B2FEB">
        <w:rPr>
          <w:rFonts w:ascii="Times New Roman" w:hAnsi="Times New Roman" w:cs="Times New Roman"/>
          <w:sz w:val="24"/>
          <w:lang w:val="en-IE"/>
        </w:rPr>
        <w:tab/>
        <w:t xml:space="preserve">Template I </w:t>
      </w:r>
      <w:r w:rsidRPr="005B2FEB">
        <w:rPr>
          <w:rFonts w:ascii="Times New Roman" w:hAnsi="Times New Roman" w:cs="Times New Roman"/>
          <w:sz w:val="24"/>
          <w:lang w:val="en-IE"/>
        </w:rPr>
        <w:t>11.01</w:t>
      </w:r>
      <w:r w:rsidRPr="005B2FEB">
        <w:rPr>
          <w:rFonts w:ascii="Times New Roman" w:hAnsi="Times New Roman" w:cs="Times New Roman"/>
          <w:sz w:val="24"/>
          <w:lang w:val="en-IE"/>
        </w:rPr>
        <w:t xml:space="preserve"> contains the compositions of the own funds that an investment firm holds: Common Equity Tier 1 capital (CET1), Additional Tier 1 capital (AT1) and Tier 2 capital (T2).</w:t>
      </w:r>
    </w:p>
    <w:p w14:paraId="3D57CB63" w14:textId="77777777" w:rsidR="00AE5644" w:rsidRPr="005B2FEB" w:rsidRDefault="005B2FEB">
      <w:pPr>
        <w:spacing w:line="256" w:lineRule="auto"/>
        <w:ind w:left="1728" w:hanging="648"/>
        <w:jc w:val="both"/>
        <w:rPr>
          <w:rFonts w:ascii="Times New Roman" w:hAnsi="Times New Roman" w:cs="Times New Roman"/>
          <w:sz w:val="24"/>
          <w:lang w:val="en-IE"/>
        </w:rPr>
      </w:pPr>
      <w:r w:rsidRPr="005B2FEB">
        <w:rPr>
          <w:rFonts w:ascii="Times New Roman" w:hAnsi="Times New Roman" w:cs="Times New Roman"/>
          <w:sz w:val="24"/>
          <w:lang w:val="en-IE"/>
        </w:rPr>
        <w:t>(b)</w:t>
      </w:r>
      <w:r w:rsidRPr="005B2FEB">
        <w:rPr>
          <w:rFonts w:ascii="Times New Roman" w:hAnsi="Times New Roman" w:cs="Times New Roman"/>
          <w:sz w:val="24"/>
          <w:lang w:val="en-IE"/>
        </w:rPr>
        <w:tab/>
        <w:t>T</w:t>
      </w:r>
      <w:r w:rsidRPr="005B2FEB">
        <w:rPr>
          <w:rFonts w:ascii="Times New Roman" w:hAnsi="Times New Roman" w:cs="Times New Roman"/>
          <w:sz w:val="24"/>
          <w:lang w:val="en-IE"/>
        </w:rPr>
        <w:t xml:space="preserve">emplate I </w:t>
      </w:r>
      <w:r w:rsidRPr="005B2FEB">
        <w:rPr>
          <w:rFonts w:ascii="Times New Roman" w:hAnsi="Times New Roman" w:cs="Times New Roman"/>
          <w:sz w:val="24"/>
          <w:lang w:val="en-IE"/>
        </w:rPr>
        <w:t>11.02</w:t>
      </w:r>
      <w:r w:rsidRPr="005B2FEB">
        <w:rPr>
          <w:rFonts w:ascii="Times New Roman" w:hAnsi="Times New Roman" w:cs="Times New Roman"/>
          <w:sz w:val="24"/>
          <w:lang w:val="en-IE"/>
        </w:rPr>
        <w:t xml:space="preserve"> contains information on the ‘own fund requirements’ in the context of the group capital test, </w:t>
      </w:r>
      <w:proofErr w:type="gramStart"/>
      <w:r w:rsidRPr="005B2FEB">
        <w:rPr>
          <w:rFonts w:ascii="Times New Roman" w:hAnsi="Times New Roman" w:cs="Times New Roman"/>
          <w:sz w:val="24"/>
          <w:lang w:val="en-IE"/>
        </w:rPr>
        <w:t>i.e.</w:t>
      </w:r>
      <w:proofErr w:type="gramEnd"/>
      <w:r w:rsidRPr="005B2FEB">
        <w:rPr>
          <w:rFonts w:ascii="Times New Roman" w:hAnsi="Times New Roman" w:cs="Times New Roman"/>
          <w:sz w:val="24"/>
          <w:lang w:val="en-IE"/>
        </w:rPr>
        <w:t xml:space="preserve"> intragroup holdings, contingent liabilities and total own funds requirements of the subsidiaries.</w:t>
      </w:r>
    </w:p>
    <w:p w14:paraId="6C225B65" w14:textId="77777777" w:rsidR="00AE5644" w:rsidRPr="005B2FEB" w:rsidRDefault="005B2FEB">
      <w:pPr>
        <w:spacing w:line="256" w:lineRule="auto"/>
        <w:ind w:left="1728" w:hanging="648"/>
        <w:jc w:val="both"/>
        <w:rPr>
          <w:rFonts w:ascii="Times New Roman" w:hAnsi="Times New Roman" w:cs="Times New Roman"/>
          <w:sz w:val="24"/>
          <w:lang w:val="en-IE"/>
        </w:rPr>
      </w:pPr>
      <w:r w:rsidRPr="005B2FEB">
        <w:rPr>
          <w:rFonts w:ascii="Times New Roman" w:hAnsi="Times New Roman" w:cs="Times New Roman"/>
          <w:sz w:val="24"/>
          <w:lang w:val="en-IE"/>
        </w:rPr>
        <w:t>(c)</w:t>
      </w:r>
      <w:r w:rsidRPr="005B2FEB">
        <w:rPr>
          <w:rFonts w:ascii="Times New Roman" w:hAnsi="Times New Roman" w:cs="Times New Roman"/>
          <w:sz w:val="24"/>
          <w:lang w:val="en-IE"/>
        </w:rPr>
        <w:tab/>
        <w:t xml:space="preserve">Template I </w:t>
      </w:r>
      <w:r w:rsidRPr="005B2FEB">
        <w:rPr>
          <w:rFonts w:ascii="Times New Roman" w:hAnsi="Times New Roman" w:cs="Times New Roman"/>
          <w:sz w:val="24"/>
          <w:lang w:val="en-IE"/>
        </w:rPr>
        <w:t>11.03</w:t>
      </w:r>
      <w:r w:rsidRPr="005B2FEB">
        <w:rPr>
          <w:rFonts w:ascii="Times New Roman" w:hAnsi="Times New Roman" w:cs="Times New Roman"/>
          <w:sz w:val="24"/>
          <w:lang w:val="en-IE"/>
        </w:rPr>
        <w:t xml:space="preserve"> contains the relevant </w:t>
      </w:r>
      <w:r w:rsidRPr="005B2FEB">
        <w:rPr>
          <w:rFonts w:ascii="Times New Roman" w:hAnsi="Times New Roman" w:cs="Times New Roman"/>
          <w:sz w:val="24"/>
          <w:lang w:val="en-IE"/>
        </w:rPr>
        <w:t xml:space="preserve">information on capital requirements, contingent liabilities, subordinated </w:t>
      </w:r>
      <w:proofErr w:type="gramStart"/>
      <w:r w:rsidRPr="005B2FEB">
        <w:rPr>
          <w:rFonts w:ascii="Times New Roman" w:hAnsi="Times New Roman" w:cs="Times New Roman"/>
          <w:sz w:val="24"/>
          <w:lang w:val="en-IE"/>
        </w:rPr>
        <w:t>claims</w:t>
      </w:r>
      <w:proofErr w:type="gramEnd"/>
      <w:r w:rsidRPr="005B2FEB">
        <w:rPr>
          <w:rFonts w:ascii="Times New Roman" w:hAnsi="Times New Roman" w:cs="Times New Roman"/>
          <w:sz w:val="24"/>
          <w:lang w:val="en-IE"/>
        </w:rPr>
        <w:t xml:space="preserve"> and holdings of financial sector entities at subsidiary level, broken down entity-by-entity.</w:t>
      </w:r>
    </w:p>
    <w:p w14:paraId="7D192800" w14:textId="77777777" w:rsidR="00AE5644" w:rsidRPr="005B2FEB" w:rsidRDefault="005B2FEB">
      <w:pPr>
        <w:spacing w:line="256" w:lineRule="auto"/>
        <w:ind w:left="993" w:hanging="567"/>
        <w:jc w:val="both"/>
        <w:rPr>
          <w:rFonts w:ascii="Times New Roman" w:hAnsi="Times New Roman" w:cs="Times New Roman"/>
          <w:sz w:val="24"/>
          <w:lang w:val="en-IE"/>
        </w:rPr>
      </w:pPr>
      <w:r w:rsidRPr="005B2FEB">
        <w:rPr>
          <w:rFonts w:ascii="Times New Roman" w:hAnsi="Times New Roman" w:cs="Times New Roman"/>
          <w:sz w:val="24"/>
          <w:lang w:val="en-IE"/>
        </w:rPr>
        <w:t>11.</w:t>
      </w:r>
      <w:r w:rsidRPr="005B2FEB">
        <w:rPr>
          <w:rFonts w:ascii="Times New Roman" w:hAnsi="Times New Roman" w:cs="Times New Roman"/>
          <w:sz w:val="24"/>
          <w:lang w:val="en-IE"/>
        </w:rPr>
        <w:tab/>
        <w:t>The items in these templates are gross of transitional adjustments. This means</w:t>
      </w:r>
      <w:r w:rsidRPr="005B2FEB">
        <w:rPr>
          <w:rFonts w:ascii="Times New Roman" w:hAnsi="Times New Roman" w:cs="Times New Roman"/>
          <w:sz w:val="24"/>
          <w:lang w:val="en-IE"/>
        </w:rPr>
        <w:t xml:space="preserve"> that the figures (except where the transitional own funds requirement is specifically stated) are calculated according to the final provisions (</w:t>
      </w:r>
      <w:proofErr w:type="gramStart"/>
      <w:r w:rsidRPr="005B2FEB">
        <w:rPr>
          <w:rFonts w:ascii="Times New Roman" w:hAnsi="Times New Roman" w:cs="Times New Roman"/>
          <w:sz w:val="24"/>
          <w:lang w:val="en-IE"/>
        </w:rPr>
        <w:t>i.e.</w:t>
      </w:r>
      <w:proofErr w:type="gramEnd"/>
      <w:r w:rsidRPr="005B2FEB">
        <w:rPr>
          <w:rFonts w:ascii="Times New Roman" w:hAnsi="Times New Roman" w:cs="Times New Roman"/>
          <w:sz w:val="24"/>
          <w:lang w:val="en-IE"/>
        </w:rPr>
        <w:t xml:space="preserve"> as if there were no transitional provisions).</w:t>
      </w:r>
    </w:p>
    <w:p w14:paraId="49208102" w14:textId="77777777" w:rsidR="00AE5644" w:rsidRPr="005B2FEB" w:rsidRDefault="005B2FEB">
      <w:pPr>
        <w:pStyle w:val="Instructionsberschrift2"/>
        <w:ind w:left="357" w:hanging="357"/>
        <w:rPr>
          <w:rFonts w:ascii="Times New Roman" w:hAnsi="Times New Roman" w:cs="Times New Roman"/>
          <w:sz w:val="24"/>
          <w:lang w:val="en-IE"/>
        </w:rPr>
      </w:pPr>
      <w:bookmarkStart w:id="17" w:name="_Toc44434030"/>
      <w:r w:rsidRPr="005B2FEB">
        <w:rPr>
          <w:rFonts w:ascii="Times New Roman" w:hAnsi="Times New Roman" w:cs="Times New Roman"/>
          <w:sz w:val="24"/>
          <w:lang w:val="en-IE"/>
        </w:rPr>
        <w:t>1.2.</w:t>
      </w:r>
      <w:r w:rsidRPr="005B2FEB">
        <w:rPr>
          <w:rFonts w:ascii="Times New Roman" w:hAnsi="Times New Roman" w:cs="Times New Roman"/>
          <w:sz w:val="24"/>
          <w:lang w:val="en-IE"/>
        </w:rPr>
        <w:t xml:space="preserve"> I </w:t>
      </w:r>
      <w:r w:rsidRPr="005B2FEB">
        <w:rPr>
          <w:rFonts w:ascii="Times New Roman" w:hAnsi="Times New Roman" w:cs="Times New Roman"/>
          <w:sz w:val="24"/>
          <w:lang w:val="en-IE"/>
        </w:rPr>
        <w:t>11.01</w:t>
      </w:r>
      <w:r w:rsidRPr="005B2FEB">
        <w:rPr>
          <w:rFonts w:ascii="Times New Roman" w:hAnsi="Times New Roman" w:cs="Times New Roman"/>
          <w:sz w:val="24"/>
          <w:lang w:val="en-IE"/>
        </w:rPr>
        <w:t xml:space="preserve"> – OWN FUNDS COMPOSITION – GROUP CAPITAL TEST (I</w:t>
      </w:r>
      <w:r w:rsidRPr="005B2FEB">
        <w:rPr>
          <w:rFonts w:ascii="Times New Roman" w:hAnsi="Times New Roman" w:cs="Times New Roman"/>
          <w:sz w:val="24"/>
          <w:lang w:val="en-IE"/>
        </w:rPr>
        <w:t>11.1</w:t>
      </w:r>
      <w:r w:rsidRPr="005B2FEB">
        <w:rPr>
          <w:rFonts w:ascii="Times New Roman" w:hAnsi="Times New Roman" w:cs="Times New Roman"/>
          <w:sz w:val="24"/>
          <w:lang w:val="en-IE"/>
        </w:rPr>
        <w:t>)</w:t>
      </w:r>
      <w:bookmarkEnd w:id="17"/>
    </w:p>
    <w:p w14:paraId="7F02110D" w14:textId="77777777" w:rsidR="00AE5644" w:rsidRPr="005B2FEB" w:rsidRDefault="005B2FEB">
      <w:pPr>
        <w:pStyle w:val="Instructionsberschrift2"/>
        <w:ind w:left="357" w:hanging="357"/>
        <w:rPr>
          <w:rFonts w:ascii="Times New Roman" w:hAnsi="Times New Roman" w:cs="Times New Roman"/>
          <w:sz w:val="24"/>
          <w:lang w:val="en-IE"/>
        </w:rPr>
      </w:pPr>
      <w:bookmarkStart w:id="18" w:name="_Toc44434031"/>
      <w:r w:rsidRPr="005B2FEB">
        <w:rPr>
          <w:rFonts w:ascii="Times New Roman" w:hAnsi="Times New Roman" w:cs="Times New Roman"/>
          <w:sz w:val="24"/>
          <w:u w:val="none"/>
          <w:lang w:val="en-IE"/>
        </w:rPr>
        <w:t>1.2.1.</w:t>
      </w:r>
      <w:r w:rsidRPr="005B2FEB">
        <w:rPr>
          <w:rFonts w:ascii="Times New Roman" w:hAnsi="Times New Roman" w:cs="Times New Roman"/>
          <w:sz w:val="24"/>
          <w:u w:val="none"/>
          <w:lang w:val="en-IE"/>
        </w:rPr>
        <w:tab/>
      </w:r>
      <w:r w:rsidRPr="005B2FEB">
        <w:rPr>
          <w:rFonts w:ascii="Times New Roman" w:hAnsi="Times New Roman" w:cs="Times New Roman"/>
          <w:sz w:val="24"/>
          <w:lang w:val="en-IE"/>
        </w:rPr>
        <w:t>Instructions concerning specific positions</w:t>
      </w:r>
      <w:bookmarkEnd w:id="18"/>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AE5644" w:rsidRPr="005B2FEB" w14:paraId="7231B9AB" w14:textId="77777777">
        <w:tc>
          <w:tcPr>
            <w:tcW w:w="1129" w:type="dxa"/>
            <w:shd w:val="clear" w:color="auto" w:fill="D9D9D9"/>
          </w:tcPr>
          <w:p w14:paraId="0D550C13" w14:textId="77777777" w:rsidR="00AE5644" w:rsidRPr="005B2FEB" w:rsidRDefault="005B2FEB">
            <w:pPr>
              <w:spacing w:after="120" w:line="240" w:lineRule="auto"/>
              <w:jc w:val="both"/>
              <w:rPr>
                <w:rFonts w:ascii="Times New Roman" w:eastAsia="Times New Roman" w:hAnsi="Times New Roman" w:cs="Times New Roman"/>
                <w:bCs/>
                <w:lang w:val="en-IE"/>
              </w:rPr>
            </w:pPr>
            <w:r w:rsidRPr="005B2FEB">
              <w:rPr>
                <w:rFonts w:ascii="Times New Roman" w:eastAsia="Times New Roman" w:hAnsi="Times New Roman" w:cs="Times New Roman"/>
                <w:lang w:val="en-IE" w:eastAsia="de-DE"/>
              </w:rPr>
              <w:t>Row</w:t>
            </w:r>
          </w:p>
        </w:tc>
        <w:tc>
          <w:tcPr>
            <w:tcW w:w="7620" w:type="dxa"/>
            <w:shd w:val="clear" w:color="auto" w:fill="D9D9D9"/>
          </w:tcPr>
          <w:p w14:paraId="12BCDB32" w14:textId="77777777" w:rsidR="00AE5644" w:rsidRPr="005B2FEB" w:rsidRDefault="005B2FEB">
            <w:pPr>
              <w:spacing w:after="120" w:line="240" w:lineRule="auto"/>
              <w:jc w:val="both"/>
              <w:rPr>
                <w:rFonts w:ascii="Times New Roman" w:eastAsia="Times New Roman" w:hAnsi="Times New Roman" w:cs="Times New Roman"/>
                <w:bCs/>
                <w:lang w:val="en-IE"/>
              </w:rPr>
            </w:pPr>
            <w:r w:rsidRPr="005B2FEB">
              <w:rPr>
                <w:rFonts w:ascii="Times New Roman" w:eastAsia="Times New Roman" w:hAnsi="Times New Roman" w:cs="Times New Roman"/>
                <w:lang w:val="en-IE" w:eastAsia="de-DE"/>
              </w:rPr>
              <w:t>Legal references and instructions</w:t>
            </w:r>
          </w:p>
        </w:tc>
      </w:tr>
      <w:tr w:rsidR="00AE5644" w:rsidRPr="005B2FEB" w14:paraId="56C828A0" w14:textId="77777777">
        <w:tc>
          <w:tcPr>
            <w:tcW w:w="1129" w:type="dxa"/>
          </w:tcPr>
          <w:p w14:paraId="78ACD146"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0010</w:t>
            </w:r>
          </w:p>
        </w:tc>
        <w:tc>
          <w:tcPr>
            <w:tcW w:w="7620" w:type="dxa"/>
          </w:tcPr>
          <w:p w14:paraId="18E569E3"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OWN FUNDS</w:t>
            </w:r>
          </w:p>
          <w:p w14:paraId="341BDBE5"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 xml:space="preserve">Article 9(1)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2BCF9D09"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Style w:val="FormatvorlageInstructionsTabelleText"/>
                <w:rFonts w:ascii="Times New Roman" w:hAnsi="Times New Roman"/>
                <w:sz w:val="22"/>
                <w:lang w:val="en-IE"/>
              </w:rPr>
              <w:lastRenderedPageBreak/>
              <w:t xml:space="preserve">The own funds of an investment firm shall consist of the sum of its Tier 1 capital and Tier 2 </w:t>
            </w:r>
            <w:r w:rsidRPr="005B2FEB">
              <w:rPr>
                <w:rStyle w:val="FormatvorlageInstructionsTabelleText"/>
                <w:rFonts w:ascii="Times New Roman" w:hAnsi="Times New Roman"/>
                <w:sz w:val="22"/>
                <w:lang w:val="en-IE"/>
              </w:rPr>
              <w:t>capital.</w:t>
            </w:r>
          </w:p>
        </w:tc>
      </w:tr>
      <w:tr w:rsidR="00AE5644" w:rsidRPr="005B2FEB" w14:paraId="0021E99F" w14:textId="77777777">
        <w:tc>
          <w:tcPr>
            <w:tcW w:w="1129" w:type="dxa"/>
          </w:tcPr>
          <w:p w14:paraId="57CB7178"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lastRenderedPageBreak/>
              <w:t>0020</w:t>
            </w:r>
          </w:p>
        </w:tc>
        <w:tc>
          <w:tcPr>
            <w:tcW w:w="7620" w:type="dxa"/>
          </w:tcPr>
          <w:p w14:paraId="32CCDF49"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TIER 1 CAPITAL</w:t>
            </w:r>
          </w:p>
          <w:p w14:paraId="789ED36D"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Style w:val="FormatvorlageInstructionsTabelleText"/>
                <w:rFonts w:ascii="Times New Roman" w:hAnsi="Times New Roman"/>
                <w:sz w:val="22"/>
                <w:lang w:val="en-IE"/>
              </w:rPr>
              <w:t>The Tier 1 capital is the sum of Common Equity Tier 1 Capital and Additional Tier 1 capital.</w:t>
            </w:r>
          </w:p>
        </w:tc>
      </w:tr>
      <w:tr w:rsidR="00AE5644" w:rsidRPr="005B2FEB" w14:paraId="27FCE51E" w14:textId="77777777">
        <w:tc>
          <w:tcPr>
            <w:tcW w:w="1129" w:type="dxa"/>
          </w:tcPr>
          <w:p w14:paraId="300C3754"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0030</w:t>
            </w:r>
          </w:p>
        </w:tc>
        <w:tc>
          <w:tcPr>
            <w:tcW w:w="7620" w:type="dxa"/>
          </w:tcPr>
          <w:p w14:paraId="5FB35EB1"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Style w:val="InstructionsTabelleberschrift"/>
                <w:rFonts w:ascii="Times New Roman" w:hAnsi="Times New Roman"/>
                <w:sz w:val="22"/>
                <w:lang w:val="en-IE"/>
              </w:rPr>
              <w:t>COMMON EQUITY TIER 1 CAPITAL</w:t>
            </w:r>
          </w:p>
          <w:p w14:paraId="7F4497F8"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 xml:space="preserve">Article 9(1)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058705F9"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Style w:val="FormatvorlageInstructionsTabelleText"/>
                <w:rFonts w:ascii="Times New Roman" w:hAnsi="Times New Roman"/>
                <w:sz w:val="22"/>
                <w:lang w:val="en-IE"/>
              </w:rPr>
              <w:t>Article 50 of Regulation (EU) No 575/2013.</w:t>
            </w:r>
          </w:p>
        </w:tc>
      </w:tr>
      <w:tr w:rsidR="00AE5644" w:rsidRPr="005B2FEB" w14:paraId="6E2F3B10" w14:textId="77777777">
        <w:tc>
          <w:tcPr>
            <w:tcW w:w="1129" w:type="dxa"/>
          </w:tcPr>
          <w:p w14:paraId="2BEE8A90"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0040</w:t>
            </w:r>
          </w:p>
        </w:tc>
        <w:tc>
          <w:tcPr>
            <w:tcW w:w="7620" w:type="dxa"/>
          </w:tcPr>
          <w:p w14:paraId="794687E8"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 xml:space="preserve">Fully </w:t>
            </w:r>
            <w:proofErr w:type="gramStart"/>
            <w:r w:rsidRPr="005B2FEB">
              <w:rPr>
                <w:rFonts w:ascii="Times New Roman" w:eastAsia="Times New Roman" w:hAnsi="Times New Roman" w:cs="Times New Roman"/>
                <w:b/>
                <w:bCs/>
                <w:u w:val="single"/>
                <w:lang w:val="en-IE" w:eastAsia="de-DE"/>
              </w:rPr>
              <w:t>paid up</w:t>
            </w:r>
            <w:proofErr w:type="gramEnd"/>
            <w:r w:rsidRPr="005B2FEB">
              <w:rPr>
                <w:rFonts w:ascii="Times New Roman" w:eastAsia="Times New Roman" w:hAnsi="Times New Roman" w:cs="Times New Roman"/>
                <w:b/>
                <w:bCs/>
                <w:u w:val="single"/>
                <w:lang w:val="en-IE" w:eastAsia="de-DE"/>
              </w:rPr>
              <w:t xml:space="preserve"> capital instruments</w:t>
            </w:r>
          </w:p>
          <w:p w14:paraId="21D8C811"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Article 9(1), point (</w:t>
            </w:r>
            <w:proofErr w:type="spellStart"/>
            <w:r w:rsidRPr="005B2FEB">
              <w:rPr>
                <w:rFonts w:ascii="Times New Roman" w:eastAsia="Times New Roman" w:hAnsi="Times New Roman" w:cs="Times New Roman"/>
                <w:bCs/>
                <w:lang w:val="en-IE" w:eastAsia="de-DE"/>
              </w:rPr>
              <w:t>i</w:t>
            </w:r>
            <w:proofErr w:type="spellEnd"/>
            <w:r w:rsidRPr="005B2FEB">
              <w:rPr>
                <w:rFonts w:ascii="Times New Roman" w:eastAsia="Times New Roman" w:hAnsi="Times New Roman" w:cs="Times New Roman"/>
                <w:bCs/>
                <w:lang w:val="en-IE" w:eastAsia="de-DE"/>
              </w:rPr>
              <w:t xml:space="preserve">),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14800686" w14:textId="77777777" w:rsidR="00AE5644" w:rsidRPr="005B2FEB" w:rsidRDefault="005B2FEB">
            <w:pPr>
              <w:pStyle w:val="InstructionsText"/>
              <w:rPr>
                <w:rStyle w:val="FormatvorlageInstructionsTabelleText"/>
                <w:rFonts w:ascii="Times New Roman" w:hAnsi="Times New Roman"/>
                <w:sz w:val="22"/>
                <w:szCs w:val="22"/>
                <w:lang w:val="en-IE"/>
              </w:rPr>
            </w:pPr>
            <w:r w:rsidRPr="005B2FEB">
              <w:rPr>
                <w:rStyle w:val="FormatvorlageInstructionsTabelleText"/>
                <w:rFonts w:ascii="Times New Roman" w:hAnsi="Times New Roman"/>
                <w:sz w:val="22"/>
                <w:szCs w:val="22"/>
                <w:lang w:val="en-IE"/>
              </w:rPr>
              <w:t>Article 26(1), point (a), and Articles 27 to 31 of Regulation (EU) No 575/2013.</w:t>
            </w:r>
          </w:p>
          <w:p w14:paraId="0E870E10" w14:textId="77777777" w:rsidR="00AE5644" w:rsidRPr="005B2FEB" w:rsidRDefault="005B2FEB">
            <w:pPr>
              <w:pStyle w:val="InstructionsText"/>
              <w:rPr>
                <w:rStyle w:val="FormatvorlageInstructionsTabelleText"/>
                <w:rFonts w:ascii="Times New Roman" w:hAnsi="Times New Roman"/>
                <w:sz w:val="22"/>
                <w:szCs w:val="22"/>
                <w:lang w:val="en-IE"/>
              </w:rPr>
            </w:pPr>
            <w:r w:rsidRPr="005B2FEB">
              <w:rPr>
                <w:rStyle w:val="FormatvorlageInstructionsTabelleText"/>
                <w:rFonts w:ascii="Times New Roman" w:hAnsi="Times New Roman"/>
                <w:sz w:val="22"/>
                <w:szCs w:val="22"/>
                <w:lang w:val="en-IE"/>
              </w:rPr>
              <w:t xml:space="preserve">Capital instruments of mutual, cooperative societies or similar institutions (Articles </w:t>
            </w:r>
            <w:r w:rsidRPr="005B2FEB">
              <w:rPr>
                <w:rStyle w:val="FormatvorlageInstructionsTabelleText"/>
                <w:rFonts w:ascii="Times New Roman" w:hAnsi="Times New Roman"/>
                <w:sz w:val="22"/>
                <w:szCs w:val="22"/>
                <w:lang w:val="en-IE"/>
              </w:rPr>
              <w:t>27 and 29 of Regulation (EU) No 575/2013) shall be included.</w:t>
            </w:r>
          </w:p>
          <w:p w14:paraId="6E3324F2" w14:textId="77777777" w:rsidR="00AE5644" w:rsidRPr="005B2FEB" w:rsidRDefault="005B2FEB">
            <w:pPr>
              <w:pStyle w:val="InstructionsText"/>
              <w:rPr>
                <w:rStyle w:val="FormatvorlageInstructionsTabelleText"/>
                <w:rFonts w:ascii="Times New Roman" w:hAnsi="Times New Roman"/>
                <w:sz w:val="22"/>
                <w:szCs w:val="22"/>
                <w:lang w:val="en-IE"/>
              </w:rPr>
            </w:pPr>
            <w:r w:rsidRPr="005B2FEB">
              <w:rPr>
                <w:rStyle w:val="FormatvorlageInstructionsTabelleText"/>
                <w:rFonts w:ascii="Times New Roman" w:hAnsi="Times New Roman"/>
                <w:sz w:val="22"/>
                <w:szCs w:val="22"/>
                <w:lang w:val="en-IE"/>
              </w:rPr>
              <w:t>The share premium related to the instruments shall not be included.</w:t>
            </w:r>
          </w:p>
          <w:p w14:paraId="3B1D4D67" w14:textId="77777777" w:rsidR="00AE5644" w:rsidRPr="005B2FEB" w:rsidRDefault="005B2FEB">
            <w:pPr>
              <w:pStyle w:val="InstructionsText"/>
              <w:rPr>
                <w:sz w:val="22"/>
                <w:szCs w:val="22"/>
                <w:lang w:val="en-IE"/>
              </w:rPr>
            </w:pPr>
            <w:r w:rsidRPr="005B2FEB">
              <w:rPr>
                <w:rStyle w:val="FormatvorlageInstructionsTabelleText"/>
                <w:rFonts w:ascii="Times New Roman" w:hAnsi="Times New Roman"/>
                <w:sz w:val="22"/>
                <w:szCs w:val="22"/>
                <w:lang w:val="en-IE"/>
              </w:rPr>
              <w:t xml:space="preserve">Capital instruments subscribed by public authorities in emergency situations shall be included if all conditions of </w:t>
            </w:r>
            <w:r w:rsidRPr="005B2FEB">
              <w:rPr>
                <w:rStyle w:val="FormatvorlageInstructionsTabelleText"/>
                <w:rFonts w:ascii="Times New Roman" w:hAnsi="Times New Roman"/>
                <w:sz w:val="22"/>
                <w:szCs w:val="22"/>
                <w:lang w:val="en-IE"/>
              </w:rPr>
              <w:t>Article 31 of Regulation (EU) No 575/2013 are fulfilled.</w:t>
            </w:r>
          </w:p>
        </w:tc>
      </w:tr>
      <w:tr w:rsidR="00AE5644" w:rsidRPr="005B2FEB" w14:paraId="172EA805" w14:textId="77777777">
        <w:tc>
          <w:tcPr>
            <w:tcW w:w="1129" w:type="dxa"/>
          </w:tcPr>
          <w:p w14:paraId="24F9BC11"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0050</w:t>
            </w:r>
          </w:p>
        </w:tc>
        <w:tc>
          <w:tcPr>
            <w:tcW w:w="7620" w:type="dxa"/>
          </w:tcPr>
          <w:p w14:paraId="1BB09758"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Share premium</w:t>
            </w:r>
          </w:p>
          <w:p w14:paraId="60AAC32A"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Article 9(1), point (</w:t>
            </w:r>
            <w:proofErr w:type="spellStart"/>
            <w:r w:rsidRPr="005B2FEB">
              <w:rPr>
                <w:rFonts w:ascii="Times New Roman" w:eastAsia="Times New Roman" w:hAnsi="Times New Roman" w:cs="Times New Roman"/>
                <w:bCs/>
                <w:lang w:val="en-IE" w:eastAsia="de-DE"/>
              </w:rPr>
              <w:t>i</w:t>
            </w:r>
            <w:proofErr w:type="spellEnd"/>
            <w:r w:rsidRPr="005B2FEB">
              <w:rPr>
                <w:rFonts w:ascii="Times New Roman" w:eastAsia="Times New Roman" w:hAnsi="Times New Roman" w:cs="Times New Roman"/>
                <w:bCs/>
                <w:lang w:val="en-IE" w:eastAsia="de-DE"/>
              </w:rPr>
              <w:t xml:space="preserve">),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120E04F1" w14:textId="77777777" w:rsidR="00AE5644" w:rsidRPr="005B2FEB" w:rsidRDefault="005B2FEB">
            <w:pPr>
              <w:spacing w:after="120" w:line="240" w:lineRule="auto"/>
              <w:jc w:val="both"/>
              <w:rPr>
                <w:rStyle w:val="FormatvorlageInstructionsTabelleText"/>
                <w:rFonts w:ascii="Times New Roman" w:hAnsi="Times New Roman"/>
                <w:sz w:val="22"/>
                <w:lang w:val="en-IE"/>
              </w:rPr>
            </w:pPr>
            <w:r w:rsidRPr="005B2FEB">
              <w:rPr>
                <w:rStyle w:val="FormatvorlageInstructionsTabelleText"/>
                <w:rFonts w:ascii="Times New Roman" w:hAnsi="Times New Roman"/>
                <w:sz w:val="22"/>
                <w:lang w:val="en-IE"/>
              </w:rPr>
              <w:t>Article 26(1), point (b), of Regulation (EU) No 575/2013.</w:t>
            </w:r>
          </w:p>
          <w:p w14:paraId="3EE04D7E" w14:textId="77777777" w:rsidR="00AE5644" w:rsidRPr="005B2FEB" w:rsidRDefault="005B2FEB">
            <w:pPr>
              <w:pStyle w:val="InstructionsText"/>
              <w:rPr>
                <w:rStyle w:val="FormatvorlageInstructionsTabelleText"/>
                <w:rFonts w:ascii="Times New Roman" w:hAnsi="Times New Roman"/>
                <w:sz w:val="22"/>
                <w:szCs w:val="22"/>
                <w:lang w:val="en-IE"/>
              </w:rPr>
            </w:pPr>
            <w:r w:rsidRPr="005B2FEB">
              <w:rPr>
                <w:rStyle w:val="FormatvorlageInstructionsTabelleText"/>
                <w:rFonts w:ascii="Times New Roman" w:hAnsi="Times New Roman"/>
                <w:sz w:val="22"/>
                <w:szCs w:val="22"/>
                <w:lang w:val="en-IE"/>
              </w:rPr>
              <w:t>Share premium has the same meaning as under the applicable account</w:t>
            </w:r>
            <w:r w:rsidRPr="005B2FEB">
              <w:rPr>
                <w:rStyle w:val="FormatvorlageInstructionsTabelleText"/>
                <w:rFonts w:ascii="Times New Roman" w:hAnsi="Times New Roman"/>
                <w:sz w:val="22"/>
                <w:szCs w:val="22"/>
                <w:lang w:val="en-IE"/>
              </w:rPr>
              <w:t>ing standard.</w:t>
            </w:r>
          </w:p>
          <w:p w14:paraId="3E09C09A"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Style w:val="FormatvorlageInstructionsTabelleText"/>
                <w:rFonts w:ascii="Times New Roman" w:hAnsi="Times New Roman"/>
                <w:sz w:val="22"/>
                <w:lang w:val="en-IE"/>
              </w:rPr>
              <w:t xml:space="preserve">The amount to be reported in this item shall be the part related to the </w:t>
            </w:r>
            <w:r w:rsidRPr="005B2FEB">
              <w:rPr>
                <w:rStyle w:val="FormatvorlageInstructionsTabelleText"/>
                <w:rFonts w:ascii="Times New Roman" w:hAnsi="Times New Roman"/>
                <w:sz w:val="22"/>
                <w:lang w:val="en-IE"/>
              </w:rPr>
              <w:t>"</w:t>
            </w:r>
            <w:r w:rsidRPr="005B2FEB">
              <w:rPr>
                <w:rStyle w:val="FormatvorlageInstructionsTabelleText"/>
                <w:rFonts w:ascii="Times New Roman" w:hAnsi="Times New Roman"/>
                <w:sz w:val="22"/>
                <w:lang w:val="en-IE"/>
              </w:rPr>
              <w:t>Paid up capital instrument</w:t>
            </w:r>
            <w:r w:rsidRPr="005B2FEB">
              <w:rPr>
                <w:rStyle w:val="FormatvorlageInstructionsTabelleText"/>
                <w:rFonts w:ascii="Times New Roman" w:hAnsi="Times New Roman"/>
                <w:sz w:val="22"/>
                <w:lang w:val="en-IE"/>
              </w:rPr>
              <w:t>s"</w:t>
            </w:r>
            <w:r w:rsidRPr="005B2FEB">
              <w:rPr>
                <w:rStyle w:val="FormatvorlageInstructionsTabelleText"/>
                <w:rFonts w:ascii="Times New Roman" w:hAnsi="Times New Roman"/>
                <w:sz w:val="22"/>
                <w:lang w:val="en-IE"/>
              </w:rPr>
              <w:t>.</w:t>
            </w:r>
          </w:p>
        </w:tc>
      </w:tr>
      <w:tr w:rsidR="00AE5644" w:rsidRPr="005B2FEB" w14:paraId="06BB46C0" w14:textId="77777777">
        <w:tc>
          <w:tcPr>
            <w:tcW w:w="1129" w:type="dxa"/>
          </w:tcPr>
          <w:p w14:paraId="73F073A6"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0060</w:t>
            </w:r>
          </w:p>
        </w:tc>
        <w:tc>
          <w:tcPr>
            <w:tcW w:w="7620" w:type="dxa"/>
          </w:tcPr>
          <w:p w14:paraId="6A918B1B"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Retained earnings</w:t>
            </w:r>
          </w:p>
          <w:p w14:paraId="6C9288E9"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Article 9(1), point (</w:t>
            </w:r>
            <w:proofErr w:type="spellStart"/>
            <w:r w:rsidRPr="005B2FEB">
              <w:rPr>
                <w:rFonts w:ascii="Times New Roman" w:eastAsia="Times New Roman" w:hAnsi="Times New Roman" w:cs="Times New Roman"/>
                <w:bCs/>
                <w:lang w:val="en-IE" w:eastAsia="de-DE"/>
              </w:rPr>
              <w:t>i</w:t>
            </w:r>
            <w:proofErr w:type="spellEnd"/>
            <w:r w:rsidRPr="005B2FEB">
              <w:rPr>
                <w:rFonts w:ascii="Times New Roman" w:eastAsia="Times New Roman" w:hAnsi="Times New Roman" w:cs="Times New Roman"/>
                <w:bCs/>
                <w:lang w:val="en-IE" w:eastAsia="de-DE"/>
              </w:rPr>
              <w:t>),</w:t>
            </w:r>
            <w:r w:rsidRPr="005B2FEB">
              <w:rPr>
                <w:rStyle w:val="FormatvorlageInstructionsTabelleText"/>
                <w:rFonts w:ascii="Times New Roman" w:hAnsi="Times New Roman"/>
                <w:sz w:val="22"/>
                <w:lang w:val="en-IE"/>
              </w:rPr>
              <w:t xml:space="preserve"> of</w:t>
            </w:r>
            <w:r w:rsidRPr="005B2FEB">
              <w:rPr>
                <w:rFonts w:ascii="Times New Roman" w:eastAsia="Times New Roman" w:hAnsi="Times New Roman" w:cs="Times New Roman"/>
                <w:bCs/>
                <w:lang w:val="en-IE" w:eastAsia="de-DE"/>
              </w:rPr>
              <w:t xml:space="preserve">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4C9B4762" w14:textId="77777777" w:rsidR="00AE5644" w:rsidRPr="005B2FEB" w:rsidRDefault="005B2FEB">
            <w:pPr>
              <w:spacing w:after="120" w:line="240" w:lineRule="auto"/>
              <w:jc w:val="both"/>
              <w:rPr>
                <w:rStyle w:val="FormatvorlageInstructionsTabelleText"/>
                <w:rFonts w:ascii="Times New Roman" w:hAnsi="Times New Roman"/>
                <w:sz w:val="22"/>
                <w:lang w:val="en-IE"/>
              </w:rPr>
            </w:pPr>
            <w:r w:rsidRPr="005B2FEB">
              <w:rPr>
                <w:rStyle w:val="FormatvorlageInstructionsTabelleText"/>
                <w:rFonts w:ascii="Times New Roman" w:hAnsi="Times New Roman"/>
                <w:sz w:val="22"/>
                <w:lang w:val="en-IE"/>
              </w:rPr>
              <w:t xml:space="preserve">Article 26(1), point (c), of Regulation (EU) No </w:t>
            </w:r>
            <w:r w:rsidRPr="005B2FEB">
              <w:rPr>
                <w:rStyle w:val="FormatvorlageInstructionsTabelleText"/>
                <w:rFonts w:ascii="Times New Roman" w:hAnsi="Times New Roman"/>
                <w:sz w:val="22"/>
                <w:lang w:val="en-IE"/>
              </w:rPr>
              <w:t>575/2013.</w:t>
            </w:r>
          </w:p>
          <w:p w14:paraId="7C0E5470" w14:textId="77777777" w:rsidR="00AE5644" w:rsidRPr="005B2FEB" w:rsidRDefault="005B2FEB">
            <w:pPr>
              <w:spacing w:after="120" w:line="240" w:lineRule="auto"/>
              <w:jc w:val="both"/>
              <w:rPr>
                <w:rStyle w:val="FormatvorlageInstructionsTabelleText"/>
                <w:rFonts w:ascii="Times New Roman" w:hAnsi="Times New Roman"/>
                <w:sz w:val="22"/>
                <w:lang w:val="en-IE"/>
              </w:rPr>
            </w:pPr>
            <w:r w:rsidRPr="005B2FEB">
              <w:rPr>
                <w:rStyle w:val="FormatvorlageInstructionsTabelleText"/>
                <w:rFonts w:ascii="Times New Roman" w:hAnsi="Times New Roman"/>
                <w:sz w:val="22"/>
                <w:lang w:val="en-IE"/>
              </w:rPr>
              <w:t>Retained earnings includes the previous year retained earnings plus the eligible interim or year-end profits.</w:t>
            </w:r>
          </w:p>
          <w:p w14:paraId="4CCA44B9"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eastAsia="de-DE"/>
              </w:rPr>
              <w:t>The sum of rows 0070 and 0080 shall be reported.</w:t>
            </w:r>
          </w:p>
        </w:tc>
      </w:tr>
      <w:tr w:rsidR="00AE5644" w:rsidRPr="005B2FEB" w14:paraId="55787F7D" w14:textId="77777777">
        <w:tc>
          <w:tcPr>
            <w:tcW w:w="1129" w:type="dxa"/>
          </w:tcPr>
          <w:p w14:paraId="5995E98C"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0070</w:t>
            </w:r>
          </w:p>
        </w:tc>
        <w:tc>
          <w:tcPr>
            <w:tcW w:w="7620" w:type="dxa"/>
          </w:tcPr>
          <w:p w14:paraId="672D89BB"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Previous years retained earnings</w:t>
            </w:r>
          </w:p>
          <w:p w14:paraId="5909BE06"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Article 4(1), point (123), and Article 26(1), po</w:t>
            </w:r>
            <w:r w:rsidRPr="005B2FEB">
              <w:rPr>
                <w:rFonts w:ascii="Times New Roman" w:eastAsia="Times New Roman" w:hAnsi="Times New Roman" w:cs="Times New Roman"/>
                <w:bCs/>
                <w:lang w:val="en-IE" w:eastAsia="de-DE"/>
              </w:rPr>
              <w:t>int (c), of Regulation (EU) No 575/2013.</w:t>
            </w:r>
          </w:p>
          <w:p w14:paraId="65CBC604"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eastAsia="de-DE"/>
              </w:rPr>
              <w:t xml:space="preserve">Article 4(1), point (123), of Regulation (EU) No 575/2013 defines retained earnings as </w:t>
            </w:r>
            <w:r w:rsidRPr="005B2FEB">
              <w:rPr>
                <w:rFonts w:ascii="Times New Roman" w:eastAsia="Times New Roman" w:hAnsi="Times New Roman" w:cs="Times New Roman"/>
                <w:bCs/>
                <w:lang w:val="en-IE" w:eastAsia="de-DE"/>
              </w:rPr>
              <w:t>"</w:t>
            </w:r>
            <w:r w:rsidRPr="005B2FEB">
              <w:rPr>
                <w:rFonts w:ascii="Times New Roman" w:eastAsia="Times New Roman" w:hAnsi="Times New Roman" w:cs="Times New Roman"/>
                <w:bCs/>
                <w:lang w:val="en-IE" w:eastAsia="de-DE"/>
              </w:rPr>
              <w:t>Profit and losses brought forward as a result of the final application of profit or loss under the applicable accounting framew</w:t>
            </w:r>
            <w:r w:rsidRPr="005B2FEB">
              <w:rPr>
                <w:rFonts w:ascii="Times New Roman" w:eastAsia="Times New Roman" w:hAnsi="Times New Roman" w:cs="Times New Roman"/>
                <w:bCs/>
                <w:lang w:val="en-IE" w:eastAsia="de-DE"/>
              </w:rPr>
              <w:t>or</w:t>
            </w:r>
            <w:r w:rsidRPr="005B2FEB">
              <w:rPr>
                <w:rFonts w:ascii="Times New Roman" w:eastAsia="Times New Roman" w:hAnsi="Times New Roman" w:cs="Times New Roman"/>
                <w:bCs/>
                <w:lang w:val="en-IE" w:eastAsia="de-DE"/>
              </w:rPr>
              <w:t>k"</w:t>
            </w:r>
            <w:r w:rsidRPr="005B2FEB">
              <w:rPr>
                <w:rFonts w:ascii="Times New Roman" w:eastAsia="Times New Roman" w:hAnsi="Times New Roman" w:cs="Times New Roman"/>
                <w:bCs/>
                <w:lang w:val="en-IE" w:eastAsia="de-DE"/>
              </w:rPr>
              <w:t>.</w:t>
            </w:r>
          </w:p>
        </w:tc>
      </w:tr>
      <w:tr w:rsidR="00AE5644" w:rsidRPr="005B2FEB" w14:paraId="0A394EAF" w14:textId="77777777">
        <w:tc>
          <w:tcPr>
            <w:tcW w:w="1129" w:type="dxa"/>
          </w:tcPr>
          <w:p w14:paraId="0ABFB7CE"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0080</w:t>
            </w:r>
          </w:p>
        </w:tc>
        <w:tc>
          <w:tcPr>
            <w:tcW w:w="7620" w:type="dxa"/>
          </w:tcPr>
          <w:p w14:paraId="77FB01B2"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Profit eligible</w:t>
            </w:r>
          </w:p>
          <w:p w14:paraId="737CFBC7" w14:textId="77777777" w:rsidR="00AE5644" w:rsidRPr="005B2FEB" w:rsidRDefault="005B2FEB">
            <w:pPr>
              <w:spacing w:after="120" w:line="240" w:lineRule="auto"/>
              <w:jc w:val="both"/>
              <w:rPr>
                <w:rFonts w:ascii="Times New Roman" w:eastAsia="Times New Roman" w:hAnsi="Times New Roman" w:cs="Times New Roman"/>
                <w:lang w:val="en-IE" w:eastAsia="de-DE"/>
              </w:rPr>
            </w:pPr>
            <w:r w:rsidRPr="005B2FEB">
              <w:rPr>
                <w:rFonts w:ascii="Times New Roman" w:hAnsi="Times New Roman" w:cs="Times New Roman"/>
                <w:lang w:val="en-IE"/>
              </w:rPr>
              <w:t>Article 4(1), point (121), Article 26(2) and Article 36(1), point (a), of Regulation (EU) No 575/2013.</w:t>
            </w:r>
          </w:p>
          <w:p w14:paraId="1CD3F3B6"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hAnsi="Times New Roman" w:cs="Times New Roman"/>
                <w:lang w:val="en-IE"/>
              </w:rPr>
              <w:t>Article 26(2) of Regulation (EU) No 575/2013 allows including as retained earnings interim or year-end profits, with the prio</w:t>
            </w:r>
            <w:r w:rsidRPr="005B2FEB">
              <w:rPr>
                <w:rFonts w:ascii="Times New Roman" w:hAnsi="Times New Roman" w:cs="Times New Roman"/>
                <w:lang w:val="en-IE"/>
              </w:rPr>
              <w:t xml:space="preserve">r consent of the competent authorities, if some conditions are met. </w:t>
            </w:r>
          </w:p>
        </w:tc>
      </w:tr>
      <w:tr w:rsidR="00AE5644" w:rsidRPr="005B2FEB" w14:paraId="0A358423" w14:textId="77777777">
        <w:tc>
          <w:tcPr>
            <w:tcW w:w="1129" w:type="dxa"/>
          </w:tcPr>
          <w:p w14:paraId="538C4094"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0090</w:t>
            </w:r>
          </w:p>
        </w:tc>
        <w:tc>
          <w:tcPr>
            <w:tcW w:w="7620" w:type="dxa"/>
          </w:tcPr>
          <w:p w14:paraId="46963FAA"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Accumulated other comprehensive income</w:t>
            </w:r>
          </w:p>
          <w:p w14:paraId="0D1524B1"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Article 9(1), point (</w:t>
            </w:r>
            <w:proofErr w:type="spellStart"/>
            <w:r w:rsidRPr="005B2FEB">
              <w:rPr>
                <w:rFonts w:ascii="Times New Roman" w:eastAsia="Times New Roman" w:hAnsi="Times New Roman" w:cs="Times New Roman"/>
                <w:bCs/>
                <w:lang w:val="en-IE" w:eastAsia="de-DE"/>
              </w:rPr>
              <w:t>i</w:t>
            </w:r>
            <w:proofErr w:type="spellEnd"/>
            <w:r w:rsidRPr="005B2FEB">
              <w:rPr>
                <w:rFonts w:ascii="Times New Roman" w:eastAsia="Times New Roman" w:hAnsi="Times New Roman" w:cs="Times New Roman"/>
                <w:bCs/>
                <w:lang w:val="en-IE" w:eastAsia="de-DE"/>
              </w:rPr>
              <w:t xml:space="preserve">),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7F2D5C29" w14:textId="77777777" w:rsidR="00AE5644" w:rsidRPr="005B2FEB" w:rsidRDefault="005B2FEB">
            <w:pPr>
              <w:spacing w:after="120" w:line="240" w:lineRule="auto"/>
              <w:jc w:val="both"/>
              <w:rPr>
                <w:rFonts w:ascii="Times New Roman" w:hAnsi="Times New Roman" w:cs="Times New Roman"/>
                <w:bCs/>
                <w:lang w:val="en-IE"/>
              </w:rPr>
            </w:pPr>
            <w:r w:rsidRPr="005B2FEB">
              <w:rPr>
                <w:rStyle w:val="FormatvorlageInstructionsTabelleText"/>
                <w:rFonts w:ascii="Times New Roman" w:hAnsi="Times New Roman"/>
                <w:sz w:val="22"/>
                <w:lang w:val="en-IE"/>
              </w:rPr>
              <w:lastRenderedPageBreak/>
              <w:t>Article 26(1), point (d), of Regulation (EU) No 575/2013.</w:t>
            </w:r>
          </w:p>
        </w:tc>
      </w:tr>
      <w:tr w:rsidR="00AE5644" w:rsidRPr="005B2FEB" w14:paraId="62B62EC7" w14:textId="77777777">
        <w:tc>
          <w:tcPr>
            <w:tcW w:w="1129" w:type="dxa"/>
          </w:tcPr>
          <w:p w14:paraId="421AF447"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lastRenderedPageBreak/>
              <w:t>0100</w:t>
            </w:r>
          </w:p>
        </w:tc>
        <w:tc>
          <w:tcPr>
            <w:tcW w:w="7620" w:type="dxa"/>
          </w:tcPr>
          <w:p w14:paraId="1F1A1F29"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Other reserves</w:t>
            </w:r>
          </w:p>
          <w:p w14:paraId="482A39CA"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Article 9(1), point (</w:t>
            </w:r>
            <w:proofErr w:type="spellStart"/>
            <w:r w:rsidRPr="005B2FEB">
              <w:rPr>
                <w:rFonts w:ascii="Times New Roman" w:eastAsia="Times New Roman" w:hAnsi="Times New Roman" w:cs="Times New Roman"/>
                <w:bCs/>
                <w:lang w:val="en-IE" w:eastAsia="de-DE"/>
              </w:rPr>
              <w:t>i</w:t>
            </w:r>
            <w:proofErr w:type="spellEnd"/>
            <w:r w:rsidRPr="005B2FEB">
              <w:rPr>
                <w:rFonts w:ascii="Times New Roman" w:eastAsia="Times New Roman" w:hAnsi="Times New Roman" w:cs="Times New Roman"/>
                <w:bCs/>
                <w:lang w:val="en-IE" w:eastAsia="de-DE"/>
              </w:rPr>
              <w:t xml:space="preserve">),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16F7E8AE" w14:textId="77777777" w:rsidR="00AE5644" w:rsidRPr="005B2FEB" w:rsidRDefault="005B2FEB">
            <w:pPr>
              <w:spacing w:after="120" w:line="240" w:lineRule="auto"/>
              <w:jc w:val="both"/>
              <w:rPr>
                <w:rStyle w:val="FormatvorlageInstructionsTabelleText"/>
                <w:rFonts w:ascii="Times New Roman" w:hAnsi="Times New Roman"/>
                <w:sz w:val="22"/>
                <w:lang w:val="en-IE"/>
              </w:rPr>
            </w:pPr>
            <w:r w:rsidRPr="005B2FEB">
              <w:rPr>
                <w:rStyle w:val="FormatvorlageInstructionsTabelleText"/>
                <w:rFonts w:ascii="Times New Roman" w:hAnsi="Times New Roman"/>
                <w:sz w:val="22"/>
                <w:lang w:val="en-IE"/>
              </w:rPr>
              <w:t>Article 4(1), point (117), and Article 26(1), point (e), of Regulation (EU) No 575/2013.</w:t>
            </w:r>
          </w:p>
          <w:p w14:paraId="3FA61D13"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Style w:val="FormatvorlageInstructionsTabelleText"/>
                <w:rFonts w:ascii="Times New Roman" w:hAnsi="Times New Roman"/>
                <w:sz w:val="22"/>
                <w:lang w:val="en-IE"/>
              </w:rPr>
              <w:t xml:space="preserve">The amount to be reported shall be net of any tax charge foreseeable </w:t>
            </w:r>
            <w:proofErr w:type="gramStart"/>
            <w:r w:rsidRPr="005B2FEB">
              <w:rPr>
                <w:rStyle w:val="FormatvorlageInstructionsTabelleText"/>
                <w:rFonts w:ascii="Times New Roman" w:hAnsi="Times New Roman"/>
                <w:sz w:val="22"/>
                <w:lang w:val="en-IE"/>
              </w:rPr>
              <w:t>at the moment</w:t>
            </w:r>
            <w:proofErr w:type="gramEnd"/>
            <w:r w:rsidRPr="005B2FEB">
              <w:rPr>
                <w:rStyle w:val="FormatvorlageInstructionsTabelleText"/>
                <w:rFonts w:ascii="Times New Roman" w:hAnsi="Times New Roman"/>
                <w:sz w:val="22"/>
                <w:lang w:val="en-IE"/>
              </w:rPr>
              <w:t xml:space="preserve"> of the calculation.</w:t>
            </w:r>
          </w:p>
        </w:tc>
      </w:tr>
      <w:tr w:rsidR="00AE5644" w:rsidRPr="005B2FEB" w14:paraId="036C0D64" w14:textId="77777777">
        <w:tc>
          <w:tcPr>
            <w:tcW w:w="1129" w:type="dxa"/>
          </w:tcPr>
          <w:p w14:paraId="022D7013"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0120</w:t>
            </w:r>
          </w:p>
        </w:tc>
        <w:tc>
          <w:tcPr>
            <w:tcW w:w="7620" w:type="dxa"/>
          </w:tcPr>
          <w:p w14:paraId="24312BF9"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Adj</w:t>
            </w:r>
            <w:r w:rsidRPr="005B2FEB">
              <w:rPr>
                <w:rFonts w:ascii="Times New Roman" w:eastAsia="Times New Roman" w:hAnsi="Times New Roman" w:cs="Times New Roman"/>
                <w:b/>
                <w:bCs/>
                <w:u w:val="single"/>
                <w:lang w:val="en-IE" w:eastAsia="de-DE"/>
              </w:rPr>
              <w:t>ustments to CET1 due to prudential filters</w:t>
            </w:r>
          </w:p>
          <w:p w14:paraId="0D70A33D"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Article 9(1), point (</w:t>
            </w:r>
            <w:proofErr w:type="spellStart"/>
            <w:r w:rsidRPr="005B2FEB">
              <w:rPr>
                <w:rFonts w:ascii="Times New Roman" w:eastAsia="Times New Roman" w:hAnsi="Times New Roman" w:cs="Times New Roman"/>
                <w:bCs/>
                <w:lang w:val="en-IE" w:eastAsia="de-DE"/>
              </w:rPr>
              <w:t>i</w:t>
            </w:r>
            <w:proofErr w:type="spellEnd"/>
            <w:r w:rsidRPr="005B2FEB">
              <w:rPr>
                <w:rFonts w:ascii="Times New Roman" w:eastAsia="Times New Roman" w:hAnsi="Times New Roman" w:cs="Times New Roman"/>
                <w:bCs/>
                <w:lang w:val="en-IE" w:eastAsia="de-DE"/>
              </w:rPr>
              <w:t xml:space="preserve">),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353312FC"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Style w:val="FormatvorlageInstructionsTabelleText"/>
                <w:rFonts w:ascii="Times New Roman" w:hAnsi="Times New Roman"/>
                <w:sz w:val="22"/>
                <w:lang w:val="en-IE"/>
              </w:rPr>
              <w:t>Articles 32 to 35 of Regulation (EU) No 575/2013.</w:t>
            </w:r>
          </w:p>
        </w:tc>
      </w:tr>
      <w:tr w:rsidR="00AE5644" w:rsidRPr="005B2FEB" w14:paraId="59555E7B" w14:textId="77777777">
        <w:tc>
          <w:tcPr>
            <w:tcW w:w="1129" w:type="dxa"/>
          </w:tcPr>
          <w:p w14:paraId="634A5F83"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0130</w:t>
            </w:r>
          </w:p>
        </w:tc>
        <w:tc>
          <w:tcPr>
            <w:tcW w:w="7620" w:type="dxa"/>
          </w:tcPr>
          <w:p w14:paraId="373F088C"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Other funds</w:t>
            </w:r>
          </w:p>
          <w:p w14:paraId="0837A22D"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eastAsia="de-DE"/>
              </w:rPr>
              <w:t xml:space="preserve">Article 9(4)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tc>
      </w:tr>
      <w:tr w:rsidR="00AE5644" w:rsidRPr="005B2FEB" w14:paraId="3CE32F0C" w14:textId="77777777">
        <w:tc>
          <w:tcPr>
            <w:tcW w:w="1129" w:type="dxa"/>
          </w:tcPr>
          <w:p w14:paraId="3B166F1F"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0145</w:t>
            </w:r>
          </w:p>
        </w:tc>
        <w:tc>
          <w:tcPr>
            <w:tcW w:w="7620" w:type="dxa"/>
          </w:tcPr>
          <w:p w14:paraId="66B1DB51"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w:t>
            </w:r>
            <w:proofErr w:type="gramStart"/>
            <w:r w:rsidRPr="005B2FEB">
              <w:rPr>
                <w:rFonts w:ascii="Times New Roman" w:eastAsia="Times New Roman" w:hAnsi="Times New Roman" w:cs="Times New Roman"/>
                <w:b/>
                <w:bCs/>
                <w:u w:val="single"/>
                <w:lang w:val="en-IE" w:eastAsia="de-DE"/>
              </w:rPr>
              <w:t>-)TOTAL</w:t>
            </w:r>
            <w:proofErr w:type="gramEnd"/>
            <w:r w:rsidRPr="005B2FEB">
              <w:rPr>
                <w:rFonts w:ascii="Times New Roman" w:eastAsia="Times New Roman" w:hAnsi="Times New Roman" w:cs="Times New Roman"/>
                <w:b/>
                <w:bCs/>
                <w:u w:val="single"/>
                <w:lang w:val="en-IE" w:eastAsia="de-DE"/>
              </w:rPr>
              <w:t xml:space="preserve"> DEDUCTIONS FROM COMMON EQUITY TI</w:t>
            </w:r>
            <w:r w:rsidRPr="005B2FEB">
              <w:rPr>
                <w:rFonts w:ascii="Times New Roman" w:eastAsia="Times New Roman" w:hAnsi="Times New Roman" w:cs="Times New Roman"/>
                <w:b/>
                <w:bCs/>
                <w:u w:val="single"/>
                <w:lang w:val="en-IE" w:eastAsia="de-DE"/>
              </w:rPr>
              <w:t>ER 1</w:t>
            </w:r>
          </w:p>
          <w:p w14:paraId="50379136"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 xml:space="preserve">Article 8(2), point (a),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 xml:space="preserve">, Article 36(1) of Regulation (EU) No 575/2013 </w:t>
            </w:r>
            <w:proofErr w:type="gramStart"/>
            <w:r w:rsidRPr="005B2FEB">
              <w:rPr>
                <w:rFonts w:ascii="Times New Roman" w:eastAsia="Times New Roman" w:hAnsi="Times New Roman" w:cs="Times New Roman"/>
                <w:bCs/>
                <w:lang w:val="en-IE" w:eastAsia="de-DE"/>
              </w:rPr>
              <w:t>with the exception of</w:t>
            </w:r>
            <w:proofErr w:type="gramEnd"/>
            <w:r w:rsidRPr="005B2FEB">
              <w:rPr>
                <w:rFonts w:ascii="Times New Roman" w:eastAsia="Times New Roman" w:hAnsi="Times New Roman" w:cs="Times New Roman"/>
                <w:bCs/>
                <w:lang w:val="en-IE" w:eastAsia="de-DE"/>
              </w:rPr>
              <w:t xml:space="preserve"> point (</w:t>
            </w:r>
            <w:proofErr w:type="spellStart"/>
            <w:r w:rsidRPr="005B2FEB">
              <w:rPr>
                <w:rFonts w:ascii="Times New Roman" w:eastAsia="Times New Roman" w:hAnsi="Times New Roman" w:cs="Times New Roman"/>
                <w:bCs/>
                <w:lang w:val="en-IE" w:eastAsia="de-DE"/>
              </w:rPr>
              <w:t>i</w:t>
            </w:r>
            <w:proofErr w:type="spellEnd"/>
            <w:r w:rsidRPr="005B2FEB">
              <w:rPr>
                <w:rFonts w:ascii="Times New Roman" w:eastAsia="Times New Roman" w:hAnsi="Times New Roman" w:cs="Times New Roman"/>
                <w:bCs/>
                <w:lang w:val="en-IE" w:eastAsia="de-DE"/>
              </w:rPr>
              <w:t>) of that paragraph.</w:t>
            </w:r>
          </w:p>
          <w:p w14:paraId="7ECA95D6"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The sum of rows 0150 and 0190-0280 shall be reported.</w:t>
            </w:r>
          </w:p>
        </w:tc>
      </w:tr>
      <w:tr w:rsidR="00AE5644" w:rsidRPr="005B2FEB" w14:paraId="474FEDC2" w14:textId="77777777">
        <w:tc>
          <w:tcPr>
            <w:tcW w:w="1129" w:type="dxa"/>
          </w:tcPr>
          <w:p w14:paraId="7290C662"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0150</w:t>
            </w:r>
          </w:p>
        </w:tc>
        <w:tc>
          <w:tcPr>
            <w:tcW w:w="7620" w:type="dxa"/>
            <w:shd w:val="clear" w:color="auto" w:fill="auto"/>
          </w:tcPr>
          <w:p w14:paraId="37179470"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 Own CET1 instruments</w:t>
            </w:r>
          </w:p>
          <w:p w14:paraId="1EA669D3" w14:textId="77777777" w:rsidR="00AE5644" w:rsidRPr="005B2FEB" w:rsidRDefault="005B2FEB">
            <w:pPr>
              <w:rPr>
                <w:rFonts w:cs="Times New Roman"/>
                <w:lang w:val="en-IE"/>
              </w:rPr>
            </w:pPr>
            <w:r w:rsidRPr="005B2FEB">
              <w:rPr>
                <w:rFonts w:ascii="Times New Roman" w:eastAsia="Times New Roman" w:hAnsi="Times New Roman" w:cs="Times New Roman"/>
                <w:bCs/>
                <w:lang w:val="en-IE" w:eastAsia="de-DE"/>
              </w:rPr>
              <w:t>Article 9(1), point (</w:t>
            </w:r>
            <w:proofErr w:type="spellStart"/>
            <w:r w:rsidRPr="005B2FEB">
              <w:rPr>
                <w:rFonts w:ascii="Times New Roman" w:eastAsia="Times New Roman" w:hAnsi="Times New Roman" w:cs="Times New Roman"/>
                <w:bCs/>
                <w:lang w:val="en-IE" w:eastAsia="de-DE"/>
              </w:rPr>
              <w:t>i</w:t>
            </w:r>
            <w:proofErr w:type="spellEnd"/>
            <w:r w:rsidRPr="005B2FEB">
              <w:rPr>
                <w:rFonts w:ascii="Times New Roman" w:eastAsia="Times New Roman" w:hAnsi="Times New Roman" w:cs="Times New Roman"/>
                <w:bCs/>
                <w:lang w:val="en-IE" w:eastAsia="de-DE"/>
              </w:rPr>
              <w:t xml:space="preserve">),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71369506" w14:textId="77777777" w:rsidR="00AE5644" w:rsidRPr="005B2FEB" w:rsidRDefault="005B2FEB">
            <w:pPr>
              <w:rPr>
                <w:rStyle w:val="FormatvorlageInstructionsTabelleText"/>
                <w:rFonts w:ascii="Times New Roman" w:hAnsi="Times New Roman"/>
                <w:bCs w:val="0"/>
                <w:sz w:val="22"/>
                <w:lang w:val="en-IE"/>
              </w:rPr>
            </w:pPr>
            <w:r w:rsidRPr="005B2FEB">
              <w:rPr>
                <w:rStyle w:val="FormatvorlageInstructionsTabelleText"/>
                <w:rFonts w:ascii="Times New Roman" w:hAnsi="Times New Roman"/>
                <w:sz w:val="22"/>
                <w:lang w:val="en-IE"/>
              </w:rPr>
              <w:t>Article 36(1), point (f), and Article 42 of Regulation (EU) No 575/2013.</w:t>
            </w:r>
          </w:p>
          <w:p w14:paraId="55FFEB0F" w14:textId="77777777" w:rsidR="00AE5644" w:rsidRPr="005B2FEB" w:rsidRDefault="005B2FEB">
            <w:pPr>
              <w:pStyle w:val="InstructionsText"/>
              <w:rPr>
                <w:rStyle w:val="FormatvorlageInstructionsTabelleText"/>
                <w:rFonts w:ascii="Times New Roman" w:hAnsi="Times New Roman"/>
                <w:sz w:val="22"/>
                <w:szCs w:val="22"/>
                <w:lang w:val="en-IE"/>
              </w:rPr>
            </w:pPr>
            <w:r w:rsidRPr="005B2FEB">
              <w:rPr>
                <w:rStyle w:val="FormatvorlageInstructionsTabelleText"/>
                <w:rFonts w:ascii="Times New Roman" w:hAnsi="Times New Roman"/>
                <w:sz w:val="22"/>
                <w:szCs w:val="22"/>
                <w:lang w:val="en-IE"/>
              </w:rPr>
              <w:t>Own CET1 held by the reporting institution or group at the reporting date. Subject to exceptions in Article 42 of Regulation (EU</w:t>
            </w:r>
            <w:r w:rsidRPr="005B2FEB">
              <w:rPr>
                <w:rStyle w:val="FormatvorlageInstructionsTabelleText"/>
                <w:rFonts w:ascii="Times New Roman" w:hAnsi="Times New Roman"/>
                <w:sz w:val="22"/>
                <w:szCs w:val="22"/>
                <w:lang w:val="en-IE"/>
              </w:rPr>
              <w:t>) No 575/2013.</w:t>
            </w:r>
          </w:p>
          <w:p w14:paraId="55E97D3C" w14:textId="77777777" w:rsidR="00AE5644" w:rsidRPr="005B2FEB" w:rsidRDefault="005B2FEB">
            <w:pPr>
              <w:pStyle w:val="InstructionsText"/>
              <w:rPr>
                <w:rStyle w:val="FormatvorlageInstructionsTabelleText"/>
                <w:rFonts w:ascii="Times New Roman" w:hAnsi="Times New Roman"/>
                <w:sz w:val="22"/>
                <w:szCs w:val="22"/>
                <w:lang w:val="en-IE"/>
              </w:rPr>
            </w:pPr>
            <w:r w:rsidRPr="005B2FEB">
              <w:rPr>
                <w:rStyle w:val="FormatvorlageInstructionsTabelleText"/>
                <w:rFonts w:ascii="Times New Roman" w:hAnsi="Times New Roman"/>
                <w:sz w:val="22"/>
                <w:szCs w:val="22"/>
                <w:lang w:val="en-IE"/>
              </w:rPr>
              <w:t xml:space="preserve">Holdings on shares included as </w:t>
            </w:r>
            <w:r w:rsidRPr="005B2FEB">
              <w:rPr>
                <w:rStyle w:val="FormatvorlageInstructionsTabelleText"/>
                <w:rFonts w:ascii="Times New Roman" w:hAnsi="Times New Roman"/>
                <w:sz w:val="22"/>
                <w:szCs w:val="22"/>
                <w:lang w:val="en-IE"/>
              </w:rPr>
              <w:t>"</w:t>
            </w:r>
            <w:r w:rsidRPr="005B2FEB">
              <w:rPr>
                <w:rStyle w:val="FormatvorlageInstructionsTabelleText"/>
                <w:rFonts w:ascii="Times New Roman" w:hAnsi="Times New Roman"/>
                <w:sz w:val="22"/>
                <w:szCs w:val="22"/>
                <w:lang w:val="en-IE"/>
              </w:rPr>
              <w:t>Capital instruments not eligibl</w:t>
            </w:r>
            <w:r w:rsidRPr="005B2FEB">
              <w:rPr>
                <w:rStyle w:val="FormatvorlageInstructionsTabelleText"/>
                <w:rFonts w:ascii="Times New Roman" w:hAnsi="Times New Roman"/>
                <w:sz w:val="22"/>
                <w:szCs w:val="22"/>
                <w:lang w:val="en-IE"/>
              </w:rPr>
              <w:t>e"</w:t>
            </w:r>
            <w:r w:rsidRPr="005B2FEB">
              <w:rPr>
                <w:rStyle w:val="FormatvorlageInstructionsTabelleText"/>
                <w:rFonts w:ascii="Times New Roman" w:hAnsi="Times New Roman"/>
                <w:sz w:val="22"/>
                <w:szCs w:val="22"/>
                <w:lang w:val="en-IE"/>
              </w:rPr>
              <w:t xml:space="preserve"> shall not be reported in this row.</w:t>
            </w:r>
          </w:p>
          <w:p w14:paraId="79763804" w14:textId="77777777" w:rsidR="00AE5644" w:rsidRPr="005B2FEB" w:rsidRDefault="005B2FEB">
            <w:pPr>
              <w:pStyle w:val="InstructionsText"/>
              <w:rPr>
                <w:sz w:val="22"/>
                <w:szCs w:val="22"/>
                <w:lang w:val="en-IE"/>
              </w:rPr>
            </w:pPr>
            <w:r w:rsidRPr="005B2FEB">
              <w:rPr>
                <w:rStyle w:val="FormatvorlageInstructionsTabelleText"/>
                <w:rFonts w:ascii="Times New Roman" w:hAnsi="Times New Roman"/>
                <w:sz w:val="22"/>
                <w:szCs w:val="22"/>
                <w:lang w:val="en-IE"/>
              </w:rPr>
              <w:t>The amount to be reported shall include the share premium related to the own shares.</w:t>
            </w:r>
          </w:p>
        </w:tc>
      </w:tr>
      <w:tr w:rsidR="00AE5644" w:rsidRPr="005B2FEB" w14:paraId="7673C1DE" w14:textId="77777777">
        <w:tc>
          <w:tcPr>
            <w:tcW w:w="1129" w:type="dxa"/>
          </w:tcPr>
          <w:p w14:paraId="60611280"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0190</w:t>
            </w:r>
          </w:p>
        </w:tc>
        <w:tc>
          <w:tcPr>
            <w:tcW w:w="7620" w:type="dxa"/>
            <w:tcBorders>
              <w:top w:val="nil"/>
              <w:left w:val="single" w:sz="4" w:space="0" w:color="auto"/>
              <w:bottom w:val="single" w:sz="4" w:space="0" w:color="auto"/>
              <w:right w:val="single" w:sz="4" w:space="0" w:color="auto"/>
            </w:tcBorders>
            <w:shd w:val="clear" w:color="auto" w:fill="auto"/>
            <w:vAlign w:val="center"/>
          </w:tcPr>
          <w:p w14:paraId="070FAF57"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 Losses for the current financial year</w:t>
            </w:r>
          </w:p>
          <w:p w14:paraId="7FC6533A"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hAnsi="Times New Roman" w:cs="Times New Roman"/>
                <w:lang w:val="en-IE"/>
              </w:rPr>
              <w:t>Article 36(1), point (a), of Regulation (EU) No 575/2013.</w:t>
            </w:r>
          </w:p>
        </w:tc>
      </w:tr>
      <w:tr w:rsidR="00AE5644" w:rsidRPr="005B2FEB" w14:paraId="52DEC0FC" w14:textId="77777777">
        <w:tc>
          <w:tcPr>
            <w:tcW w:w="1129" w:type="dxa"/>
          </w:tcPr>
          <w:p w14:paraId="51E14DC5"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0200</w:t>
            </w:r>
          </w:p>
        </w:tc>
        <w:tc>
          <w:tcPr>
            <w:tcW w:w="7620" w:type="dxa"/>
            <w:tcBorders>
              <w:top w:val="nil"/>
              <w:left w:val="single" w:sz="4" w:space="0" w:color="auto"/>
              <w:bottom w:val="single" w:sz="4" w:space="0" w:color="auto"/>
              <w:right w:val="single" w:sz="4" w:space="0" w:color="auto"/>
            </w:tcBorders>
            <w:shd w:val="clear" w:color="auto" w:fill="auto"/>
            <w:vAlign w:val="bottom"/>
          </w:tcPr>
          <w:p w14:paraId="4B715C9A"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 Goodwill</w:t>
            </w:r>
          </w:p>
          <w:p w14:paraId="56FA5836"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Article 9(1), point (</w:t>
            </w:r>
            <w:proofErr w:type="spellStart"/>
            <w:r w:rsidRPr="005B2FEB">
              <w:rPr>
                <w:rFonts w:ascii="Times New Roman" w:eastAsia="Times New Roman" w:hAnsi="Times New Roman" w:cs="Times New Roman"/>
                <w:bCs/>
                <w:lang w:val="en-IE" w:eastAsia="de-DE"/>
              </w:rPr>
              <w:t>i</w:t>
            </w:r>
            <w:proofErr w:type="spellEnd"/>
            <w:r w:rsidRPr="005B2FEB">
              <w:rPr>
                <w:rFonts w:ascii="Times New Roman" w:eastAsia="Times New Roman" w:hAnsi="Times New Roman" w:cs="Times New Roman"/>
                <w:bCs/>
                <w:lang w:val="en-IE" w:eastAsia="de-DE"/>
              </w:rPr>
              <w:t xml:space="preserve">),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5D16E868"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Style w:val="FormatvorlageInstructionsTabelleText"/>
                <w:rFonts w:ascii="Times New Roman" w:hAnsi="Times New Roman"/>
                <w:sz w:val="22"/>
                <w:lang w:val="en-IE"/>
              </w:rPr>
              <w:t>Article 4(1), point (113), Article 36(1), point (b), and Article 37 of Regulation (EU) No 575/2013.</w:t>
            </w:r>
          </w:p>
        </w:tc>
      </w:tr>
      <w:tr w:rsidR="00AE5644" w:rsidRPr="005B2FEB" w14:paraId="6B80FA14" w14:textId="77777777">
        <w:tc>
          <w:tcPr>
            <w:tcW w:w="1129" w:type="dxa"/>
          </w:tcPr>
          <w:p w14:paraId="469E7045"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0210</w:t>
            </w:r>
          </w:p>
        </w:tc>
        <w:tc>
          <w:tcPr>
            <w:tcW w:w="7620" w:type="dxa"/>
            <w:tcBorders>
              <w:top w:val="nil"/>
              <w:left w:val="single" w:sz="4" w:space="0" w:color="auto"/>
              <w:bottom w:val="single" w:sz="4" w:space="0" w:color="auto"/>
              <w:right w:val="single" w:sz="4" w:space="0" w:color="auto"/>
            </w:tcBorders>
            <w:shd w:val="clear" w:color="auto" w:fill="auto"/>
            <w:vAlign w:val="bottom"/>
          </w:tcPr>
          <w:p w14:paraId="4745D00C"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 xml:space="preserve">(-) Other </w:t>
            </w:r>
            <w:r w:rsidRPr="005B2FEB">
              <w:rPr>
                <w:rFonts w:ascii="Times New Roman" w:eastAsia="Times New Roman" w:hAnsi="Times New Roman" w:cs="Times New Roman"/>
                <w:b/>
                <w:bCs/>
                <w:u w:val="single"/>
                <w:lang w:val="en-IE" w:eastAsia="de-DE"/>
              </w:rPr>
              <w:t>intangible assets</w:t>
            </w:r>
          </w:p>
          <w:p w14:paraId="5C4B330D"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Article 9(1), point (</w:t>
            </w:r>
            <w:proofErr w:type="spellStart"/>
            <w:r w:rsidRPr="005B2FEB">
              <w:rPr>
                <w:rFonts w:ascii="Times New Roman" w:eastAsia="Times New Roman" w:hAnsi="Times New Roman" w:cs="Times New Roman"/>
                <w:bCs/>
                <w:lang w:val="en-IE" w:eastAsia="de-DE"/>
              </w:rPr>
              <w:t>i</w:t>
            </w:r>
            <w:proofErr w:type="spellEnd"/>
            <w:r w:rsidRPr="005B2FEB">
              <w:rPr>
                <w:rFonts w:ascii="Times New Roman" w:eastAsia="Times New Roman" w:hAnsi="Times New Roman" w:cs="Times New Roman"/>
                <w:bCs/>
                <w:lang w:val="en-IE" w:eastAsia="de-DE"/>
              </w:rPr>
              <w:t xml:space="preserve">),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4BF259A1" w14:textId="77777777" w:rsidR="00AE5644" w:rsidRPr="005B2FEB" w:rsidRDefault="005B2FEB">
            <w:pPr>
              <w:pStyle w:val="InstructionsText"/>
              <w:rPr>
                <w:rStyle w:val="FormatvorlageInstructionsTabelleText"/>
                <w:rFonts w:ascii="Times New Roman" w:eastAsiaTheme="minorHAnsi" w:hAnsi="Times New Roman"/>
                <w:bCs/>
                <w:sz w:val="22"/>
                <w:szCs w:val="22"/>
                <w:lang w:val="en-IE" w:eastAsia="en-US"/>
              </w:rPr>
            </w:pPr>
            <w:r w:rsidRPr="005B2FEB">
              <w:rPr>
                <w:rStyle w:val="FormatvorlageInstructionsTabelleText"/>
                <w:rFonts w:ascii="Times New Roman" w:hAnsi="Times New Roman"/>
                <w:sz w:val="22"/>
                <w:szCs w:val="22"/>
                <w:lang w:val="en-IE"/>
              </w:rPr>
              <w:t>Article 4(1), point (115), Article 36(1), point (b), and Article 37, point (a), of Regulation (EU) No 575/2013.</w:t>
            </w:r>
          </w:p>
          <w:p w14:paraId="2B656283"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Style w:val="FormatvorlageInstructionsTabelleText"/>
                <w:rFonts w:ascii="Times New Roman" w:hAnsi="Times New Roman"/>
                <w:sz w:val="22"/>
                <w:lang w:val="en-IE"/>
              </w:rPr>
              <w:t>Other intangible assets are the intangibles assets under the applicable</w:t>
            </w:r>
            <w:r w:rsidRPr="005B2FEB">
              <w:rPr>
                <w:rStyle w:val="FormatvorlageInstructionsTabelleText"/>
                <w:rFonts w:ascii="Times New Roman" w:hAnsi="Times New Roman"/>
                <w:sz w:val="22"/>
                <w:lang w:val="en-IE"/>
              </w:rPr>
              <w:t xml:space="preserve"> accounting standard, minus the goodwill, also pursuant the applicable accounting standard.</w:t>
            </w:r>
          </w:p>
        </w:tc>
      </w:tr>
      <w:tr w:rsidR="00AE5644" w:rsidRPr="005B2FEB" w14:paraId="77DC7F30" w14:textId="77777777">
        <w:tc>
          <w:tcPr>
            <w:tcW w:w="1129" w:type="dxa"/>
          </w:tcPr>
          <w:p w14:paraId="4E06BDD6"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0220</w:t>
            </w:r>
          </w:p>
        </w:tc>
        <w:tc>
          <w:tcPr>
            <w:tcW w:w="7620" w:type="dxa"/>
            <w:tcBorders>
              <w:top w:val="nil"/>
              <w:left w:val="single" w:sz="4" w:space="0" w:color="auto"/>
              <w:bottom w:val="single" w:sz="4" w:space="0" w:color="auto"/>
              <w:right w:val="single" w:sz="4" w:space="0" w:color="auto"/>
            </w:tcBorders>
            <w:shd w:val="clear" w:color="auto" w:fill="auto"/>
            <w:vAlign w:val="bottom"/>
          </w:tcPr>
          <w:p w14:paraId="73AD9C39"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 Deferred tax assets that rely on future profitability and do not arise from temporary differences net of associated tax liabilities</w:t>
            </w:r>
          </w:p>
          <w:p w14:paraId="664F1C9C"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Article 9(2), point (a</w:t>
            </w:r>
            <w:r w:rsidRPr="005B2FEB">
              <w:rPr>
                <w:rFonts w:ascii="Times New Roman" w:eastAsia="Times New Roman" w:hAnsi="Times New Roman" w:cs="Times New Roman"/>
                <w:bCs/>
                <w:lang w:val="en-IE" w:eastAsia="de-DE"/>
              </w:rPr>
              <w:t xml:space="preserve">),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040967B7"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eastAsia="de-DE"/>
              </w:rPr>
              <w:t>Article 36(1), point (c), of Regulation (EU) No 575/2013.</w:t>
            </w:r>
          </w:p>
        </w:tc>
      </w:tr>
      <w:tr w:rsidR="00AE5644" w:rsidRPr="005B2FEB" w14:paraId="660CA8AC" w14:textId="77777777">
        <w:tc>
          <w:tcPr>
            <w:tcW w:w="1129" w:type="dxa"/>
          </w:tcPr>
          <w:p w14:paraId="61085EFA"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lastRenderedPageBreak/>
              <w:t>0230</w:t>
            </w:r>
          </w:p>
        </w:tc>
        <w:tc>
          <w:tcPr>
            <w:tcW w:w="7620" w:type="dxa"/>
            <w:tcBorders>
              <w:top w:val="nil"/>
              <w:left w:val="single" w:sz="4" w:space="0" w:color="auto"/>
              <w:bottom w:val="single" w:sz="4" w:space="0" w:color="auto"/>
              <w:right w:val="single" w:sz="4" w:space="0" w:color="auto"/>
            </w:tcBorders>
            <w:shd w:val="clear" w:color="auto" w:fill="auto"/>
            <w:vAlign w:val="center"/>
          </w:tcPr>
          <w:p w14:paraId="1930977B"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 Qualifying holding outside the financial sector which exceeds 15 % of own funds</w:t>
            </w:r>
          </w:p>
          <w:p w14:paraId="78300A6B"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 xml:space="preserve">Article 10(1), point (a),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tc>
      </w:tr>
      <w:tr w:rsidR="00AE5644" w:rsidRPr="005B2FEB" w14:paraId="6C92029A" w14:textId="77777777">
        <w:tc>
          <w:tcPr>
            <w:tcW w:w="1129" w:type="dxa"/>
          </w:tcPr>
          <w:p w14:paraId="0EAFCDCA"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0240</w:t>
            </w:r>
          </w:p>
        </w:tc>
        <w:tc>
          <w:tcPr>
            <w:tcW w:w="7620" w:type="dxa"/>
            <w:tcBorders>
              <w:top w:val="nil"/>
              <w:left w:val="single" w:sz="4" w:space="0" w:color="auto"/>
              <w:bottom w:val="single" w:sz="4" w:space="0" w:color="auto"/>
              <w:right w:val="single" w:sz="4" w:space="0" w:color="auto"/>
            </w:tcBorders>
            <w:shd w:val="clear" w:color="auto" w:fill="auto"/>
            <w:vAlign w:val="center"/>
          </w:tcPr>
          <w:p w14:paraId="0976892A"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w:t>
            </w:r>
            <w:proofErr w:type="gramStart"/>
            <w:r w:rsidRPr="005B2FEB">
              <w:rPr>
                <w:rFonts w:ascii="Times New Roman" w:eastAsia="Times New Roman" w:hAnsi="Times New Roman" w:cs="Times New Roman"/>
                <w:b/>
                <w:bCs/>
                <w:u w:val="single"/>
                <w:lang w:val="en-IE" w:eastAsia="de-DE"/>
              </w:rPr>
              <w:t>-)Total</w:t>
            </w:r>
            <w:proofErr w:type="gramEnd"/>
            <w:r w:rsidRPr="005B2FEB">
              <w:rPr>
                <w:rFonts w:ascii="Times New Roman" w:eastAsia="Times New Roman" w:hAnsi="Times New Roman" w:cs="Times New Roman"/>
                <w:b/>
                <w:bCs/>
                <w:u w:val="single"/>
                <w:lang w:val="en-IE" w:eastAsia="de-DE"/>
              </w:rPr>
              <w:t xml:space="preserve"> qualifying holdings in undertaking other than financial sector entities which exceeds 60 % of its own funds</w:t>
            </w:r>
          </w:p>
          <w:p w14:paraId="2378CE60"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eastAsia="de-DE"/>
              </w:rPr>
              <w:t xml:space="preserve">Article 10(1), point (b),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tc>
      </w:tr>
      <w:tr w:rsidR="00AE5644" w:rsidRPr="005B2FEB" w14:paraId="2A920247" w14:textId="77777777">
        <w:tc>
          <w:tcPr>
            <w:tcW w:w="1129" w:type="dxa"/>
          </w:tcPr>
          <w:p w14:paraId="387AC3F5"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0250</w:t>
            </w:r>
          </w:p>
        </w:tc>
        <w:tc>
          <w:tcPr>
            <w:tcW w:w="7620" w:type="dxa"/>
            <w:tcBorders>
              <w:top w:val="nil"/>
              <w:left w:val="single" w:sz="4" w:space="0" w:color="auto"/>
              <w:bottom w:val="single" w:sz="4" w:space="0" w:color="auto"/>
              <w:right w:val="single" w:sz="4" w:space="0" w:color="auto"/>
            </w:tcBorders>
            <w:shd w:val="clear" w:color="auto" w:fill="auto"/>
            <w:vAlign w:val="bottom"/>
          </w:tcPr>
          <w:p w14:paraId="58BC6B23"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 CET1 instru</w:t>
            </w:r>
            <w:r w:rsidRPr="005B2FEB">
              <w:rPr>
                <w:rFonts w:ascii="Times New Roman" w:eastAsia="Times New Roman" w:hAnsi="Times New Roman" w:cs="Times New Roman"/>
                <w:b/>
                <w:bCs/>
                <w:u w:val="single"/>
                <w:lang w:val="en-IE" w:eastAsia="de-DE"/>
              </w:rPr>
              <w:t>ments of financial sector entities where the parent does not have a significant investment</w:t>
            </w:r>
          </w:p>
          <w:p w14:paraId="4F671573"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 xml:space="preserve">Article 9(2), point (c),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40AEC0A8"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Article 36(1), point (h), of Regulation (EU) No 575/2013.</w:t>
            </w:r>
          </w:p>
          <w:p w14:paraId="0B21CBBF"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eastAsia="de-DE"/>
              </w:rPr>
              <w:t>Union parent in this row means Union parent investme</w:t>
            </w:r>
            <w:r w:rsidRPr="005B2FEB">
              <w:rPr>
                <w:rFonts w:ascii="Times New Roman" w:eastAsia="Times New Roman" w:hAnsi="Times New Roman" w:cs="Times New Roman"/>
                <w:bCs/>
                <w:lang w:val="en-IE" w:eastAsia="de-DE"/>
              </w:rPr>
              <w:t>nt firms, Union parent investment holding companies, Union parent mixed financial holding or any other parent undertaking that is an investment firms, financial institution, ancillary services undertaking or tied agent</w:t>
            </w:r>
          </w:p>
        </w:tc>
      </w:tr>
      <w:tr w:rsidR="00AE5644" w:rsidRPr="005B2FEB" w14:paraId="79D46E0F" w14:textId="77777777">
        <w:tc>
          <w:tcPr>
            <w:tcW w:w="1129" w:type="dxa"/>
          </w:tcPr>
          <w:p w14:paraId="3E6E37DB"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0270</w:t>
            </w:r>
          </w:p>
        </w:tc>
        <w:tc>
          <w:tcPr>
            <w:tcW w:w="7620" w:type="dxa"/>
            <w:tcBorders>
              <w:top w:val="nil"/>
              <w:left w:val="single" w:sz="4" w:space="0" w:color="auto"/>
              <w:bottom w:val="single" w:sz="4" w:space="0" w:color="auto"/>
              <w:right w:val="single" w:sz="4" w:space="0" w:color="auto"/>
            </w:tcBorders>
            <w:shd w:val="clear" w:color="auto" w:fill="auto"/>
            <w:vAlign w:val="bottom"/>
          </w:tcPr>
          <w:p w14:paraId="2561B323"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w:t>
            </w:r>
            <w:proofErr w:type="gramStart"/>
            <w:r w:rsidRPr="005B2FEB">
              <w:rPr>
                <w:rFonts w:ascii="Times New Roman" w:eastAsia="Times New Roman" w:hAnsi="Times New Roman" w:cs="Times New Roman"/>
                <w:b/>
                <w:bCs/>
                <w:u w:val="single"/>
                <w:lang w:val="en-IE" w:eastAsia="de-DE"/>
              </w:rPr>
              <w:t>-)Defined</w:t>
            </w:r>
            <w:proofErr w:type="gramEnd"/>
            <w:r w:rsidRPr="005B2FEB">
              <w:rPr>
                <w:rFonts w:ascii="Times New Roman" w:eastAsia="Times New Roman" w:hAnsi="Times New Roman" w:cs="Times New Roman"/>
                <w:b/>
                <w:bCs/>
                <w:u w:val="single"/>
                <w:lang w:val="en-IE" w:eastAsia="de-DE"/>
              </w:rPr>
              <w:t xml:space="preserve"> benefit </w:t>
            </w:r>
            <w:r w:rsidRPr="005B2FEB">
              <w:rPr>
                <w:rFonts w:ascii="Times New Roman" w:eastAsia="Times New Roman" w:hAnsi="Times New Roman" w:cs="Times New Roman"/>
                <w:b/>
                <w:bCs/>
                <w:u w:val="single"/>
                <w:lang w:val="en-IE" w:eastAsia="de-DE"/>
              </w:rPr>
              <w:t>pension fund assets</w:t>
            </w:r>
          </w:p>
          <w:p w14:paraId="302212BE"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 xml:space="preserve">Article 9(2), point (b),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2635D260"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eastAsia="de-DE"/>
              </w:rPr>
              <w:t>Article 36(1), point (e), of Regulation (EU) No 575/2013.</w:t>
            </w:r>
          </w:p>
        </w:tc>
      </w:tr>
      <w:tr w:rsidR="00AE5644" w:rsidRPr="005B2FEB" w14:paraId="5CFB8C97" w14:textId="77777777">
        <w:tc>
          <w:tcPr>
            <w:tcW w:w="1129" w:type="dxa"/>
          </w:tcPr>
          <w:p w14:paraId="658F36B3"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0280</w:t>
            </w:r>
          </w:p>
        </w:tc>
        <w:tc>
          <w:tcPr>
            <w:tcW w:w="7620" w:type="dxa"/>
            <w:tcBorders>
              <w:top w:val="nil"/>
              <w:left w:val="single" w:sz="4" w:space="0" w:color="auto"/>
              <w:bottom w:val="single" w:sz="4" w:space="0" w:color="auto"/>
              <w:right w:val="single" w:sz="4" w:space="0" w:color="auto"/>
            </w:tcBorders>
            <w:shd w:val="clear" w:color="auto" w:fill="auto"/>
            <w:vAlign w:val="bottom"/>
          </w:tcPr>
          <w:p w14:paraId="4232579B"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 Other deductions</w:t>
            </w:r>
          </w:p>
          <w:p w14:paraId="2057A256"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hAnsi="Times New Roman" w:cs="Times New Roman"/>
                <w:lang w:val="en-IE"/>
              </w:rPr>
              <w:t>The sum of all other deductions in accordance with Article 36(1) of Regulation (EU) No 575/2013,</w:t>
            </w:r>
            <w:r w:rsidRPr="005B2FEB">
              <w:rPr>
                <w:rFonts w:ascii="Times New Roman" w:hAnsi="Times New Roman" w:cs="Times New Roman"/>
                <w:lang w:val="en-IE"/>
              </w:rPr>
              <w:t xml:space="preserve"> </w:t>
            </w:r>
            <w:proofErr w:type="gramStart"/>
            <w:r w:rsidRPr="005B2FEB">
              <w:rPr>
                <w:rFonts w:ascii="Times New Roman" w:hAnsi="Times New Roman" w:cs="Times New Roman"/>
                <w:lang w:val="en-IE"/>
              </w:rPr>
              <w:t>with the exception of</w:t>
            </w:r>
            <w:proofErr w:type="gramEnd"/>
            <w:r w:rsidRPr="005B2FEB">
              <w:rPr>
                <w:rFonts w:ascii="Times New Roman" w:hAnsi="Times New Roman" w:cs="Times New Roman"/>
                <w:lang w:val="en-IE"/>
              </w:rPr>
              <w:t xml:space="preserve"> deductions in accordance with Article 36(1), point (</w:t>
            </w:r>
            <w:proofErr w:type="spellStart"/>
            <w:r w:rsidRPr="005B2FEB">
              <w:rPr>
                <w:rFonts w:ascii="Times New Roman" w:hAnsi="Times New Roman" w:cs="Times New Roman"/>
                <w:lang w:val="en-IE"/>
              </w:rPr>
              <w:t>i</w:t>
            </w:r>
            <w:proofErr w:type="spellEnd"/>
            <w:r w:rsidRPr="005B2FEB">
              <w:rPr>
                <w:rFonts w:ascii="Times New Roman" w:hAnsi="Times New Roman" w:cs="Times New Roman"/>
                <w:lang w:val="en-IE"/>
              </w:rPr>
              <w:t>), of Regulation (EU) No 575/2013, that are not included in any of the rows 0150 to 0270 above.</w:t>
            </w:r>
          </w:p>
        </w:tc>
      </w:tr>
      <w:tr w:rsidR="00AE5644" w:rsidRPr="005B2FEB" w14:paraId="6E3DD4EF" w14:textId="77777777">
        <w:tc>
          <w:tcPr>
            <w:tcW w:w="1129" w:type="dxa"/>
          </w:tcPr>
          <w:p w14:paraId="394D6468"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0295</w:t>
            </w:r>
          </w:p>
        </w:tc>
        <w:tc>
          <w:tcPr>
            <w:tcW w:w="7620" w:type="dxa"/>
            <w:tcBorders>
              <w:top w:val="nil"/>
              <w:left w:val="single" w:sz="4" w:space="0" w:color="auto"/>
              <w:bottom w:val="single" w:sz="4" w:space="0" w:color="auto"/>
              <w:right w:val="single" w:sz="4" w:space="0" w:color="auto"/>
            </w:tcBorders>
            <w:shd w:val="clear" w:color="auto" w:fill="auto"/>
            <w:vAlign w:val="bottom"/>
          </w:tcPr>
          <w:p w14:paraId="6911C4AB"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 xml:space="preserve">CET1: Other capital elements, </w:t>
            </w:r>
            <w:proofErr w:type="gramStart"/>
            <w:r w:rsidRPr="005B2FEB">
              <w:rPr>
                <w:rFonts w:ascii="Times New Roman" w:eastAsia="Times New Roman" w:hAnsi="Times New Roman" w:cs="Times New Roman"/>
                <w:b/>
                <w:bCs/>
                <w:u w:val="single"/>
                <w:lang w:val="en-IE" w:eastAsia="de-DE"/>
              </w:rPr>
              <w:t>deductions</w:t>
            </w:r>
            <w:proofErr w:type="gramEnd"/>
            <w:r w:rsidRPr="005B2FEB">
              <w:rPr>
                <w:rFonts w:ascii="Times New Roman" w:eastAsia="Times New Roman" w:hAnsi="Times New Roman" w:cs="Times New Roman"/>
                <w:b/>
                <w:bCs/>
                <w:u w:val="single"/>
                <w:lang w:val="en-IE" w:eastAsia="de-DE"/>
              </w:rPr>
              <w:t xml:space="preserve"> and adjustments</w:t>
            </w:r>
          </w:p>
          <w:p w14:paraId="69B2BA9F"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This row shall includ</w:t>
            </w:r>
            <w:r w:rsidRPr="005B2FEB">
              <w:rPr>
                <w:rFonts w:ascii="Times New Roman" w:eastAsia="Times New Roman" w:hAnsi="Times New Roman" w:cs="Times New Roman"/>
                <w:bCs/>
                <w:lang w:val="en-IE" w:eastAsia="de-DE"/>
              </w:rPr>
              <w:t>e the sum of the following items, where applicable:</w:t>
            </w:r>
          </w:p>
          <w:p w14:paraId="08AE5230" w14:textId="77777777" w:rsidR="00AE5644" w:rsidRPr="005B2FEB" w:rsidRDefault="005B2FEB">
            <w:pPr>
              <w:spacing w:after="120" w:line="240" w:lineRule="auto"/>
              <w:ind w:left="360" w:hanging="360"/>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w:t>
            </w:r>
            <w:r w:rsidRPr="005B2FEB">
              <w:rPr>
                <w:rFonts w:ascii="Times New Roman" w:eastAsia="Times New Roman" w:hAnsi="Times New Roman" w:cs="Times New Roman"/>
                <w:bCs/>
                <w:lang w:val="en-IE" w:eastAsia="de-DE"/>
              </w:rPr>
              <w:tab/>
              <w:t>Transitional adjustments due to grandfathered CET1 Capital instruments (Article 483, paragraphs 1, 2 and 3 and Articles 484 to 487 of Regulation (EU) No 575/2013).</w:t>
            </w:r>
          </w:p>
          <w:p w14:paraId="2293A88C" w14:textId="77777777" w:rsidR="00AE5644" w:rsidRPr="005B2FEB" w:rsidRDefault="005B2FEB">
            <w:pPr>
              <w:spacing w:after="120" w:line="240" w:lineRule="auto"/>
              <w:ind w:left="360" w:hanging="360"/>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w:t>
            </w:r>
            <w:r w:rsidRPr="005B2FEB">
              <w:rPr>
                <w:rFonts w:ascii="Times New Roman" w:eastAsia="Times New Roman" w:hAnsi="Times New Roman" w:cs="Times New Roman"/>
                <w:bCs/>
                <w:lang w:val="en-IE" w:eastAsia="de-DE"/>
              </w:rPr>
              <w:tab/>
              <w:t xml:space="preserve">Other transitional </w:t>
            </w:r>
            <w:r w:rsidRPr="005B2FEB">
              <w:rPr>
                <w:rFonts w:ascii="Times New Roman" w:eastAsia="Times New Roman" w:hAnsi="Times New Roman" w:cs="Times New Roman"/>
                <w:bCs/>
                <w:lang w:val="en-IE" w:eastAsia="de-DE"/>
              </w:rPr>
              <w:t>adjustments to CET1 Capital (Articles 469 to 478 and 481 of Regulation (EU) No 575/2013): adjustments to the deductions from CET1 due to transitional provisions.</w:t>
            </w:r>
          </w:p>
          <w:p w14:paraId="15B5C3AD" w14:textId="77777777" w:rsidR="00AE5644" w:rsidRPr="005B2FEB" w:rsidRDefault="005B2FEB">
            <w:pPr>
              <w:spacing w:after="120" w:line="240" w:lineRule="auto"/>
              <w:ind w:left="360" w:hanging="360"/>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eastAsia="de-DE"/>
              </w:rPr>
              <w:t>—</w:t>
            </w:r>
            <w:r w:rsidRPr="005B2FEB">
              <w:rPr>
                <w:rFonts w:ascii="Times New Roman" w:eastAsia="Times New Roman" w:hAnsi="Times New Roman" w:cs="Times New Roman"/>
                <w:bCs/>
                <w:lang w:val="en-IE" w:eastAsia="de-DE"/>
              </w:rPr>
              <w:tab/>
              <w:t xml:space="preserve">Other CET1 capital elements or deductions from a CET1 element that cannot be </w:t>
            </w:r>
            <w:r w:rsidRPr="005B2FEB">
              <w:rPr>
                <w:rFonts w:ascii="Times New Roman" w:eastAsia="Times New Roman" w:hAnsi="Times New Roman" w:cs="Times New Roman"/>
                <w:bCs/>
                <w:lang w:val="en-IE" w:eastAsia="de-DE"/>
              </w:rPr>
              <w:t>assigned to one of the rows 0040 to 0280.</w:t>
            </w:r>
          </w:p>
          <w:p w14:paraId="79207BE4"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eastAsia="de-DE"/>
              </w:rPr>
              <w:t xml:space="preserve">This row shall not be used to include capital items or deductions which are not covered by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 xml:space="preserve"> or Regulation (EU) No 575/2013 in the calculation of the solvency ratios.</w:t>
            </w:r>
          </w:p>
        </w:tc>
      </w:tr>
      <w:tr w:rsidR="00AE5644" w:rsidRPr="005B2FEB" w14:paraId="60F0106B" w14:textId="77777777">
        <w:tc>
          <w:tcPr>
            <w:tcW w:w="1129" w:type="dxa"/>
          </w:tcPr>
          <w:p w14:paraId="551EBF72"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0300</w:t>
            </w:r>
          </w:p>
        </w:tc>
        <w:tc>
          <w:tcPr>
            <w:tcW w:w="7620" w:type="dxa"/>
            <w:tcBorders>
              <w:top w:val="single" w:sz="8" w:space="0" w:color="auto"/>
              <w:left w:val="single" w:sz="4" w:space="0" w:color="auto"/>
              <w:bottom w:val="single" w:sz="4" w:space="0" w:color="auto"/>
              <w:right w:val="single" w:sz="4" w:space="0" w:color="auto"/>
            </w:tcBorders>
            <w:shd w:val="clear" w:color="auto" w:fill="auto"/>
            <w:vAlign w:val="bottom"/>
          </w:tcPr>
          <w:p w14:paraId="17A3648A"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ADDITIONAL TIER 1</w:t>
            </w:r>
            <w:r w:rsidRPr="005B2FEB">
              <w:rPr>
                <w:rFonts w:ascii="Times New Roman" w:eastAsia="Times New Roman" w:hAnsi="Times New Roman" w:cs="Times New Roman"/>
                <w:b/>
                <w:bCs/>
                <w:u w:val="single"/>
                <w:lang w:val="en-IE" w:eastAsia="de-DE"/>
              </w:rPr>
              <w:t xml:space="preserve"> CAPITAL</w:t>
            </w:r>
          </w:p>
          <w:p w14:paraId="7254B9BA"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 xml:space="preserve">Article 9(1)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37660C3B"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hAnsi="Times New Roman" w:cs="Times New Roman"/>
                <w:lang w:val="en-IE"/>
              </w:rPr>
              <w:t>Article 61 of Regulation (EU) No 575/2013.</w:t>
            </w:r>
          </w:p>
        </w:tc>
      </w:tr>
      <w:tr w:rsidR="00AE5644" w:rsidRPr="005B2FEB" w14:paraId="101F0AC6" w14:textId="77777777">
        <w:tc>
          <w:tcPr>
            <w:tcW w:w="1129" w:type="dxa"/>
          </w:tcPr>
          <w:p w14:paraId="74B2C2AB"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0310</w:t>
            </w:r>
          </w:p>
        </w:tc>
        <w:tc>
          <w:tcPr>
            <w:tcW w:w="7620" w:type="dxa"/>
            <w:tcBorders>
              <w:top w:val="nil"/>
              <w:left w:val="single" w:sz="4" w:space="0" w:color="auto"/>
              <w:bottom w:val="single" w:sz="4" w:space="0" w:color="auto"/>
              <w:right w:val="single" w:sz="4" w:space="0" w:color="auto"/>
            </w:tcBorders>
            <w:shd w:val="clear" w:color="auto" w:fill="auto"/>
            <w:vAlign w:val="bottom"/>
          </w:tcPr>
          <w:p w14:paraId="08E3063F"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Fully paid up, directly issued capital instruments</w:t>
            </w:r>
          </w:p>
          <w:p w14:paraId="08735690"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Article 9(1), point (</w:t>
            </w:r>
            <w:proofErr w:type="spellStart"/>
            <w:r w:rsidRPr="005B2FEB">
              <w:rPr>
                <w:rFonts w:ascii="Times New Roman" w:eastAsia="Times New Roman" w:hAnsi="Times New Roman" w:cs="Times New Roman"/>
                <w:bCs/>
                <w:lang w:val="en-IE" w:eastAsia="de-DE"/>
              </w:rPr>
              <w:t>i</w:t>
            </w:r>
            <w:proofErr w:type="spellEnd"/>
            <w:r w:rsidRPr="005B2FEB">
              <w:rPr>
                <w:rFonts w:ascii="Times New Roman" w:eastAsia="Times New Roman" w:hAnsi="Times New Roman" w:cs="Times New Roman"/>
                <w:bCs/>
                <w:lang w:val="en-IE" w:eastAsia="de-DE"/>
              </w:rPr>
              <w:t xml:space="preserve">),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4BCC8437" w14:textId="77777777" w:rsidR="00AE5644" w:rsidRPr="005B2FEB" w:rsidRDefault="005B2FEB">
            <w:pPr>
              <w:pStyle w:val="InstructionsText"/>
              <w:rPr>
                <w:rStyle w:val="FormatvorlageInstructionsTabelleText"/>
                <w:rFonts w:ascii="Times New Roman" w:hAnsi="Times New Roman"/>
                <w:sz w:val="22"/>
                <w:szCs w:val="22"/>
                <w:lang w:val="en-IE"/>
              </w:rPr>
            </w:pPr>
            <w:r w:rsidRPr="005B2FEB">
              <w:rPr>
                <w:rStyle w:val="FormatvorlageInstructionsTabelleText"/>
                <w:rFonts w:ascii="Times New Roman" w:hAnsi="Times New Roman"/>
                <w:sz w:val="22"/>
                <w:szCs w:val="22"/>
                <w:lang w:val="en-IE"/>
              </w:rPr>
              <w:t xml:space="preserve">Article 51, point (a), and Articles 52, 53 and </w:t>
            </w:r>
            <w:r w:rsidRPr="005B2FEB">
              <w:rPr>
                <w:rStyle w:val="FormatvorlageInstructionsTabelleText"/>
                <w:rFonts w:ascii="Times New Roman" w:hAnsi="Times New Roman"/>
                <w:sz w:val="22"/>
                <w:szCs w:val="22"/>
                <w:lang w:val="en-IE"/>
              </w:rPr>
              <w:t>54 of Regulation (EU) No 575/2013.</w:t>
            </w:r>
          </w:p>
          <w:p w14:paraId="7FF90AC4"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Style w:val="FormatvorlageInstructionsTabelleText"/>
                <w:rFonts w:ascii="Times New Roman" w:hAnsi="Times New Roman"/>
                <w:sz w:val="22"/>
                <w:lang w:val="en-IE"/>
              </w:rPr>
              <w:lastRenderedPageBreak/>
              <w:t>The amount to be reported shall not include the share premium related to the instruments.</w:t>
            </w:r>
          </w:p>
        </w:tc>
      </w:tr>
      <w:tr w:rsidR="00AE5644" w:rsidRPr="005B2FEB" w14:paraId="4091D253" w14:textId="77777777">
        <w:tc>
          <w:tcPr>
            <w:tcW w:w="1129" w:type="dxa"/>
          </w:tcPr>
          <w:p w14:paraId="11ED144A"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lastRenderedPageBreak/>
              <w:t>0320</w:t>
            </w:r>
          </w:p>
        </w:tc>
        <w:tc>
          <w:tcPr>
            <w:tcW w:w="7620" w:type="dxa"/>
            <w:tcBorders>
              <w:top w:val="nil"/>
              <w:left w:val="single" w:sz="4" w:space="0" w:color="auto"/>
              <w:bottom w:val="single" w:sz="4" w:space="0" w:color="auto"/>
              <w:right w:val="single" w:sz="4" w:space="0" w:color="auto"/>
            </w:tcBorders>
            <w:shd w:val="clear" w:color="auto" w:fill="auto"/>
            <w:vAlign w:val="bottom"/>
          </w:tcPr>
          <w:p w14:paraId="4F3023DD"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Share premium</w:t>
            </w:r>
          </w:p>
          <w:p w14:paraId="04DCABFB"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Article 9(1), point (</w:t>
            </w:r>
            <w:proofErr w:type="spellStart"/>
            <w:r w:rsidRPr="005B2FEB">
              <w:rPr>
                <w:rFonts w:ascii="Times New Roman" w:eastAsia="Times New Roman" w:hAnsi="Times New Roman" w:cs="Times New Roman"/>
                <w:bCs/>
                <w:lang w:val="en-IE" w:eastAsia="de-DE"/>
              </w:rPr>
              <w:t>i</w:t>
            </w:r>
            <w:proofErr w:type="spellEnd"/>
            <w:r w:rsidRPr="005B2FEB">
              <w:rPr>
                <w:rFonts w:ascii="Times New Roman" w:eastAsia="Times New Roman" w:hAnsi="Times New Roman" w:cs="Times New Roman"/>
                <w:bCs/>
                <w:lang w:val="en-IE" w:eastAsia="de-DE"/>
              </w:rPr>
              <w:t xml:space="preserve">),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20BE75BB" w14:textId="77777777" w:rsidR="00AE5644" w:rsidRPr="005B2FEB" w:rsidRDefault="005B2FEB">
            <w:pPr>
              <w:pStyle w:val="InstructionsText"/>
              <w:rPr>
                <w:rStyle w:val="FormatvorlageInstructionsTabelleText"/>
                <w:rFonts w:ascii="Times New Roman" w:hAnsi="Times New Roman"/>
                <w:sz w:val="22"/>
                <w:szCs w:val="22"/>
                <w:lang w:val="en-IE"/>
              </w:rPr>
            </w:pPr>
            <w:r w:rsidRPr="005B2FEB">
              <w:rPr>
                <w:rStyle w:val="FormatvorlageInstructionsTabelleText"/>
                <w:rFonts w:ascii="Times New Roman" w:hAnsi="Times New Roman"/>
                <w:sz w:val="22"/>
                <w:szCs w:val="22"/>
                <w:lang w:val="en-IE"/>
              </w:rPr>
              <w:t xml:space="preserve">Article 51, point (b), of Regulation (EU) No </w:t>
            </w:r>
            <w:r w:rsidRPr="005B2FEB">
              <w:rPr>
                <w:rStyle w:val="FormatvorlageInstructionsTabelleText"/>
                <w:rFonts w:ascii="Times New Roman" w:hAnsi="Times New Roman"/>
                <w:sz w:val="22"/>
                <w:szCs w:val="22"/>
                <w:lang w:val="en-IE"/>
              </w:rPr>
              <w:t>575/2013.</w:t>
            </w:r>
          </w:p>
          <w:p w14:paraId="45B74D97" w14:textId="77777777" w:rsidR="00AE5644" w:rsidRPr="005B2FEB" w:rsidRDefault="005B2FEB">
            <w:pPr>
              <w:pStyle w:val="InstructionsText"/>
              <w:rPr>
                <w:rStyle w:val="FormatvorlageInstructionsTabelleText"/>
                <w:rFonts w:ascii="Times New Roman" w:hAnsi="Times New Roman"/>
                <w:sz w:val="22"/>
                <w:szCs w:val="22"/>
                <w:lang w:val="en-IE"/>
              </w:rPr>
            </w:pPr>
            <w:r w:rsidRPr="005B2FEB">
              <w:rPr>
                <w:rStyle w:val="FormatvorlageInstructionsTabelleText"/>
                <w:rFonts w:ascii="Times New Roman" w:hAnsi="Times New Roman"/>
                <w:sz w:val="22"/>
                <w:szCs w:val="22"/>
                <w:lang w:val="en-IE"/>
              </w:rPr>
              <w:t>Share premium has the same meaning as under the applicable accounting standard.</w:t>
            </w:r>
          </w:p>
          <w:p w14:paraId="24287EB6"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Style w:val="FormatvorlageInstructionsTabelleText"/>
                <w:rFonts w:ascii="Times New Roman" w:hAnsi="Times New Roman"/>
                <w:sz w:val="22"/>
                <w:lang w:val="en-IE"/>
              </w:rPr>
              <w:t xml:space="preserve">The amount to be reported in this item shall be the part related to the </w:t>
            </w:r>
            <w:r w:rsidRPr="005B2FEB">
              <w:rPr>
                <w:rStyle w:val="FormatvorlageInstructionsTabelleText"/>
                <w:rFonts w:ascii="Times New Roman" w:hAnsi="Times New Roman"/>
                <w:sz w:val="22"/>
                <w:lang w:val="en-IE"/>
              </w:rPr>
              <w:t>"</w:t>
            </w:r>
            <w:r w:rsidRPr="005B2FEB">
              <w:rPr>
                <w:rStyle w:val="FormatvorlageInstructionsTabelleText"/>
                <w:rFonts w:ascii="Times New Roman" w:hAnsi="Times New Roman"/>
                <w:sz w:val="22"/>
                <w:lang w:val="en-IE"/>
              </w:rPr>
              <w:t>Paid up capital instrument</w:t>
            </w:r>
            <w:r w:rsidRPr="005B2FEB">
              <w:rPr>
                <w:rStyle w:val="FormatvorlageInstructionsTabelleText"/>
                <w:rFonts w:ascii="Times New Roman" w:hAnsi="Times New Roman"/>
                <w:sz w:val="22"/>
                <w:lang w:val="en-IE"/>
              </w:rPr>
              <w:t>s"</w:t>
            </w:r>
            <w:r w:rsidRPr="005B2FEB">
              <w:rPr>
                <w:rStyle w:val="FormatvorlageInstructionsTabelleText"/>
                <w:rFonts w:ascii="Times New Roman" w:hAnsi="Times New Roman"/>
                <w:sz w:val="22"/>
                <w:lang w:val="en-IE"/>
              </w:rPr>
              <w:t>.</w:t>
            </w:r>
          </w:p>
        </w:tc>
      </w:tr>
      <w:tr w:rsidR="00AE5644" w:rsidRPr="005B2FEB" w14:paraId="322B4B56" w14:textId="77777777">
        <w:tc>
          <w:tcPr>
            <w:tcW w:w="1129" w:type="dxa"/>
          </w:tcPr>
          <w:p w14:paraId="353E9B8F"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0335</w:t>
            </w:r>
          </w:p>
        </w:tc>
        <w:tc>
          <w:tcPr>
            <w:tcW w:w="7620" w:type="dxa"/>
            <w:tcBorders>
              <w:top w:val="nil"/>
              <w:left w:val="single" w:sz="4" w:space="0" w:color="auto"/>
              <w:bottom w:val="single" w:sz="4" w:space="0" w:color="auto"/>
              <w:right w:val="single" w:sz="4" w:space="0" w:color="auto"/>
            </w:tcBorders>
            <w:shd w:val="clear" w:color="auto" w:fill="auto"/>
            <w:vAlign w:val="bottom"/>
          </w:tcPr>
          <w:p w14:paraId="3DE29BE2"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 TOTAL DEDUCTIONS FROM ADDITIONAL TIER 1</w:t>
            </w:r>
          </w:p>
          <w:p w14:paraId="39830C43" w14:textId="77777777" w:rsidR="00AE5644" w:rsidRPr="005B2FEB" w:rsidRDefault="005B2FEB">
            <w:pPr>
              <w:spacing w:before="60" w:after="60"/>
              <w:rPr>
                <w:rFonts w:ascii="Times New Roman" w:hAnsi="Times New Roman" w:cs="Times New Roman"/>
                <w:lang w:val="en-IE"/>
              </w:rPr>
            </w:pPr>
            <w:r w:rsidRPr="005B2FEB">
              <w:rPr>
                <w:rFonts w:ascii="Times New Roman" w:hAnsi="Times New Roman" w:cs="Times New Roman"/>
                <w:lang w:val="en-IE"/>
              </w:rPr>
              <w:t xml:space="preserve">Article 56 of Regulation (EU) No 575/2013, </w:t>
            </w:r>
            <w:proofErr w:type="gramStart"/>
            <w:r w:rsidRPr="005B2FEB">
              <w:rPr>
                <w:rFonts w:ascii="Times New Roman" w:hAnsi="Times New Roman" w:cs="Times New Roman"/>
                <w:lang w:val="en-IE"/>
              </w:rPr>
              <w:t>with the exception of</w:t>
            </w:r>
            <w:proofErr w:type="gramEnd"/>
            <w:r w:rsidRPr="005B2FEB">
              <w:rPr>
                <w:rFonts w:ascii="Times New Roman" w:hAnsi="Times New Roman" w:cs="Times New Roman"/>
                <w:lang w:val="en-IE"/>
              </w:rPr>
              <w:t xml:space="preserve"> point (d) of that article.</w:t>
            </w:r>
          </w:p>
          <w:p w14:paraId="737A340A"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The total sum of rows 0340, 0380 and 0400 shall be reported.</w:t>
            </w:r>
          </w:p>
        </w:tc>
      </w:tr>
      <w:tr w:rsidR="00AE5644" w:rsidRPr="005B2FEB" w14:paraId="2B48861B" w14:textId="77777777">
        <w:tc>
          <w:tcPr>
            <w:tcW w:w="1129" w:type="dxa"/>
          </w:tcPr>
          <w:p w14:paraId="41F5E4B4"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0340</w:t>
            </w:r>
          </w:p>
        </w:tc>
        <w:tc>
          <w:tcPr>
            <w:tcW w:w="7620" w:type="dxa"/>
            <w:tcBorders>
              <w:top w:val="nil"/>
              <w:left w:val="single" w:sz="4" w:space="0" w:color="auto"/>
              <w:bottom w:val="single" w:sz="4" w:space="0" w:color="auto"/>
              <w:right w:val="single" w:sz="4" w:space="0" w:color="auto"/>
            </w:tcBorders>
            <w:shd w:val="clear" w:color="auto" w:fill="auto"/>
            <w:vAlign w:val="bottom"/>
          </w:tcPr>
          <w:p w14:paraId="1153ABA7"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 Own AT1 instruments</w:t>
            </w:r>
          </w:p>
          <w:p w14:paraId="51ECEC79"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Article 9(1), point (</w:t>
            </w:r>
            <w:proofErr w:type="spellStart"/>
            <w:r w:rsidRPr="005B2FEB">
              <w:rPr>
                <w:rFonts w:ascii="Times New Roman" w:eastAsia="Times New Roman" w:hAnsi="Times New Roman" w:cs="Times New Roman"/>
                <w:bCs/>
                <w:lang w:val="en-IE" w:eastAsia="de-DE"/>
              </w:rPr>
              <w:t>i</w:t>
            </w:r>
            <w:proofErr w:type="spellEnd"/>
            <w:r w:rsidRPr="005B2FEB">
              <w:rPr>
                <w:rFonts w:ascii="Times New Roman" w:eastAsia="Times New Roman" w:hAnsi="Times New Roman" w:cs="Times New Roman"/>
                <w:bCs/>
                <w:lang w:val="en-IE" w:eastAsia="de-DE"/>
              </w:rPr>
              <w:t xml:space="preserve">),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0938D0C0" w14:textId="77777777" w:rsidR="00AE5644" w:rsidRPr="005B2FEB" w:rsidRDefault="005B2FEB">
            <w:pPr>
              <w:spacing w:after="120" w:line="240" w:lineRule="auto"/>
              <w:jc w:val="both"/>
              <w:rPr>
                <w:rStyle w:val="FormatvorlageInstructionsTabelleText"/>
                <w:rFonts w:ascii="Times New Roman" w:hAnsi="Times New Roman"/>
                <w:sz w:val="22"/>
                <w:lang w:val="en-IE"/>
              </w:rPr>
            </w:pPr>
            <w:r w:rsidRPr="005B2FEB">
              <w:rPr>
                <w:rStyle w:val="FormatvorlageInstructionsTabelleText"/>
                <w:rFonts w:ascii="Times New Roman" w:hAnsi="Times New Roman"/>
                <w:sz w:val="22"/>
                <w:lang w:val="en-IE"/>
              </w:rPr>
              <w:t>Article 52(1), point (b), Article 56, point (a), and Article 57 of Regulation (EU) No 575/2013.</w:t>
            </w:r>
          </w:p>
          <w:p w14:paraId="63AD13B7" w14:textId="77777777" w:rsidR="00AE5644" w:rsidRPr="005B2FEB" w:rsidRDefault="005B2FEB">
            <w:pPr>
              <w:pStyle w:val="InstructionsText"/>
              <w:rPr>
                <w:rStyle w:val="FormatvorlageInstructionsTabelleText"/>
                <w:rFonts w:ascii="Times New Roman" w:hAnsi="Times New Roman"/>
                <w:sz w:val="22"/>
                <w:szCs w:val="22"/>
                <w:lang w:val="en-IE"/>
              </w:rPr>
            </w:pPr>
            <w:r w:rsidRPr="005B2FEB">
              <w:rPr>
                <w:rStyle w:val="FormatvorlageInstructionsTabelleText"/>
                <w:rFonts w:ascii="Times New Roman" w:hAnsi="Times New Roman"/>
                <w:sz w:val="22"/>
                <w:szCs w:val="22"/>
                <w:lang w:val="en-IE"/>
              </w:rPr>
              <w:t xml:space="preserve">Own AT1 instruments held by the investment firm at the reporting date. Subject to exceptions in </w:t>
            </w:r>
            <w:r w:rsidRPr="005B2FEB">
              <w:rPr>
                <w:rStyle w:val="FormatvorlageInstructionsTabelleText"/>
                <w:rFonts w:ascii="Times New Roman" w:hAnsi="Times New Roman"/>
                <w:sz w:val="22"/>
                <w:szCs w:val="22"/>
                <w:lang w:val="en-IE"/>
              </w:rPr>
              <w:t>Article 57 of Regulation (EU) No 575/2013.</w:t>
            </w:r>
          </w:p>
          <w:p w14:paraId="01DA35A4" w14:textId="77777777" w:rsidR="00AE5644" w:rsidRPr="005B2FEB" w:rsidRDefault="005B2FEB">
            <w:pPr>
              <w:pStyle w:val="InstructionsText"/>
              <w:rPr>
                <w:sz w:val="22"/>
                <w:szCs w:val="22"/>
                <w:lang w:val="en-IE"/>
              </w:rPr>
            </w:pPr>
            <w:r w:rsidRPr="005B2FEB">
              <w:rPr>
                <w:rStyle w:val="FormatvorlageInstructionsTabelleText"/>
                <w:rFonts w:ascii="Times New Roman" w:hAnsi="Times New Roman"/>
                <w:sz w:val="22"/>
                <w:szCs w:val="22"/>
                <w:lang w:val="en-IE"/>
              </w:rPr>
              <w:t>The amount to be reported shall include the share premium related to the own shares.</w:t>
            </w:r>
          </w:p>
        </w:tc>
      </w:tr>
      <w:tr w:rsidR="00AE5644" w:rsidRPr="005B2FEB" w14:paraId="0CC6DDC6" w14:textId="77777777">
        <w:tc>
          <w:tcPr>
            <w:tcW w:w="1129" w:type="dxa"/>
          </w:tcPr>
          <w:p w14:paraId="184D9620"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0380</w:t>
            </w:r>
          </w:p>
        </w:tc>
        <w:tc>
          <w:tcPr>
            <w:tcW w:w="7620" w:type="dxa"/>
            <w:tcBorders>
              <w:top w:val="nil"/>
              <w:left w:val="single" w:sz="4" w:space="0" w:color="auto"/>
              <w:bottom w:val="single" w:sz="4" w:space="0" w:color="auto"/>
              <w:right w:val="single" w:sz="4" w:space="0" w:color="auto"/>
            </w:tcBorders>
            <w:shd w:val="clear" w:color="auto" w:fill="auto"/>
            <w:vAlign w:val="bottom"/>
          </w:tcPr>
          <w:p w14:paraId="73850BB5"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 AT1 instruments of financial sector entities where the parent does not have a significant investment</w:t>
            </w:r>
          </w:p>
          <w:p w14:paraId="521F26E6"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Article 9(2), poi</w:t>
            </w:r>
            <w:r w:rsidRPr="005B2FEB">
              <w:rPr>
                <w:rFonts w:ascii="Times New Roman" w:eastAsia="Times New Roman" w:hAnsi="Times New Roman" w:cs="Times New Roman"/>
                <w:bCs/>
                <w:lang w:val="en-IE" w:eastAsia="de-DE"/>
              </w:rPr>
              <w:t xml:space="preserve">nt (c),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1024210C"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Article 56, point (c), of Regulation (EU) No 575/2013.</w:t>
            </w:r>
          </w:p>
          <w:p w14:paraId="55147484"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eastAsia="de-DE"/>
              </w:rPr>
              <w:t xml:space="preserve">Union parent in this row means Union parent investment firms, Union parent investment holding companies, Union parent mixed financial holdings or any other parent </w:t>
            </w:r>
            <w:r w:rsidRPr="005B2FEB">
              <w:rPr>
                <w:rFonts w:ascii="Times New Roman" w:eastAsia="Times New Roman" w:hAnsi="Times New Roman" w:cs="Times New Roman"/>
                <w:bCs/>
                <w:lang w:val="en-IE" w:eastAsia="de-DE"/>
              </w:rPr>
              <w:t>undertaking that is an investment firms, financial institution, ancillary services undertaking or tied agent.</w:t>
            </w:r>
          </w:p>
        </w:tc>
      </w:tr>
      <w:tr w:rsidR="00AE5644" w:rsidRPr="005B2FEB" w14:paraId="781DAC81" w14:textId="77777777">
        <w:tc>
          <w:tcPr>
            <w:tcW w:w="1129" w:type="dxa"/>
          </w:tcPr>
          <w:p w14:paraId="4436A509"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0400</w:t>
            </w:r>
          </w:p>
        </w:tc>
        <w:tc>
          <w:tcPr>
            <w:tcW w:w="7620" w:type="dxa"/>
            <w:tcBorders>
              <w:top w:val="nil"/>
              <w:left w:val="single" w:sz="4" w:space="0" w:color="auto"/>
              <w:bottom w:val="single" w:sz="4" w:space="0" w:color="auto"/>
              <w:right w:val="single" w:sz="4" w:space="0" w:color="auto"/>
            </w:tcBorders>
            <w:shd w:val="clear" w:color="auto" w:fill="auto"/>
            <w:vAlign w:val="bottom"/>
          </w:tcPr>
          <w:p w14:paraId="7F661545"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 Other deductions</w:t>
            </w:r>
          </w:p>
          <w:p w14:paraId="0A4AF174"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eastAsia="de-DE"/>
              </w:rPr>
              <w:t xml:space="preserve">The sum of all other deductions in accordance with Article 56 of Regulation (EU) No 575/2013, </w:t>
            </w:r>
            <w:proofErr w:type="gramStart"/>
            <w:r w:rsidRPr="005B2FEB">
              <w:rPr>
                <w:rFonts w:ascii="Times New Roman" w:eastAsia="Times New Roman" w:hAnsi="Times New Roman" w:cs="Times New Roman"/>
                <w:bCs/>
                <w:lang w:val="en-IE" w:eastAsia="de-DE"/>
              </w:rPr>
              <w:t xml:space="preserve">with the </w:t>
            </w:r>
            <w:r w:rsidRPr="005B2FEB">
              <w:rPr>
                <w:rFonts w:ascii="Times New Roman" w:eastAsia="Times New Roman" w:hAnsi="Times New Roman" w:cs="Times New Roman"/>
                <w:bCs/>
                <w:lang w:val="en-IE" w:eastAsia="de-DE"/>
              </w:rPr>
              <w:t>exception of</w:t>
            </w:r>
            <w:proofErr w:type="gramEnd"/>
            <w:r w:rsidRPr="005B2FEB">
              <w:rPr>
                <w:rFonts w:ascii="Times New Roman" w:eastAsia="Times New Roman" w:hAnsi="Times New Roman" w:cs="Times New Roman"/>
                <w:bCs/>
                <w:lang w:val="en-IE" w:eastAsia="de-DE"/>
              </w:rPr>
              <w:t xml:space="preserve"> the deductions in accordance with Article 56, point (d), of Regulation (EU) No 575/2013, that are not included in any of the rows 0340 or 0380 above.</w:t>
            </w:r>
          </w:p>
        </w:tc>
      </w:tr>
      <w:tr w:rsidR="00AE5644" w:rsidRPr="005B2FEB" w14:paraId="28842BCC" w14:textId="77777777">
        <w:tc>
          <w:tcPr>
            <w:tcW w:w="1129" w:type="dxa"/>
          </w:tcPr>
          <w:p w14:paraId="256FC800"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0415</w:t>
            </w:r>
          </w:p>
        </w:tc>
        <w:tc>
          <w:tcPr>
            <w:tcW w:w="7620" w:type="dxa"/>
            <w:tcBorders>
              <w:top w:val="nil"/>
              <w:left w:val="single" w:sz="4" w:space="0" w:color="auto"/>
              <w:bottom w:val="single" w:sz="4" w:space="0" w:color="auto"/>
              <w:right w:val="single" w:sz="4" w:space="0" w:color="auto"/>
            </w:tcBorders>
            <w:shd w:val="clear" w:color="auto" w:fill="auto"/>
            <w:vAlign w:val="bottom"/>
          </w:tcPr>
          <w:p w14:paraId="4C587AA5"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 xml:space="preserve">Additional Tier 1: Other capital elements, </w:t>
            </w:r>
            <w:proofErr w:type="gramStart"/>
            <w:r w:rsidRPr="005B2FEB">
              <w:rPr>
                <w:rFonts w:ascii="Times New Roman" w:eastAsia="Times New Roman" w:hAnsi="Times New Roman" w:cs="Times New Roman"/>
                <w:b/>
                <w:bCs/>
                <w:u w:val="single"/>
                <w:lang w:val="en-IE" w:eastAsia="de-DE"/>
              </w:rPr>
              <w:t>deductions</w:t>
            </w:r>
            <w:proofErr w:type="gramEnd"/>
            <w:r w:rsidRPr="005B2FEB">
              <w:rPr>
                <w:rFonts w:ascii="Times New Roman" w:eastAsia="Times New Roman" w:hAnsi="Times New Roman" w:cs="Times New Roman"/>
                <w:b/>
                <w:bCs/>
                <w:u w:val="single"/>
                <w:lang w:val="en-IE" w:eastAsia="de-DE"/>
              </w:rPr>
              <w:t xml:space="preserve"> and adjustments</w:t>
            </w:r>
          </w:p>
          <w:p w14:paraId="7965F330"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This row shall in</w:t>
            </w:r>
            <w:r w:rsidRPr="005B2FEB">
              <w:rPr>
                <w:rFonts w:ascii="Times New Roman" w:eastAsia="Times New Roman" w:hAnsi="Times New Roman" w:cs="Times New Roman"/>
                <w:bCs/>
                <w:lang w:val="en-IE" w:eastAsia="de-DE"/>
              </w:rPr>
              <w:t>clude the sum of the following items, where applicable:</w:t>
            </w:r>
          </w:p>
          <w:p w14:paraId="572F842D" w14:textId="77777777" w:rsidR="00AE5644" w:rsidRPr="005B2FEB" w:rsidRDefault="005B2FEB">
            <w:pPr>
              <w:spacing w:after="120" w:line="240" w:lineRule="auto"/>
              <w:ind w:left="360" w:hanging="360"/>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w:t>
            </w:r>
            <w:r w:rsidRPr="005B2FEB">
              <w:rPr>
                <w:rFonts w:ascii="Times New Roman" w:eastAsia="Times New Roman" w:hAnsi="Times New Roman" w:cs="Times New Roman"/>
                <w:bCs/>
                <w:lang w:val="en-IE" w:eastAsia="de-DE"/>
              </w:rPr>
              <w:tab/>
              <w:t>Transitional adjustments due to grandfathered AT1 Capital instruments (Article 483, paragraphs 4 and 5, Articles 484 to 487, Articles 489 and 491 of Regulation (EU) No 575/2013).</w:t>
            </w:r>
          </w:p>
          <w:p w14:paraId="54EEA968" w14:textId="77777777" w:rsidR="00AE5644" w:rsidRPr="005B2FEB" w:rsidRDefault="005B2FEB">
            <w:pPr>
              <w:spacing w:after="120" w:line="240" w:lineRule="auto"/>
              <w:ind w:left="360" w:hanging="360"/>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w:t>
            </w:r>
            <w:r w:rsidRPr="005B2FEB">
              <w:rPr>
                <w:rFonts w:ascii="Times New Roman" w:eastAsia="Times New Roman" w:hAnsi="Times New Roman" w:cs="Times New Roman"/>
                <w:bCs/>
                <w:lang w:val="en-IE" w:eastAsia="de-DE"/>
              </w:rPr>
              <w:tab/>
              <w:t>Other transitiona</w:t>
            </w:r>
            <w:r w:rsidRPr="005B2FEB">
              <w:rPr>
                <w:rFonts w:ascii="Times New Roman" w:eastAsia="Times New Roman" w:hAnsi="Times New Roman" w:cs="Times New Roman"/>
                <w:bCs/>
                <w:lang w:val="en-IE" w:eastAsia="de-DE"/>
              </w:rPr>
              <w:t>l adjustments to AT1 Capital (Articles 472, 473a, 474, 475, 478 and 481 of Regulation (EU) No 575/2013): adjustments to deductions due to transitional provisions.</w:t>
            </w:r>
          </w:p>
          <w:p w14:paraId="62E5ECAC" w14:textId="77777777" w:rsidR="00AE5644" w:rsidRPr="005B2FEB" w:rsidRDefault="005B2FEB">
            <w:pPr>
              <w:spacing w:after="120" w:line="240" w:lineRule="auto"/>
              <w:ind w:left="360" w:hanging="360"/>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w:t>
            </w:r>
            <w:r w:rsidRPr="005B2FEB">
              <w:rPr>
                <w:rFonts w:ascii="Times New Roman" w:eastAsia="Times New Roman" w:hAnsi="Times New Roman" w:cs="Times New Roman"/>
                <w:bCs/>
                <w:lang w:val="en-IE" w:eastAsia="de-DE"/>
              </w:rPr>
              <w:tab/>
              <w:t xml:space="preserve">Excess of deduction from AT1 items over AT1 Capital, deducted from CET1 in accordance with </w:t>
            </w:r>
            <w:r w:rsidRPr="005B2FEB">
              <w:rPr>
                <w:rFonts w:ascii="Times New Roman" w:eastAsia="Times New Roman" w:hAnsi="Times New Roman" w:cs="Times New Roman"/>
                <w:bCs/>
                <w:lang w:val="en-IE" w:eastAsia="de-DE"/>
              </w:rPr>
              <w:t>Article 36(1), point (j), of Regulation (EU) No 575/2013: Additional Tier 1 cannot be negative, but it is possible that the deductions from AT1 items exceed the amount of available AT1 items. Where this happens, this item represents the amount needed to in</w:t>
            </w:r>
            <w:r w:rsidRPr="005B2FEB">
              <w:rPr>
                <w:rFonts w:ascii="Times New Roman" w:eastAsia="Times New Roman" w:hAnsi="Times New Roman" w:cs="Times New Roman"/>
                <w:bCs/>
                <w:lang w:val="en-IE" w:eastAsia="de-DE"/>
              </w:rPr>
              <w:t xml:space="preserve">crease the amount reported in row 0300 </w:t>
            </w:r>
            <w:r w:rsidRPr="005B2FEB">
              <w:rPr>
                <w:rFonts w:ascii="Times New Roman" w:eastAsia="Times New Roman" w:hAnsi="Times New Roman" w:cs="Times New Roman"/>
                <w:bCs/>
                <w:lang w:val="en-IE" w:eastAsia="de-DE"/>
              </w:rPr>
              <w:lastRenderedPageBreak/>
              <w:t>to zero and equals the inverse of the excess of deductions from AT1 items over AT1 Capital included, among other deductions, in row 0280.</w:t>
            </w:r>
          </w:p>
          <w:p w14:paraId="29B55FEC" w14:textId="77777777" w:rsidR="00AE5644" w:rsidRPr="005B2FEB" w:rsidRDefault="005B2FEB">
            <w:pPr>
              <w:spacing w:after="120" w:line="240" w:lineRule="auto"/>
              <w:ind w:left="360" w:hanging="360"/>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w:t>
            </w:r>
            <w:r w:rsidRPr="005B2FEB">
              <w:rPr>
                <w:rFonts w:ascii="Times New Roman" w:eastAsia="Times New Roman" w:hAnsi="Times New Roman" w:cs="Times New Roman"/>
                <w:bCs/>
                <w:lang w:val="en-IE" w:eastAsia="de-DE"/>
              </w:rPr>
              <w:tab/>
              <w:t>Other AT1 capital elements or deductions from a AT1 element that cannot be as</w:t>
            </w:r>
            <w:r w:rsidRPr="005B2FEB">
              <w:rPr>
                <w:rFonts w:ascii="Times New Roman" w:eastAsia="Times New Roman" w:hAnsi="Times New Roman" w:cs="Times New Roman"/>
                <w:bCs/>
                <w:lang w:val="en-IE" w:eastAsia="de-DE"/>
              </w:rPr>
              <w:t>signed to one of the rows 0310 to 0400.</w:t>
            </w:r>
          </w:p>
          <w:p w14:paraId="2E2DA79E"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eastAsia="de-DE"/>
              </w:rPr>
              <w:t xml:space="preserve">This row shall not be used to include capital items or deductions which are not covered by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 xml:space="preserve"> or Regulation (EU) No 575/2013 in the calculation of the solvency ratios.</w:t>
            </w:r>
          </w:p>
        </w:tc>
      </w:tr>
      <w:tr w:rsidR="00AE5644" w:rsidRPr="005B2FEB" w14:paraId="6992431F" w14:textId="77777777">
        <w:tc>
          <w:tcPr>
            <w:tcW w:w="1129" w:type="dxa"/>
          </w:tcPr>
          <w:p w14:paraId="7190EAF4"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lastRenderedPageBreak/>
              <w:t>0420</w:t>
            </w:r>
          </w:p>
        </w:tc>
        <w:tc>
          <w:tcPr>
            <w:tcW w:w="7620" w:type="dxa"/>
            <w:tcBorders>
              <w:top w:val="single" w:sz="8" w:space="0" w:color="auto"/>
              <w:left w:val="single" w:sz="4" w:space="0" w:color="auto"/>
              <w:bottom w:val="single" w:sz="4" w:space="0" w:color="auto"/>
              <w:right w:val="single" w:sz="4" w:space="0" w:color="auto"/>
            </w:tcBorders>
            <w:shd w:val="clear" w:color="auto" w:fill="auto"/>
            <w:vAlign w:val="bottom"/>
          </w:tcPr>
          <w:p w14:paraId="5F92752B"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 xml:space="preserve">TIER 2 </w:t>
            </w:r>
            <w:r w:rsidRPr="005B2FEB">
              <w:rPr>
                <w:rFonts w:ascii="Times New Roman" w:eastAsia="Times New Roman" w:hAnsi="Times New Roman" w:cs="Times New Roman"/>
                <w:b/>
                <w:bCs/>
                <w:u w:val="single"/>
                <w:lang w:val="en-IE" w:eastAsia="de-DE"/>
              </w:rPr>
              <w:t>CAPITAL</w:t>
            </w:r>
          </w:p>
          <w:p w14:paraId="10A5ED6F"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 xml:space="preserve">Article 9(1)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489263A3" w14:textId="77777777" w:rsidR="00AE5644" w:rsidRPr="005B2FEB" w:rsidRDefault="005B2FEB">
            <w:pPr>
              <w:spacing w:after="120" w:line="240" w:lineRule="auto"/>
              <w:jc w:val="both"/>
              <w:rPr>
                <w:rStyle w:val="FormatvorlageInstructionsTabelleText"/>
                <w:rFonts w:ascii="Times New Roman" w:hAnsi="Times New Roman"/>
                <w:sz w:val="22"/>
                <w:lang w:val="en-IE"/>
              </w:rPr>
            </w:pPr>
            <w:r w:rsidRPr="005B2FEB">
              <w:rPr>
                <w:rStyle w:val="FormatvorlageInstructionsTabelleText"/>
                <w:rFonts w:ascii="Times New Roman" w:hAnsi="Times New Roman"/>
                <w:sz w:val="22"/>
                <w:lang w:val="en-IE"/>
              </w:rPr>
              <w:t>Article 71 of Regulation (EU) No 575/2013.</w:t>
            </w:r>
          </w:p>
          <w:p w14:paraId="3305336A" w14:textId="77777777" w:rsidR="00AE5644" w:rsidRPr="005B2FEB" w:rsidRDefault="005B2FEB">
            <w:pPr>
              <w:pStyle w:val="CommentText"/>
              <w:rPr>
                <w:sz w:val="22"/>
                <w:szCs w:val="22"/>
                <w:lang w:val="en-IE"/>
              </w:rPr>
            </w:pPr>
            <w:r w:rsidRPr="005B2FEB">
              <w:rPr>
                <w:rFonts w:ascii="Times New Roman" w:eastAsia="Times New Roman" w:hAnsi="Times New Roman" w:cs="Times New Roman"/>
                <w:bCs/>
                <w:sz w:val="22"/>
                <w:szCs w:val="22"/>
                <w:lang w:val="en-IE" w:eastAsia="de-DE"/>
              </w:rPr>
              <w:t>The total sum of rows 0430 to 0455 and 0525 shall be reported.</w:t>
            </w:r>
          </w:p>
        </w:tc>
      </w:tr>
      <w:tr w:rsidR="00AE5644" w:rsidRPr="005B2FEB" w14:paraId="49D2AB79" w14:textId="77777777">
        <w:tc>
          <w:tcPr>
            <w:tcW w:w="1129" w:type="dxa"/>
          </w:tcPr>
          <w:p w14:paraId="2B25DF65"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0430</w:t>
            </w:r>
          </w:p>
        </w:tc>
        <w:tc>
          <w:tcPr>
            <w:tcW w:w="7620" w:type="dxa"/>
            <w:tcBorders>
              <w:top w:val="nil"/>
              <w:left w:val="single" w:sz="4" w:space="0" w:color="auto"/>
              <w:bottom w:val="single" w:sz="4" w:space="0" w:color="auto"/>
              <w:right w:val="single" w:sz="4" w:space="0" w:color="auto"/>
            </w:tcBorders>
            <w:shd w:val="clear" w:color="auto" w:fill="auto"/>
            <w:vAlign w:val="bottom"/>
          </w:tcPr>
          <w:p w14:paraId="66F7E514"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Fully paid up, directly issued capital instruments</w:t>
            </w:r>
          </w:p>
          <w:p w14:paraId="4F1C23BB"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Article 9(1), point (</w:t>
            </w:r>
            <w:proofErr w:type="spellStart"/>
            <w:r w:rsidRPr="005B2FEB">
              <w:rPr>
                <w:rFonts w:ascii="Times New Roman" w:eastAsia="Times New Roman" w:hAnsi="Times New Roman" w:cs="Times New Roman"/>
                <w:bCs/>
                <w:lang w:val="en-IE" w:eastAsia="de-DE"/>
              </w:rPr>
              <w:t>i</w:t>
            </w:r>
            <w:proofErr w:type="spellEnd"/>
            <w:r w:rsidRPr="005B2FEB">
              <w:rPr>
                <w:rFonts w:ascii="Times New Roman" w:eastAsia="Times New Roman" w:hAnsi="Times New Roman" w:cs="Times New Roman"/>
                <w:bCs/>
                <w:lang w:val="en-IE" w:eastAsia="de-DE"/>
              </w:rPr>
              <w:t xml:space="preserve">),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05939341" w14:textId="77777777" w:rsidR="00AE5644" w:rsidRPr="005B2FEB" w:rsidRDefault="005B2FEB">
            <w:pPr>
              <w:pStyle w:val="InstructionsText"/>
              <w:rPr>
                <w:rStyle w:val="FormatvorlageInstructionsTabelleText"/>
                <w:rFonts w:ascii="Times New Roman" w:eastAsiaTheme="minorHAnsi" w:hAnsi="Times New Roman"/>
                <w:bCs/>
                <w:sz w:val="22"/>
                <w:szCs w:val="22"/>
                <w:lang w:val="en-IE" w:eastAsia="en-US"/>
              </w:rPr>
            </w:pPr>
            <w:r w:rsidRPr="005B2FEB">
              <w:rPr>
                <w:rStyle w:val="FormatvorlageInstructionsTabelleText"/>
                <w:rFonts w:ascii="Times New Roman" w:hAnsi="Times New Roman"/>
                <w:sz w:val="22"/>
                <w:szCs w:val="22"/>
                <w:lang w:val="en-IE"/>
              </w:rPr>
              <w:t>Article 62, point (a), Articles 63 and 65 of Regulation (EU) No 575/2013.</w:t>
            </w:r>
          </w:p>
          <w:p w14:paraId="0984E1AF"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Style w:val="FormatvorlageInstructionsTabelleText"/>
                <w:rFonts w:ascii="Times New Roman" w:hAnsi="Times New Roman"/>
                <w:sz w:val="22"/>
                <w:lang w:val="en-IE"/>
              </w:rPr>
              <w:t>The amount to be reported shall not include the share premium related to the instruments.</w:t>
            </w:r>
          </w:p>
        </w:tc>
      </w:tr>
      <w:tr w:rsidR="00AE5644" w:rsidRPr="005B2FEB" w14:paraId="185BF904" w14:textId="77777777">
        <w:tc>
          <w:tcPr>
            <w:tcW w:w="1129" w:type="dxa"/>
          </w:tcPr>
          <w:p w14:paraId="320923F0"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0440</w:t>
            </w:r>
          </w:p>
        </w:tc>
        <w:tc>
          <w:tcPr>
            <w:tcW w:w="7620" w:type="dxa"/>
            <w:tcBorders>
              <w:top w:val="nil"/>
              <w:left w:val="single" w:sz="4" w:space="0" w:color="auto"/>
              <w:bottom w:val="single" w:sz="4" w:space="0" w:color="auto"/>
              <w:right w:val="single" w:sz="4" w:space="0" w:color="auto"/>
            </w:tcBorders>
            <w:shd w:val="clear" w:color="auto" w:fill="auto"/>
            <w:vAlign w:val="bottom"/>
          </w:tcPr>
          <w:p w14:paraId="23B48601"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Share premium</w:t>
            </w:r>
          </w:p>
          <w:p w14:paraId="5F85A9B4"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Article 9(1), point (</w:t>
            </w:r>
            <w:proofErr w:type="spellStart"/>
            <w:r w:rsidRPr="005B2FEB">
              <w:rPr>
                <w:rFonts w:ascii="Times New Roman" w:eastAsia="Times New Roman" w:hAnsi="Times New Roman" w:cs="Times New Roman"/>
                <w:bCs/>
                <w:lang w:val="en-IE" w:eastAsia="de-DE"/>
              </w:rPr>
              <w:t>i</w:t>
            </w:r>
            <w:proofErr w:type="spellEnd"/>
            <w:r w:rsidRPr="005B2FEB">
              <w:rPr>
                <w:rFonts w:ascii="Times New Roman" w:eastAsia="Times New Roman" w:hAnsi="Times New Roman" w:cs="Times New Roman"/>
                <w:bCs/>
                <w:lang w:val="en-IE" w:eastAsia="de-DE"/>
              </w:rPr>
              <w:t xml:space="preserve">),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25CC5A53" w14:textId="77777777" w:rsidR="00AE5644" w:rsidRPr="005B2FEB" w:rsidRDefault="005B2FEB">
            <w:pPr>
              <w:pStyle w:val="InstructionsText"/>
              <w:rPr>
                <w:rStyle w:val="FormatvorlageInstructionsTabelleText"/>
                <w:rFonts w:ascii="Times New Roman" w:hAnsi="Times New Roman"/>
                <w:sz w:val="22"/>
                <w:szCs w:val="22"/>
                <w:lang w:val="en-IE"/>
              </w:rPr>
            </w:pPr>
            <w:r w:rsidRPr="005B2FEB">
              <w:rPr>
                <w:rStyle w:val="FormatvorlageInstructionsTabelleText"/>
                <w:rFonts w:ascii="Times New Roman" w:hAnsi="Times New Roman"/>
                <w:sz w:val="22"/>
                <w:szCs w:val="22"/>
                <w:lang w:val="en-IE"/>
              </w:rPr>
              <w:t>Article 62, point (b), and Article 65 of Regulation (EU) No 575/2013.</w:t>
            </w:r>
          </w:p>
          <w:p w14:paraId="2BB1E644" w14:textId="77777777" w:rsidR="00AE5644" w:rsidRPr="005B2FEB" w:rsidRDefault="005B2FEB">
            <w:pPr>
              <w:pStyle w:val="InstructionsText"/>
              <w:rPr>
                <w:rStyle w:val="FormatvorlageInstructionsTabelleText"/>
                <w:rFonts w:ascii="Times New Roman" w:hAnsi="Times New Roman"/>
                <w:sz w:val="22"/>
                <w:szCs w:val="22"/>
                <w:lang w:val="en-IE"/>
              </w:rPr>
            </w:pPr>
            <w:r w:rsidRPr="005B2FEB">
              <w:rPr>
                <w:rStyle w:val="FormatvorlageInstructionsTabelleText"/>
                <w:rFonts w:ascii="Times New Roman" w:hAnsi="Times New Roman"/>
                <w:sz w:val="22"/>
                <w:szCs w:val="22"/>
                <w:lang w:val="en-IE"/>
              </w:rPr>
              <w:t>Share premium has the same meaning as under the applicable accounting standard.</w:t>
            </w:r>
          </w:p>
          <w:p w14:paraId="62DB7673" w14:textId="77777777" w:rsidR="00AE5644" w:rsidRPr="005B2FEB" w:rsidRDefault="005B2FEB">
            <w:pPr>
              <w:pStyle w:val="InstructionsText"/>
              <w:rPr>
                <w:sz w:val="22"/>
                <w:szCs w:val="22"/>
                <w:lang w:val="en-IE"/>
              </w:rPr>
            </w:pPr>
            <w:r w:rsidRPr="005B2FEB">
              <w:rPr>
                <w:rStyle w:val="FormatvorlageInstructionsTabelleText"/>
                <w:rFonts w:ascii="Times New Roman" w:hAnsi="Times New Roman"/>
                <w:sz w:val="22"/>
                <w:szCs w:val="22"/>
                <w:lang w:val="en-IE"/>
              </w:rPr>
              <w:t>The amount to be reported in this item shall be the</w:t>
            </w:r>
            <w:r w:rsidRPr="005B2FEB">
              <w:rPr>
                <w:rStyle w:val="FormatvorlageInstructionsTabelleText"/>
                <w:rFonts w:ascii="Times New Roman" w:hAnsi="Times New Roman"/>
                <w:sz w:val="22"/>
                <w:szCs w:val="22"/>
                <w:lang w:val="en-IE"/>
              </w:rPr>
              <w:t xml:space="preserve"> part related to the </w:t>
            </w:r>
            <w:r w:rsidRPr="005B2FEB">
              <w:rPr>
                <w:rStyle w:val="FormatvorlageInstructionsTabelleText"/>
                <w:rFonts w:ascii="Times New Roman" w:hAnsi="Times New Roman"/>
                <w:sz w:val="22"/>
                <w:szCs w:val="22"/>
                <w:lang w:val="en-IE"/>
              </w:rPr>
              <w:t>"</w:t>
            </w:r>
            <w:r w:rsidRPr="005B2FEB">
              <w:rPr>
                <w:rStyle w:val="FormatvorlageInstructionsTabelleText"/>
                <w:rFonts w:ascii="Times New Roman" w:hAnsi="Times New Roman"/>
                <w:sz w:val="22"/>
                <w:szCs w:val="22"/>
                <w:lang w:val="en-IE"/>
              </w:rPr>
              <w:t>Paid up capital instrument</w:t>
            </w:r>
            <w:r w:rsidRPr="005B2FEB">
              <w:rPr>
                <w:rStyle w:val="FormatvorlageInstructionsTabelleText"/>
                <w:rFonts w:ascii="Times New Roman" w:hAnsi="Times New Roman"/>
                <w:sz w:val="22"/>
                <w:szCs w:val="22"/>
                <w:lang w:val="en-IE"/>
              </w:rPr>
              <w:t>s"</w:t>
            </w:r>
            <w:r w:rsidRPr="005B2FEB">
              <w:rPr>
                <w:rStyle w:val="FormatvorlageInstructionsTabelleText"/>
                <w:rFonts w:ascii="Times New Roman" w:hAnsi="Times New Roman"/>
                <w:sz w:val="22"/>
                <w:szCs w:val="22"/>
                <w:lang w:val="en-IE"/>
              </w:rPr>
              <w:t>.</w:t>
            </w:r>
          </w:p>
        </w:tc>
      </w:tr>
      <w:tr w:rsidR="00AE5644" w:rsidRPr="005B2FEB" w14:paraId="72675741" w14:textId="77777777">
        <w:tc>
          <w:tcPr>
            <w:tcW w:w="1129" w:type="dxa"/>
          </w:tcPr>
          <w:p w14:paraId="1B6CBCC3"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0455</w:t>
            </w:r>
          </w:p>
        </w:tc>
        <w:tc>
          <w:tcPr>
            <w:tcW w:w="7620" w:type="dxa"/>
            <w:tcBorders>
              <w:top w:val="nil"/>
              <w:left w:val="single" w:sz="4" w:space="0" w:color="auto"/>
              <w:bottom w:val="single" w:sz="4" w:space="0" w:color="auto"/>
              <w:right w:val="single" w:sz="4" w:space="0" w:color="auto"/>
            </w:tcBorders>
            <w:shd w:val="clear" w:color="auto" w:fill="auto"/>
            <w:vAlign w:val="bottom"/>
          </w:tcPr>
          <w:p w14:paraId="3592420F"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 TOTAL DEDUCTIONS FROM TIER 2</w:t>
            </w:r>
          </w:p>
          <w:p w14:paraId="46FCFC49"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hAnsi="Times New Roman" w:cs="Times New Roman"/>
                <w:lang w:val="en-IE"/>
              </w:rPr>
              <w:t xml:space="preserve">Article 66 of Regulation (EU) No 575/2013, </w:t>
            </w:r>
            <w:proofErr w:type="gramStart"/>
            <w:r w:rsidRPr="005B2FEB">
              <w:rPr>
                <w:rFonts w:ascii="Times New Roman" w:hAnsi="Times New Roman" w:cs="Times New Roman"/>
                <w:lang w:val="en-IE"/>
              </w:rPr>
              <w:t>with the exception of</w:t>
            </w:r>
            <w:proofErr w:type="gramEnd"/>
            <w:r w:rsidRPr="005B2FEB">
              <w:rPr>
                <w:rFonts w:ascii="Times New Roman" w:hAnsi="Times New Roman" w:cs="Times New Roman"/>
                <w:lang w:val="en-IE"/>
              </w:rPr>
              <w:t xml:space="preserve"> point (d) of that article.</w:t>
            </w:r>
          </w:p>
        </w:tc>
      </w:tr>
      <w:tr w:rsidR="00AE5644" w:rsidRPr="005B2FEB" w14:paraId="531F5207" w14:textId="77777777">
        <w:tc>
          <w:tcPr>
            <w:tcW w:w="1129" w:type="dxa"/>
          </w:tcPr>
          <w:p w14:paraId="018B578C"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0460</w:t>
            </w:r>
          </w:p>
        </w:tc>
        <w:tc>
          <w:tcPr>
            <w:tcW w:w="7620" w:type="dxa"/>
            <w:tcBorders>
              <w:top w:val="nil"/>
              <w:left w:val="single" w:sz="4" w:space="0" w:color="auto"/>
              <w:bottom w:val="single" w:sz="4" w:space="0" w:color="auto"/>
              <w:right w:val="single" w:sz="4" w:space="0" w:color="auto"/>
            </w:tcBorders>
            <w:shd w:val="clear" w:color="auto" w:fill="auto"/>
            <w:vAlign w:val="bottom"/>
          </w:tcPr>
          <w:p w14:paraId="59AA3DF2"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 Own T2 instruments</w:t>
            </w:r>
          </w:p>
          <w:p w14:paraId="73174D92"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Article 9(1), point (</w:t>
            </w:r>
            <w:proofErr w:type="spellStart"/>
            <w:r w:rsidRPr="005B2FEB">
              <w:rPr>
                <w:rFonts w:ascii="Times New Roman" w:eastAsia="Times New Roman" w:hAnsi="Times New Roman" w:cs="Times New Roman"/>
                <w:bCs/>
                <w:lang w:val="en-IE" w:eastAsia="de-DE"/>
              </w:rPr>
              <w:t>i</w:t>
            </w:r>
            <w:proofErr w:type="spellEnd"/>
            <w:r w:rsidRPr="005B2FEB">
              <w:rPr>
                <w:rFonts w:ascii="Times New Roman" w:eastAsia="Times New Roman" w:hAnsi="Times New Roman" w:cs="Times New Roman"/>
                <w:bCs/>
                <w:lang w:val="en-IE" w:eastAsia="de-DE"/>
              </w:rPr>
              <w:t xml:space="preserve">),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6007CB7B" w14:textId="77777777" w:rsidR="00AE5644" w:rsidRPr="005B2FEB" w:rsidRDefault="005B2FEB">
            <w:pPr>
              <w:pStyle w:val="InstructionsText"/>
              <w:rPr>
                <w:rStyle w:val="FormatvorlageInstructionsTabelleText"/>
                <w:rFonts w:ascii="Times New Roman" w:hAnsi="Times New Roman"/>
                <w:sz w:val="22"/>
                <w:szCs w:val="22"/>
                <w:lang w:val="en-IE"/>
              </w:rPr>
            </w:pPr>
            <w:r w:rsidRPr="005B2FEB">
              <w:rPr>
                <w:rStyle w:val="FormatvorlageInstructionsTabelleText"/>
                <w:rFonts w:ascii="Times New Roman" w:hAnsi="Times New Roman"/>
                <w:sz w:val="22"/>
                <w:szCs w:val="22"/>
                <w:lang w:val="en-IE"/>
              </w:rPr>
              <w:t>Article 63, point (b)(</w:t>
            </w:r>
            <w:proofErr w:type="spellStart"/>
            <w:r w:rsidRPr="005B2FEB">
              <w:rPr>
                <w:rStyle w:val="FormatvorlageInstructionsTabelleText"/>
                <w:rFonts w:ascii="Times New Roman" w:hAnsi="Times New Roman"/>
                <w:sz w:val="22"/>
                <w:szCs w:val="22"/>
                <w:lang w:val="en-IE"/>
              </w:rPr>
              <w:t>i</w:t>
            </w:r>
            <w:proofErr w:type="spellEnd"/>
            <w:r w:rsidRPr="005B2FEB">
              <w:rPr>
                <w:rStyle w:val="FormatvorlageInstructionsTabelleText"/>
                <w:rFonts w:ascii="Times New Roman" w:hAnsi="Times New Roman"/>
                <w:sz w:val="22"/>
                <w:szCs w:val="22"/>
                <w:lang w:val="en-IE"/>
              </w:rPr>
              <w:t>), Article 66, point (a), and Article 67 of Regulation (EU) No 575/2013.</w:t>
            </w:r>
          </w:p>
          <w:p w14:paraId="261607D3" w14:textId="77777777" w:rsidR="00AE5644" w:rsidRPr="005B2FEB" w:rsidRDefault="005B2FEB">
            <w:pPr>
              <w:pStyle w:val="InstructionsText"/>
              <w:rPr>
                <w:rStyle w:val="FormatvorlageInstructionsTabelleText"/>
                <w:rFonts w:ascii="Times New Roman" w:hAnsi="Times New Roman"/>
                <w:sz w:val="22"/>
                <w:szCs w:val="22"/>
                <w:lang w:val="en-IE"/>
              </w:rPr>
            </w:pPr>
            <w:r w:rsidRPr="005B2FEB">
              <w:rPr>
                <w:rStyle w:val="FormatvorlageInstructionsTabelleText"/>
                <w:rFonts w:ascii="Times New Roman" w:hAnsi="Times New Roman"/>
                <w:sz w:val="22"/>
                <w:szCs w:val="22"/>
                <w:lang w:val="en-IE"/>
              </w:rPr>
              <w:t xml:space="preserve">Own T2 instruments held by the reporting institution or group at the reporting date. Subject to exceptions in Article 67 of Regulation (EU) No </w:t>
            </w:r>
            <w:r w:rsidRPr="005B2FEB">
              <w:rPr>
                <w:rStyle w:val="FormatvorlageInstructionsTabelleText"/>
                <w:rFonts w:ascii="Times New Roman" w:hAnsi="Times New Roman"/>
                <w:sz w:val="22"/>
                <w:szCs w:val="22"/>
                <w:lang w:val="en-IE"/>
              </w:rPr>
              <w:t>575/2013.</w:t>
            </w:r>
          </w:p>
          <w:p w14:paraId="3636F0D6" w14:textId="77777777" w:rsidR="00AE5644" w:rsidRPr="005B2FEB" w:rsidRDefault="005B2FEB">
            <w:pPr>
              <w:pStyle w:val="InstructionsText"/>
              <w:rPr>
                <w:rStyle w:val="FormatvorlageInstructionsTabelleText"/>
                <w:rFonts w:ascii="Times New Roman" w:hAnsi="Times New Roman"/>
                <w:sz w:val="22"/>
                <w:szCs w:val="22"/>
                <w:lang w:val="en-IE"/>
              </w:rPr>
            </w:pPr>
            <w:r w:rsidRPr="005B2FEB">
              <w:rPr>
                <w:rStyle w:val="FormatvorlageInstructionsTabelleText"/>
                <w:rFonts w:ascii="Times New Roman" w:hAnsi="Times New Roman"/>
                <w:sz w:val="22"/>
                <w:szCs w:val="22"/>
                <w:lang w:val="en-IE"/>
              </w:rPr>
              <w:t xml:space="preserve">Holdings on shares included as </w:t>
            </w:r>
            <w:r w:rsidRPr="005B2FEB">
              <w:rPr>
                <w:rStyle w:val="FormatvorlageInstructionsTabelleText"/>
                <w:rFonts w:ascii="Times New Roman" w:hAnsi="Times New Roman"/>
                <w:sz w:val="22"/>
                <w:szCs w:val="22"/>
                <w:lang w:val="en-IE"/>
              </w:rPr>
              <w:t>"</w:t>
            </w:r>
            <w:r w:rsidRPr="005B2FEB">
              <w:rPr>
                <w:rStyle w:val="FormatvorlageInstructionsTabelleText"/>
                <w:rFonts w:ascii="Times New Roman" w:hAnsi="Times New Roman"/>
                <w:sz w:val="22"/>
                <w:szCs w:val="22"/>
                <w:lang w:val="en-IE"/>
              </w:rPr>
              <w:t>Capital instruments not eligibl</w:t>
            </w:r>
            <w:r w:rsidRPr="005B2FEB">
              <w:rPr>
                <w:rStyle w:val="FormatvorlageInstructionsTabelleText"/>
                <w:rFonts w:ascii="Times New Roman" w:hAnsi="Times New Roman"/>
                <w:sz w:val="22"/>
                <w:szCs w:val="22"/>
                <w:lang w:val="en-IE"/>
              </w:rPr>
              <w:t>e"</w:t>
            </w:r>
            <w:r w:rsidRPr="005B2FEB">
              <w:rPr>
                <w:rStyle w:val="FormatvorlageInstructionsTabelleText"/>
                <w:rFonts w:ascii="Times New Roman" w:hAnsi="Times New Roman"/>
                <w:sz w:val="22"/>
                <w:szCs w:val="22"/>
                <w:lang w:val="en-IE"/>
              </w:rPr>
              <w:t xml:space="preserve"> shall not be reported in this row.</w:t>
            </w:r>
          </w:p>
          <w:p w14:paraId="74C20AA5" w14:textId="77777777" w:rsidR="00AE5644" w:rsidRPr="005B2FEB" w:rsidRDefault="005B2FEB">
            <w:pPr>
              <w:pStyle w:val="InstructionsText"/>
              <w:rPr>
                <w:sz w:val="22"/>
                <w:szCs w:val="22"/>
                <w:lang w:val="en-IE"/>
              </w:rPr>
            </w:pPr>
            <w:r w:rsidRPr="005B2FEB">
              <w:rPr>
                <w:rStyle w:val="FormatvorlageInstructionsTabelleText"/>
                <w:rFonts w:ascii="Times New Roman" w:hAnsi="Times New Roman"/>
                <w:sz w:val="22"/>
                <w:szCs w:val="22"/>
                <w:lang w:val="en-IE"/>
              </w:rPr>
              <w:t>The amount to be reported shall include the share premium related to the own shares.</w:t>
            </w:r>
          </w:p>
        </w:tc>
      </w:tr>
      <w:tr w:rsidR="00AE5644" w:rsidRPr="005B2FEB" w14:paraId="3EA1636A" w14:textId="77777777">
        <w:tc>
          <w:tcPr>
            <w:tcW w:w="1129" w:type="dxa"/>
          </w:tcPr>
          <w:p w14:paraId="739ABA92"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0500</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11F45FB0"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 xml:space="preserve">(-) T2 instruments of financial sector entities where </w:t>
            </w:r>
            <w:r w:rsidRPr="005B2FEB">
              <w:rPr>
                <w:rFonts w:ascii="Times New Roman" w:eastAsia="Times New Roman" w:hAnsi="Times New Roman" w:cs="Times New Roman"/>
                <w:b/>
                <w:bCs/>
                <w:u w:val="single"/>
                <w:lang w:val="en-IE" w:eastAsia="de-DE"/>
              </w:rPr>
              <w:t>the parent does not have a significant investment</w:t>
            </w:r>
          </w:p>
          <w:p w14:paraId="6707A519"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 xml:space="preserve">Article 9(2), point (c),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2B5598D5"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Article 66, point (c), of Regulation (EU) No 575/2013.</w:t>
            </w:r>
          </w:p>
          <w:p w14:paraId="0DD4FAAC"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eastAsia="de-DE"/>
              </w:rPr>
              <w:t>Union parent in this row means Union parent investment firms, Union parent investment holding co</w:t>
            </w:r>
            <w:r w:rsidRPr="005B2FEB">
              <w:rPr>
                <w:rFonts w:ascii="Times New Roman" w:eastAsia="Times New Roman" w:hAnsi="Times New Roman" w:cs="Times New Roman"/>
                <w:bCs/>
                <w:lang w:val="en-IE" w:eastAsia="de-DE"/>
              </w:rPr>
              <w:t>mpanies, Union parent mixed financial holdings or any other parent undertaking that is an investment firms, financial institution, ancillary services undertaking or tied agent.</w:t>
            </w:r>
          </w:p>
        </w:tc>
      </w:tr>
      <w:tr w:rsidR="00AE5644" w:rsidRPr="005B2FEB" w14:paraId="61C97C98" w14:textId="77777777">
        <w:tc>
          <w:tcPr>
            <w:tcW w:w="1129" w:type="dxa"/>
            <w:tcBorders>
              <w:bottom w:val="single" w:sz="4" w:space="0" w:color="auto"/>
            </w:tcBorders>
          </w:tcPr>
          <w:p w14:paraId="506FA58F"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0525</w:t>
            </w:r>
          </w:p>
        </w:tc>
        <w:tc>
          <w:tcPr>
            <w:tcW w:w="7620" w:type="dxa"/>
            <w:tcBorders>
              <w:top w:val="single" w:sz="4" w:space="0" w:color="auto"/>
              <w:left w:val="single" w:sz="4" w:space="0" w:color="auto"/>
              <w:bottom w:val="single" w:sz="4" w:space="0" w:color="auto"/>
              <w:right w:val="single" w:sz="4" w:space="0" w:color="auto"/>
            </w:tcBorders>
            <w:shd w:val="clear" w:color="auto" w:fill="auto"/>
            <w:vAlign w:val="bottom"/>
          </w:tcPr>
          <w:p w14:paraId="662F46CC"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 xml:space="preserve">Tier 2: Other capital elements, </w:t>
            </w:r>
            <w:proofErr w:type="gramStart"/>
            <w:r w:rsidRPr="005B2FEB">
              <w:rPr>
                <w:rFonts w:ascii="Times New Roman" w:eastAsia="Times New Roman" w:hAnsi="Times New Roman" w:cs="Times New Roman"/>
                <w:b/>
                <w:bCs/>
                <w:u w:val="single"/>
                <w:lang w:val="en-IE" w:eastAsia="de-DE"/>
              </w:rPr>
              <w:t>deductions</w:t>
            </w:r>
            <w:proofErr w:type="gramEnd"/>
            <w:r w:rsidRPr="005B2FEB">
              <w:rPr>
                <w:rFonts w:ascii="Times New Roman" w:eastAsia="Times New Roman" w:hAnsi="Times New Roman" w:cs="Times New Roman"/>
                <w:b/>
                <w:bCs/>
                <w:u w:val="single"/>
                <w:lang w:val="en-IE" w:eastAsia="de-DE"/>
              </w:rPr>
              <w:t xml:space="preserve"> and adjustments</w:t>
            </w:r>
          </w:p>
          <w:p w14:paraId="3EBBF6DF"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 xml:space="preserve">This row </w:t>
            </w:r>
            <w:r w:rsidRPr="005B2FEB">
              <w:rPr>
                <w:rFonts w:ascii="Times New Roman" w:eastAsia="Times New Roman" w:hAnsi="Times New Roman" w:cs="Times New Roman"/>
                <w:bCs/>
                <w:lang w:val="en-IE" w:eastAsia="de-DE"/>
              </w:rPr>
              <w:t>shall include the sum of the following items, where applicable:</w:t>
            </w:r>
          </w:p>
          <w:p w14:paraId="4BFA9F07" w14:textId="77777777" w:rsidR="00AE5644" w:rsidRPr="005B2FEB" w:rsidRDefault="005B2FEB">
            <w:pPr>
              <w:spacing w:after="120" w:line="240" w:lineRule="auto"/>
              <w:ind w:left="360" w:hanging="360"/>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lastRenderedPageBreak/>
              <w:t>—</w:t>
            </w:r>
            <w:r w:rsidRPr="005B2FEB">
              <w:rPr>
                <w:rFonts w:ascii="Times New Roman" w:eastAsia="Times New Roman" w:hAnsi="Times New Roman" w:cs="Times New Roman"/>
                <w:bCs/>
                <w:lang w:val="en-IE" w:eastAsia="de-DE"/>
              </w:rPr>
              <w:tab/>
              <w:t>Transitional adjustments due to grandfathered T2 Capital instruments (Article 483, paragraphs 6 and 7, Articles 484, 486, 488, 490 and 491 of Regulation (EU) No 575/2013)</w:t>
            </w:r>
          </w:p>
          <w:p w14:paraId="68B3BD76" w14:textId="77777777" w:rsidR="00AE5644" w:rsidRPr="005B2FEB" w:rsidRDefault="005B2FEB">
            <w:pPr>
              <w:spacing w:after="120" w:line="240" w:lineRule="auto"/>
              <w:ind w:left="360" w:hanging="360"/>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w:t>
            </w:r>
            <w:r w:rsidRPr="005B2FEB">
              <w:rPr>
                <w:rFonts w:ascii="Times New Roman" w:eastAsia="Times New Roman" w:hAnsi="Times New Roman" w:cs="Times New Roman"/>
                <w:bCs/>
                <w:lang w:val="en-IE" w:eastAsia="de-DE"/>
              </w:rPr>
              <w:tab/>
              <w:t>Other transitiona</w:t>
            </w:r>
            <w:r w:rsidRPr="005B2FEB">
              <w:rPr>
                <w:rFonts w:ascii="Times New Roman" w:eastAsia="Times New Roman" w:hAnsi="Times New Roman" w:cs="Times New Roman"/>
                <w:bCs/>
                <w:lang w:val="en-IE" w:eastAsia="de-DE"/>
              </w:rPr>
              <w:t>l adjustments to T2 Capital (Articles 472, 473a, 476, 477, 478 and 481 of Regulation (EU) No 575/2013): Adjustments to the deductions from Tier 2 due to transitional provisions</w:t>
            </w:r>
          </w:p>
          <w:p w14:paraId="5278439D" w14:textId="77777777" w:rsidR="00AE5644" w:rsidRPr="005B2FEB" w:rsidRDefault="005B2FEB">
            <w:pPr>
              <w:spacing w:after="120" w:line="240" w:lineRule="auto"/>
              <w:ind w:left="360" w:hanging="360"/>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w:t>
            </w:r>
            <w:r w:rsidRPr="005B2FEB">
              <w:rPr>
                <w:rFonts w:ascii="Times New Roman" w:eastAsia="Times New Roman" w:hAnsi="Times New Roman" w:cs="Times New Roman"/>
                <w:bCs/>
                <w:lang w:val="en-IE" w:eastAsia="de-DE"/>
              </w:rPr>
              <w:tab/>
              <w:t>Excess of deduction from T2 items over T2 Capital, deducted from AT1 in accor</w:t>
            </w:r>
            <w:r w:rsidRPr="005B2FEB">
              <w:rPr>
                <w:rFonts w:ascii="Times New Roman" w:eastAsia="Times New Roman" w:hAnsi="Times New Roman" w:cs="Times New Roman"/>
                <w:bCs/>
                <w:lang w:val="en-IE" w:eastAsia="de-DE"/>
              </w:rPr>
              <w:t>dance with Article 56, point (e), of Regulation (EU) No 575/2013: Tier 2 cannot be negative, but it is possible that the deductions from T2 items exceed the amount of available T2 items. Where this happens, this item represents the amount needed to increas</w:t>
            </w:r>
            <w:r w:rsidRPr="005B2FEB">
              <w:rPr>
                <w:rFonts w:ascii="Times New Roman" w:eastAsia="Times New Roman" w:hAnsi="Times New Roman" w:cs="Times New Roman"/>
                <w:bCs/>
                <w:lang w:val="en-IE" w:eastAsia="de-DE"/>
              </w:rPr>
              <w:t>e the amount reported in row 0420 to zero</w:t>
            </w:r>
          </w:p>
          <w:p w14:paraId="6AC6BF84" w14:textId="77777777" w:rsidR="00AE5644" w:rsidRPr="005B2FEB" w:rsidRDefault="005B2FEB">
            <w:pPr>
              <w:spacing w:after="120" w:line="240" w:lineRule="auto"/>
              <w:ind w:left="360" w:hanging="360"/>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w:t>
            </w:r>
            <w:r w:rsidRPr="005B2FEB">
              <w:rPr>
                <w:rFonts w:ascii="Times New Roman" w:eastAsia="Times New Roman" w:hAnsi="Times New Roman" w:cs="Times New Roman"/>
                <w:bCs/>
                <w:lang w:val="en-IE" w:eastAsia="de-DE"/>
              </w:rPr>
              <w:tab/>
              <w:t>Other T2 capital elements or deductions from a T2 element that cannot be assigned to one of the rows 0430 to 0500.</w:t>
            </w:r>
          </w:p>
          <w:p w14:paraId="65AE10DB"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eastAsia="de-DE"/>
              </w:rPr>
              <w:t>This row shall not be used to include capital items or deductions which are not covered by Regula</w:t>
            </w:r>
            <w:r w:rsidRPr="005B2FEB">
              <w:rPr>
                <w:rFonts w:ascii="Times New Roman" w:eastAsia="Times New Roman" w:hAnsi="Times New Roman" w:cs="Times New Roman"/>
                <w:bCs/>
                <w:lang w:val="en-IE" w:eastAsia="de-DE"/>
              </w:rPr>
              <w:t xml:space="preserve">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 xml:space="preserve"> or Regulation (EU) No 575/2013 into the calculation of the solvency ratios.</w:t>
            </w:r>
          </w:p>
        </w:tc>
      </w:tr>
    </w:tbl>
    <w:p w14:paraId="09BDC7A9" w14:textId="77777777" w:rsidR="00AE5644" w:rsidRPr="005B2FEB" w:rsidRDefault="005B2FEB">
      <w:pPr>
        <w:pStyle w:val="Instructionsberschrift2"/>
        <w:ind w:left="357" w:hanging="357"/>
        <w:rPr>
          <w:rFonts w:ascii="Times New Roman" w:hAnsi="Times New Roman" w:cs="Times New Roman"/>
          <w:sz w:val="24"/>
          <w:u w:val="none"/>
          <w:lang w:val="en-IE"/>
        </w:rPr>
      </w:pPr>
      <w:bookmarkStart w:id="19" w:name="_Toc44434032"/>
      <w:r w:rsidRPr="005B2FEB">
        <w:rPr>
          <w:rFonts w:ascii="Times New Roman" w:hAnsi="Times New Roman" w:cs="Times New Roman"/>
          <w:sz w:val="24"/>
          <w:u w:val="none"/>
          <w:lang w:val="en-IE"/>
        </w:rPr>
        <w:lastRenderedPageBreak/>
        <w:t>1.3</w:t>
      </w:r>
      <w:r w:rsidRPr="005B2FEB">
        <w:rPr>
          <w:rFonts w:ascii="Times New Roman" w:hAnsi="Times New Roman" w:cs="Times New Roman"/>
          <w:sz w:val="24"/>
          <w:lang w:val="en-IE"/>
        </w:rPr>
        <w:t xml:space="preserve"> I </w:t>
      </w:r>
      <w:r w:rsidRPr="005B2FEB">
        <w:rPr>
          <w:rFonts w:ascii="Times New Roman" w:hAnsi="Times New Roman" w:cs="Times New Roman"/>
          <w:sz w:val="24"/>
          <w:lang w:val="en-IE"/>
        </w:rPr>
        <w:t>11.02</w:t>
      </w:r>
      <w:r w:rsidRPr="005B2FEB">
        <w:rPr>
          <w:rFonts w:ascii="Times New Roman" w:hAnsi="Times New Roman" w:cs="Times New Roman"/>
          <w:sz w:val="24"/>
          <w:lang w:val="en-IE"/>
        </w:rPr>
        <w:t xml:space="preserve"> OWN FUNDS REQUIREMENTS – GROUP CAPITAL TEST (I</w:t>
      </w:r>
      <w:r w:rsidRPr="005B2FEB">
        <w:rPr>
          <w:rFonts w:ascii="Times New Roman" w:hAnsi="Times New Roman" w:cs="Times New Roman"/>
          <w:sz w:val="24"/>
          <w:lang w:val="en-IE"/>
        </w:rPr>
        <w:t>11.2</w:t>
      </w:r>
      <w:r w:rsidRPr="005B2FEB">
        <w:rPr>
          <w:rFonts w:ascii="Times New Roman" w:hAnsi="Times New Roman" w:cs="Times New Roman"/>
          <w:sz w:val="24"/>
          <w:lang w:val="en-IE"/>
        </w:rPr>
        <w:t>)</w:t>
      </w:r>
      <w:bookmarkEnd w:id="19"/>
    </w:p>
    <w:p w14:paraId="50A15C36" w14:textId="77777777" w:rsidR="00AE5644" w:rsidRPr="005B2FEB" w:rsidRDefault="005B2FEB">
      <w:pPr>
        <w:keepNext/>
        <w:spacing w:before="240" w:after="240" w:line="240" w:lineRule="auto"/>
        <w:ind w:left="357" w:hanging="357"/>
        <w:jc w:val="both"/>
        <w:outlineLvl w:val="1"/>
        <w:rPr>
          <w:rFonts w:ascii="Times New Roman" w:eastAsia="Arial" w:hAnsi="Times New Roman" w:cs="Times New Roman"/>
          <w:sz w:val="24"/>
          <w:szCs w:val="24"/>
          <w:u w:val="single"/>
          <w:lang w:val="en-IE"/>
        </w:rPr>
      </w:pPr>
      <w:bookmarkStart w:id="20" w:name="_Toc44434033"/>
      <w:r w:rsidRPr="005B2FEB">
        <w:rPr>
          <w:rFonts w:ascii="Times New Roman" w:eastAsia="Arial" w:hAnsi="Times New Roman" w:cs="Times New Roman"/>
          <w:sz w:val="24"/>
          <w:szCs w:val="24"/>
          <w:lang w:val="en-IE"/>
        </w:rPr>
        <w:t>1.3.1.</w:t>
      </w:r>
      <w:r w:rsidRPr="005B2FEB">
        <w:rPr>
          <w:rFonts w:ascii="Times New Roman" w:eastAsia="Arial" w:hAnsi="Times New Roman" w:cs="Times New Roman"/>
          <w:sz w:val="24"/>
          <w:szCs w:val="24"/>
          <w:lang w:val="en-IE"/>
        </w:rPr>
        <w:tab/>
      </w:r>
      <w:r w:rsidRPr="005B2FEB">
        <w:rPr>
          <w:rFonts w:ascii="Times New Roman" w:eastAsia="Arial" w:hAnsi="Times New Roman" w:cs="Times New Roman"/>
          <w:sz w:val="24"/>
          <w:szCs w:val="24"/>
          <w:u w:val="single"/>
          <w:lang w:val="en-IE"/>
        </w:rPr>
        <w:t>Instructions concerning specific positions</w:t>
      </w:r>
      <w:bookmarkEnd w:id="20"/>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AE5644" w:rsidRPr="005B2FEB" w14:paraId="273A48F0" w14:textId="77777777">
        <w:tc>
          <w:tcPr>
            <w:tcW w:w="1129" w:type="dxa"/>
            <w:shd w:val="clear" w:color="auto" w:fill="D9D9D9"/>
          </w:tcPr>
          <w:p w14:paraId="595B57D6" w14:textId="77777777" w:rsidR="00AE5644" w:rsidRPr="005B2FEB" w:rsidRDefault="005B2FEB">
            <w:pPr>
              <w:spacing w:after="120" w:line="240" w:lineRule="auto"/>
              <w:jc w:val="both"/>
              <w:rPr>
                <w:rFonts w:ascii="Times New Roman" w:eastAsia="Times New Roman" w:hAnsi="Times New Roman" w:cs="Times New Roman"/>
                <w:bCs/>
                <w:lang w:val="en-IE"/>
              </w:rPr>
            </w:pPr>
            <w:r w:rsidRPr="005B2FEB">
              <w:rPr>
                <w:rFonts w:ascii="Times New Roman" w:eastAsia="Times New Roman" w:hAnsi="Times New Roman" w:cs="Times New Roman"/>
                <w:lang w:val="en-IE" w:eastAsia="de-DE"/>
              </w:rPr>
              <w:t>Row</w:t>
            </w:r>
          </w:p>
        </w:tc>
        <w:tc>
          <w:tcPr>
            <w:tcW w:w="7620" w:type="dxa"/>
            <w:shd w:val="clear" w:color="auto" w:fill="D9D9D9"/>
          </w:tcPr>
          <w:p w14:paraId="20458CE1" w14:textId="77777777" w:rsidR="00AE5644" w:rsidRPr="005B2FEB" w:rsidRDefault="005B2FEB">
            <w:pPr>
              <w:spacing w:after="120" w:line="240" w:lineRule="auto"/>
              <w:jc w:val="both"/>
              <w:rPr>
                <w:rFonts w:ascii="Times New Roman" w:eastAsia="Times New Roman" w:hAnsi="Times New Roman" w:cs="Times New Roman"/>
                <w:bCs/>
                <w:lang w:val="en-IE"/>
              </w:rPr>
            </w:pPr>
            <w:r w:rsidRPr="005B2FEB">
              <w:rPr>
                <w:rFonts w:ascii="Times New Roman" w:eastAsia="Times New Roman" w:hAnsi="Times New Roman" w:cs="Times New Roman"/>
                <w:lang w:val="en-IE" w:eastAsia="de-DE"/>
              </w:rPr>
              <w:t xml:space="preserve">Legal references and </w:t>
            </w:r>
            <w:r w:rsidRPr="005B2FEB">
              <w:rPr>
                <w:rFonts w:ascii="Times New Roman" w:eastAsia="Times New Roman" w:hAnsi="Times New Roman" w:cs="Times New Roman"/>
                <w:lang w:val="en-IE" w:eastAsia="de-DE"/>
              </w:rPr>
              <w:t>instructions</w:t>
            </w:r>
          </w:p>
        </w:tc>
      </w:tr>
      <w:tr w:rsidR="00AE5644" w:rsidRPr="005B2FEB" w14:paraId="5C630417" w14:textId="77777777">
        <w:tc>
          <w:tcPr>
            <w:tcW w:w="1129" w:type="dxa"/>
            <w:tcBorders>
              <w:top w:val="single" w:sz="4" w:space="0" w:color="auto"/>
              <w:left w:val="single" w:sz="4" w:space="0" w:color="auto"/>
              <w:bottom w:val="single" w:sz="4" w:space="0" w:color="auto"/>
              <w:right w:val="single" w:sz="4" w:space="0" w:color="auto"/>
            </w:tcBorders>
          </w:tcPr>
          <w:p w14:paraId="020CF7AF"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0010</w:t>
            </w:r>
          </w:p>
        </w:tc>
        <w:tc>
          <w:tcPr>
            <w:tcW w:w="7620" w:type="dxa"/>
            <w:tcBorders>
              <w:top w:val="single" w:sz="4" w:space="0" w:color="auto"/>
              <w:left w:val="single" w:sz="4" w:space="0" w:color="auto"/>
              <w:bottom w:val="single" w:sz="4" w:space="0" w:color="auto"/>
              <w:right w:val="single" w:sz="4" w:space="0" w:color="auto"/>
            </w:tcBorders>
          </w:tcPr>
          <w:p w14:paraId="4686958B"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CET1 instruments of financial sector entities in the investment firm group where the parent undertaking has a significant investment in those entities</w:t>
            </w:r>
          </w:p>
          <w:p w14:paraId="3423CC57"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eastAsia="de-DE"/>
              </w:rPr>
              <w:t xml:space="preserve">Article 8(3), point (a),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 xml:space="preserve"> in conjunction with Article 36(1), point (</w:t>
            </w:r>
            <w:proofErr w:type="spellStart"/>
            <w:r w:rsidRPr="005B2FEB">
              <w:rPr>
                <w:rFonts w:ascii="Times New Roman" w:eastAsia="Times New Roman" w:hAnsi="Times New Roman" w:cs="Times New Roman"/>
                <w:bCs/>
                <w:lang w:val="en-IE" w:eastAsia="de-DE"/>
              </w:rPr>
              <w:t>i</w:t>
            </w:r>
            <w:proofErr w:type="spellEnd"/>
            <w:r w:rsidRPr="005B2FEB">
              <w:rPr>
                <w:rFonts w:ascii="Times New Roman" w:eastAsia="Times New Roman" w:hAnsi="Times New Roman" w:cs="Times New Roman"/>
                <w:bCs/>
                <w:lang w:val="en-IE" w:eastAsia="de-DE"/>
              </w:rPr>
              <w:t>), of Regulation (EU) No 575/2013.</w:t>
            </w:r>
          </w:p>
        </w:tc>
      </w:tr>
      <w:tr w:rsidR="00AE5644" w:rsidRPr="005B2FEB" w14:paraId="5421E1CB" w14:textId="77777777">
        <w:tc>
          <w:tcPr>
            <w:tcW w:w="1129" w:type="dxa"/>
            <w:tcBorders>
              <w:top w:val="single" w:sz="4" w:space="0" w:color="auto"/>
              <w:bottom w:val="single" w:sz="4" w:space="0" w:color="auto"/>
            </w:tcBorders>
          </w:tcPr>
          <w:p w14:paraId="5DA0C211"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0020</w:t>
            </w:r>
          </w:p>
        </w:tc>
        <w:tc>
          <w:tcPr>
            <w:tcW w:w="7620" w:type="dxa"/>
            <w:tcBorders>
              <w:top w:val="single" w:sz="4" w:space="0" w:color="auto"/>
              <w:bottom w:val="single" w:sz="4" w:space="0" w:color="auto"/>
            </w:tcBorders>
          </w:tcPr>
          <w:p w14:paraId="7B41EC99"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AT1 instruments of financial sector entities in the investment firm group where the parent undertaking has a significa</w:t>
            </w:r>
            <w:r w:rsidRPr="005B2FEB">
              <w:rPr>
                <w:rFonts w:ascii="Times New Roman" w:eastAsia="Times New Roman" w:hAnsi="Times New Roman" w:cs="Times New Roman"/>
                <w:b/>
                <w:bCs/>
                <w:u w:val="single"/>
                <w:lang w:val="en-IE" w:eastAsia="de-DE"/>
              </w:rPr>
              <w:t>nt investment in those entities</w:t>
            </w:r>
          </w:p>
          <w:p w14:paraId="2B1EB566"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 xml:space="preserve">Article 8(3), point (a),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 xml:space="preserve"> in conjunction with of Article 56, point (d), of Regulation (EU) No 575/2013.</w:t>
            </w:r>
          </w:p>
        </w:tc>
      </w:tr>
      <w:tr w:rsidR="00AE5644" w:rsidRPr="005B2FEB" w14:paraId="2038F153" w14:textId="77777777">
        <w:tc>
          <w:tcPr>
            <w:tcW w:w="1129" w:type="dxa"/>
            <w:tcBorders>
              <w:top w:val="single" w:sz="4" w:space="0" w:color="auto"/>
              <w:bottom w:val="single" w:sz="4" w:space="0" w:color="auto"/>
            </w:tcBorders>
          </w:tcPr>
          <w:p w14:paraId="32E01D7C"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0030</w:t>
            </w:r>
          </w:p>
        </w:tc>
        <w:tc>
          <w:tcPr>
            <w:tcW w:w="7620" w:type="dxa"/>
            <w:tcBorders>
              <w:top w:val="single" w:sz="4" w:space="0" w:color="auto"/>
              <w:bottom w:val="single" w:sz="4" w:space="0" w:color="auto"/>
            </w:tcBorders>
          </w:tcPr>
          <w:p w14:paraId="5AD7F7BC"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 xml:space="preserve">T2 instruments of financial sector entities in the investment firm group where the </w:t>
            </w:r>
            <w:r w:rsidRPr="005B2FEB">
              <w:rPr>
                <w:rFonts w:ascii="Times New Roman" w:eastAsia="Times New Roman" w:hAnsi="Times New Roman" w:cs="Times New Roman"/>
                <w:b/>
                <w:bCs/>
                <w:u w:val="single"/>
                <w:lang w:val="en-IE" w:eastAsia="de-DE"/>
              </w:rPr>
              <w:t>parent undertaking has a significant investment in those entities</w:t>
            </w:r>
          </w:p>
          <w:p w14:paraId="2A47D166"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eastAsia="de-DE"/>
              </w:rPr>
              <w:t>Article 8(3), point (a), in conjunction with Article 66, point (d), of Regulation (EU) No 575/2013.</w:t>
            </w:r>
          </w:p>
        </w:tc>
      </w:tr>
      <w:tr w:rsidR="00AE5644" w:rsidRPr="005B2FEB" w14:paraId="2987362F" w14:textId="77777777">
        <w:tc>
          <w:tcPr>
            <w:tcW w:w="1129" w:type="dxa"/>
          </w:tcPr>
          <w:p w14:paraId="438ECAA1"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0040</w:t>
            </w:r>
          </w:p>
        </w:tc>
        <w:tc>
          <w:tcPr>
            <w:tcW w:w="7620" w:type="dxa"/>
          </w:tcPr>
          <w:p w14:paraId="58005548"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
                <w:bCs/>
                <w:u w:val="single"/>
                <w:lang w:val="en-IE" w:eastAsia="de-DE"/>
              </w:rPr>
              <w:t>Holdings of financial sector entities in the investment firm group to the extent tha</w:t>
            </w:r>
            <w:r w:rsidRPr="005B2FEB">
              <w:rPr>
                <w:rFonts w:ascii="Times New Roman" w:eastAsia="Times New Roman" w:hAnsi="Times New Roman" w:cs="Times New Roman"/>
                <w:b/>
                <w:bCs/>
                <w:u w:val="single"/>
                <w:lang w:val="en-IE" w:eastAsia="de-DE"/>
              </w:rPr>
              <w:t>t they do not constitute own funds for the group entity the parent is invested in</w:t>
            </w:r>
          </w:p>
          <w:p w14:paraId="1FD4A059"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 xml:space="preserve">Article 8(3), point (a),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3B182D1B"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 xml:space="preserve">This row shall include holdings of the parent to the extent that they do not constitute own funds for the group entity </w:t>
            </w:r>
            <w:r w:rsidRPr="005B2FEB">
              <w:rPr>
                <w:rFonts w:ascii="Times New Roman" w:eastAsia="Times New Roman" w:hAnsi="Times New Roman" w:cs="Times New Roman"/>
                <w:bCs/>
                <w:lang w:val="en-IE" w:eastAsia="de-DE"/>
              </w:rPr>
              <w:t>the parent is invested in.</w:t>
            </w:r>
          </w:p>
        </w:tc>
      </w:tr>
      <w:tr w:rsidR="00AE5644" w:rsidRPr="005B2FEB" w14:paraId="67435441" w14:textId="77777777">
        <w:tc>
          <w:tcPr>
            <w:tcW w:w="1129" w:type="dxa"/>
            <w:tcBorders>
              <w:bottom w:val="single" w:sz="4" w:space="0" w:color="auto"/>
            </w:tcBorders>
          </w:tcPr>
          <w:p w14:paraId="43366697"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0050</w:t>
            </w:r>
          </w:p>
        </w:tc>
        <w:tc>
          <w:tcPr>
            <w:tcW w:w="7620" w:type="dxa"/>
            <w:tcBorders>
              <w:bottom w:val="single" w:sz="4" w:space="0" w:color="auto"/>
            </w:tcBorders>
          </w:tcPr>
          <w:p w14:paraId="190A8D91"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
                <w:bCs/>
                <w:u w:val="single"/>
                <w:lang w:val="en-IE" w:eastAsia="de-DE"/>
              </w:rPr>
              <w:t>Subordinated claims of financial sector entities in the investment firm group</w:t>
            </w:r>
          </w:p>
          <w:p w14:paraId="44E5BDEE"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 xml:space="preserve">Article 8(3), point (a),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3CB42D86"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eastAsia="de-DE"/>
              </w:rPr>
              <w:t xml:space="preserve">This row shall include subordinated claims of the parent to the extent that they do not </w:t>
            </w:r>
            <w:r w:rsidRPr="005B2FEB">
              <w:rPr>
                <w:rFonts w:ascii="Times New Roman" w:eastAsia="Times New Roman" w:hAnsi="Times New Roman" w:cs="Times New Roman"/>
                <w:bCs/>
                <w:lang w:val="en-IE" w:eastAsia="de-DE"/>
              </w:rPr>
              <w:t>constitute own funds for the group entity the parent is invested in.</w:t>
            </w:r>
          </w:p>
        </w:tc>
      </w:tr>
      <w:tr w:rsidR="00AE5644" w:rsidRPr="005B2FEB" w14:paraId="11F73A03" w14:textId="77777777">
        <w:tc>
          <w:tcPr>
            <w:tcW w:w="1129" w:type="dxa"/>
            <w:tcBorders>
              <w:top w:val="single" w:sz="4" w:space="0" w:color="auto"/>
              <w:bottom w:val="single" w:sz="4" w:space="0" w:color="auto"/>
            </w:tcBorders>
          </w:tcPr>
          <w:p w14:paraId="1D043501"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0060</w:t>
            </w:r>
          </w:p>
        </w:tc>
        <w:tc>
          <w:tcPr>
            <w:tcW w:w="7620" w:type="dxa"/>
            <w:tcBorders>
              <w:top w:val="single" w:sz="4" w:space="0" w:color="auto"/>
              <w:bottom w:val="single" w:sz="4" w:space="0" w:color="auto"/>
            </w:tcBorders>
          </w:tcPr>
          <w:p w14:paraId="457236B6"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Contingent liabilities in favour of entities in the investment firm group</w:t>
            </w:r>
          </w:p>
          <w:p w14:paraId="49A9CBAB"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lastRenderedPageBreak/>
              <w:t xml:space="preserve">Article 8(3), point (b),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tc>
      </w:tr>
      <w:tr w:rsidR="00AE5644" w:rsidRPr="005B2FEB" w14:paraId="49A090B3" w14:textId="77777777">
        <w:tc>
          <w:tcPr>
            <w:tcW w:w="1129" w:type="dxa"/>
            <w:tcBorders>
              <w:top w:val="single" w:sz="4" w:space="0" w:color="auto"/>
            </w:tcBorders>
          </w:tcPr>
          <w:p w14:paraId="5479453A"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lastRenderedPageBreak/>
              <w:t>0070</w:t>
            </w:r>
          </w:p>
        </w:tc>
        <w:tc>
          <w:tcPr>
            <w:tcW w:w="7620" w:type="dxa"/>
            <w:tcBorders>
              <w:top w:val="single" w:sz="4" w:space="0" w:color="auto"/>
            </w:tcBorders>
          </w:tcPr>
          <w:p w14:paraId="4B61AE7E"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Total own fund requirements for the subsidiary</w:t>
            </w:r>
            <w:r w:rsidRPr="005B2FEB">
              <w:rPr>
                <w:rFonts w:ascii="Times New Roman" w:eastAsia="Times New Roman" w:hAnsi="Times New Roman" w:cs="Times New Roman"/>
                <w:b/>
                <w:bCs/>
                <w:u w:val="single"/>
                <w:lang w:val="en-IE" w:eastAsia="de-DE"/>
              </w:rPr>
              <w:t xml:space="preserve"> undertakings</w:t>
            </w:r>
          </w:p>
          <w:p w14:paraId="7D6FEB3D"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 xml:space="preserve">In case of application of Article 8(4)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tc>
      </w:tr>
    </w:tbl>
    <w:p w14:paraId="2FDC0183" w14:textId="77777777" w:rsidR="00AE5644" w:rsidRPr="005B2FEB" w:rsidRDefault="005B2FEB">
      <w:pPr>
        <w:pStyle w:val="Instructionsberschrift2"/>
        <w:ind w:left="357" w:hanging="357"/>
        <w:rPr>
          <w:rFonts w:ascii="Times New Roman" w:hAnsi="Times New Roman" w:cs="Times New Roman"/>
          <w:sz w:val="24"/>
          <w:lang w:val="en-IE"/>
        </w:rPr>
      </w:pPr>
      <w:bookmarkStart w:id="21" w:name="_Toc44434034"/>
      <w:bookmarkEnd w:id="2"/>
      <w:bookmarkEnd w:id="3"/>
      <w:bookmarkEnd w:id="4"/>
      <w:bookmarkEnd w:id="5"/>
      <w:r w:rsidRPr="005B2FEB">
        <w:rPr>
          <w:rFonts w:ascii="Times New Roman" w:hAnsi="Times New Roman" w:cs="Times New Roman"/>
          <w:sz w:val="24"/>
          <w:u w:val="none"/>
          <w:lang w:val="en-IE"/>
        </w:rPr>
        <w:t>1.4</w:t>
      </w:r>
      <w:r w:rsidRPr="005B2FEB">
        <w:rPr>
          <w:rFonts w:ascii="Times New Roman" w:hAnsi="Times New Roman" w:cs="Times New Roman"/>
          <w:sz w:val="24"/>
          <w:lang w:val="en-IE"/>
        </w:rPr>
        <w:t xml:space="preserve"> IF </w:t>
      </w:r>
      <w:r w:rsidRPr="005B2FEB">
        <w:rPr>
          <w:rFonts w:ascii="Times New Roman" w:hAnsi="Times New Roman" w:cs="Times New Roman"/>
          <w:sz w:val="24"/>
          <w:lang w:val="en-IE"/>
        </w:rPr>
        <w:t>11.03</w:t>
      </w:r>
      <w:r w:rsidRPr="005B2FEB">
        <w:rPr>
          <w:rFonts w:ascii="Times New Roman" w:hAnsi="Times New Roman" w:cs="Times New Roman"/>
          <w:sz w:val="24"/>
          <w:lang w:val="en-IE"/>
        </w:rPr>
        <w:t xml:space="preserve"> INFORMATION ON SUBSIDIARIES UNDERTAKINGS (IF</w:t>
      </w:r>
      <w:r w:rsidRPr="005B2FEB">
        <w:rPr>
          <w:rFonts w:ascii="Times New Roman" w:hAnsi="Times New Roman" w:cs="Times New Roman"/>
          <w:sz w:val="24"/>
          <w:lang w:val="en-IE"/>
        </w:rPr>
        <w:t>11.3</w:t>
      </w:r>
      <w:r w:rsidRPr="005B2FEB">
        <w:rPr>
          <w:rFonts w:ascii="Times New Roman" w:hAnsi="Times New Roman" w:cs="Times New Roman"/>
          <w:sz w:val="24"/>
          <w:lang w:val="en-IE"/>
        </w:rPr>
        <w:t>)</w:t>
      </w:r>
      <w:bookmarkEnd w:id="21"/>
    </w:p>
    <w:p w14:paraId="2632DA4E" w14:textId="77777777" w:rsidR="00AE5644" w:rsidRPr="005B2FEB" w:rsidRDefault="005B2FEB">
      <w:pPr>
        <w:spacing w:line="256" w:lineRule="auto"/>
        <w:ind w:left="1224" w:hanging="504"/>
        <w:jc w:val="both"/>
        <w:rPr>
          <w:rFonts w:ascii="Times New Roman" w:hAnsi="Times New Roman" w:cs="Times New Roman"/>
          <w:sz w:val="24"/>
          <w:lang w:val="en-IE"/>
        </w:rPr>
      </w:pPr>
      <w:r w:rsidRPr="005B2FEB">
        <w:rPr>
          <w:rFonts w:ascii="Times New Roman" w:hAnsi="Times New Roman" w:cs="Times New Roman"/>
          <w:sz w:val="24"/>
          <w:lang w:val="en-IE"/>
        </w:rPr>
        <w:t>10.</w:t>
      </w:r>
      <w:r w:rsidRPr="005B2FEB">
        <w:rPr>
          <w:rFonts w:ascii="Times New Roman" w:hAnsi="Times New Roman" w:cs="Times New Roman"/>
          <w:sz w:val="24"/>
          <w:lang w:val="en-IE"/>
        </w:rPr>
        <w:tab/>
        <w:t xml:space="preserve">All entities included in the scope of the group capital test shall be reported in this template. This </w:t>
      </w:r>
      <w:r w:rsidRPr="005B2FEB">
        <w:rPr>
          <w:rFonts w:ascii="Times New Roman" w:hAnsi="Times New Roman" w:cs="Times New Roman"/>
          <w:sz w:val="24"/>
          <w:lang w:val="en-IE"/>
        </w:rPr>
        <w:t>shall also include the parent undertaking of the group itself.</w:t>
      </w:r>
    </w:p>
    <w:p w14:paraId="07EDA267" w14:textId="77777777" w:rsidR="00AE5644" w:rsidRPr="005B2FEB" w:rsidRDefault="005B2FEB">
      <w:pPr>
        <w:keepNext/>
        <w:spacing w:before="240" w:after="240" w:line="240" w:lineRule="auto"/>
        <w:ind w:left="357" w:hanging="357"/>
        <w:jc w:val="both"/>
        <w:outlineLvl w:val="1"/>
        <w:rPr>
          <w:rFonts w:ascii="Times New Roman" w:eastAsia="Arial" w:hAnsi="Times New Roman" w:cs="Times New Roman"/>
          <w:sz w:val="24"/>
          <w:szCs w:val="24"/>
          <w:u w:val="single"/>
          <w:lang w:val="en-IE"/>
        </w:rPr>
      </w:pPr>
      <w:bookmarkStart w:id="22" w:name="_Toc44434035"/>
      <w:r w:rsidRPr="005B2FEB">
        <w:rPr>
          <w:rFonts w:ascii="Times New Roman" w:eastAsia="Arial" w:hAnsi="Times New Roman" w:cs="Times New Roman"/>
          <w:sz w:val="24"/>
          <w:szCs w:val="24"/>
          <w:lang w:val="en-IE"/>
        </w:rPr>
        <w:t>1.4.1.</w:t>
      </w:r>
      <w:r w:rsidRPr="005B2FEB">
        <w:rPr>
          <w:rFonts w:ascii="Times New Roman" w:eastAsia="Arial" w:hAnsi="Times New Roman" w:cs="Times New Roman"/>
          <w:sz w:val="24"/>
          <w:szCs w:val="24"/>
          <w:lang w:val="en-IE"/>
        </w:rPr>
        <w:tab/>
      </w:r>
      <w:r w:rsidRPr="005B2FEB">
        <w:rPr>
          <w:rFonts w:ascii="Times New Roman" w:eastAsia="Arial" w:hAnsi="Times New Roman" w:cs="Times New Roman"/>
          <w:sz w:val="24"/>
          <w:szCs w:val="24"/>
          <w:u w:val="single"/>
          <w:lang w:val="en-IE"/>
        </w:rPr>
        <w:t>Instructions concerning specific positions</w:t>
      </w:r>
      <w:bookmarkEnd w:id="22"/>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AE5644" w:rsidRPr="005B2FEB" w14:paraId="7F604AB9" w14:textId="77777777">
        <w:tc>
          <w:tcPr>
            <w:tcW w:w="1129" w:type="dxa"/>
            <w:shd w:val="clear" w:color="auto" w:fill="D9D9D9"/>
          </w:tcPr>
          <w:p w14:paraId="427C0882" w14:textId="77777777" w:rsidR="00AE5644" w:rsidRPr="005B2FEB" w:rsidRDefault="005B2FEB">
            <w:pPr>
              <w:spacing w:after="120" w:line="240" w:lineRule="auto"/>
              <w:jc w:val="both"/>
              <w:rPr>
                <w:rFonts w:ascii="Times New Roman" w:eastAsia="Times New Roman" w:hAnsi="Times New Roman" w:cs="Times New Roman"/>
                <w:bCs/>
                <w:lang w:val="en-IE"/>
              </w:rPr>
            </w:pPr>
            <w:r w:rsidRPr="005B2FEB">
              <w:rPr>
                <w:rFonts w:ascii="Times New Roman" w:eastAsia="Times New Roman" w:hAnsi="Times New Roman" w:cs="Times New Roman"/>
                <w:lang w:val="en-IE" w:eastAsia="de-DE"/>
              </w:rPr>
              <w:t>Columns</w:t>
            </w:r>
          </w:p>
        </w:tc>
        <w:tc>
          <w:tcPr>
            <w:tcW w:w="7620" w:type="dxa"/>
            <w:shd w:val="clear" w:color="auto" w:fill="D9D9D9"/>
          </w:tcPr>
          <w:p w14:paraId="2B5F3AD2" w14:textId="77777777" w:rsidR="00AE5644" w:rsidRPr="005B2FEB" w:rsidRDefault="005B2FEB">
            <w:pPr>
              <w:spacing w:after="120" w:line="240" w:lineRule="auto"/>
              <w:jc w:val="both"/>
              <w:rPr>
                <w:rFonts w:ascii="Times New Roman" w:eastAsia="Times New Roman" w:hAnsi="Times New Roman" w:cs="Times New Roman"/>
                <w:bCs/>
                <w:lang w:val="en-IE"/>
              </w:rPr>
            </w:pPr>
            <w:r w:rsidRPr="005B2FEB">
              <w:rPr>
                <w:rFonts w:ascii="Times New Roman" w:eastAsia="Times New Roman" w:hAnsi="Times New Roman" w:cs="Times New Roman"/>
                <w:lang w:val="en-IE" w:eastAsia="de-DE"/>
              </w:rPr>
              <w:t>Legal references and instructions</w:t>
            </w:r>
          </w:p>
        </w:tc>
      </w:tr>
      <w:tr w:rsidR="00AE5644" w:rsidRPr="005B2FEB" w14:paraId="3A388C71" w14:textId="77777777">
        <w:tc>
          <w:tcPr>
            <w:tcW w:w="1129" w:type="dxa"/>
          </w:tcPr>
          <w:p w14:paraId="2C1FA381"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0010</w:t>
            </w:r>
          </w:p>
        </w:tc>
        <w:tc>
          <w:tcPr>
            <w:tcW w:w="7620" w:type="dxa"/>
          </w:tcPr>
          <w:p w14:paraId="54D04EEC"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Code</w:t>
            </w:r>
          </w:p>
          <w:p w14:paraId="5670A360"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eastAsia="de-DE"/>
              </w:rPr>
              <w:t xml:space="preserve">The code as part of a row identifier must be unique for each reported entity. For </w:t>
            </w:r>
            <w:r w:rsidRPr="005B2FEB">
              <w:rPr>
                <w:rFonts w:ascii="Times New Roman" w:eastAsia="Times New Roman" w:hAnsi="Times New Roman" w:cs="Times New Roman"/>
                <w:bCs/>
                <w:lang w:val="en-IE" w:eastAsia="de-DE"/>
              </w:rPr>
              <w:t>investment firms and insurance undertakings the code shall be the LEI code. For other entities the code shall be the LEI code, or if not available, a national code. The code shall be unique and used consistently across the templates and across time. The co</w:t>
            </w:r>
            <w:r w:rsidRPr="005B2FEB">
              <w:rPr>
                <w:rFonts w:ascii="Times New Roman" w:eastAsia="Times New Roman" w:hAnsi="Times New Roman" w:cs="Times New Roman"/>
                <w:bCs/>
                <w:lang w:val="en-IE" w:eastAsia="de-DE"/>
              </w:rPr>
              <w:t>de shall always have a value.</w:t>
            </w:r>
          </w:p>
        </w:tc>
      </w:tr>
      <w:tr w:rsidR="00AE5644" w:rsidRPr="005B2FEB" w14:paraId="29CDB88D" w14:textId="77777777">
        <w:tc>
          <w:tcPr>
            <w:tcW w:w="1129" w:type="dxa"/>
          </w:tcPr>
          <w:p w14:paraId="26709A7A"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0020</w:t>
            </w:r>
          </w:p>
        </w:tc>
        <w:tc>
          <w:tcPr>
            <w:tcW w:w="7620" w:type="dxa"/>
          </w:tcPr>
          <w:p w14:paraId="48E3027A"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Type of code</w:t>
            </w:r>
          </w:p>
          <w:p w14:paraId="47E2D916" w14:textId="77777777" w:rsidR="00AE5644" w:rsidRPr="005B2FEB" w:rsidRDefault="005B2FEB">
            <w:pPr>
              <w:spacing w:after="120" w:line="240" w:lineRule="auto"/>
              <w:jc w:val="both"/>
              <w:rPr>
                <w:rFonts w:ascii="Times New Roman" w:eastAsia="Times New Roman" w:hAnsi="Times New Roman" w:cs="Times New Roman"/>
                <w:bCs/>
                <w:lang w:val="en-IE"/>
              </w:rPr>
            </w:pPr>
            <w:r w:rsidRPr="005B2FEB">
              <w:rPr>
                <w:rFonts w:ascii="Times New Roman" w:eastAsia="Times New Roman" w:hAnsi="Times New Roman" w:cs="Times New Roman"/>
                <w:bCs/>
                <w:lang w:val="en-IE"/>
              </w:rPr>
              <w:t>The reporting entity shall identify the type of code reported in column 0010 as a ‘LEI code type’ or ‘</w:t>
            </w:r>
            <w:proofErr w:type="spellStart"/>
            <w:r w:rsidRPr="005B2FEB">
              <w:rPr>
                <w:rFonts w:ascii="Times New Roman" w:eastAsia="Times New Roman" w:hAnsi="Times New Roman" w:cs="Times New Roman"/>
                <w:bCs/>
                <w:lang w:val="en-IE"/>
              </w:rPr>
              <w:t>Nationalcode</w:t>
            </w:r>
            <w:proofErr w:type="spellEnd"/>
            <w:r w:rsidRPr="005B2FEB">
              <w:rPr>
                <w:rFonts w:ascii="Times New Roman" w:eastAsia="Times New Roman" w:hAnsi="Times New Roman" w:cs="Times New Roman"/>
                <w:bCs/>
                <w:lang w:val="en-IE"/>
              </w:rPr>
              <w:t xml:space="preserve"> type’.</w:t>
            </w:r>
          </w:p>
          <w:p w14:paraId="64AF07DE"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rPr>
              <w:t>The type of code shall always be reported.</w:t>
            </w:r>
          </w:p>
        </w:tc>
      </w:tr>
      <w:tr w:rsidR="00AE5644" w:rsidRPr="005B2FEB" w14:paraId="5AD611FE" w14:textId="77777777">
        <w:tc>
          <w:tcPr>
            <w:tcW w:w="1129" w:type="dxa"/>
          </w:tcPr>
          <w:p w14:paraId="542DB816"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0030</w:t>
            </w:r>
          </w:p>
        </w:tc>
        <w:tc>
          <w:tcPr>
            <w:tcW w:w="7620" w:type="dxa"/>
          </w:tcPr>
          <w:p w14:paraId="78FC0D0A"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Name of the undertaking</w:t>
            </w:r>
          </w:p>
          <w:p w14:paraId="788D2BCB"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Style w:val="InstructionsTabelleText"/>
                <w:rFonts w:ascii="Times New Roman" w:hAnsi="Times New Roman"/>
                <w:sz w:val="22"/>
                <w:lang w:val="en-IE"/>
              </w:rPr>
              <w:t xml:space="preserve">Name of </w:t>
            </w:r>
            <w:r w:rsidRPr="005B2FEB">
              <w:rPr>
                <w:rStyle w:val="InstructionsTabelleText"/>
                <w:rFonts w:ascii="Times New Roman" w:hAnsi="Times New Roman"/>
                <w:sz w:val="22"/>
                <w:lang w:val="en-IE"/>
              </w:rPr>
              <w:t>the undertaking within the scope of consolidation.</w:t>
            </w:r>
          </w:p>
        </w:tc>
      </w:tr>
      <w:tr w:rsidR="00AE5644" w:rsidRPr="005B2FEB" w14:paraId="79B668F8" w14:textId="77777777">
        <w:tc>
          <w:tcPr>
            <w:tcW w:w="1129" w:type="dxa"/>
          </w:tcPr>
          <w:p w14:paraId="617D11DE"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0040</w:t>
            </w:r>
          </w:p>
        </w:tc>
        <w:tc>
          <w:tcPr>
            <w:tcW w:w="7620" w:type="dxa"/>
          </w:tcPr>
          <w:p w14:paraId="16234E43" w14:textId="77777777" w:rsidR="00AE5644" w:rsidRPr="005B2FEB" w:rsidRDefault="005B2FEB">
            <w:pPr>
              <w:spacing w:after="120" w:line="240" w:lineRule="auto"/>
              <w:jc w:val="both"/>
              <w:rPr>
                <w:rFonts w:ascii="Times New Roman" w:eastAsia="Times New Roman" w:hAnsi="Times New Roman" w:cs="Times New Roman"/>
                <w:b/>
                <w:bCs/>
                <w:lang w:val="en-IE" w:eastAsia="de-DE"/>
              </w:rPr>
            </w:pPr>
            <w:r w:rsidRPr="005B2FEB">
              <w:rPr>
                <w:rFonts w:ascii="Times New Roman" w:eastAsia="Times New Roman" w:hAnsi="Times New Roman" w:cs="Times New Roman"/>
                <w:b/>
                <w:bCs/>
                <w:lang w:val="en-IE" w:eastAsia="de-DE"/>
              </w:rPr>
              <w:t>Parent/subsidiary</w:t>
            </w:r>
          </w:p>
          <w:p w14:paraId="637E274C"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Indicates whether the entity reported in the row is the parent of the group or a subsidiary</w:t>
            </w:r>
          </w:p>
        </w:tc>
      </w:tr>
      <w:tr w:rsidR="00AE5644" w:rsidRPr="005B2FEB" w14:paraId="0ED22710" w14:textId="77777777">
        <w:tc>
          <w:tcPr>
            <w:tcW w:w="1129" w:type="dxa"/>
          </w:tcPr>
          <w:p w14:paraId="65E5F48B"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0050</w:t>
            </w:r>
          </w:p>
        </w:tc>
        <w:tc>
          <w:tcPr>
            <w:tcW w:w="7620" w:type="dxa"/>
          </w:tcPr>
          <w:p w14:paraId="41E35B7A"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Country</w:t>
            </w:r>
          </w:p>
          <w:p w14:paraId="4A392F23" w14:textId="77777777" w:rsidR="00AE5644" w:rsidRPr="005B2FEB" w:rsidRDefault="005B2FEB">
            <w:pPr>
              <w:autoSpaceDE w:val="0"/>
              <w:autoSpaceDN w:val="0"/>
              <w:spacing w:before="40" w:after="40" w:line="240" w:lineRule="auto"/>
              <w:rPr>
                <w:rFonts w:ascii="Times New Roman" w:eastAsia="Times New Roman" w:hAnsi="Times New Roman" w:cs="Times New Roman"/>
                <w:b/>
                <w:bCs/>
                <w:u w:val="single"/>
                <w:lang w:val="en-IE" w:eastAsia="de-DE"/>
              </w:rPr>
            </w:pPr>
            <w:r w:rsidRPr="005B2FEB">
              <w:rPr>
                <w:rStyle w:val="InstructionsTabelleText"/>
                <w:rFonts w:ascii="Times New Roman" w:hAnsi="Times New Roman"/>
                <w:sz w:val="22"/>
                <w:lang w:val="en-IE"/>
              </w:rPr>
              <w:t>The country where the subsidiary is located shall be reported.</w:t>
            </w:r>
          </w:p>
        </w:tc>
      </w:tr>
      <w:tr w:rsidR="00AE5644" w:rsidRPr="005B2FEB" w14:paraId="1E76E115" w14:textId="77777777">
        <w:tc>
          <w:tcPr>
            <w:tcW w:w="1129" w:type="dxa"/>
          </w:tcPr>
          <w:p w14:paraId="2F314005"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 xml:space="preserve">0060 – </w:t>
            </w:r>
            <w:r w:rsidRPr="005B2FEB">
              <w:rPr>
                <w:rFonts w:ascii="Times New Roman" w:eastAsia="Times New Roman" w:hAnsi="Times New Roman" w:cs="Times New Roman"/>
                <w:bCs/>
                <w:lang w:val="en-IE" w:eastAsia="de-DE"/>
              </w:rPr>
              <w:t>0100</w:t>
            </w:r>
          </w:p>
        </w:tc>
        <w:tc>
          <w:tcPr>
            <w:tcW w:w="7620" w:type="dxa"/>
          </w:tcPr>
          <w:p w14:paraId="0F71C3EE"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Investments by the parent undertaking</w:t>
            </w:r>
          </w:p>
          <w:p w14:paraId="1A763936"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 xml:space="preserve">Article 8(3), point (a),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447D857D"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eastAsia="de-DE"/>
              </w:rPr>
              <w:t>In this section, the investments of the parent undertaking in the group entities shall be reported.</w:t>
            </w:r>
          </w:p>
        </w:tc>
      </w:tr>
      <w:tr w:rsidR="00AE5644" w:rsidRPr="005B2FEB" w14:paraId="74AFFC7C" w14:textId="77777777">
        <w:tc>
          <w:tcPr>
            <w:tcW w:w="1129" w:type="dxa"/>
            <w:tcBorders>
              <w:top w:val="single" w:sz="4" w:space="0" w:color="auto"/>
              <w:left w:val="single" w:sz="4" w:space="0" w:color="auto"/>
              <w:bottom w:val="single" w:sz="4" w:space="0" w:color="auto"/>
              <w:right w:val="single" w:sz="4" w:space="0" w:color="auto"/>
            </w:tcBorders>
          </w:tcPr>
          <w:p w14:paraId="51A59FD8"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0060</w:t>
            </w:r>
          </w:p>
        </w:tc>
        <w:tc>
          <w:tcPr>
            <w:tcW w:w="7620" w:type="dxa"/>
            <w:tcBorders>
              <w:top w:val="single" w:sz="4" w:space="0" w:color="auto"/>
              <w:left w:val="single" w:sz="4" w:space="0" w:color="auto"/>
              <w:bottom w:val="single" w:sz="4" w:space="0" w:color="auto"/>
              <w:right w:val="single" w:sz="4" w:space="0" w:color="auto"/>
            </w:tcBorders>
          </w:tcPr>
          <w:p w14:paraId="59F20AAB"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
                <w:bCs/>
                <w:u w:val="single"/>
                <w:lang w:val="en-IE" w:eastAsia="de-DE"/>
              </w:rPr>
              <w:t>CET1</w:t>
            </w:r>
          </w:p>
          <w:p w14:paraId="35901CDC"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eastAsia="de-DE"/>
              </w:rPr>
              <w:t xml:space="preserve">Article 8(3), point (a),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 xml:space="preserve"> in conjunction with Article 36(1), point (</w:t>
            </w:r>
            <w:proofErr w:type="spellStart"/>
            <w:r w:rsidRPr="005B2FEB">
              <w:rPr>
                <w:rFonts w:ascii="Times New Roman" w:eastAsia="Times New Roman" w:hAnsi="Times New Roman" w:cs="Times New Roman"/>
                <w:bCs/>
                <w:lang w:val="en-IE" w:eastAsia="de-DE"/>
              </w:rPr>
              <w:t>i</w:t>
            </w:r>
            <w:proofErr w:type="spellEnd"/>
            <w:r w:rsidRPr="005B2FEB">
              <w:rPr>
                <w:rFonts w:ascii="Times New Roman" w:eastAsia="Times New Roman" w:hAnsi="Times New Roman" w:cs="Times New Roman"/>
                <w:bCs/>
                <w:lang w:val="en-IE" w:eastAsia="de-DE"/>
              </w:rPr>
              <w:t>), of Regulation (EU) No 575/2013.</w:t>
            </w:r>
          </w:p>
        </w:tc>
      </w:tr>
      <w:tr w:rsidR="00AE5644" w:rsidRPr="005B2FEB" w14:paraId="12940C85" w14:textId="77777777">
        <w:tc>
          <w:tcPr>
            <w:tcW w:w="1129" w:type="dxa"/>
            <w:tcBorders>
              <w:top w:val="single" w:sz="4" w:space="0" w:color="auto"/>
              <w:bottom w:val="single" w:sz="4" w:space="0" w:color="auto"/>
            </w:tcBorders>
          </w:tcPr>
          <w:p w14:paraId="1E7615B6"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0070</w:t>
            </w:r>
          </w:p>
        </w:tc>
        <w:tc>
          <w:tcPr>
            <w:tcW w:w="7620" w:type="dxa"/>
            <w:tcBorders>
              <w:top w:val="single" w:sz="4" w:space="0" w:color="auto"/>
              <w:bottom w:val="single" w:sz="4" w:space="0" w:color="auto"/>
            </w:tcBorders>
          </w:tcPr>
          <w:p w14:paraId="332BB9EA"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
                <w:bCs/>
                <w:u w:val="single"/>
                <w:lang w:val="en-IE" w:eastAsia="de-DE"/>
              </w:rPr>
              <w:t>AT1</w:t>
            </w:r>
          </w:p>
          <w:p w14:paraId="2F8814D5"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 xml:space="preserve">Article 8(3), point (a),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 xml:space="preserve"> in conjunction with Article 56, point (d), of Regulation (EU</w:t>
            </w:r>
            <w:r w:rsidRPr="005B2FEB">
              <w:rPr>
                <w:rFonts w:ascii="Times New Roman" w:eastAsia="Times New Roman" w:hAnsi="Times New Roman" w:cs="Times New Roman"/>
                <w:bCs/>
                <w:lang w:val="en-IE" w:eastAsia="de-DE"/>
              </w:rPr>
              <w:t>) No 575/2013.</w:t>
            </w:r>
          </w:p>
        </w:tc>
      </w:tr>
      <w:tr w:rsidR="00AE5644" w:rsidRPr="005B2FEB" w14:paraId="018A61A8" w14:textId="77777777">
        <w:tc>
          <w:tcPr>
            <w:tcW w:w="1129" w:type="dxa"/>
            <w:tcBorders>
              <w:top w:val="single" w:sz="4" w:space="0" w:color="auto"/>
              <w:bottom w:val="single" w:sz="4" w:space="0" w:color="auto"/>
            </w:tcBorders>
          </w:tcPr>
          <w:p w14:paraId="54B0F553"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0080</w:t>
            </w:r>
          </w:p>
        </w:tc>
        <w:tc>
          <w:tcPr>
            <w:tcW w:w="7620" w:type="dxa"/>
            <w:tcBorders>
              <w:top w:val="single" w:sz="4" w:space="0" w:color="auto"/>
              <w:bottom w:val="single" w:sz="4" w:space="0" w:color="auto"/>
            </w:tcBorders>
          </w:tcPr>
          <w:p w14:paraId="23C05509"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T2</w:t>
            </w:r>
          </w:p>
          <w:p w14:paraId="248AF29E"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eastAsia="de-DE"/>
              </w:rPr>
              <w:t xml:space="preserve">Article 8(3), point (a),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 xml:space="preserve"> in conjunction with Article 66, point (d), of Regulation (EU) No 575/2013.</w:t>
            </w:r>
          </w:p>
        </w:tc>
      </w:tr>
      <w:tr w:rsidR="00AE5644" w:rsidRPr="005B2FEB" w14:paraId="36464838" w14:textId="77777777">
        <w:tc>
          <w:tcPr>
            <w:tcW w:w="1129" w:type="dxa"/>
          </w:tcPr>
          <w:p w14:paraId="34D11DBC"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lastRenderedPageBreak/>
              <w:t>0090</w:t>
            </w:r>
          </w:p>
        </w:tc>
        <w:tc>
          <w:tcPr>
            <w:tcW w:w="7620" w:type="dxa"/>
          </w:tcPr>
          <w:p w14:paraId="556E7583"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Holdings</w:t>
            </w:r>
          </w:p>
          <w:p w14:paraId="099EFB1F"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 xml:space="preserve">Article 8(3), point (a),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33148BDC"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 xml:space="preserve">This column shall include </w:t>
            </w:r>
            <w:r w:rsidRPr="005B2FEB">
              <w:rPr>
                <w:rFonts w:ascii="Times New Roman" w:eastAsia="Times New Roman" w:hAnsi="Times New Roman" w:cs="Times New Roman"/>
                <w:bCs/>
                <w:lang w:val="en-IE" w:eastAsia="de-DE"/>
              </w:rPr>
              <w:t>holdings of the parent to the extent that they do not constitute own funds for the group entity the parent is invested in.</w:t>
            </w:r>
          </w:p>
        </w:tc>
      </w:tr>
      <w:tr w:rsidR="00AE5644" w:rsidRPr="005B2FEB" w14:paraId="69C42232" w14:textId="77777777">
        <w:tc>
          <w:tcPr>
            <w:tcW w:w="1129" w:type="dxa"/>
            <w:tcBorders>
              <w:bottom w:val="single" w:sz="4" w:space="0" w:color="auto"/>
            </w:tcBorders>
          </w:tcPr>
          <w:p w14:paraId="414D6941"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0100</w:t>
            </w:r>
          </w:p>
        </w:tc>
        <w:tc>
          <w:tcPr>
            <w:tcW w:w="7620" w:type="dxa"/>
            <w:tcBorders>
              <w:bottom w:val="single" w:sz="4" w:space="0" w:color="auto"/>
            </w:tcBorders>
          </w:tcPr>
          <w:p w14:paraId="51CBC571"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
                <w:bCs/>
                <w:u w:val="single"/>
                <w:lang w:val="en-IE" w:eastAsia="de-DE"/>
              </w:rPr>
              <w:t>Subordinated claims</w:t>
            </w:r>
          </w:p>
          <w:p w14:paraId="1162704C"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 xml:space="preserve">Article 8(3), point (a),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p w14:paraId="087ACAD6"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Cs/>
                <w:lang w:val="en-IE" w:eastAsia="de-DE"/>
              </w:rPr>
              <w:t>This column shall include subordinated claims of the</w:t>
            </w:r>
            <w:r w:rsidRPr="005B2FEB">
              <w:rPr>
                <w:rFonts w:ascii="Times New Roman" w:eastAsia="Times New Roman" w:hAnsi="Times New Roman" w:cs="Times New Roman"/>
                <w:bCs/>
                <w:lang w:val="en-IE" w:eastAsia="de-DE"/>
              </w:rPr>
              <w:t xml:space="preserve"> parent to the extent that they do not constitute own funds for the group entity the parent is invested in.</w:t>
            </w:r>
          </w:p>
        </w:tc>
      </w:tr>
      <w:tr w:rsidR="00AE5644" w:rsidRPr="005B2FEB" w14:paraId="6C277DB1" w14:textId="77777777">
        <w:tc>
          <w:tcPr>
            <w:tcW w:w="1129" w:type="dxa"/>
            <w:tcBorders>
              <w:top w:val="single" w:sz="4" w:space="0" w:color="auto"/>
              <w:bottom w:val="single" w:sz="4" w:space="0" w:color="auto"/>
            </w:tcBorders>
          </w:tcPr>
          <w:p w14:paraId="2460C9AF"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0110</w:t>
            </w:r>
          </w:p>
        </w:tc>
        <w:tc>
          <w:tcPr>
            <w:tcW w:w="7620" w:type="dxa"/>
            <w:tcBorders>
              <w:top w:val="single" w:sz="4" w:space="0" w:color="auto"/>
              <w:bottom w:val="single" w:sz="4" w:space="0" w:color="auto"/>
            </w:tcBorders>
          </w:tcPr>
          <w:p w14:paraId="3025F92B"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Contingent liabilities of the parent in favour of the entity</w:t>
            </w:r>
          </w:p>
          <w:p w14:paraId="3BD4C21C"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Article 8(3</w:t>
            </w:r>
            <w:proofErr w:type="gramStart"/>
            <w:r w:rsidRPr="005B2FEB">
              <w:rPr>
                <w:rFonts w:ascii="Times New Roman" w:eastAsia="Times New Roman" w:hAnsi="Times New Roman" w:cs="Times New Roman"/>
                <w:bCs/>
                <w:lang w:val="en-IE" w:eastAsia="de-DE"/>
              </w:rPr>
              <w:t>),point</w:t>
            </w:r>
            <w:proofErr w:type="gramEnd"/>
            <w:r w:rsidRPr="005B2FEB">
              <w:rPr>
                <w:rFonts w:ascii="Times New Roman" w:eastAsia="Times New Roman" w:hAnsi="Times New Roman" w:cs="Times New Roman"/>
                <w:bCs/>
                <w:lang w:val="en-IE" w:eastAsia="de-DE"/>
              </w:rPr>
              <w:t xml:space="preserve"> (b),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tc>
      </w:tr>
      <w:tr w:rsidR="00AE5644" w:rsidRPr="005B2FEB" w14:paraId="6BECF414" w14:textId="77777777">
        <w:tc>
          <w:tcPr>
            <w:tcW w:w="1129" w:type="dxa"/>
            <w:tcBorders>
              <w:top w:val="single" w:sz="4" w:space="0" w:color="auto"/>
              <w:bottom w:val="single" w:sz="4" w:space="0" w:color="auto"/>
            </w:tcBorders>
          </w:tcPr>
          <w:p w14:paraId="420DE11E"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0120</w:t>
            </w:r>
          </w:p>
        </w:tc>
        <w:tc>
          <w:tcPr>
            <w:tcW w:w="7620" w:type="dxa"/>
            <w:tcBorders>
              <w:top w:val="single" w:sz="4" w:space="0" w:color="auto"/>
              <w:bottom w:val="single" w:sz="4" w:space="0" w:color="auto"/>
            </w:tcBorders>
          </w:tcPr>
          <w:p w14:paraId="29821271"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Total own fund requirements for the subsidiary undertakings</w:t>
            </w:r>
          </w:p>
          <w:p w14:paraId="7E0A4B05"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 xml:space="preserve">Article 8(4) of Regulation (EU) </w:t>
            </w:r>
            <w:r w:rsidRPr="005B2FEB">
              <w:rPr>
                <w:rFonts w:ascii="Times New Roman" w:eastAsia="Times New Roman" w:hAnsi="Times New Roman" w:cs="Times New Roman"/>
                <w:bCs/>
                <w:lang w:val="en-IE" w:eastAsia="de-DE"/>
              </w:rPr>
              <w:t>2019/2033</w:t>
            </w:r>
            <w:r w:rsidRPr="005B2FEB">
              <w:rPr>
                <w:rFonts w:ascii="Times New Roman" w:eastAsia="Times New Roman" w:hAnsi="Times New Roman" w:cs="Times New Roman"/>
                <w:bCs/>
                <w:lang w:val="en-IE" w:eastAsia="de-DE"/>
              </w:rPr>
              <w:t>.</w:t>
            </w:r>
          </w:p>
        </w:tc>
      </w:tr>
      <w:tr w:rsidR="00AE5644" w:rsidRPr="005B2FEB" w14:paraId="1C664AE0" w14:textId="77777777">
        <w:tc>
          <w:tcPr>
            <w:tcW w:w="1129" w:type="dxa"/>
            <w:tcBorders>
              <w:top w:val="single" w:sz="4" w:space="0" w:color="auto"/>
              <w:bottom w:val="single" w:sz="4" w:space="0" w:color="auto"/>
            </w:tcBorders>
          </w:tcPr>
          <w:p w14:paraId="7C5C8771"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0130</w:t>
            </w:r>
          </w:p>
        </w:tc>
        <w:tc>
          <w:tcPr>
            <w:tcW w:w="7620" w:type="dxa"/>
            <w:tcBorders>
              <w:top w:val="single" w:sz="4" w:space="0" w:color="auto"/>
              <w:bottom w:val="single" w:sz="4" w:space="0" w:color="auto"/>
            </w:tcBorders>
          </w:tcPr>
          <w:p w14:paraId="04C4F4B6"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Permanent minimum capital</w:t>
            </w:r>
          </w:p>
          <w:p w14:paraId="12ECAAEF" w14:textId="77777777" w:rsidR="00AE5644" w:rsidRPr="005B2FEB" w:rsidRDefault="005B2FEB">
            <w:pPr>
              <w:spacing w:after="120" w:line="240" w:lineRule="auto"/>
              <w:jc w:val="both"/>
              <w:rPr>
                <w:rFonts w:ascii="Times New Roman" w:eastAsia="Times New Roman" w:hAnsi="Times New Roman" w:cs="Times New Roman"/>
                <w:bCs/>
                <w:color w:val="000000" w:themeColor="text1"/>
                <w:lang w:val="en-IE" w:eastAsia="de-DE"/>
              </w:rPr>
            </w:pPr>
            <w:r w:rsidRPr="005B2FEB">
              <w:rPr>
                <w:rFonts w:ascii="Times New Roman" w:eastAsia="Times New Roman" w:hAnsi="Times New Roman" w:cs="Times New Roman"/>
                <w:bCs/>
                <w:color w:val="000000" w:themeColor="text1"/>
                <w:lang w:val="en-IE" w:eastAsia="de-DE"/>
              </w:rPr>
              <w:t xml:space="preserve">Article 14 of Regulation (EU) </w:t>
            </w:r>
            <w:r w:rsidRPr="005B2FEB">
              <w:rPr>
                <w:rFonts w:ascii="Times New Roman" w:eastAsia="Times New Roman" w:hAnsi="Times New Roman" w:cs="Times New Roman"/>
                <w:bCs/>
                <w:color w:val="000000" w:themeColor="text1"/>
                <w:lang w:val="en-IE" w:eastAsia="de-DE"/>
              </w:rPr>
              <w:t>2019/2033</w:t>
            </w:r>
            <w:r w:rsidRPr="005B2FEB">
              <w:rPr>
                <w:rFonts w:ascii="Times New Roman" w:eastAsia="Times New Roman" w:hAnsi="Times New Roman" w:cs="Times New Roman"/>
                <w:bCs/>
                <w:color w:val="000000" w:themeColor="text1"/>
                <w:lang w:val="en-IE" w:eastAsia="de-DE"/>
              </w:rPr>
              <w:t>.</w:t>
            </w:r>
          </w:p>
        </w:tc>
      </w:tr>
      <w:tr w:rsidR="00AE5644" w:rsidRPr="005B2FEB" w14:paraId="32900012" w14:textId="77777777">
        <w:tc>
          <w:tcPr>
            <w:tcW w:w="1129" w:type="dxa"/>
            <w:tcBorders>
              <w:top w:val="single" w:sz="4" w:space="0" w:color="auto"/>
              <w:bottom w:val="single" w:sz="4" w:space="0" w:color="auto"/>
            </w:tcBorders>
          </w:tcPr>
          <w:p w14:paraId="1B5321C2"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0140</w:t>
            </w:r>
          </w:p>
        </w:tc>
        <w:tc>
          <w:tcPr>
            <w:tcW w:w="7620" w:type="dxa"/>
            <w:tcBorders>
              <w:top w:val="single" w:sz="4" w:space="0" w:color="auto"/>
              <w:bottom w:val="single" w:sz="4" w:space="0" w:color="auto"/>
            </w:tcBorders>
          </w:tcPr>
          <w:p w14:paraId="5F42D3A9"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K-factor requirement</w:t>
            </w:r>
          </w:p>
          <w:p w14:paraId="21BEDF7A" w14:textId="77777777" w:rsidR="00AE5644" w:rsidRPr="005B2FEB" w:rsidRDefault="005B2FEB">
            <w:pPr>
              <w:spacing w:after="120" w:line="240" w:lineRule="auto"/>
              <w:jc w:val="both"/>
              <w:rPr>
                <w:rFonts w:ascii="Times New Roman" w:eastAsia="Times New Roman" w:hAnsi="Times New Roman" w:cs="Times New Roman"/>
                <w:bCs/>
                <w:color w:val="000000" w:themeColor="text1"/>
                <w:lang w:val="en-IE" w:eastAsia="de-DE"/>
              </w:rPr>
            </w:pPr>
            <w:r w:rsidRPr="005B2FEB">
              <w:rPr>
                <w:rFonts w:ascii="Times New Roman" w:eastAsia="Times New Roman" w:hAnsi="Times New Roman" w:cs="Times New Roman"/>
                <w:bCs/>
                <w:color w:val="000000" w:themeColor="text1"/>
                <w:lang w:val="en-IE" w:eastAsia="de-DE"/>
              </w:rPr>
              <w:t xml:space="preserve">Article 15 of Regulation (EU) </w:t>
            </w:r>
            <w:r w:rsidRPr="005B2FEB">
              <w:rPr>
                <w:rFonts w:ascii="Times New Roman" w:eastAsia="Times New Roman" w:hAnsi="Times New Roman" w:cs="Times New Roman"/>
                <w:bCs/>
                <w:color w:val="000000" w:themeColor="text1"/>
                <w:lang w:val="en-IE" w:eastAsia="de-DE"/>
              </w:rPr>
              <w:t>2019/2033</w:t>
            </w:r>
            <w:r w:rsidRPr="005B2FEB">
              <w:rPr>
                <w:rFonts w:ascii="Times New Roman" w:eastAsia="Times New Roman" w:hAnsi="Times New Roman" w:cs="Times New Roman"/>
                <w:bCs/>
                <w:color w:val="000000" w:themeColor="text1"/>
                <w:lang w:val="en-IE" w:eastAsia="de-DE"/>
              </w:rPr>
              <w:t>.</w:t>
            </w:r>
          </w:p>
        </w:tc>
      </w:tr>
      <w:tr w:rsidR="00AE5644" w:rsidRPr="005B2FEB" w14:paraId="2795B485" w14:textId="77777777">
        <w:tc>
          <w:tcPr>
            <w:tcW w:w="1129" w:type="dxa"/>
            <w:tcBorders>
              <w:top w:val="single" w:sz="4" w:space="0" w:color="auto"/>
            </w:tcBorders>
          </w:tcPr>
          <w:p w14:paraId="595F8795"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0150</w:t>
            </w:r>
          </w:p>
        </w:tc>
        <w:tc>
          <w:tcPr>
            <w:tcW w:w="7620" w:type="dxa"/>
            <w:tcBorders>
              <w:top w:val="single" w:sz="4" w:space="0" w:color="auto"/>
            </w:tcBorders>
          </w:tcPr>
          <w:p w14:paraId="40E13F30"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Assets under management</w:t>
            </w:r>
          </w:p>
          <w:p w14:paraId="1C41E909" w14:textId="77777777" w:rsidR="00AE5644" w:rsidRPr="005B2FEB" w:rsidRDefault="005B2FEB">
            <w:pPr>
              <w:spacing w:after="120" w:line="240" w:lineRule="auto"/>
              <w:jc w:val="both"/>
              <w:rPr>
                <w:rFonts w:ascii="Times New Roman" w:eastAsia="Times New Roman" w:hAnsi="Times New Roman" w:cs="Times New Roman"/>
                <w:bCs/>
                <w:color w:val="000000" w:themeColor="text1"/>
                <w:lang w:val="en-IE" w:eastAsia="de-DE"/>
              </w:rPr>
            </w:pPr>
            <w:r w:rsidRPr="005B2FEB">
              <w:rPr>
                <w:rFonts w:ascii="Times New Roman" w:eastAsia="Times New Roman" w:hAnsi="Times New Roman" w:cs="Times New Roman"/>
                <w:bCs/>
                <w:color w:val="000000" w:themeColor="text1"/>
                <w:lang w:val="en-IE" w:eastAsia="de-DE"/>
              </w:rPr>
              <w:t xml:space="preserve">Article 15(2) and Article 17 of Regulation (EU) </w:t>
            </w:r>
            <w:r w:rsidRPr="005B2FEB">
              <w:rPr>
                <w:rFonts w:ascii="Times New Roman" w:eastAsia="Times New Roman" w:hAnsi="Times New Roman" w:cs="Times New Roman"/>
                <w:bCs/>
                <w:color w:val="000000" w:themeColor="text1"/>
                <w:lang w:val="en-IE" w:eastAsia="de-DE"/>
              </w:rPr>
              <w:t>2019/2033</w:t>
            </w:r>
            <w:r w:rsidRPr="005B2FEB">
              <w:rPr>
                <w:rFonts w:ascii="Times New Roman" w:eastAsia="Times New Roman" w:hAnsi="Times New Roman" w:cs="Times New Roman"/>
                <w:bCs/>
                <w:color w:val="000000" w:themeColor="text1"/>
                <w:lang w:val="en-IE" w:eastAsia="de-DE"/>
              </w:rPr>
              <w:t>.</w:t>
            </w:r>
          </w:p>
        </w:tc>
      </w:tr>
      <w:tr w:rsidR="00AE5644" w:rsidRPr="005B2FEB" w14:paraId="20AD6549" w14:textId="77777777">
        <w:tc>
          <w:tcPr>
            <w:tcW w:w="1129" w:type="dxa"/>
            <w:tcBorders>
              <w:top w:val="single" w:sz="4" w:space="0" w:color="auto"/>
            </w:tcBorders>
          </w:tcPr>
          <w:p w14:paraId="353B1946"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0160</w:t>
            </w:r>
          </w:p>
        </w:tc>
        <w:tc>
          <w:tcPr>
            <w:tcW w:w="7620" w:type="dxa"/>
            <w:tcBorders>
              <w:top w:val="single" w:sz="4" w:space="0" w:color="auto"/>
            </w:tcBorders>
          </w:tcPr>
          <w:p w14:paraId="37456CCB"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Client money held – Segregated</w:t>
            </w:r>
          </w:p>
          <w:p w14:paraId="7D6B83D4" w14:textId="77777777" w:rsidR="00AE5644" w:rsidRPr="005B2FEB" w:rsidRDefault="005B2FEB">
            <w:pPr>
              <w:spacing w:after="120" w:line="240" w:lineRule="auto"/>
              <w:jc w:val="both"/>
              <w:rPr>
                <w:rFonts w:ascii="Times New Roman" w:eastAsia="Times New Roman" w:hAnsi="Times New Roman" w:cs="Times New Roman"/>
                <w:bCs/>
                <w:color w:val="000000" w:themeColor="text1"/>
                <w:lang w:val="en-IE" w:eastAsia="de-DE"/>
              </w:rPr>
            </w:pPr>
            <w:r w:rsidRPr="005B2FEB">
              <w:rPr>
                <w:rFonts w:ascii="Times New Roman" w:eastAsia="Times New Roman" w:hAnsi="Times New Roman" w:cs="Times New Roman"/>
                <w:bCs/>
                <w:color w:val="000000" w:themeColor="text1"/>
                <w:lang w:val="en-IE" w:eastAsia="de-DE"/>
              </w:rPr>
              <w:t xml:space="preserve">Article 15(2) and Article 18 of Regulation (EU) </w:t>
            </w:r>
            <w:r w:rsidRPr="005B2FEB">
              <w:rPr>
                <w:rFonts w:ascii="Times New Roman" w:eastAsia="Times New Roman" w:hAnsi="Times New Roman" w:cs="Times New Roman"/>
                <w:bCs/>
                <w:color w:val="000000" w:themeColor="text1"/>
                <w:lang w:val="en-IE" w:eastAsia="de-DE"/>
              </w:rPr>
              <w:t>2019/2033</w:t>
            </w:r>
            <w:r w:rsidRPr="005B2FEB">
              <w:rPr>
                <w:rFonts w:ascii="Times New Roman" w:eastAsia="Times New Roman" w:hAnsi="Times New Roman" w:cs="Times New Roman"/>
                <w:bCs/>
                <w:color w:val="000000" w:themeColor="text1"/>
                <w:lang w:val="en-IE" w:eastAsia="de-DE"/>
              </w:rPr>
              <w:t>.</w:t>
            </w:r>
          </w:p>
        </w:tc>
      </w:tr>
      <w:tr w:rsidR="00AE5644" w:rsidRPr="005B2FEB" w14:paraId="12FCEC12" w14:textId="77777777">
        <w:tc>
          <w:tcPr>
            <w:tcW w:w="1129" w:type="dxa"/>
            <w:tcBorders>
              <w:top w:val="single" w:sz="4" w:space="0" w:color="auto"/>
            </w:tcBorders>
          </w:tcPr>
          <w:p w14:paraId="3713725E"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0170</w:t>
            </w:r>
          </w:p>
        </w:tc>
        <w:tc>
          <w:tcPr>
            <w:tcW w:w="7620" w:type="dxa"/>
            <w:tcBorders>
              <w:top w:val="single" w:sz="4" w:space="0" w:color="auto"/>
            </w:tcBorders>
          </w:tcPr>
          <w:p w14:paraId="0017599E"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Client money held – Non – segregated</w:t>
            </w:r>
          </w:p>
          <w:p w14:paraId="1AD5B13B" w14:textId="77777777" w:rsidR="00AE5644" w:rsidRPr="005B2FEB" w:rsidRDefault="005B2FEB">
            <w:pPr>
              <w:spacing w:after="120" w:line="240" w:lineRule="auto"/>
              <w:jc w:val="both"/>
              <w:rPr>
                <w:rFonts w:ascii="Times New Roman" w:eastAsia="Times New Roman" w:hAnsi="Times New Roman" w:cs="Times New Roman"/>
                <w:bCs/>
                <w:color w:val="000000" w:themeColor="text1"/>
                <w:lang w:val="en-IE" w:eastAsia="de-DE"/>
              </w:rPr>
            </w:pPr>
            <w:r w:rsidRPr="005B2FEB">
              <w:rPr>
                <w:rFonts w:ascii="Times New Roman" w:eastAsia="Times New Roman" w:hAnsi="Times New Roman" w:cs="Times New Roman"/>
                <w:bCs/>
                <w:color w:val="000000" w:themeColor="text1"/>
                <w:lang w:val="en-IE" w:eastAsia="de-DE"/>
              </w:rPr>
              <w:t xml:space="preserve">Article 15(2) and Article 18 of Regulation (EU) </w:t>
            </w:r>
            <w:r w:rsidRPr="005B2FEB">
              <w:rPr>
                <w:rFonts w:ascii="Times New Roman" w:eastAsia="Times New Roman" w:hAnsi="Times New Roman" w:cs="Times New Roman"/>
                <w:bCs/>
                <w:color w:val="000000" w:themeColor="text1"/>
                <w:lang w:val="en-IE" w:eastAsia="de-DE"/>
              </w:rPr>
              <w:t>2019/2033</w:t>
            </w:r>
            <w:r w:rsidRPr="005B2FEB">
              <w:rPr>
                <w:rFonts w:ascii="Times New Roman" w:eastAsia="Times New Roman" w:hAnsi="Times New Roman" w:cs="Times New Roman"/>
                <w:bCs/>
                <w:color w:val="000000" w:themeColor="text1"/>
                <w:lang w:val="en-IE" w:eastAsia="de-DE"/>
              </w:rPr>
              <w:t>.</w:t>
            </w:r>
          </w:p>
        </w:tc>
      </w:tr>
      <w:tr w:rsidR="00AE5644" w:rsidRPr="005B2FEB" w14:paraId="7482A628" w14:textId="77777777">
        <w:tc>
          <w:tcPr>
            <w:tcW w:w="1129" w:type="dxa"/>
            <w:tcBorders>
              <w:top w:val="single" w:sz="4" w:space="0" w:color="auto"/>
            </w:tcBorders>
          </w:tcPr>
          <w:p w14:paraId="0BF9222B"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0180</w:t>
            </w:r>
          </w:p>
        </w:tc>
        <w:tc>
          <w:tcPr>
            <w:tcW w:w="7620" w:type="dxa"/>
            <w:tcBorders>
              <w:top w:val="single" w:sz="4" w:space="0" w:color="auto"/>
            </w:tcBorders>
          </w:tcPr>
          <w:p w14:paraId="6FA084DD" w14:textId="77777777" w:rsidR="00AE5644" w:rsidRPr="005B2FEB" w:rsidRDefault="005B2FEB">
            <w:pPr>
              <w:tabs>
                <w:tab w:val="left" w:pos="3948"/>
              </w:tabs>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Assets safeguarded and administered</w:t>
            </w:r>
          </w:p>
          <w:p w14:paraId="7C1609CB" w14:textId="77777777" w:rsidR="00AE5644" w:rsidRPr="005B2FEB" w:rsidRDefault="005B2FEB">
            <w:pPr>
              <w:spacing w:after="120" w:line="240" w:lineRule="auto"/>
              <w:jc w:val="both"/>
              <w:rPr>
                <w:rFonts w:ascii="Times New Roman" w:eastAsia="Times New Roman" w:hAnsi="Times New Roman" w:cs="Times New Roman"/>
                <w:bCs/>
                <w:color w:val="000000" w:themeColor="text1"/>
                <w:lang w:val="en-IE" w:eastAsia="de-DE"/>
              </w:rPr>
            </w:pPr>
            <w:r w:rsidRPr="005B2FEB">
              <w:rPr>
                <w:rFonts w:ascii="Times New Roman" w:eastAsia="Times New Roman" w:hAnsi="Times New Roman" w:cs="Times New Roman"/>
                <w:bCs/>
                <w:color w:val="000000" w:themeColor="text1"/>
                <w:lang w:val="en-IE" w:eastAsia="de-DE"/>
              </w:rPr>
              <w:t xml:space="preserve">Article 15(2) and Article 19 of Regulation (EU) </w:t>
            </w:r>
            <w:r w:rsidRPr="005B2FEB">
              <w:rPr>
                <w:rFonts w:ascii="Times New Roman" w:eastAsia="Times New Roman" w:hAnsi="Times New Roman" w:cs="Times New Roman"/>
                <w:bCs/>
                <w:color w:val="000000" w:themeColor="text1"/>
                <w:lang w:val="en-IE" w:eastAsia="de-DE"/>
              </w:rPr>
              <w:t>2019/</w:t>
            </w:r>
            <w:r w:rsidRPr="005B2FEB">
              <w:rPr>
                <w:rFonts w:ascii="Times New Roman" w:eastAsia="Times New Roman" w:hAnsi="Times New Roman" w:cs="Times New Roman"/>
                <w:bCs/>
                <w:color w:val="000000" w:themeColor="text1"/>
                <w:lang w:val="en-IE" w:eastAsia="de-DE"/>
              </w:rPr>
              <w:t>2033</w:t>
            </w:r>
            <w:r w:rsidRPr="005B2FEB">
              <w:rPr>
                <w:rFonts w:ascii="Times New Roman" w:eastAsia="Times New Roman" w:hAnsi="Times New Roman" w:cs="Times New Roman"/>
                <w:bCs/>
                <w:color w:val="000000" w:themeColor="text1"/>
                <w:lang w:val="en-IE" w:eastAsia="de-DE"/>
              </w:rPr>
              <w:t xml:space="preserve">. </w:t>
            </w:r>
          </w:p>
        </w:tc>
      </w:tr>
      <w:tr w:rsidR="00AE5644" w:rsidRPr="005B2FEB" w14:paraId="6B321F0A" w14:textId="77777777">
        <w:tc>
          <w:tcPr>
            <w:tcW w:w="1129" w:type="dxa"/>
            <w:tcBorders>
              <w:top w:val="single" w:sz="4" w:space="0" w:color="auto"/>
            </w:tcBorders>
          </w:tcPr>
          <w:p w14:paraId="532D3EA5"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0190</w:t>
            </w:r>
          </w:p>
        </w:tc>
        <w:tc>
          <w:tcPr>
            <w:tcW w:w="7620" w:type="dxa"/>
            <w:tcBorders>
              <w:top w:val="single" w:sz="4" w:space="0" w:color="auto"/>
            </w:tcBorders>
          </w:tcPr>
          <w:p w14:paraId="09C9325C"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Client orders handled – Cash trades</w:t>
            </w:r>
          </w:p>
          <w:p w14:paraId="069DB4EA" w14:textId="77777777" w:rsidR="00AE5644" w:rsidRPr="005B2FEB" w:rsidRDefault="005B2FEB">
            <w:pPr>
              <w:spacing w:after="120" w:line="240" w:lineRule="auto"/>
              <w:jc w:val="both"/>
              <w:rPr>
                <w:rFonts w:ascii="Times New Roman" w:eastAsia="Times New Roman" w:hAnsi="Times New Roman" w:cs="Times New Roman"/>
                <w:bCs/>
                <w:color w:val="000000" w:themeColor="text1"/>
                <w:lang w:val="en-IE" w:eastAsia="de-DE"/>
              </w:rPr>
            </w:pPr>
            <w:r w:rsidRPr="005B2FEB">
              <w:rPr>
                <w:rFonts w:ascii="Times New Roman" w:eastAsia="Times New Roman" w:hAnsi="Times New Roman" w:cs="Times New Roman"/>
                <w:bCs/>
                <w:color w:val="000000" w:themeColor="text1"/>
                <w:lang w:val="en-IE" w:eastAsia="de-DE"/>
              </w:rPr>
              <w:t xml:space="preserve">Article 15(2) and article 20(1) and article 20(2), point (a), of Regulation (EU) </w:t>
            </w:r>
            <w:r w:rsidRPr="005B2FEB">
              <w:rPr>
                <w:rFonts w:ascii="Times New Roman" w:eastAsia="Times New Roman" w:hAnsi="Times New Roman" w:cs="Times New Roman"/>
                <w:bCs/>
                <w:color w:val="000000" w:themeColor="text1"/>
                <w:lang w:val="en-IE" w:eastAsia="de-DE"/>
              </w:rPr>
              <w:t>2019/2033</w:t>
            </w:r>
            <w:r w:rsidRPr="005B2FEB">
              <w:rPr>
                <w:rFonts w:ascii="Times New Roman" w:eastAsia="Times New Roman" w:hAnsi="Times New Roman" w:cs="Times New Roman"/>
                <w:bCs/>
                <w:color w:val="000000" w:themeColor="text1"/>
                <w:lang w:val="en-IE" w:eastAsia="de-DE"/>
              </w:rPr>
              <w:t>.</w:t>
            </w:r>
          </w:p>
        </w:tc>
      </w:tr>
      <w:tr w:rsidR="00AE5644" w:rsidRPr="005B2FEB" w14:paraId="7CEA1F4E" w14:textId="77777777">
        <w:tc>
          <w:tcPr>
            <w:tcW w:w="1129" w:type="dxa"/>
            <w:tcBorders>
              <w:top w:val="single" w:sz="4" w:space="0" w:color="auto"/>
            </w:tcBorders>
          </w:tcPr>
          <w:p w14:paraId="7CDDBF03"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0200</w:t>
            </w:r>
          </w:p>
        </w:tc>
        <w:tc>
          <w:tcPr>
            <w:tcW w:w="7620" w:type="dxa"/>
            <w:tcBorders>
              <w:top w:val="single" w:sz="4" w:space="0" w:color="auto"/>
            </w:tcBorders>
          </w:tcPr>
          <w:p w14:paraId="61F5C402"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Client orders handled – Derivatives Trades</w:t>
            </w:r>
          </w:p>
          <w:p w14:paraId="2C6D6C8D" w14:textId="77777777" w:rsidR="00AE5644" w:rsidRPr="005B2FEB" w:rsidRDefault="005B2FEB">
            <w:pPr>
              <w:spacing w:after="120" w:line="240" w:lineRule="auto"/>
              <w:jc w:val="both"/>
              <w:rPr>
                <w:rFonts w:ascii="Times New Roman" w:eastAsia="Times New Roman" w:hAnsi="Times New Roman" w:cs="Times New Roman"/>
                <w:bCs/>
                <w:color w:val="000000" w:themeColor="text1"/>
                <w:lang w:val="en-IE" w:eastAsia="de-DE"/>
              </w:rPr>
            </w:pPr>
            <w:r w:rsidRPr="005B2FEB">
              <w:rPr>
                <w:rFonts w:ascii="Times New Roman" w:eastAsia="Times New Roman" w:hAnsi="Times New Roman" w:cs="Times New Roman"/>
                <w:bCs/>
                <w:color w:val="000000" w:themeColor="text1"/>
                <w:lang w:val="en-IE" w:eastAsia="de-DE"/>
              </w:rPr>
              <w:t xml:space="preserve">Article 15(2) and article 20(1) and article 20(2), point (b), of Regulation (EU) </w:t>
            </w:r>
            <w:r w:rsidRPr="005B2FEB">
              <w:rPr>
                <w:rFonts w:ascii="Times New Roman" w:eastAsia="Times New Roman" w:hAnsi="Times New Roman" w:cs="Times New Roman"/>
                <w:bCs/>
                <w:color w:val="000000" w:themeColor="text1"/>
                <w:lang w:val="en-IE" w:eastAsia="de-DE"/>
              </w:rPr>
              <w:t>2019/2033</w:t>
            </w:r>
            <w:r w:rsidRPr="005B2FEB">
              <w:rPr>
                <w:rFonts w:ascii="Times New Roman" w:eastAsia="Times New Roman" w:hAnsi="Times New Roman" w:cs="Times New Roman"/>
                <w:bCs/>
                <w:color w:val="000000" w:themeColor="text1"/>
                <w:lang w:val="en-IE" w:eastAsia="de-DE"/>
              </w:rPr>
              <w:t>.</w:t>
            </w:r>
          </w:p>
        </w:tc>
      </w:tr>
      <w:tr w:rsidR="00AE5644" w:rsidRPr="005B2FEB" w14:paraId="7ACE6CAD" w14:textId="77777777">
        <w:tc>
          <w:tcPr>
            <w:tcW w:w="1129" w:type="dxa"/>
            <w:tcBorders>
              <w:top w:val="single" w:sz="4" w:space="0" w:color="auto"/>
            </w:tcBorders>
          </w:tcPr>
          <w:p w14:paraId="3CBFFB7B"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0210</w:t>
            </w:r>
          </w:p>
        </w:tc>
        <w:tc>
          <w:tcPr>
            <w:tcW w:w="7620" w:type="dxa"/>
            <w:tcBorders>
              <w:top w:val="single" w:sz="4" w:space="0" w:color="auto"/>
            </w:tcBorders>
          </w:tcPr>
          <w:p w14:paraId="2C1F792C"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K-Net positions risk requirement</w:t>
            </w:r>
          </w:p>
          <w:p w14:paraId="4E785E81" w14:textId="77777777" w:rsidR="00AE5644" w:rsidRPr="005B2FEB" w:rsidRDefault="005B2FEB">
            <w:pPr>
              <w:spacing w:after="120" w:line="240" w:lineRule="auto"/>
              <w:jc w:val="both"/>
              <w:rPr>
                <w:rFonts w:ascii="Times New Roman" w:eastAsia="Times New Roman" w:hAnsi="Times New Roman" w:cs="Times New Roman"/>
                <w:bCs/>
                <w:color w:val="000000" w:themeColor="text1"/>
                <w:lang w:val="en-IE" w:eastAsia="de-DE"/>
              </w:rPr>
            </w:pPr>
            <w:r w:rsidRPr="005B2FEB">
              <w:rPr>
                <w:rFonts w:ascii="Times New Roman" w:eastAsia="Times New Roman" w:hAnsi="Times New Roman" w:cs="Times New Roman"/>
                <w:bCs/>
                <w:color w:val="000000" w:themeColor="text1"/>
                <w:lang w:val="en-IE" w:eastAsia="de-DE"/>
              </w:rPr>
              <w:t xml:space="preserve">Article 22 of Regulation (EU) </w:t>
            </w:r>
            <w:r w:rsidRPr="005B2FEB">
              <w:rPr>
                <w:rFonts w:ascii="Times New Roman" w:eastAsia="Times New Roman" w:hAnsi="Times New Roman" w:cs="Times New Roman"/>
                <w:bCs/>
                <w:color w:val="000000" w:themeColor="text1"/>
                <w:lang w:val="en-IE" w:eastAsia="de-DE"/>
              </w:rPr>
              <w:t>2019/2033</w:t>
            </w:r>
            <w:r w:rsidRPr="005B2FEB">
              <w:rPr>
                <w:rFonts w:ascii="Times New Roman" w:eastAsia="Times New Roman" w:hAnsi="Times New Roman" w:cs="Times New Roman"/>
                <w:bCs/>
                <w:color w:val="000000" w:themeColor="text1"/>
                <w:lang w:val="en-IE" w:eastAsia="de-DE"/>
              </w:rPr>
              <w:t>.</w:t>
            </w:r>
          </w:p>
        </w:tc>
      </w:tr>
      <w:tr w:rsidR="00AE5644" w:rsidRPr="005B2FEB" w14:paraId="5CF5EB82" w14:textId="77777777">
        <w:tc>
          <w:tcPr>
            <w:tcW w:w="1129" w:type="dxa"/>
            <w:tcBorders>
              <w:top w:val="single" w:sz="4" w:space="0" w:color="auto"/>
            </w:tcBorders>
          </w:tcPr>
          <w:p w14:paraId="5C2C25AD"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0220</w:t>
            </w:r>
          </w:p>
        </w:tc>
        <w:tc>
          <w:tcPr>
            <w:tcW w:w="7620" w:type="dxa"/>
            <w:tcBorders>
              <w:top w:val="single" w:sz="4" w:space="0" w:color="auto"/>
            </w:tcBorders>
          </w:tcPr>
          <w:p w14:paraId="24AE4F5E"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Clearing margin given</w:t>
            </w:r>
          </w:p>
          <w:p w14:paraId="4E2783BE" w14:textId="77777777" w:rsidR="00AE5644" w:rsidRPr="005B2FEB" w:rsidRDefault="005B2FEB">
            <w:pPr>
              <w:spacing w:after="120" w:line="240" w:lineRule="auto"/>
              <w:jc w:val="both"/>
              <w:rPr>
                <w:rFonts w:ascii="Times New Roman" w:eastAsia="Times New Roman" w:hAnsi="Times New Roman" w:cs="Times New Roman"/>
                <w:bCs/>
                <w:color w:val="000000" w:themeColor="text1"/>
                <w:lang w:val="en-IE" w:eastAsia="de-DE"/>
              </w:rPr>
            </w:pPr>
            <w:r w:rsidRPr="005B2FEB">
              <w:rPr>
                <w:rFonts w:ascii="Times New Roman" w:eastAsia="Times New Roman" w:hAnsi="Times New Roman" w:cs="Times New Roman"/>
                <w:bCs/>
                <w:color w:val="000000" w:themeColor="text1"/>
                <w:lang w:val="en-IE" w:eastAsia="de-DE"/>
              </w:rPr>
              <w:t xml:space="preserve">Article 23(2) of Regulation (EU) </w:t>
            </w:r>
            <w:r w:rsidRPr="005B2FEB">
              <w:rPr>
                <w:rFonts w:ascii="Times New Roman" w:eastAsia="Times New Roman" w:hAnsi="Times New Roman" w:cs="Times New Roman"/>
                <w:bCs/>
                <w:color w:val="000000" w:themeColor="text1"/>
                <w:lang w:val="en-IE" w:eastAsia="de-DE"/>
              </w:rPr>
              <w:t>2019/2033</w:t>
            </w:r>
            <w:r w:rsidRPr="005B2FEB">
              <w:rPr>
                <w:rFonts w:ascii="Times New Roman" w:eastAsia="Times New Roman" w:hAnsi="Times New Roman" w:cs="Times New Roman"/>
                <w:bCs/>
                <w:color w:val="000000" w:themeColor="text1"/>
                <w:lang w:val="en-IE" w:eastAsia="de-DE"/>
              </w:rPr>
              <w:t>.</w:t>
            </w:r>
          </w:p>
        </w:tc>
      </w:tr>
      <w:tr w:rsidR="00AE5644" w:rsidRPr="005B2FEB" w14:paraId="6A22A93D" w14:textId="77777777">
        <w:tc>
          <w:tcPr>
            <w:tcW w:w="1129" w:type="dxa"/>
            <w:tcBorders>
              <w:top w:val="single" w:sz="4" w:space="0" w:color="auto"/>
            </w:tcBorders>
          </w:tcPr>
          <w:p w14:paraId="6158D21C"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0230</w:t>
            </w:r>
          </w:p>
        </w:tc>
        <w:tc>
          <w:tcPr>
            <w:tcW w:w="7620" w:type="dxa"/>
            <w:tcBorders>
              <w:top w:val="single" w:sz="4" w:space="0" w:color="auto"/>
            </w:tcBorders>
          </w:tcPr>
          <w:p w14:paraId="27816DFD"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Tradin</w:t>
            </w:r>
            <w:r w:rsidRPr="005B2FEB">
              <w:rPr>
                <w:rFonts w:ascii="Times New Roman" w:eastAsia="Times New Roman" w:hAnsi="Times New Roman" w:cs="Times New Roman"/>
                <w:b/>
                <w:bCs/>
                <w:u w:val="single"/>
                <w:lang w:val="en-IE" w:eastAsia="de-DE"/>
              </w:rPr>
              <w:t>g counterparty default</w:t>
            </w:r>
          </w:p>
          <w:p w14:paraId="2B655961" w14:textId="77777777" w:rsidR="00AE5644" w:rsidRPr="005B2FEB" w:rsidRDefault="005B2FEB">
            <w:pPr>
              <w:spacing w:after="120" w:line="240" w:lineRule="auto"/>
              <w:jc w:val="both"/>
              <w:rPr>
                <w:rFonts w:ascii="Times New Roman" w:eastAsia="Times New Roman" w:hAnsi="Times New Roman" w:cs="Times New Roman"/>
                <w:bCs/>
                <w:color w:val="000000" w:themeColor="text1"/>
                <w:lang w:val="en-IE" w:eastAsia="de-DE"/>
              </w:rPr>
            </w:pPr>
            <w:r w:rsidRPr="005B2FEB">
              <w:rPr>
                <w:rFonts w:ascii="Times New Roman" w:eastAsia="Times New Roman" w:hAnsi="Times New Roman" w:cs="Times New Roman"/>
                <w:bCs/>
                <w:color w:val="000000" w:themeColor="text1"/>
                <w:lang w:val="en-IE" w:eastAsia="de-DE"/>
              </w:rPr>
              <w:t xml:space="preserve">Article 26 and Article 24 of Regulation (EU) </w:t>
            </w:r>
            <w:r w:rsidRPr="005B2FEB">
              <w:rPr>
                <w:rFonts w:ascii="Times New Roman" w:eastAsia="Times New Roman" w:hAnsi="Times New Roman" w:cs="Times New Roman"/>
                <w:bCs/>
                <w:color w:val="000000" w:themeColor="text1"/>
                <w:lang w:val="en-IE" w:eastAsia="de-DE"/>
              </w:rPr>
              <w:t>2019/2033</w:t>
            </w:r>
            <w:r w:rsidRPr="005B2FEB">
              <w:rPr>
                <w:rFonts w:ascii="Times New Roman" w:eastAsia="Times New Roman" w:hAnsi="Times New Roman" w:cs="Times New Roman"/>
                <w:bCs/>
                <w:color w:val="000000" w:themeColor="text1"/>
                <w:lang w:val="en-IE" w:eastAsia="de-DE"/>
              </w:rPr>
              <w:t>.</w:t>
            </w:r>
          </w:p>
        </w:tc>
      </w:tr>
      <w:tr w:rsidR="00AE5644" w:rsidRPr="005B2FEB" w14:paraId="1F1EA39E" w14:textId="77777777">
        <w:tc>
          <w:tcPr>
            <w:tcW w:w="1129" w:type="dxa"/>
            <w:tcBorders>
              <w:top w:val="single" w:sz="4" w:space="0" w:color="auto"/>
            </w:tcBorders>
          </w:tcPr>
          <w:p w14:paraId="4EC3828B"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0240</w:t>
            </w:r>
          </w:p>
        </w:tc>
        <w:tc>
          <w:tcPr>
            <w:tcW w:w="7620" w:type="dxa"/>
            <w:tcBorders>
              <w:top w:val="single" w:sz="4" w:space="0" w:color="auto"/>
            </w:tcBorders>
          </w:tcPr>
          <w:p w14:paraId="3D73F23A"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Daily trading flow – Cash trades</w:t>
            </w:r>
          </w:p>
          <w:p w14:paraId="24206BD8" w14:textId="77777777" w:rsidR="00AE5644" w:rsidRPr="005B2FEB" w:rsidRDefault="005B2FEB">
            <w:pPr>
              <w:spacing w:after="120" w:line="240" w:lineRule="auto"/>
              <w:jc w:val="both"/>
              <w:rPr>
                <w:rFonts w:ascii="Times New Roman" w:eastAsia="Times New Roman" w:hAnsi="Times New Roman" w:cs="Times New Roman"/>
                <w:bCs/>
                <w:color w:val="000000" w:themeColor="text1"/>
                <w:lang w:val="en-IE" w:eastAsia="de-DE"/>
              </w:rPr>
            </w:pPr>
            <w:r w:rsidRPr="005B2FEB">
              <w:rPr>
                <w:rFonts w:ascii="Times New Roman" w:eastAsia="Times New Roman" w:hAnsi="Times New Roman" w:cs="Times New Roman"/>
                <w:bCs/>
                <w:color w:val="000000" w:themeColor="text1"/>
                <w:lang w:val="en-IE" w:eastAsia="de-DE"/>
              </w:rPr>
              <w:lastRenderedPageBreak/>
              <w:t xml:space="preserve">For the purposes of K-factor requirement calculation, investment firms shall report by applying the coefficient of Article 15(2) of Regulation (EU) </w:t>
            </w:r>
            <w:r w:rsidRPr="005B2FEB">
              <w:rPr>
                <w:rFonts w:ascii="Times New Roman" w:eastAsia="Times New Roman" w:hAnsi="Times New Roman" w:cs="Times New Roman"/>
                <w:bCs/>
                <w:color w:val="000000" w:themeColor="text1"/>
                <w:lang w:val="en-IE" w:eastAsia="de-DE"/>
              </w:rPr>
              <w:t>2019/2033</w:t>
            </w:r>
            <w:r w:rsidRPr="005B2FEB">
              <w:rPr>
                <w:rFonts w:ascii="Times New Roman" w:eastAsia="Times New Roman" w:hAnsi="Times New Roman" w:cs="Times New Roman"/>
                <w:bCs/>
                <w:color w:val="000000" w:themeColor="text1"/>
                <w:lang w:val="en-IE" w:eastAsia="de-DE"/>
              </w:rPr>
              <w:t>.</w:t>
            </w:r>
          </w:p>
          <w:p w14:paraId="0AD60FF8" w14:textId="77777777" w:rsidR="00AE5644" w:rsidRPr="005B2FEB" w:rsidRDefault="005B2FEB">
            <w:pPr>
              <w:spacing w:after="120" w:line="240" w:lineRule="auto"/>
              <w:jc w:val="both"/>
              <w:rPr>
                <w:rFonts w:ascii="Times New Roman" w:eastAsia="Times New Roman" w:hAnsi="Times New Roman" w:cs="Times New Roman"/>
                <w:bCs/>
                <w:i/>
                <w:color w:val="000000" w:themeColor="text1"/>
                <w:lang w:val="en-IE" w:eastAsia="de-DE"/>
              </w:rPr>
            </w:pPr>
            <w:r w:rsidRPr="005B2FEB">
              <w:rPr>
                <w:rFonts w:ascii="Times New Roman" w:eastAsia="Times New Roman" w:hAnsi="Times New Roman" w:cs="Times New Roman"/>
                <w:bCs/>
                <w:color w:val="000000" w:themeColor="text1"/>
                <w:lang w:val="en-IE" w:eastAsia="de-DE"/>
              </w:rPr>
              <w:t xml:space="preserve">In the event of stressed market conditions, in accordance with Article 15(5), point (c), of Regulation (EU) </w:t>
            </w:r>
            <w:r w:rsidRPr="005B2FEB">
              <w:rPr>
                <w:rFonts w:ascii="Times New Roman" w:eastAsia="Times New Roman" w:hAnsi="Times New Roman" w:cs="Times New Roman"/>
                <w:bCs/>
                <w:color w:val="000000" w:themeColor="text1"/>
                <w:lang w:val="en-IE" w:eastAsia="de-DE"/>
              </w:rPr>
              <w:t>2019/2033</w:t>
            </w:r>
            <w:r w:rsidRPr="005B2FEB">
              <w:rPr>
                <w:rFonts w:ascii="Times New Roman" w:eastAsia="Times New Roman" w:hAnsi="Times New Roman" w:cs="Times New Roman"/>
                <w:bCs/>
                <w:color w:val="000000" w:themeColor="text1"/>
                <w:lang w:val="en-IE" w:eastAsia="de-DE"/>
              </w:rPr>
              <w:t>, investment firms shall apply an adjusted coefficient as specified in that point.</w:t>
            </w:r>
          </w:p>
          <w:p w14:paraId="512F500B" w14:textId="77777777" w:rsidR="00AE5644" w:rsidRPr="005B2FEB" w:rsidRDefault="005B2FEB">
            <w:pPr>
              <w:spacing w:after="120" w:line="240" w:lineRule="auto"/>
              <w:jc w:val="both"/>
              <w:rPr>
                <w:rFonts w:ascii="Times New Roman" w:eastAsia="Times New Roman" w:hAnsi="Times New Roman" w:cs="Times New Roman"/>
                <w:bCs/>
                <w:color w:val="000000" w:themeColor="text1"/>
                <w:lang w:val="en-IE" w:eastAsia="de-DE"/>
              </w:rPr>
            </w:pPr>
            <w:r w:rsidRPr="005B2FEB">
              <w:rPr>
                <w:rFonts w:ascii="Times New Roman" w:eastAsia="Times New Roman" w:hAnsi="Times New Roman" w:cs="Times New Roman"/>
                <w:bCs/>
                <w:color w:val="000000" w:themeColor="text1"/>
                <w:lang w:val="en-IE" w:eastAsia="de-DE"/>
              </w:rPr>
              <w:t>Daily trading flow factor shall be calculated in accorda</w:t>
            </w:r>
            <w:r w:rsidRPr="005B2FEB">
              <w:rPr>
                <w:rFonts w:ascii="Times New Roman" w:eastAsia="Times New Roman" w:hAnsi="Times New Roman" w:cs="Times New Roman"/>
                <w:bCs/>
                <w:color w:val="000000" w:themeColor="text1"/>
                <w:lang w:val="en-IE" w:eastAsia="de-DE"/>
              </w:rPr>
              <w:t xml:space="preserve">nce with Article 33(2), point (a), of Regulation (EU) </w:t>
            </w:r>
            <w:r w:rsidRPr="005B2FEB">
              <w:rPr>
                <w:rFonts w:ascii="Times New Roman" w:eastAsia="Times New Roman" w:hAnsi="Times New Roman" w:cs="Times New Roman"/>
                <w:bCs/>
                <w:color w:val="000000" w:themeColor="text1"/>
                <w:lang w:val="en-IE" w:eastAsia="de-DE"/>
              </w:rPr>
              <w:t>2019/2033</w:t>
            </w:r>
            <w:r w:rsidRPr="005B2FEB">
              <w:rPr>
                <w:rFonts w:ascii="Times New Roman" w:eastAsia="Times New Roman" w:hAnsi="Times New Roman" w:cs="Times New Roman"/>
                <w:bCs/>
                <w:color w:val="000000" w:themeColor="text1"/>
                <w:lang w:val="en-IE" w:eastAsia="de-DE"/>
              </w:rPr>
              <w:t>.</w:t>
            </w:r>
          </w:p>
        </w:tc>
      </w:tr>
      <w:tr w:rsidR="00AE5644" w:rsidRPr="005B2FEB" w14:paraId="3D8D6D20" w14:textId="77777777">
        <w:tc>
          <w:tcPr>
            <w:tcW w:w="1129" w:type="dxa"/>
            <w:tcBorders>
              <w:top w:val="single" w:sz="4" w:space="0" w:color="auto"/>
            </w:tcBorders>
          </w:tcPr>
          <w:p w14:paraId="7577B445"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lastRenderedPageBreak/>
              <w:t>0250</w:t>
            </w:r>
          </w:p>
        </w:tc>
        <w:tc>
          <w:tcPr>
            <w:tcW w:w="7620" w:type="dxa"/>
            <w:tcBorders>
              <w:top w:val="single" w:sz="4" w:space="0" w:color="auto"/>
            </w:tcBorders>
          </w:tcPr>
          <w:p w14:paraId="0C4BAD09"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Daily trading flow – Derivative trades</w:t>
            </w:r>
          </w:p>
          <w:p w14:paraId="4E39F062" w14:textId="77777777" w:rsidR="00AE5644" w:rsidRPr="005B2FEB" w:rsidRDefault="005B2FEB">
            <w:pPr>
              <w:spacing w:after="120" w:line="240" w:lineRule="auto"/>
              <w:jc w:val="both"/>
              <w:rPr>
                <w:rFonts w:ascii="Times New Roman" w:eastAsia="Times New Roman" w:hAnsi="Times New Roman" w:cs="Times New Roman"/>
                <w:bCs/>
                <w:color w:val="000000" w:themeColor="text1"/>
                <w:lang w:val="en-IE" w:eastAsia="de-DE"/>
              </w:rPr>
            </w:pPr>
            <w:r w:rsidRPr="005B2FEB">
              <w:rPr>
                <w:rFonts w:ascii="Times New Roman" w:eastAsia="Times New Roman" w:hAnsi="Times New Roman" w:cs="Times New Roman"/>
                <w:bCs/>
                <w:color w:val="000000" w:themeColor="text1"/>
                <w:lang w:val="en-IE" w:eastAsia="de-DE"/>
              </w:rPr>
              <w:t>For the purposes of K-factor requirement calculation, investment firms shall report by applying the coefficient of Article 15(2) of Regulation (EU</w:t>
            </w:r>
            <w:r w:rsidRPr="005B2FEB">
              <w:rPr>
                <w:rFonts w:ascii="Times New Roman" w:eastAsia="Times New Roman" w:hAnsi="Times New Roman" w:cs="Times New Roman"/>
                <w:bCs/>
                <w:color w:val="000000" w:themeColor="text1"/>
                <w:lang w:val="en-IE" w:eastAsia="de-DE"/>
              </w:rPr>
              <w:t xml:space="preserve">) </w:t>
            </w:r>
            <w:r w:rsidRPr="005B2FEB">
              <w:rPr>
                <w:rFonts w:ascii="Times New Roman" w:eastAsia="Times New Roman" w:hAnsi="Times New Roman" w:cs="Times New Roman"/>
                <w:bCs/>
                <w:color w:val="000000" w:themeColor="text1"/>
                <w:lang w:val="en-IE" w:eastAsia="de-DE"/>
              </w:rPr>
              <w:t>2019/2033</w:t>
            </w:r>
            <w:r w:rsidRPr="005B2FEB">
              <w:rPr>
                <w:rFonts w:ascii="Times New Roman" w:eastAsia="Times New Roman" w:hAnsi="Times New Roman" w:cs="Times New Roman"/>
                <w:bCs/>
                <w:color w:val="000000" w:themeColor="text1"/>
                <w:lang w:val="en-IE" w:eastAsia="de-DE"/>
              </w:rPr>
              <w:t>.</w:t>
            </w:r>
          </w:p>
          <w:p w14:paraId="1FC7CFB2" w14:textId="77777777" w:rsidR="00AE5644" w:rsidRPr="005B2FEB" w:rsidRDefault="005B2FEB">
            <w:pPr>
              <w:spacing w:after="120" w:line="240" w:lineRule="auto"/>
              <w:jc w:val="both"/>
              <w:rPr>
                <w:rFonts w:ascii="Times New Roman" w:eastAsia="Times New Roman" w:hAnsi="Times New Roman" w:cs="Times New Roman"/>
                <w:bCs/>
                <w:i/>
                <w:color w:val="000000" w:themeColor="text1"/>
                <w:lang w:val="en-IE" w:eastAsia="de-DE"/>
              </w:rPr>
            </w:pPr>
            <w:r w:rsidRPr="005B2FEB">
              <w:rPr>
                <w:rFonts w:ascii="Times New Roman" w:eastAsia="Times New Roman" w:hAnsi="Times New Roman" w:cs="Times New Roman"/>
                <w:bCs/>
                <w:color w:val="000000" w:themeColor="text1"/>
                <w:lang w:val="en-IE" w:eastAsia="de-DE"/>
              </w:rPr>
              <w:t xml:space="preserve">In the event of stressed market conditions, in accordance with Article 15(5), point (c), of Regulation (EU) </w:t>
            </w:r>
            <w:r w:rsidRPr="005B2FEB">
              <w:rPr>
                <w:rFonts w:ascii="Times New Roman" w:eastAsia="Times New Roman" w:hAnsi="Times New Roman" w:cs="Times New Roman"/>
                <w:bCs/>
                <w:color w:val="000000" w:themeColor="text1"/>
                <w:lang w:val="en-IE" w:eastAsia="de-DE"/>
              </w:rPr>
              <w:t>2019/2033</w:t>
            </w:r>
            <w:r w:rsidRPr="005B2FEB">
              <w:rPr>
                <w:rFonts w:ascii="Times New Roman" w:eastAsia="Times New Roman" w:hAnsi="Times New Roman" w:cs="Times New Roman"/>
                <w:bCs/>
                <w:color w:val="000000" w:themeColor="text1"/>
                <w:lang w:val="en-IE" w:eastAsia="de-DE"/>
              </w:rPr>
              <w:t>, investment firms shall apply an adjusted coefficient as specified in that point</w:t>
            </w:r>
            <w:r w:rsidRPr="005B2FEB">
              <w:rPr>
                <w:rFonts w:ascii="Times New Roman" w:eastAsia="Times New Roman" w:hAnsi="Times New Roman" w:cs="Times New Roman"/>
                <w:bCs/>
                <w:i/>
                <w:color w:val="000000" w:themeColor="text1"/>
                <w:lang w:val="en-IE" w:eastAsia="de-DE"/>
              </w:rPr>
              <w:t>.</w:t>
            </w:r>
          </w:p>
          <w:p w14:paraId="4F77AF50" w14:textId="77777777" w:rsidR="00AE5644" w:rsidRPr="005B2FEB" w:rsidRDefault="005B2FEB">
            <w:pPr>
              <w:spacing w:after="120" w:line="240" w:lineRule="auto"/>
              <w:jc w:val="both"/>
              <w:rPr>
                <w:rFonts w:ascii="Times New Roman" w:eastAsia="Times New Roman" w:hAnsi="Times New Roman" w:cs="Times New Roman"/>
                <w:bCs/>
                <w:color w:val="000000" w:themeColor="text1"/>
                <w:lang w:val="en-IE" w:eastAsia="de-DE"/>
              </w:rPr>
            </w:pPr>
            <w:r w:rsidRPr="005B2FEB">
              <w:rPr>
                <w:rFonts w:ascii="Times New Roman" w:eastAsia="Times New Roman" w:hAnsi="Times New Roman" w:cs="Times New Roman"/>
                <w:bCs/>
                <w:color w:val="000000" w:themeColor="text1"/>
                <w:lang w:val="en-IE" w:eastAsia="de-DE"/>
              </w:rPr>
              <w:t>Daily trading flow factor shall be calculat</w:t>
            </w:r>
            <w:r w:rsidRPr="005B2FEB">
              <w:rPr>
                <w:rFonts w:ascii="Times New Roman" w:eastAsia="Times New Roman" w:hAnsi="Times New Roman" w:cs="Times New Roman"/>
                <w:bCs/>
                <w:color w:val="000000" w:themeColor="text1"/>
                <w:lang w:val="en-IE" w:eastAsia="de-DE"/>
              </w:rPr>
              <w:t xml:space="preserve">ed in accordance with Article 33(2), point (b), of Regulation (EU) </w:t>
            </w:r>
            <w:r w:rsidRPr="005B2FEB">
              <w:rPr>
                <w:rFonts w:ascii="Times New Roman" w:eastAsia="Times New Roman" w:hAnsi="Times New Roman" w:cs="Times New Roman"/>
                <w:bCs/>
                <w:color w:val="000000" w:themeColor="text1"/>
                <w:lang w:val="en-IE" w:eastAsia="de-DE"/>
              </w:rPr>
              <w:t>2019/2033</w:t>
            </w:r>
            <w:r w:rsidRPr="005B2FEB">
              <w:rPr>
                <w:rFonts w:ascii="Times New Roman" w:eastAsia="Times New Roman" w:hAnsi="Times New Roman" w:cs="Times New Roman"/>
                <w:bCs/>
                <w:color w:val="000000" w:themeColor="text1"/>
                <w:lang w:val="en-IE" w:eastAsia="de-DE"/>
              </w:rPr>
              <w:t>.</w:t>
            </w:r>
          </w:p>
        </w:tc>
      </w:tr>
      <w:tr w:rsidR="00AE5644" w:rsidRPr="005B2FEB" w14:paraId="3BC7E228" w14:textId="77777777">
        <w:tc>
          <w:tcPr>
            <w:tcW w:w="1129" w:type="dxa"/>
            <w:tcBorders>
              <w:top w:val="single" w:sz="4" w:space="0" w:color="auto"/>
            </w:tcBorders>
          </w:tcPr>
          <w:p w14:paraId="75A02F07"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0260</w:t>
            </w:r>
          </w:p>
        </w:tc>
        <w:tc>
          <w:tcPr>
            <w:tcW w:w="7620" w:type="dxa"/>
            <w:tcBorders>
              <w:top w:val="single" w:sz="4" w:space="0" w:color="auto"/>
            </w:tcBorders>
          </w:tcPr>
          <w:p w14:paraId="1D39078C"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K-Concentration risk requirement</w:t>
            </w:r>
          </w:p>
          <w:p w14:paraId="2FE33DD5" w14:textId="77777777" w:rsidR="00AE5644" w:rsidRPr="005B2FEB" w:rsidRDefault="005B2FEB">
            <w:pPr>
              <w:spacing w:after="120" w:line="240" w:lineRule="auto"/>
              <w:jc w:val="both"/>
              <w:rPr>
                <w:rFonts w:ascii="Times New Roman" w:eastAsia="Times New Roman" w:hAnsi="Times New Roman" w:cs="Times New Roman"/>
                <w:bCs/>
                <w:color w:val="000000" w:themeColor="text1"/>
                <w:lang w:val="en-IE" w:eastAsia="de-DE"/>
              </w:rPr>
            </w:pPr>
            <w:r w:rsidRPr="005B2FEB">
              <w:rPr>
                <w:rFonts w:ascii="Times New Roman" w:eastAsia="Times New Roman" w:hAnsi="Times New Roman" w:cs="Times New Roman"/>
                <w:bCs/>
                <w:color w:val="000000" w:themeColor="text1"/>
                <w:lang w:val="en-IE" w:eastAsia="de-DE"/>
              </w:rPr>
              <w:t xml:space="preserve">Article 37(2), 39 and Article 24 of Regulation (EU) </w:t>
            </w:r>
            <w:r w:rsidRPr="005B2FEB">
              <w:rPr>
                <w:rFonts w:ascii="Times New Roman" w:eastAsia="Times New Roman" w:hAnsi="Times New Roman" w:cs="Times New Roman"/>
                <w:bCs/>
                <w:color w:val="000000" w:themeColor="text1"/>
                <w:lang w:val="en-IE" w:eastAsia="de-DE"/>
              </w:rPr>
              <w:t>2019/2033</w:t>
            </w:r>
            <w:r w:rsidRPr="005B2FEB">
              <w:rPr>
                <w:rFonts w:ascii="Times New Roman" w:eastAsia="Times New Roman" w:hAnsi="Times New Roman" w:cs="Times New Roman"/>
                <w:bCs/>
                <w:color w:val="000000" w:themeColor="text1"/>
                <w:lang w:val="en-IE" w:eastAsia="de-DE"/>
              </w:rPr>
              <w:t>.</w:t>
            </w:r>
          </w:p>
        </w:tc>
      </w:tr>
      <w:tr w:rsidR="00AE5644" w14:paraId="573EE002" w14:textId="77777777">
        <w:tc>
          <w:tcPr>
            <w:tcW w:w="1129" w:type="dxa"/>
            <w:tcBorders>
              <w:top w:val="single" w:sz="4" w:space="0" w:color="auto"/>
            </w:tcBorders>
          </w:tcPr>
          <w:p w14:paraId="7E3BE0D5" w14:textId="77777777" w:rsidR="00AE5644" w:rsidRPr="005B2FEB" w:rsidRDefault="005B2FEB">
            <w:pPr>
              <w:spacing w:after="120" w:line="240" w:lineRule="auto"/>
              <w:jc w:val="both"/>
              <w:rPr>
                <w:rFonts w:ascii="Times New Roman" w:eastAsia="Times New Roman" w:hAnsi="Times New Roman" w:cs="Times New Roman"/>
                <w:bCs/>
                <w:lang w:val="en-IE" w:eastAsia="de-DE"/>
              </w:rPr>
            </w:pPr>
            <w:r w:rsidRPr="005B2FEB">
              <w:rPr>
                <w:rFonts w:ascii="Times New Roman" w:eastAsia="Times New Roman" w:hAnsi="Times New Roman" w:cs="Times New Roman"/>
                <w:bCs/>
                <w:lang w:val="en-IE" w:eastAsia="de-DE"/>
              </w:rPr>
              <w:t>0270</w:t>
            </w:r>
          </w:p>
        </w:tc>
        <w:tc>
          <w:tcPr>
            <w:tcW w:w="7620" w:type="dxa"/>
            <w:tcBorders>
              <w:top w:val="single" w:sz="4" w:space="0" w:color="auto"/>
            </w:tcBorders>
          </w:tcPr>
          <w:p w14:paraId="5A2D5672" w14:textId="77777777" w:rsidR="00AE5644" w:rsidRPr="005B2FEB" w:rsidRDefault="005B2FEB">
            <w:pPr>
              <w:spacing w:after="120" w:line="240" w:lineRule="auto"/>
              <w:jc w:val="both"/>
              <w:rPr>
                <w:rFonts w:ascii="Times New Roman" w:eastAsia="Times New Roman" w:hAnsi="Times New Roman" w:cs="Times New Roman"/>
                <w:b/>
                <w:bCs/>
                <w:u w:val="single"/>
                <w:lang w:val="en-IE" w:eastAsia="de-DE"/>
              </w:rPr>
            </w:pPr>
            <w:r w:rsidRPr="005B2FEB">
              <w:rPr>
                <w:rFonts w:ascii="Times New Roman" w:eastAsia="Times New Roman" w:hAnsi="Times New Roman" w:cs="Times New Roman"/>
                <w:b/>
                <w:bCs/>
                <w:u w:val="single"/>
                <w:lang w:val="en-IE" w:eastAsia="de-DE"/>
              </w:rPr>
              <w:t>Fixed overhead requirements</w:t>
            </w:r>
          </w:p>
          <w:p w14:paraId="185A320D" w14:textId="77777777" w:rsidR="00AE5644" w:rsidRDefault="005B2FEB">
            <w:pPr>
              <w:spacing w:after="120" w:line="240" w:lineRule="auto"/>
              <w:jc w:val="both"/>
              <w:rPr>
                <w:rFonts w:ascii="Times New Roman" w:eastAsia="Times New Roman" w:hAnsi="Times New Roman" w:cs="Times New Roman"/>
                <w:bCs/>
                <w:color w:val="000000" w:themeColor="text1"/>
                <w:lang w:val="en-IE" w:eastAsia="de-DE"/>
              </w:rPr>
            </w:pPr>
            <w:r w:rsidRPr="005B2FEB">
              <w:rPr>
                <w:rFonts w:ascii="Times New Roman" w:eastAsia="Times New Roman" w:hAnsi="Times New Roman" w:cs="Times New Roman"/>
                <w:bCs/>
                <w:color w:val="000000" w:themeColor="text1"/>
                <w:lang w:val="en-IE" w:eastAsia="de-DE"/>
              </w:rPr>
              <w:t xml:space="preserve">Article 13 of Regulation (EU) </w:t>
            </w:r>
            <w:r w:rsidRPr="005B2FEB">
              <w:rPr>
                <w:rFonts w:ascii="Times New Roman" w:eastAsia="Times New Roman" w:hAnsi="Times New Roman" w:cs="Times New Roman"/>
                <w:bCs/>
                <w:color w:val="000000" w:themeColor="text1"/>
                <w:lang w:val="en-IE" w:eastAsia="de-DE"/>
              </w:rPr>
              <w:t>2019/2033</w:t>
            </w:r>
            <w:r w:rsidRPr="005B2FEB">
              <w:rPr>
                <w:rFonts w:ascii="Times New Roman" w:eastAsia="Times New Roman" w:hAnsi="Times New Roman" w:cs="Times New Roman"/>
                <w:bCs/>
                <w:color w:val="000000" w:themeColor="text1"/>
                <w:lang w:val="en-IE" w:eastAsia="de-DE"/>
              </w:rPr>
              <w:t>.</w:t>
            </w:r>
          </w:p>
        </w:tc>
      </w:tr>
    </w:tbl>
    <w:p w14:paraId="22248AEA" w14:textId="77777777" w:rsidR="00AE5644" w:rsidRDefault="00AE5644">
      <w:pPr>
        <w:pStyle w:val="Instructionsberschrift2"/>
        <w:ind w:left="357" w:hanging="357"/>
        <w:rPr>
          <w:lang w:val="en-IE"/>
        </w:rPr>
      </w:pPr>
    </w:p>
    <w:sectPr w:rsidR="00AE564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E97DB" w14:textId="77777777" w:rsidR="00AE5644" w:rsidRDefault="00AE5644">
      <w:pPr>
        <w:pStyle w:val="Footer"/>
      </w:pPr>
    </w:p>
  </w:endnote>
  <w:endnote w:type="continuationSeparator" w:id="0">
    <w:p w14:paraId="52B0CEFD" w14:textId="77777777" w:rsidR="00AE5644" w:rsidRDefault="00AE5644">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1978" w14:textId="77777777" w:rsidR="00AE5644" w:rsidRDefault="00AE5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7716" w14:textId="77777777" w:rsidR="00AE5644" w:rsidRDefault="005B2FEB">
    <w:pPr>
      <w:pStyle w:val="Footer"/>
      <w:tabs>
        <w:tab w:val="clear" w:pos="4513"/>
        <w:tab w:val="clear" w:pos="9026"/>
        <w:tab w:val="right" w:pos="9071"/>
      </w:tabs>
    </w:pPr>
    <w:r>
      <w:t>EN - Cleaned document</w:t>
    </w:r>
    <w:r>
      <w:tab/>
    </w:r>
    <w:r>
      <w:fldChar w:fldCharType="begin"/>
    </w:r>
    <w:r>
      <w:instrText xml:space="preserve"> PAGE \* MERGEFORMAT </w:instrText>
    </w:r>
    <w:r>
      <w:fldChar w:fldCharType="separate"/>
    </w:r>
    <w:r>
      <w:rPr>
        <w:noProof/>
      </w:rPr>
      <w:t>1</w:t>
    </w:r>
    <w:r>
      <w:fldChar w:fldCharType="end"/>
    </w:r>
    <w:r>
      <w:t>/</w:t>
    </w:r>
    <w:r>
      <w:fldChar w:fldCharType="begin"/>
    </w:r>
    <w:r>
      <w:instrText xml:space="preserve"> NUMPAGES \* MERGEFORMAT </w:instrText>
    </w:r>
    <w:r>
      <w:fldChar w:fldCharType="separate"/>
    </w:r>
    <w:r>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F88E" w14:textId="77777777" w:rsidR="00AE5644" w:rsidRDefault="00AE5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1F2D8" w14:textId="77777777" w:rsidR="00AE5644" w:rsidRDefault="00AE5644">
      <w:pPr>
        <w:pStyle w:val="Footer"/>
      </w:pPr>
    </w:p>
  </w:footnote>
  <w:footnote w:type="continuationSeparator" w:id="0">
    <w:p w14:paraId="7ED25044" w14:textId="77777777" w:rsidR="00AE5644" w:rsidRDefault="00AE5644">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7E3F2" w14:textId="77777777" w:rsidR="00AE5644" w:rsidRDefault="005B2FEB">
    <w:pPr>
      <w:pStyle w:val="Header"/>
    </w:pPr>
    <w:r>
      <w:rPr>
        <w:rFonts w:ascii="Times New Roman" w:hAnsi="Times New Roman" w:cs="Times New Roman"/>
        <w:color w:val="000000"/>
        <w:sz w:val="24"/>
      </w:rPr>
      <w:t>Central Bank of Ireland - RESTRICTED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4BD1" w14:textId="77777777" w:rsidR="00AE5644" w:rsidRDefault="00AE5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683A" w14:textId="77777777" w:rsidR="00AE5644" w:rsidRDefault="005B2FEB">
    <w:pPr>
      <w:pStyle w:val="Header"/>
    </w:pPr>
    <w:r>
      <w:rPr>
        <w:rFonts w:ascii="Times New Roman" w:hAnsi="Times New Roman" w:cs="Times New Roman"/>
        <w:color w:val="000000"/>
        <w:sz w:val="24"/>
      </w:rPr>
      <w:t>Central Bank of Ireland - 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04293"/>
    <w:multiLevelType w:val="hybridMultilevel"/>
    <w:tmpl w:val="C2D274AC"/>
    <w:lvl w:ilvl="0" w:tplc="9B189216">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07C272B"/>
    <w:multiLevelType w:val="hybridMultilevel"/>
    <w:tmpl w:val="5FF2362C"/>
    <w:lvl w:ilvl="0" w:tplc="CF5C81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802EC7"/>
    <w:multiLevelType w:val="multilevel"/>
    <w:tmpl w:val="3BFC9DFC"/>
    <w:lvl w:ilvl="0">
      <w:start w:val="1"/>
      <w:numFmt w:val="decimal"/>
      <w:lvlText w:val="%1."/>
      <w:lvlJc w:val="left"/>
      <w:pPr>
        <w:ind w:left="360" w:hanging="360"/>
      </w:pPr>
    </w:lvl>
    <w:lvl w:ilvl="1">
      <w:start w:val="1"/>
      <w:numFmt w:val="decimal"/>
      <w:lvlText w:val="%1.%2."/>
      <w:lvlJc w:val="left"/>
      <w:pPr>
        <w:ind w:left="792" w:hanging="432"/>
      </w:pPr>
    </w:lvl>
    <w:lvl w:ilvl="2">
      <w:start w:val="11"/>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E4026E"/>
    <w:multiLevelType w:val="hybridMultilevel"/>
    <w:tmpl w:val="ED7C6D34"/>
    <w:lvl w:ilvl="0" w:tplc="1809000F">
      <w:start w:val="1"/>
      <w:numFmt w:val="decimal"/>
      <w:lvlText w:val="%1."/>
      <w:lvlJc w:val="left"/>
      <w:pPr>
        <w:ind w:left="720" w:hanging="360"/>
      </w:p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5" w15:restartNumberingAfterBreak="0">
    <w:nsid w:val="33F45FC0"/>
    <w:multiLevelType w:val="hybridMultilevel"/>
    <w:tmpl w:val="861075D0"/>
    <w:lvl w:ilvl="0" w:tplc="BAEC61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7F300C"/>
    <w:multiLevelType w:val="multilevel"/>
    <w:tmpl w:val="F990A070"/>
    <w:lvl w:ilvl="0">
      <w:start w:val="1"/>
      <w:numFmt w:val="decimal"/>
      <w:lvlText w:val="%1."/>
      <w:lvlJc w:val="left"/>
      <w:pPr>
        <w:ind w:left="360" w:hanging="360"/>
      </w:pPr>
    </w:lvl>
    <w:lvl w:ilvl="1">
      <w:start w:val="3"/>
      <w:numFmt w:val="decimal"/>
      <w:lvlText w:val="%1.%2."/>
      <w:lvlJc w:val="left"/>
      <w:pPr>
        <w:ind w:left="792" w:hanging="432"/>
      </w:pPr>
    </w:lvl>
    <w:lvl w:ilvl="2">
      <w:start w:val="9"/>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DE1B7E"/>
    <w:multiLevelType w:val="multilevel"/>
    <w:tmpl w:val="A2FAFAAE"/>
    <w:lvl w:ilvl="0">
      <w:start w:val="1"/>
      <w:numFmt w:val="decimal"/>
      <w:lvlText w:val="%1."/>
      <w:lvlJc w:val="left"/>
      <w:pPr>
        <w:ind w:left="360" w:hanging="360"/>
      </w:pPr>
    </w:lvl>
    <w:lvl w:ilvl="1">
      <w:start w:val="4"/>
      <w:numFmt w:val="decimal"/>
      <w:lvlText w:val="%1.%2."/>
      <w:lvlJc w:val="left"/>
      <w:pPr>
        <w:ind w:left="792" w:hanging="432"/>
      </w:pPr>
    </w:lvl>
    <w:lvl w:ilvl="2">
      <w:start w:val="10"/>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E600D98"/>
    <w:multiLevelType w:val="multilevel"/>
    <w:tmpl w:val="A2FAFAAE"/>
    <w:lvl w:ilvl="0">
      <w:start w:val="1"/>
      <w:numFmt w:val="decimal"/>
      <w:lvlText w:val="%1."/>
      <w:lvlJc w:val="left"/>
      <w:pPr>
        <w:ind w:left="360" w:hanging="360"/>
      </w:pPr>
    </w:lvl>
    <w:lvl w:ilvl="1">
      <w:start w:val="4"/>
      <w:numFmt w:val="decimal"/>
      <w:lvlText w:val="%1.%2."/>
      <w:lvlJc w:val="left"/>
      <w:pPr>
        <w:ind w:left="792" w:hanging="432"/>
      </w:pPr>
    </w:lvl>
    <w:lvl w:ilvl="2">
      <w:start w:val="10"/>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57503B"/>
    <w:multiLevelType w:val="multilevel"/>
    <w:tmpl w:val="9EF841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AB17E1"/>
    <w:multiLevelType w:val="multilevel"/>
    <w:tmpl w:val="15C8FFFA"/>
    <w:lvl w:ilvl="0">
      <w:start w:val="1"/>
      <w:numFmt w:val="decimal"/>
      <w:lvlText w:val="%1."/>
      <w:lvlJc w:val="left"/>
      <w:pPr>
        <w:ind w:left="360" w:hanging="360"/>
      </w:pPr>
    </w:lvl>
    <w:lvl w:ilvl="1">
      <w:start w:val="2"/>
      <w:numFmt w:val="decimal"/>
      <w:lvlText w:val="%1.%2."/>
      <w:lvlJc w:val="left"/>
      <w:pPr>
        <w:ind w:left="792" w:hanging="432"/>
      </w:pPr>
    </w:lvl>
    <w:lvl w:ilvl="2">
      <w:start w:val="4"/>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5544C6"/>
    <w:multiLevelType w:val="hybridMultilevel"/>
    <w:tmpl w:val="B5AE6A30"/>
    <w:lvl w:ilvl="0" w:tplc="FE3020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371863"/>
    <w:multiLevelType w:val="hybridMultilevel"/>
    <w:tmpl w:val="E5404712"/>
    <w:lvl w:ilvl="0" w:tplc="40D6BD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1"/>
  </w:num>
  <w:num w:numId="4">
    <w:abstractNumId w:val="0"/>
  </w:num>
  <w:num w:numId="5">
    <w:abstractNumId w:val="3"/>
  </w:num>
  <w:num w:numId="6">
    <w:abstractNumId w:val="1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revisionView w:markup="0"/>
  <w:defaultTabStop w:val="720"/>
  <w:hyphenationZone w:val="283"/>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E5644"/>
    <w:rsid w:val="005B2FEB"/>
    <w:rsid w:val="00AE56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14:docId w14:val="673B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9"/>
    <w:qFormat/>
    <w:pPr>
      <w:keepNext/>
      <w:spacing w:before="240" w:after="120" w:line="240" w:lineRule="auto"/>
      <w:jc w:val="both"/>
      <w:outlineLvl w:val="1"/>
    </w:pPr>
    <w:rPr>
      <w:rFonts w:ascii="Verdana" w:eastAsia="Arial" w:hAnsi="Verdana" w:cs="Times New Roman"/>
      <w:b/>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pPr>
      <w:spacing w:after="100"/>
      <w:ind w:left="220"/>
    </w:pPr>
  </w:style>
  <w:style w:type="character" w:customStyle="1" w:styleId="Heading2Char">
    <w:name w:val="Heading 2 Char"/>
    <w:basedOn w:val="DefaultParagraphFont"/>
    <w:link w:val="Heading2"/>
    <w:uiPriority w:val="99"/>
    <w:rPr>
      <w:rFonts w:ascii="Verdana" w:eastAsia="Arial" w:hAnsi="Verdana" w:cs="Times New Roman"/>
      <w:b/>
      <w:sz w:val="24"/>
      <w:szCs w:val="24"/>
      <w:u w:val="single"/>
      <w:lang w:val="en-US"/>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FormatvorlageInstructionsTabelleText">
    <w:name w:val="Formatvorlage Instructions Tabelle Text"/>
    <w:uiPriority w:val="99"/>
    <w:qFormat/>
    <w:rPr>
      <w:rFonts w:ascii="Verdana" w:hAnsi="Verdana" w:cs="Times New Roman"/>
      <w:bCs/>
      <w:sz w:val="20"/>
      <w:u w:val="none"/>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Text">
    <w:name w:val="Instructions Text"/>
    <w:basedOn w:val="Normal"/>
    <w:link w:val="InstructionsTextChar"/>
    <w:autoRedefine/>
    <w:pPr>
      <w:spacing w:after="0" w:line="240" w:lineRule="auto"/>
      <w:jc w:val="both"/>
    </w:pPr>
    <w:rPr>
      <w:rFonts w:ascii="Times New Roman" w:eastAsia="Times New Roman" w:hAnsi="Times New Roman" w:cs="Arial"/>
      <w:bCs/>
      <w:sz w:val="24"/>
      <w:szCs w:val="24"/>
      <w:lang w:eastAsia="de-DE"/>
    </w:rPr>
  </w:style>
  <w:style w:type="character" w:customStyle="1" w:styleId="InstructionsTextChar">
    <w:name w:val="Instructions Text Char"/>
    <w:link w:val="InstructionsText"/>
    <w:locked/>
    <w:rPr>
      <w:rFonts w:ascii="Times New Roman" w:eastAsia="Times New Roman" w:hAnsi="Times New Roman" w:cs="Arial"/>
      <w:bCs/>
      <w:sz w:val="24"/>
      <w:szCs w:val="24"/>
      <w:lang w:eastAsia="de-D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IE"/>
    </w:rPr>
  </w:style>
  <w:style w:type="paragraph" w:customStyle="1" w:styleId="Aufzhlungszeichen3">
    <w:name w:val="Aufzählungszeichen3"/>
    <w:basedOn w:val="Normal"/>
    <w:uiPriority w:val="1"/>
    <w:qFormat/>
    <w:pPr>
      <w:numPr>
        <w:numId w:val="6"/>
      </w:numPr>
      <w:spacing w:before="120" w:after="120" w:line="240" w:lineRule="exact"/>
      <w:jc w:val="both"/>
    </w:pPr>
    <w:rPr>
      <w:rFonts w:ascii="Verdana" w:eastAsia="Times New Roman" w:hAnsi="Verdana" w:cs="Times New Roman"/>
      <w:sz w:val="20"/>
      <w:szCs w:val="24"/>
    </w:rPr>
  </w:style>
  <w:style w:type="paragraph" w:customStyle="1" w:styleId="InstructionsText2">
    <w:name w:val="Instructions Text 2"/>
    <w:basedOn w:val="InstructionsText"/>
    <w:qFormat/>
    <w:pPr>
      <w:numPr>
        <w:numId w:val="12"/>
      </w:numPr>
      <w:spacing w:after="240"/>
    </w:pPr>
    <w:rPr>
      <w:rFonts w:cs="Times New Roman"/>
      <w:bCs w:val="0"/>
    </w:rPr>
  </w:style>
  <w:style w:type="paragraph" w:customStyle="1" w:styleId="Instructionsberschrift2">
    <w:name w:val="Instructions Überschrift 2"/>
    <w:basedOn w:val="Heading2"/>
    <w:pPr>
      <w:spacing w:after="240"/>
      <w:ind w:left="720"/>
    </w:pPr>
    <w:rPr>
      <w:rFonts w:cs="Arial"/>
      <w:b w:val="0"/>
      <w:sz w:val="20"/>
    </w:rPr>
  </w:style>
  <w:style w:type="character" w:customStyle="1" w:styleId="ListParagraphChar">
    <w:name w:val="List Paragraph Char"/>
    <w:link w:val="ListParagraph"/>
    <w:uiPriority w:val="34"/>
  </w:style>
  <w:style w:type="character" w:customStyle="1" w:styleId="InstructionsTabelleText">
    <w:name w:val="Instructions Tabelle Text"/>
    <w:rPr>
      <w:rFonts w:ascii="Verdana" w:hAnsi="Verdana" w:cs="Times New Roman"/>
      <w:sz w:val="20"/>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7953">
      <w:bodyDiv w:val="1"/>
      <w:marLeft w:val="0"/>
      <w:marRight w:val="0"/>
      <w:marTop w:val="0"/>
      <w:marBottom w:val="0"/>
      <w:divBdr>
        <w:top w:val="none" w:sz="0" w:space="0" w:color="auto"/>
        <w:left w:val="none" w:sz="0" w:space="0" w:color="auto"/>
        <w:bottom w:val="none" w:sz="0" w:space="0" w:color="auto"/>
        <w:right w:val="none" w:sz="0" w:space="0" w:color="auto"/>
      </w:divBdr>
    </w:div>
    <w:div w:id="211356039">
      <w:bodyDiv w:val="1"/>
      <w:marLeft w:val="0"/>
      <w:marRight w:val="0"/>
      <w:marTop w:val="0"/>
      <w:marBottom w:val="0"/>
      <w:divBdr>
        <w:top w:val="none" w:sz="0" w:space="0" w:color="auto"/>
        <w:left w:val="none" w:sz="0" w:space="0" w:color="auto"/>
        <w:bottom w:val="none" w:sz="0" w:space="0" w:color="auto"/>
        <w:right w:val="none" w:sz="0" w:space="0" w:color="auto"/>
      </w:divBdr>
    </w:div>
    <w:div w:id="455148165">
      <w:bodyDiv w:val="1"/>
      <w:marLeft w:val="0"/>
      <w:marRight w:val="0"/>
      <w:marTop w:val="0"/>
      <w:marBottom w:val="0"/>
      <w:divBdr>
        <w:top w:val="none" w:sz="0" w:space="0" w:color="auto"/>
        <w:left w:val="none" w:sz="0" w:space="0" w:color="auto"/>
        <w:bottom w:val="none" w:sz="0" w:space="0" w:color="auto"/>
        <w:right w:val="none" w:sz="0" w:space="0" w:color="auto"/>
      </w:divBdr>
    </w:div>
    <w:div w:id="1303537486">
      <w:bodyDiv w:val="1"/>
      <w:marLeft w:val="0"/>
      <w:marRight w:val="0"/>
      <w:marTop w:val="0"/>
      <w:marBottom w:val="0"/>
      <w:divBdr>
        <w:top w:val="none" w:sz="0" w:space="0" w:color="auto"/>
        <w:left w:val="none" w:sz="0" w:space="0" w:color="auto"/>
        <w:bottom w:val="none" w:sz="0" w:space="0" w:color="auto"/>
        <w:right w:val="none" w:sz="0" w:space="0" w:color="auto"/>
      </w:divBdr>
    </w:div>
    <w:div w:id="1431663564">
      <w:bodyDiv w:val="1"/>
      <w:marLeft w:val="0"/>
      <w:marRight w:val="0"/>
      <w:marTop w:val="0"/>
      <w:marBottom w:val="0"/>
      <w:divBdr>
        <w:top w:val="none" w:sz="0" w:space="0" w:color="auto"/>
        <w:left w:val="none" w:sz="0" w:space="0" w:color="auto"/>
        <w:bottom w:val="none" w:sz="0" w:space="0" w:color="auto"/>
        <w:right w:val="none" w:sz="0" w:space="0" w:color="auto"/>
      </w:divBdr>
    </w:div>
    <w:div w:id="2033148956">
      <w:bodyDiv w:val="1"/>
      <w:marLeft w:val="0"/>
      <w:marRight w:val="0"/>
      <w:marTop w:val="0"/>
      <w:marBottom w:val="0"/>
      <w:divBdr>
        <w:top w:val="none" w:sz="0" w:space="0" w:color="auto"/>
        <w:left w:val="none" w:sz="0" w:space="0" w:color="auto"/>
        <w:bottom w:val="none" w:sz="0" w:space="0" w:color="auto"/>
        <w:right w:val="none" w:sz="0" w:space="0" w:color="auto"/>
      </w:divBdr>
    </w:div>
    <w:div w:id="2076051648">
      <w:bodyDiv w:val="1"/>
      <w:marLeft w:val="0"/>
      <w:marRight w:val="0"/>
      <w:marTop w:val="0"/>
      <w:marBottom w:val="0"/>
      <w:divBdr>
        <w:top w:val="none" w:sz="0" w:space="0" w:color="auto"/>
        <w:left w:val="none" w:sz="0" w:space="0" w:color="auto"/>
        <w:bottom w:val="none" w:sz="0" w:space="0" w:color="auto"/>
        <w:right w:val="none" w:sz="0" w:space="0" w:color="auto"/>
      </w:divBdr>
    </w:div>
    <w:div w:id="212731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a586b747-2a7c-4f57-bcd1-e81df5c8c005" origin="userSelected">
  <element uid="id_classification_generalbusiness" value=""/>
</sisl>
</file>

<file path=customXml/itemProps1.xml><?xml version="1.0" encoding="utf-8"?>
<ds:datastoreItem xmlns:ds="http://schemas.openxmlformats.org/officeDocument/2006/customXml" ds:itemID="{F47FAB23-BA97-47A1-BEDD-DE733C2E5D77}">
  <ds:schemaRefs>
    <ds:schemaRef ds:uri="http://schemas.openxmlformats.org/officeDocument/2006/bibliography"/>
  </ds:schemaRefs>
</ds:datastoreItem>
</file>

<file path=customXml/itemProps2.xml><?xml version="1.0" encoding="utf-8"?>
<ds:datastoreItem xmlns:ds="http://schemas.openxmlformats.org/officeDocument/2006/customXml" ds:itemID="{67500584-2808-442D-BA8D-CDE8FD90BA8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2882</Words>
  <Characters>20554</Characters>
  <Application>Microsoft Office Word</Application>
  <DocSecurity>0</DocSecurity>
  <Lines>978</Lines>
  <Paragraphs>650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2021-11-25T14:57:00Z</dcterms:created>
  <dcterms:modified xsi:type="dcterms:W3CDTF">2022-01-14T11:12:00Z</dcterms:modified>
  <cp:category/>
</cp:coreProperties>
</file>