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47B8" w14:textId="7B1EFC1B" w:rsidR="00931C32" w:rsidRPr="008B5A2A" w:rsidRDefault="3E2CC804" w:rsidP="00470C3A">
      <w:pPr>
        <w:pStyle w:val="Titlelevel2"/>
        <w:spacing w:before="0"/>
        <w:jc w:val="center"/>
        <w:rPr>
          <w:rFonts w:ascii="Times New Roman" w:hAnsi="Times New Roman" w:cs="Times New Roman"/>
          <w:b/>
          <w:color w:val="auto"/>
          <w:sz w:val="24"/>
          <w:lang w:val="en-GB"/>
        </w:rPr>
      </w:pPr>
      <w:r w:rsidRPr="008B5A2A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ANNEX XXX – Market risk standardized and internal approach disclosure tables and templates: </w:t>
      </w:r>
      <w:r w:rsidR="00470C3A" w:rsidRPr="008B5A2A">
        <w:rPr>
          <w:rFonts w:ascii="Times New Roman" w:hAnsi="Times New Roman" w:cs="Times New Roman"/>
          <w:b/>
          <w:color w:val="auto"/>
          <w:sz w:val="24"/>
          <w:lang w:val="en-GB"/>
        </w:rPr>
        <w:t>Instructions</w:t>
      </w:r>
    </w:p>
    <w:p w14:paraId="30BCD097" w14:textId="5AC722F9" w:rsidR="00931C32" w:rsidRPr="008B5A2A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4"/>
          <w:lang w:val="en-GB"/>
        </w:rPr>
      </w:pPr>
      <w:r w:rsidRPr="008B5A2A">
        <w:rPr>
          <w:rFonts w:ascii="Times New Roman" w:hAnsi="Times New Roman" w:cs="Times New Roman"/>
          <w:color w:val="auto"/>
          <w:sz w:val="24"/>
          <w:lang w:val="en-GB"/>
        </w:rPr>
        <w:t>This annex includes</w:t>
      </w:r>
      <w:r w:rsidR="0904027C" w:rsidRPr="008B5A2A">
        <w:rPr>
          <w:rFonts w:ascii="Times New Roman" w:hAnsi="Times New Roman" w:cs="Times New Roman"/>
          <w:color w:val="auto"/>
          <w:sz w:val="24"/>
          <w:lang w:val="en-GB"/>
        </w:rPr>
        <w:t xml:space="preserve"> </w:t>
      </w:r>
      <w:r w:rsidRPr="008B5A2A">
        <w:rPr>
          <w:rFonts w:ascii="Times New Roman" w:hAnsi="Times New Roman" w:cs="Times New Roman"/>
          <w:color w:val="auto"/>
          <w:sz w:val="24"/>
          <w:lang w:val="en-GB"/>
        </w:rPr>
        <w:t>the instructions that institutions shall follow when disclosing the information referred to in Articles 435, 445 and 455 of Regulation (EU) 575/2013</w:t>
      </w:r>
      <w:r w:rsidR="00931C32" w:rsidRPr="008B5A2A">
        <w:rPr>
          <w:rStyle w:val="FootnoteReference"/>
          <w:rFonts w:ascii="Times New Roman" w:hAnsi="Times New Roman" w:cs="Times New Roman"/>
          <w:color w:val="auto"/>
          <w:lang w:val="en-GB"/>
        </w:rPr>
        <w:footnoteReference w:id="2"/>
      </w:r>
      <w:r w:rsidRPr="008B5A2A">
        <w:rPr>
          <w:rFonts w:ascii="Times New Roman" w:hAnsi="Times New Roman" w:cs="Times New Roman"/>
          <w:color w:val="auto"/>
          <w:sz w:val="24"/>
          <w:lang w:val="en-GB"/>
        </w:rPr>
        <w:t xml:space="preserve"> (“</w:t>
      </w:r>
      <w:r w:rsidR="742F8FBC" w:rsidRPr="008B5A2A">
        <w:rPr>
          <w:rFonts w:ascii="Times New Roman" w:hAnsi="Times New Roman" w:cs="Times New Roman"/>
          <w:color w:val="auto"/>
          <w:sz w:val="24"/>
          <w:lang w:val="en-GB"/>
        </w:rPr>
        <w:t>CRR</w:t>
      </w:r>
      <w:r w:rsidRPr="008B5A2A">
        <w:rPr>
          <w:rFonts w:ascii="Times New Roman" w:hAnsi="Times New Roman" w:cs="Times New Roman"/>
          <w:color w:val="auto"/>
          <w:sz w:val="24"/>
          <w:lang w:val="en-GB"/>
        </w:rPr>
        <w:t xml:space="preserve">”) to complete the market risk disclosure tables and templates which are presented in Annex XXIX to this Implementing Regulation. </w:t>
      </w:r>
    </w:p>
    <w:p w14:paraId="69DA8DE0" w14:textId="79F633B4" w:rsidR="00931C32" w:rsidRPr="008B5A2A" w:rsidRDefault="00931C32" w:rsidP="00931C32">
      <w:pPr>
        <w:spacing w:after="240"/>
        <w:jc w:val="both"/>
        <w:rPr>
          <w:rFonts w:ascii="Times New Roman" w:hAnsi="Times New Roman" w:cs="Times New Roman"/>
          <w:sz w:val="24"/>
        </w:rPr>
      </w:pPr>
      <w:r w:rsidRPr="008B5A2A">
        <w:rPr>
          <w:rFonts w:ascii="Times New Roman" w:hAnsi="Times New Roman" w:cs="Times New Roman"/>
          <w:b/>
          <w:sz w:val="24"/>
        </w:rPr>
        <w:t>Table EU MRA</w:t>
      </w:r>
      <w:r w:rsidRPr="008B5A2A">
        <w:rPr>
          <w:rFonts w:ascii="Times New Roman" w:hAnsi="Times New Roman" w:cs="Times New Roman"/>
          <w:sz w:val="24"/>
        </w:rPr>
        <w:t xml:space="preserve"> </w:t>
      </w:r>
      <w:r w:rsidRPr="008B5A2A">
        <w:rPr>
          <w:rFonts w:ascii="Times New Roman" w:hAnsi="Times New Roman" w:cs="Times New Roman"/>
          <w:b/>
          <w:sz w:val="24"/>
        </w:rPr>
        <w:t>- Qualitative disclosure requirements related to market risk:</w:t>
      </w:r>
      <w:r w:rsidRPr="008B5A2A">
        <w:rPr>
          <w:rFonts w:ascii="Times New Roman" w:hAnsi="Times New Roman" w:cs="Times New Roman"/>
          <w:sz w:val="24"/>
        </w:rPr>
        <w:t xml:space="preserve"> Free format text </w:t>
      </w:r>
      <w:r w:rsidR="00470C3A" w:rsidRPr="008B5A2A">
        <w:rPr>
          <w:rFonts w:ascii="Times New Roman" w:hAnsi="Times New Roman" w:cs="Times New Roman"/>
          <w:sz w:val="24"/>
        </w:rPr>
        <w:t>boxes.</w:t>
      </w:r>
    </w:p>
    <w:p w14:paraId="1B9BDBE7" w14:textId="7EF1414D" w:rsidR="00931C32" w:rsidRPr="008B5A2A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4"/>
          <w:lang w:val="en-GB"/>
        </w:rPr>
      </w:pP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Institutions shall disclose the information referred to in Article 435(1)</w:t>
      </w:r>
      <w:r w:rsidR="00BE4793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, points (a) to</w:t>
      </w:r>
      <w:r w:rsidR="001057C3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(d) of the</w:t>
      </w:r>
      <w:r w:rsidR="4B1E0054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</w:t>
      </w:r>
      <w:r w:rsidR="7C6238D6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Regulation (EU) 575/2013 </w:t>
      </w: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with regards to market risk by following the instructions provided below in this Annex to complete table EU MRA which is presented in Annex XXIX.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8611FF" w:rsidRPr="008B5A2A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77777777" w:rsidR="00931C32" w:rsidRPr="008B5A2A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8611FF" w:rsidRPr="008B5A2A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8B5A2A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</w:rPr>
              <w:t>Row number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8B5A2A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8611FF" w:rsidRPr="008B5A2A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77777777" w:rsidR="00931C32" w:rsidRPr="008B5A2A" w:rsidRDefault="00931C32" w:rsidP="00DE090B">
            <w:pPr>
              <w:pStyle w:val="Applicationdirecte"/>
              <w:spacing w:before="0" w:after="240"/>
              <w:jc w:val="center"/>
            </w:pPr>
            <w:r w:rsidRPr="008B5A2A">
              <w:t>(a)</w:t>
            </w:r>
          </w:p>
        </w:tc>
        <w:tc>
          <w:tcPr>
            <w:tcW w:w="7655" w:type="dxa"/>
            <w:vAlign w:val="center"/>
          </w:tcPr>
          <w:p w14:paraId="0ECBECD6" w14:textId="608C27F4" w:rsidR="00931C32" w:rsidRPr="008B5A2A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hAnsi="Times New Roman" w:cs="Times New Roman"/>
                <w:sz w:val="24"/>
              </w:rPr>
              <w:t>When disclosing information referred to in Article 435 (1)</w:t>
            </w:r>
            <w:r w:rsidR="5A6F7853" w:rsidRPr="008B5A2A">
              <w:rPr>
                <w:rFonts w:ascii="Times New Roman" w:hAnsi="Times New Roman" w:cs="Times New Roman"/>
                <w:sz w:val="24"/>
              </w:rPr>
              <w:t>, points (a) and (d) of the</w:t>
            </w:r>
            <w:r w:rsidRPr="008B5A2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745D248" w:rsidRPr="008B5A2A">
              <w:rPr>
                <w:rFonts w:ascii="Times New Roman" w:hAnsi="Times New Roman" w:cs="Times New Roman"/>
                <w:sz w:val="24"/>
              </w:rPr>
              <w:t xml:space="preserve">Regulation (EU) 575/2013 </w:t>
            </w:r>
            <w:r w:rsidRPr="008B5A2A">
              <w:rPr>
                <w:rFonts w:ascii="Times New Roman" w:hAnsi="Times New Roman" w:cs="Times New Roman"/>
                <w:sz w:val="24"/>
              </w:rPr>
              <w:t xml:space="preserve">on the risk management objectives and policies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to manage market risk, institutions shall include:</w:t>
            </w:r>
          </w:p>
          <w:p w14:paraId="2954CCD3" w14:textId="77777777" w:rsidR="00931C32" w:rsidRPr="008B5A2A" w:rsidRDefault="00931C32" w:rsidP="00416FA0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A2A">
              <w:rPr>
                <w:rFonts w:ascii="Times New Roman" w:eastAsia="Times New Roman" w:hAnsi="Times New Roman"/>
                <w:sz w:val="24"/>
                <w:szCs w:val="24"/>
              </w:rPr>
              <w:t xml:space="preserve">an explanation of their management’s strategic objectives in undertaking trading activities; </w:t>
            </w:r>
          </w:p>
          <w:p w14:paraId="28C8AA1E" w14:textId="787A9112" w:rsidR="00DE4020" w:rsidRPr="008B5A2A" w:rsidRDefault="00EC10EF" w:rsidP="00416FA0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A2A">
              <w:rPr>
                <w:rFonts w:ascii="Times New Roman" w:hAnsi="Times New Roman"/>
                <w:sz w:val="24"/>
                <w:szCs w:val="24"/>
              </w:rPr>
              <w:t xml:space="preserve">a description of </w:t>
            </w:r>
            <w:r w:rsidR="00A57E44" w:rsidRPr="008B5A2A">
              <w:rPr>
                <w:rFonts w:ascii="Times New Roman" w:hAnsi="Times New Roman"/>
                <w:sz w:val="24"/>
                <w:szCs w:val="24"/>
              </w:rPr>
              <w:t xml:space="preserve">the policies referred to in Article 104 (1) for determining which position is to be included in the trading </w:t>
            </w:r>
            <w:r w:rsidR="006E73FE" w:rsidRPr="008B5A2A">
              <w:rPr>
                <w:rFonts w:ascii="Times New Roman" w:hAnsi="Times New Roman"/>
                <w:sz w:val="24"/>
                <w:szCs w:val="24"/>
              </w:rPr>
              <w:t>book</w:t>
            </w:r>
            <w:r w:rsidR="0067349D" w:rsidRPr="008B5A2A">
              <w:rPr>
                <w:rFonts w:ascii="Times New Roman" w:hAnsi="Times New Roman"/>
                <w:sz w:val="24"/>
                <w:szCs w:val="24"/>
              </w:rPr>
              <w:t>, including the definition of stale positions</w:t>
            </w:r>
            <w:r w:rsidR="006D7761" w:rsidRPr="008B5A2A">
              <w:rPr>
                <w:rFonts w:ascii="Times New Roman" w:hAnsi="Times New Roman"/>
                <w:sz w:val="24"/>
                <w:szCs w:val="24"/>
              </w:rPr>
              <w:t xml:space="preserve"> and</w:t>
            </w:r>
            <w:r w:rsidR="0067349D" w:rsidRPr="008B5A2A">
              <w:rPr>
                <w:rFonts w:ascii="Times New Roman" w:hAnsi="Times New Roman"/>
                <w:sz w:val="24"/>
                <w:szCs w:val="24"/>
              </w:rPr>
              <w:t xml:space="preserve"> the risk management policies for monitoring those positions</w:t>
            </w:r>
            <w:r w:rsidR="006D7761" w:rsidRPr="008B5A2A">
              <w:rPr>
                <w:rFonts w:ascii="Times New Roman" w:hAnsi="Times New Roman"/>
                <w:sz w:val="24"/>
                <w:szCs w:val="24"/>
              </w:rPr>
              <w:t xml:space="preserve">. In addition, institutions </w:t>
            </w:r>
            <w:r w:rsidR="0060218B" w:rsidRPr="008B5A2A">
              <w:rPr>
                <w:rFonts w:ascii="Times New Roman" w:hAnsi="Times New Roman"/>
                <w:sz w:val="24"/>
                <w:szCs w:val="24"/>
              </w:rPr>
              <w:t xml:space="preserve">shall describe </w:t>
            </w:r>
            <w:r w:rsidR="0067349D" w:rsidRPr="008B5A2A">
              <w:rPr>
                <w:rFonts w:ascii="Times New Roman" w:hAnsi="Times New Roman"/>
                <w:sz w:val="24"/>
                <w:szCs w:val="24"/>
              </w:rPr>
              <w:t>cases where instruments are assigned to the trading or banking book contrary to the general presumptions of their instrument category</w:t>
            </w:r>
            <w:r w:rsidR="00B9598A" w:rsidRPr="008B5A2A">
              <w:rPr>
                <w:rFonts w:ascii="Times New Roman" w:hAnsi="Times New Roman"/>
                <w:sz w:val="24"/>
                <w:szCs w:val="24"/>
              </w:rPr>
              <w:t xml:space="preserve">, including their market and </w:t>
            </w:r>
            <w:r w:rsidR="00C225C5" w:rsidRPr="008B5A2A">
              <w:rPr>
                <w:rFonts w:ascii="Times New Roman" w:hAnsi="Times New Roman"/>
                <w:sz w:val="24"/>
                <w:szCs w:val="24"/>
              </w:rPr>
              <w:t xml:space="preserve">fair </w:t>
            </w:r>
            <w:r w:rsidR="0003639D" w:rsidRPr="008B5A2A">
              <w:rPr>
                <w:rFonts w:ascii="Times New Roman" w:hAnsi="Times New Roman"/>
                <w:sz w:val="24"/>
                <w:szCs w:val="24"/>
              </w:rPr>
              <w:t>value of such cases</w:t>
            </w:r>
            <w:r w:rsidR="0067349D" w:rsidRPr="008B5A2A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E33CFA" w:rsidRPr="008B5A2A">
              <w:rPr>
                <w:rFonts w:ascii="Times New Roman" w:hAnsi="Times New Roman"/>
                <w:sz w:val="24"/>
                <w:szCs w:val="24"/>
              </w:rPr>
              <w:t>s well as</w:t>
            </w:r>
            <w:r w:rsidR="0067349D" w:rsidRPr="008B5A2A">
              <w:rPr>
                <w:rFonts w:ascii="Times New Roman" w:hAnsi="Times New Roman"/>
                <w:sz w:val="24"/>
                <w:szCs w:val="24"/>
              </w:rPr>
              <w:t xml:space="preserve"> any reclassification from one book to the other since the last reporting period</w:t>
            </w:r>
            <w:r w:rsidR="0003639D" w:rsidRPr="008B5A2A">
              <w:rPr>
                <w:rFonts w:ascii="Times New Roman" w:hAnsi="Times New Roman"/>
                <w:sz w:val="24"/>
                <w:szCs w:val="24"/>
              </w:rPr>
              <w:t xml:space="preserve">, including </w:t>
            </w:r>
            <w:r w:rsidR="00A87CCE" w:rsidRPr="008B5A2A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="000336E7" w:rsidRPr="008B5A2A">
              <w:rPr>
                <w:rFonts w:ascii="Times New Roman" w:hAnsi="Times New Roman"/>
                <w:sz w:val="24"/>
                <w:szCs w:val="24"/>
              </w:rPr>
              <w:t xml:space="preserve">fair </w:t>
            </w:r>
            <w:r w:rsidR="00A87CCE" w:rsidRPr="008B5A2A">
              <w:rPr>
                <w:rFonts w:ascii="Times New Roman" w:hAnsi="Times New Roman"/>
                <w:sz w:val="24"/>
                <w:szCs w:val="24"/>
              </w:rPr>
              <w:t xml:space="preserve">value of </w:t>
            </w:r>
            <w:r w:rsidR="00470C3A" w:rsidRPr="008B5A2A">
              <w:rPr>
                <w:rFonts w:ascii="Times New Roman" w:hAnsi="Times New Roman"/>
                <w:sz w:val="24"/>
                <w:szCs w:val="24"/>
              </w:rPr>
              <w:t>such</w:t>
            </w:r>
            <w:r w:rsidR="00A87CCE" w:rsidRPr="008B5A2A">
              <w:rPr>
                <w:rFonts w:ascii="Times New Roman" w:hAnsi="Times New Roman"/>
                <w:sz w:val="24"/>
                <w:szCs w:val="24"/>
              </w:rPr>
              <w:t xml:space="preserve"> cases and the reason for the reclassification</w:t>
            </w:r>
            <w:r w:rsidR="006E73FE" w:rsidRPr="008B5A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0F3C237" w14:textId="77E3E75D" w:rsidR="00795618" w:rsidRPr="008B5A2A" w:rsidRDefault="002C5234" w:rsidP="00416FA0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A2A">
              <w:rPr>
                <w:rFonts w:ascii="Times New Roman" w:hAnsi="Times New Roman"/>
                <w:sz w:val="24"/>
                <w:szCs w:val="24"/>
              </w:rPr>
              <w:t>a description of internal risk transfer activities, including the types of internal risk transfer desk</w:t>
            </w:r>
            <w:r w:rsidR="006B62CF" w:rsidRPr="008B5A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16165DD" w14:textId="77777777" w:rsidR="00931C32" w:rsidRPr="008B5A2A" w:rsidRDefault="00931C32" w:rsidP="00416FA0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A2A">
              <w:rPr>
                <w:rFonts w:ascii="Times New Roman" w:eastAsia="Times New Roman" w:hAnsi="Times New Roman"/>
                <w:sz w:val="24"/>
                <w:szCs w:val="24"/>
              </w:rPr>
              <w:t>the policies for hedging and mitigating risk;</w:t>
            </w:r>
          </w:p>
          <w:p w14:paraId="2CC3E460" w14:textId="7641AD60" w:rsidR="00416FA0" w:rsidRPr="008B5A2A" w:rsidRDefault="00416FA0" w:rsidP="00416FA0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A2A">
              <w:rPr>
                <w:rFonts w:ascii="Times New Roman" w:eastAsia="Times New Roman" w:hAnsi="Times New Roman"/>
                <w:sz w:val="24"/>
                <w:szCs w:val="24"/>
              </w:rPr>
              <w:t>the processes implemented to identify, measure, monitor and control the institution’s market risks;</w:t>
            </w:r>
          </w:p>
          <w:p w14:paraId="5B43C932" w14:textId="77777777" w:rsidR="00931C32" w:rsidRPr="008B5A2A" w:rsidRDefault="00931C32" w:rsidP="00416FA0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A2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strategies and processes for monitoring the continuing effectiveness of hedges.</w:t>
            </w:r>
          </w:p>
        </w:tc>
      </w:tr>
      <w:tr w:rsidR="008611FF" w:rsidRPr="008B5A2A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77777777" w:rsidR="00931C32" w:rsidRPr="008B5A2A" w:rsidRDefault="00931C32" w:rsidP="00DE090B">
            <w:pPr>
              <w:pStyle w:val="Applicationdirecte"/>
              <w:spacing w:before="0" w:after="240"/>
              <w:jc w:val="center"/>
            </w:pPr>
            <w:r w:rsidRPr="008B5A2A">
              <w:lastRenderedPageBreak/>
              <w:t>(b)</w:t>
            </w:r>
          </w:p>
        </w:tc>
        <w:tc>
          <w:tcPr>
            <w:tcW w:w="7655" w:type="dxa"/>
          </w:tcPr>
          <w:p w14:paraId="57B23AAF" w14:textId="6144AB0E" w:rsidR="00931C32" w:rsidRPr="008B5A2A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lang w:eastAsia="sv-SE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>When disclosing information referred to in Article 435 (1)</w:t>
            </w:r>
            <w:r w:rsidR="4A6C2180"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>, point (b)</w:t>
            </w:r>
            <w:r w:rsidR="5838B90A"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of the</w:t>
            </w:r>
            <w:r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="145659DD" w:rsidRPr="008B5A2A">
              <w:rPr>
                <w:rFonts w:ascii="Times New Roman" w:hAnsi="Times New Roman" w:cs="Times New Roman"/>
                <w:sz w:val="24"/>
              </w:rPr>
              <w:t>Regulation (EU) 575/2013</w:t>
            </w:r>
            <w:r w:rsidR="145659DD"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>on the structure and organisation of the market risk management function, institutions shall include:</w:t>
            </w:r>
          </w:p>
          <w:p w14:paraId="15341445" w14:textId="0D70F6B3" w:rsidR="00931C32" w:rsidRPr="008B5A2A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</w:pPr>
            <w:r w:rsidRPr="008B5A2A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>a description of the market risk governance structure established to implement the strategies and processes of the institution</w:t>
            </w:r>
            <w:r w:rsidR="005938AD" w:rsidRPr="008B5A2A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>s</w:t>
            </w:r>
            <w:r w:rsidRPr="008B5A2A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 xml:space="preserve"> discussed in row (a) above, </w:t>
            </w:r>
          </w:p>
          <w:p w14:paraId="10C87729" w14:textId="77777777" w:rsidR="00931C32" w:rsidRPr="008B5A2A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</w:pPr>
            <w:r w:rsidRPr="008B5A2A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 xml:space="preserve">a description of the relationships and the communication mechanisms between the different parties involved in market risk management. </w:t>
            </w:r>
          </w:p>
        </w:tc>
      </w:tr>
      <w:tr w:rsidR="008611FF" w:rsidRPr="008B5A2A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77777777" w:rsidR="00931C32" w:rsidRPr="008B5A2A" w:rsidRDefault="00931C32" w:rsidP="00DE090B">
            <w:pPr>
              <w:pStyle w:val="Applicationdirecte"/>
              <w:spacing w:before="0" w:after="240"/>
              <w:jc w:val="center"/>
            </w:pPr>
            <w:r w:rsidRPr="008B5A2A">
              <w:t>(c)</w:t>
            </w:r>
          </w:p>
          <w:p w14:paraId="672A6659" w14:textId="77777777" w:rsidR="00931C32" w:rsidRPr="008B5A2A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574F8CB6" w:rsidR="00931C32" w:rsidRPr="008B5A2A" w:rsidRDefault="3E2CC804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lang w:eastAsia="sv-SE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>When disclosing information referred to in Article 435 (1)</w:t>
            </w:r>
            <w:r w:rsidR="6FFE0D8A"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>, point (c) of the</w:t>
            </w:r>
            <w:r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="27A218A6" w:rsidRPr="008B5A2A">
              <w:rPr>
                <w:rFonts w:ascii="Times New Roman" w:hAnsi="Times New Roman" w:cs="Times New Roman"/>
                <w:sz w:val="24"/>
              </w:rPr>
              <w:t>Regulation (EU) 575/2013</w:t>
            </w:r>
            <w:r w:rsidR="27A218A6"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on the scope and nature of market risk </w:t>
            </w:r>
            <w:r w:rsidR="6D22FA9D"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reporting </w:t>
            </w:r>
            <w:r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and measurement systems, institutions shall provide a description of the scope and nature of market risk </w:t>
            </w:r>
            <w:r w:rsidR="14D86BD5"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reporting </w:t>
            </w:r>
            <w:r w:rsidRPr="008B5A2A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and the measurement systems. </w:t>
            </w:r>
          </w:p>
        </w:tc>
      </w:tr>
      <w:tr w:rsidR="008611FF" w:rsidRPr="008B5A2A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4971874D" w:rsidR="06503780" w:rsidRPr="008B5A2A" w:rsidRDefault="06503780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200AE2" w:rsidRPr="008B5A2A">
              <w:rPr>
                <w:rFonts w:ascii="Times New Roman" w:eastAsia="Times New Roman" w:hAnsi="Times New Roman" w:cs="Times New Roman"/>
                <w:sz w:val="24"/>
              </w:rPr>
              <w:t xml:space="preserve">EU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d)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0904C89A" w:rsidR="06503780" w:rsidRPr="008B5A2A" w:rsidRDefault="5B873F98" w:rsidP="00470C3A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When disclosing information referred to in Article 4</w:t>
            </w:r>
            <w:r w:rsidR="01D445E4" w:rsidRPr="008B5A2A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6FFE0D8A" w:rsidRPr="008B5A2A">
              <w:rPr>
                <w:rFonts w:ascii="Times New Roman" w:eastAsia="Times New Roman" w:hAnsi="Times New Roman" w:cs="Times New Roman"/>
                <w:sz w:val="24"/>
              </w:rPr>
              <w:t xml:space="preserve"> (1) of the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1FE2AC9" w:rsidRPr="008B5A2A">
              <w:rPr>
                <w:rFonts w:ascii="Times New Roman" w:hAnsi="Times New Roman" w:cs="Times New Roman"/>
                <w:sz w:val="24"/>
              </w:rPr>
              <w:t>Regulation (EU) 575/2013</w:t>
            </w:r>
            <w:r w:rsidR="11FE2AC9" w:rsidRPr="008B5A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on a general overview of the trading book positions, institutions shall provide a </w:t>
            </w:r>
            <w:r w:rsidR="00470C3A" w:rsidRPr="008B5A2A">
              <w:rPr>
                <w:rFonts w:ascii="Times New Roman" w:eastAsia="Times New Roman" w:hAnsi="Times New Roman" w:cs="Times New Roman"/>
                <w:sz w:val="24"/>
              </w:rPr>
              <w:t>high-level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description of their trading book positions.</w:t>
            </w:r>
          </w:p>
        </w:tc>
      </w:tr>
    </w:tbl>
    <w:p w14:paraId="72A0C162" w14:textId="77777777" w:rsidR="003A4712" w:rsidRPr="008B5A2A" w:rsidRDefault="003A4712" w:rsidP="00470C3A">
      <w:pPr>
        <w:spacing w:after="240"/>
        <w:rPr>
          <w:rFonts w:ascii="Times New Roman" w:eastAsia="Times New Roman" w:hAnsi="Times New Roman" w:cs="Times New Roman"/>
          <w:b/>
          <w:bCs/>
          <w:sz w:val="24"/>
        </w:rPr>
      </w:pPr>
    </w:p>
    <w:p w14:paraId="21FE8BB6" w14:textId="44F12838" w:rsidR="00931C32" w:rsidRPr="008B5A2A" w:rsidRDefault="4E51ABE0" w:rsidP="00470C3A">
      <w:pPr>
        <w:spacing w:after="240"/>
        <w:rPr>
          <w:rFonts w:ascii="Times New Roman" w:eastAsia="Times New Roman" w:hAnsi="Times New Roman" w:cs="Times New Roman"/>
          <w:sz w:val="24"/>
        </w:rPr>
      </w:pPr>
      <w:r w:rsidRPr="008B5A2A">
        <w:rPr>
          <w:rFonts w:ascii="Times New Roman" w:eastAsia="Times New Roman" w:hAnsi="Times New Roman" w:cs="Times New Roman"/>
          <w:b/>
          <w:bCs/>
          <w:sz w:val="24"/>
        </w:rPr>
        <w:t xml:space="preserve">Template EU MR1 - Market risk under the </w:t>
      </w:r>
      <w:r w:rsidR="248B5059" w:rsidRPr="008B5A2A">
        <w:rPr>
          <w:rFonts w:ascii="Times New Roman" w:eastAsia="Times New Roman" w:hAnsi="Times New Roman" w:cs="Times New Roman"/>
          <w:b/>
          <w:bCs/>
          <w:sz w:val="24"/>
        </w:rPr>
        <w:t>a</w:t>
      </w:r>
      <w:r w:rsidRPr="008B5A2A">
        <w:rPr>
          <w:rFonts w:ascii="Times New Roman" w:eastAsia="Times New Roman" w:hAnsi="Times New Roman" w:cs="Times New Roman"/>
          <w:b/>
          <w:bCs/>
          <w:sz w:val="24"/>
        </w:rPr>
        <w:t xml:space="preserve">lternative </w:t>
      </w:r>
      <w:r w:rsidR="1F1BC5C4" w:rsidRPr="008B5A2A">
        <w:rPr>
          <w:rFonts w:ascii="Times New Roman" w:eastAsia="Times New Roman" w:hAnsi="Times New Roman" w:cs="Times New Roman"/>
          <w:b/>
          <w:bCs/>
          <w:sz w:val="24"/>
        </w:rPr>
        <w:t>s</w:t>
      </w:r>
      <w:r w:rsidRPr="008B5A2A">
        <w:rPr>
          <w:rFonts w:ascii="Times New Roman" w:eastAsia="Times New Roman" w:hAnsi="Times New Roman" w:cs="Times New Roman"/>
          <w:b/>
          <w:bCs/>
          <w:sz w:val="24"/>
        </w:rPr>
        <w:t xml:space="preserve">tandardised </w:t>
      </w:r>
      <w:r w:rsidR="0CA68764" w:rsidRPr="008B5A2A">
        <w:rPr>
          <w:rFonts w:ascii="Times New Roman" w:eastAsia="Times New Roman" w:hAnsi="Times New Roman" w:cs="Times New Roman"/>
          <w:b/>
          <w:bCs/>
          <w:sz w:val="24"/>
        </w:rPr>
        <w:t>a</w:t>
      </w:r>
      <w:r w:rsidRPr="008B5A2A">
        <w:rPr>
          <w:rFonts w:ascii="Times New Roman" w:eastAsia="Times New Roman" w:hAnsi="Times New Roman" w:cs="Times New Roman"/>
          <w:b/>
          <w:bCs/>
          <w:sz w:val="24"/>
        </w:rPr>
        <w:t>pproach (ASA)</w:t>
      </w:r>
      <w:r w:rsidRPr="008B5A2A">
        <w:rPr>
          <w:rFonts w:ascii="Times New Roman" w:eastAsia="Times New Roman" w:hAnsi="Times New Roman" w:cs="Times New Roman"/>
          <w:sz w:val="24"/>
        </w:rPr>
        <w:t>: fixed format</w:t>
      </w:r>
    </w:p>
    <w:p w14:paraId="328A3EAE" w14:textId="08DEBCB6" w:rsidR="00931C32" w:rsidRPr="008B5A2A" w:rsidRDefault="4E51ABE0" w:rsidP="004213D9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Institutions shall disclose the information referred to in Article 445 </w:t>
      </w:r>
      <w:r w:rsidR="619577B7" w:rsidRPr="008B5A2A">
        <w:rPr>
          <w:rFonts w:ascii="Times New Roman" w:hAnsi="Times New Roman" w:cs="Times New Roman"/>
          <w:color w:val="auto"/>
          <w:sz w:val="24"/>
          <w:lang w:val="en-GB"/>
        </w:rPr>
        <w:t>Regulation (EU) 575/2013</w:t>
      </w:r>
      <w:r w:rsidR="619577B7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</w:t>
      </w: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by following the instructions provided below in this Annex to complete template EU MR1 which is presented in Annex XXIX.</w:t>
      </w:r>
      <w:r w:rsidR="004213D9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Institutions shall not include any data on their Internal Risk transfer (IRT) desk in this template.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08611FF" w:rsidRPr="008B5A2A" w14:paraId="369C907B" w14:textId="77777777" w:rsidTr="00470C3A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6D5ECF63" w:rsidR="06503780" w:rsidRPr="008B5A2A" w:rsidRDefault="06503780" w:rsidP="00470C3A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Legal references and instructions</w:t>
            </w:r>
          </w:p>
        </w:tc>
      </w:tr>
      <w:tr w:rsidR="008611FF" w:rsidRPr="008B5A2A" w14:paraId="795949FA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8B5A2A" w:rsidRDefault="06503780" w:rsidP="00470C3A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Row number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8B5A2A" w:rsidRDefault="06503780" w:rsidP="00470C3A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Explanation</w:t>
            </w:r>
          </w:p>
        </w:tc>
      </w:tr>
      <w:tr w:rsidR="008611FF" w:rsidRPr="008B5A2A" w14:paraId="71E2347C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8B5A2A" w:rsidRDefault="06503780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989EB1" w14:textId="3631E1C7" w:rsidR="06503780" w:rsidRPr="008B5A2A" w:rsidRDefault="06503780" w:rsidP="00470C3A">
            <w:pPr>
              <w:spacing w:after="240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 xml:space="preserve">Sensitivity based </w:t>
            </w:r>
            <w:r w:rsidR="00470C3A" w:rsidRPr="008B5A2A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method.</w:t>
            </w:r>
            <w:r w:rsidRPr="008B5A2A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  <w:p w14:paraId="32BE5AB7" w14:textId="13D92956" w:rsidR="06503780" w:rsidRPr="008B5A2A" w:rsidRDefault="06503780" w:rsidP="00470C3A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in accordance with Part Three Title IV, Chapter 1a, Section 2 of Regulation (EU) No 575/2013</w:t>
            </w:r>
            <w:r w:rsidR="0068248E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2A5FB346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8B5A2A" w:rsidRDefault="06503780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8B5A2A" w:rsidRDefault="06503780" w:rsidP="00470C3A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General interest rate risk (GIRR)</w:t>
            </w:r>
          </w:p>
          <w:p w14:paraId="7CFD9A05" w14:textId="01D01F12" w:rsidR="06503780" w:rsidRPr="008B5A2A" w:rsidRDefault="06503780" w:rsidP="00470C3A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8D03CB" w:rsidRPr="008B5A2A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325c</w:t>
            </w:r>
            <w:r w:rsidR="00F66685" w:rsidRPr="008B5A2A">
              <w:rPr>
                <w:rFonts w:ascii="Times New Roman" w:eastAsia="Times New Roman" w:hAnsi="Times New Roman" w:cs="Times New Roman"/>
                <w:sz w:val="24"/>
              </w:rPr>
              <w:t>(2), point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2(a) and Article 325d(1), point (i), of Regulation (EU) No 575/2013</w:t>
            </w:r>
            <w:r w:rsidR="0068248E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8B5A2A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8B5A2A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Equity risk (EQU)</w:t>
            </w:r>
          </w:p>
          <w:p w14:paraId="7FA49EA1" w14:textId="6C5158EB" w:rsidR="006852CB" w:rsidRPr="008B5A2A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lastRenderedPageBreak/>
              <w:t>according to Art</w:t>
            </w:r>
            <w:r w:rsidR="00CA0B40" w:rsidRPr="008B5A2A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2(a) and Article 325d(1) , point (v), of Regulation (EU) No 575/2013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8B5A2A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8B5A2A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Commodity risk (COM)</w:t>
            </w:r>
          </w:p>
          <w:p w14:paraId="2EF1141F" w14:textId="6508D32F" w:rsidR="006852CB" w:rsidRPr="008B5A2A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2(a) and Article 325d(1) , point (vi), of Regulation (EU) No 575/2013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8B5A2A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8B5A2A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Foreign exchange risk (FX)</w:t>
            </w:r>
          </w:p>
          <w:p w14:paraId="4E899697" w14:textId="2F1DC652" w:rsidR="006852CB" w:rsidRPr="008B5A2A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8B5A2A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2(a) and Article 325d(1) , point (vii), of Regulation (EU) No 575/2013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6069A777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244E056B" w:rsidR="06503780" w:rsidRPr="008B5A2A" w:rsidRDefault="006852CB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8B5A2A" w:rsidRDefault="06503780" w:rsidP="00470C3A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Credit spread risk for non–securitisations (CSR)</w:t>
            </w:r>
          </w:p>
          <w:p w14:paraId="7FFBB47A" w14:textId="0F6DD51C" w:rsidR="06503780" w:rsidRPr="008B5A2A" w:rsidRDefault="06503780" w:rsidP="00470C3A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8B5A2A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2(a) and Article 325d(1), point (ii), of Regulation (EU) No 575/2013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05E22EA0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03954AB3" w:rsidR="06503780" w:rsidRPr="008B5A2A" w:rsidRDefault="006852CB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0075C0D5" w:rsidR="06503780" w:rsidRPr="008B5A2A" w:rsidRDefault="06503780" w:rsidP="00470C3A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Credit spread risk for securitisation not included in the alternative correlation trading portfolio (non–ACTP CSR)</w:t>
            </w:r>
          </w:p>
          <w:p w14:paraId="7767EDBC" w14:textId="11E5E94F" w:rsidR="06503780" w:rsidRPr="008B5A2A" w:rsidRDefault="06503780" w:rsidP="00470C3A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according to A</w:t>
            </w:r>
            <w:r w:rsidR="00522E9A" w:rsidRPr="008B5A2A">
              <w:rPr>
                <w:rFonts w:ascii="Times New Roman" w:eastAsia="Times New Roman" w:hAnsi="Times New Roman" w:cs="Times New Roman"/>
                <w:sz w:val="24"/>
              </w:rPr>
              <w:t>rticle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2(a) and Article 325d(1), point (iii), of Regulation (EU) No 575/2013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14D767E3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3C3437CB" w:rsidR="06503780" w:rsidRPr="008B5A2A" w:rsidRDefault="006852CB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3A4D3426" w:rsidR="06503780" w:rsidRPr="008B5A2A" w:rsidRDefault="06503780" w:rsidP="00470C3A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Credit spread risk for securitisation included in the alternative correlation trading portfolio (ACTP CSR)</w:t>
            </w:r>
          </w:p>
          <w:p w14:paraId="3E4A8A35" w14:textId="416C56CC" w:rsidR="06503780" w:rsidRPr="008B5A2A" w:rsidRDefault="06503780" w:rsidP="00470C3A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8B5A2A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2(a) and Article 325d(1) , point (iv), of Regulation (EU) No 575/2013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5BB1038C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8B5A2A" w:rsidRDefault="06503780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8B5A2A" w:rsidRDefault="06503780" w:rsidP="00470C3A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Default risk</w:t>
            </w:r>
          </w:p>
          <w:p w14:paraId="50AC8B96" w14:textId="24D7EC82" w:rsidR="06503780" w:rsidRPr="008B5A2A" w:rsidRDefault="06503780" w:rsidP="00470C3A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in accordance with Part Three, Title IV, Chapter 1a, Section 5 of Regulation (EU) No 575/2013</w:t>
            </w:r>
            <w:r w:rsidR="003B4210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4CA77AC2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8B5A2A" w:rsidRDefault="06503780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8B5A2A" w:rsidRDefault="06503780" w:rsidP="00470C3A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Non–securitisations</w:t>
            </w:r>
          </w:p>
          <w:p w14:paraId="6E07A74F" w14:textId="6FD6BBE7" w:rsidR="06503780" w:rsidRPr="008B5A2A" w:rsidRDefault="06503780" w:rsidP="00470C3A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8B5A2A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4832DE" w:rsidRPr="008B5A2A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2(b) and Part Three, Title IV, Chapter 1a, Section 5, Subsection 1 of Regulation (EU) No 575/2013</w:t>
            </w:r>
            <w:r w:rsidR="004832DE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8B5A2A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</w:tr>
      <w:tr w:rsidR="008611FF" w:rsidRPr="008B5A2A" w14:paraId="7297D5CB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8B5A2A" w:rsidRDefault="06503780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567356EB" w:rsidR="06503780" w:rsidRPr="008B5A2A" w:rsidRDefault="06503780" w:rsidP="00470C3A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Securitisation not included in the alternative correlation trading portfolio (non–ACTP)</w:t>
            </w:r>
          </w:p>
          <w:p w14:paraId="093A58C5" w14:textId="68547D33" w:rsidR="06503780" w:rsidRPr="008B5A2A" w:rsidRDefault="06503780" w:rsidP="00470C3A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8B5A2A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4832DE" w:rsidRPr="008B5A2A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2(b) and Part Three, Title IV, Chapter 1a, Section 5, Subsection 2 of Regulation (EU) No 575/2013</w:t>
            </w:r>
            <w:r w:rsidR="004832DE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8B5A2A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</w:tr>
      <w:tr w:rsidR="008611FF" w:rsidRPr="008B5A2A" w14:paraId="7399949B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8B5A2A" w:rsidRDefault="06503780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2B90AE8D" w:rsidR="06503780" w:rsidRPr="008B5A2A" w:rsidRDefault="06503780" w:rsidP="00470C3A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Securitisation included in the alternative correlation trading portfolio (ACTP)</w:t>
            </w:r>
          </w:p>
          <w:p w14:paraId="4F126C34" w14:textId="6A887E92" w:rsidR="06503780" w:rsidRPr="008B5A2A" w:rsidRDefault="06503780" w:rsidP="00470C3A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8B5A2A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7A4465" w:rsidRPr="008B5A2A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2(b) and Part Three, Title IV, Chapter 1a, Section 5, Subsection 3 of Regulation (EU) No 575/2013</w:t>
            </w:r>
            <w:r w:rsidR="007A4465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8B5A2A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</w:tr>
      <w:tr w:rsidR="008611FF" w:rsidRPr="008B5A2A" w14:paraId="1A1B8236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8B5A2A" w:rsidRDefault="06503780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8B5A2A" w:rsidRDefault="06503780" w:rsidP="00470C3A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Residual risk</w:t>
            </w:r>
          </w:p>
          <w:p w14:paraId="3E3A6F03" w14:textId="754D8113" w:rsidR="06503780" w:rsidRPr="008B5A2A" w:rsidRDefault="06503780" w:rsidP="00470C3A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Part Three, Title IV, Chapter 1a, Section 4 of Regulation (EU) No 575/2013</w:t>
            </w:r>
            <w:r w:rsidR="007A4465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179BEFFD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8B5A2A" w:rsidRDefault="007E00FD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 xml:space="preserve">EU </w:t>
            </w:r>
            <w:r w:rsidR="06503780" w:rsidRPr="008B5A2A">
              <w:rPr>
                <w:rFonts w:ascii="Times New Roman" w:eastAsia="Times New Roman" w:hAnsi="Times New Roman" w:cs="Times New Roman"/>
                <w:szCs w:val="22"/>
              </w:rPr>
              <w:t>11</w:t>
            </w:r>
            <w:r w:rsidRPr="008B5A2A">
              <w:rPr>
                <w:rFonts w:ascii="Times New Roman" w:eastAsia="Times New Roman" w:hAnsi="Times New Roman" w:cs="Times New Roman"/>
                <w:szCs w:val="22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8B5A2A" w:rsidRDefault="06503780" w:rsidP="00470C3A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Exotic </w:t>
            </w:r>
            <w:proofErr w:type="spellStart"/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underlyings</w:t>
            </w:r>
            <w:proofErr w:type="spellEnd"/>
          </w:p>
          <w:p w14:paraId="7ED02FAC" w14:textId="0C81B36E" w:rsidR="06503780" w:rsidRPr="008B5A2A" w:rsidRDefault="06503780" w:rsidP="00470C3A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D45AA4" w:rsidRPr="008B5A2A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7A4465" w:rsidRPr="008B5A2A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2(c) and Article 325u(2), point (a), of Regulation (EU) No 575/2013.</w:t>
            </w:r>
          </w:p>
        </w:tc>
      </w:tr>
      <w:tr w:rsidR="008611FF" w:rsidRPr="008B5A2A" w14:paraId="397A3B6A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66CD2BF2" w:rsidR="06503780" w:rsidRPr="008B5A2A" w:rsidRDefault="007E00FD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 xml:space="preserve">EU </w:t>
            </w:r>
            <w:r w:rsidR="06503780" w:rsidRPr="008B5A2A">
              <w:rPr>
                <w:rFonts w:ascii="Times New Roman" w:eastAsia="Times New Roman" w:hAnsi="Times New Roman" w:cs="Times New Roman"/>
                <w:szCs w:val="22"/>
              </w:rPr>
              <w:t>1</w:t>
            </w:r>
            <w:r w:rsidRPr="008B5A2A">
              <w:rPr>
                <w:rFonts w:ascii="Times New Roman" w:eastAsia="Times New Roman" w:hAnsi="Times New Roman" w:cs="Times New Roman"/>
                <w:szCs w:val="22"/>
              </w:rPr>
              <w:t>1b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8B5A2A" w:rsidRDefault="06503780" w:rsidP="00470C3A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Other residual risks</w:t>
            </w:r>
          </w:p>
          <w:p w14:paraId="5E46032C" w14:textId="7B4AEF66" w:rsidR="06503780" w:rsidRPr="008B5A2A" w:rsidRDefault="06503780" w:rsidP="00470C3A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D45AA4" w:rsidRPr="008B5A2A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7336D9" w:rsidRPr="008B5A2A">
              <w:rPr>
                <w:rFonts w:ascii="Times New Roman" w:eastAsia="Times New Roman" w:hAnsi="Times New Roman" w:cs="Times New Roman"/>
                <w:sz w:val="24"/>
              </w:rPr>
              <w:t xml:space="preserve">,point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2(c) and Article 325u(2), point (b), of Regulation (EU) No 575/2013</w:t>
            </w:r>
            <w:r w:rsidR="007336D9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106996A8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04CF087B" w:rsidR="06503780" w:rsidRPr="008B5A2A" w:rsidRDefault="06503780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1</w:t>
            </w:r>
            <w:r w:rsidR="007E00FD" w:rsidRPr="008B5A2A">
              <w:rPr>
                <w:rFonts w:ascii="Times New Roman" w:eastAsia="Times New Roman" w:hAnsi="Times New Roman" w:cs="Times New Roman"/>
                <w:szCs w:val="22"/>
              </w:rPr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8B5A2A" w:rsidRDefault="224E1E9F" w:rsidP="00470C3A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Total Own Funds Requirements (OFR)</w:t>
            </w:r>
          </w:p>
          <w:p w14:paraId="65A75CAB" w14:textId="1D4354D4" w:rsidR="06503780" w:rsidRPr="008B5A2A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611FF" w:rsidRPr="008B5A2A" w14:paraId="01D665D7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8B5A2A" w:rsidRDefault="06503780" w:rsidP="00470C3A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Column letter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8B5A2A" w:rsidRDefault="06503780" w:rsidP="00470C3A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Explanation</w:t>
            </w:r>
          </w:p>
        </w:tc>
      </w:tr>
      <w:tr w:rsidR="008611FF" w:rsidRPr="008B5A2A" w14:paraId="57E6568D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8B5A2A" w:rsidRDefault="06503780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8B5A2A" w:rsidRDefault="01DFB7EB" w:rsidP="0650378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Total Own Funds Requirements (OFR)</w:t>
            </w:r>
          </w:p>
        </w:tc>
      </w:tr>
      <w:tr w:rsidR="008611FF" w:rsidRPr="008B5A2A" w14:paraId="37D30FC4" w14:textId="77777777" w:rsidTr="00470C3A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8B5A2A" w:rsidRDefault="06503780" w:rsidP="00470C3A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6877255E" w:rsidR="517DDA85" w:rsidRPr="008B5A2A" w:rsidRDefault="02A66E37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Disclosure of own funds requirements referred to in Article 438 </w:t>
            </w:r>
            <w:r w:rsidR="17156926" w:rsidRPr="008B5A2A">
              <w:rPr>
                <w:rFonts w:ascii="Times New Roman" w:eastAsia="Times New Roman" w:hAnsi="Times New Roman" w:cs="Times New Roman"/>
                <w:sz w:val="24"/>
              </w:rPr>
              <w:t xml:space="preserve">, point (d) of </w:t>
            </w:r>
            <w:r w:rsidR="38AB8981" w:rsidRPr="008B5A2A">
              <w:rPr>
                <w:rFonts w:ascii="Times New Roman" w:eastAsia="Times New Roman" w:hAnsi="Times New Roman" w:cs="Times New Roman"/>
                <w:sz w:val="24"/>
              </w:rPr>
              <w:t xml:space="preserve"> Regulation (EU) 575/2013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, computed as the simple sum of amounts</w:t>
            </w:r>
            <w:r w:rsidR="6BBF51FC" w:rsidRPr="008B5A2A">
              <w:rPr>
                <w:rFonts w:ascii="Times New Roman" w:eastAsia="Times New Roman" w:hAnsi="Times New Roman" w:cs="Times New Roman"/>
                <w:sz w:val="24"/>
              </w:rPr>
              <w:t xml:space="preserve"> above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7EDF0406" w:rsidRPr="008B5A2A">
              <w:rPr>
                <w:rFonts w:ascii="Times New Roman" w:eastAsia="Times New Roman" w:hAnsi="Times New Roman" w:cs="Times New Roman"/>
                <w:sz w:val="24"/>
              </w:rPr>
              <w:t xml:space="preserve">in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rows 1 to </w:t>
            </w:r>
            <w:r w:rsidR="3F04A19E" w:rsidRPr="008B5A2A">
              <w:rPr>
                <w:rFonts w:ascii="Times New Roman" w:eastAsia="Times New Roman" w:hAnsi="Times New Roman" w:cs="Times New Roman"/>
                <w:sz w:val="24"/>
              </w:rPr>
              <w:t>EU 11b</w:t>
            </w:r>
            <w:r w:rsidR="738722B7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4E5B9771" w14:textId="40E878CC" w:rsidR="06503780" w:rsidRPr="008B5A2A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8B5A2A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05576F13" w:rsidR="00931C32" w:rsidRPr="008B5A2A" w:rsidRDefault="00931C32" w:rsidP="48484374">
      <w:pPr>
        <w:spacing w:after="240"/>
        <w:rPr>
          <w:rFonts w:ascii="Times New Roman" w:hAnsi="Times New Roman" w:cs="Times New Roman"/>
          <w:b/>
          <w:bCs/>
          <w:sz w:val="24"/>
        </w:rPr>
      </w:pPr>
      <w:r w:rsidRPr="008B5A2A">
        <w:rPr>
          <w:rFonts w:ascii="Times New Roman" w:hAnsi="Times New Roman" w:cs="Times New Roman"/>
          <w:b/>
          <w:bCs/>
          <w:sz w:val="24"/>
        </w:rPr>
        <w:t>Table EU MRB: Qualitative disclosure requirements for institutions using the</w:t>
      </w:r>
      <w:r w:rsidR="5D46A0EA" w:rsidRPr="008B5A2A">
        <w:rPr>
          <w:rFonts w:ascii="Times New Roman" w:hAnsi="Times New Roman" w:cs="Times New Roman"/>
          <w:b/>
          <w:bCs/>
          <w:sz w:val="24"/>
        </w:rPr>
        <w:t xml:space="preserve"> alternative</w:t>
      </w:r>
      <w:r w:rsidRPr="008B5A2A">
        <w:rPr>
          <w:rFonts w:ascii="Times New Roman" w:hAnsi="Times New Roman" w:cs="Times New Roman"/>
          <w:b/>
          <w:bCs/>
          <w:sz w:val="24"/>
        </w:rPr>
        <w:t xml:space="preserve"> internal </w:t>
      </w:r>
      <w:r w:rsidR="0761F1F8" w:rsidRPr="008B5A2A">
        <w:rPr>
          <w:rFonts w:ascii="Times New Roman" w:hAnsi="Times New Roman" w:cs="Times New Roman"/>
          <w:b/>
          <w:bCs/>
          <w:sz w:val="24"/>
        </w:rPr>
        <w:t>model approach</w:t>
      </w:r>
      <w:r w:rsidRPr="008B5A2A">
        <w:rPr>
          <w:rFonts w:ascii="Times New Roman" w:hAnsi="Times New Roman" w:cs="Times New Roman"/>
          <w:sz w:val="24"/>
        </w:rPr>
        <w:t xml:space="preserve">: free text </w:t>
      </w:r>
      <w:r w:rsidR="00470C3A" w:rsidRPr="008B5A2A">
        <w:rPr>
          <w:rFonts w:ascii="Times New Roman" w:hAnsi="Times New Roman" w:cs="Times New Roman"/>
          <w:sz w:val="24"/>
        </w:rPr>
        <w:t>format.</w:t>
      </w:r>
    </w:p>
    <w:p w14:paraId="32EDF34C" w14:textId="380E5931" w:rsidR="00931C32" w:rsidRPr="008B5A2A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b/>
          <w:color w:val="auto"/>
          <w:sz w:val="24"/>
          <w:lang w:val="en-GB"/>
        </w:rPr>
      </w:pP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Institutions shall disclose the information referred to</w:t>
      </w:r>
      <w:r w:rsidR="007F14DD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in Article 455</w:t>
      </w:r>
      <w:r w:rsidR="00E077AE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,</w:t>
      </w: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points (a), (b), </w:t>
      </w:r>
      <w:r w:rsidR="2151C270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(c), (d), (e)</w:t>
      </w: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and (f) of </w:t>
      </w:r>
      <w:r w:rsidR="78F62356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Regulation (EU) 575/2013 </w:t>
      </w: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by following the instructions provided below in this Annex to complete table EU MRB which is presented in Annex XXIX.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184"/>
      </w:tblGrid>
      <w:tr w:rsidR="008611FF" w:rsidRPr="008B5A2A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77777777" w:rsidR="00931C32" w:rsidRPr="008B5A2A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8611FF" w:rsidRPr="008B5A2A" w14:paraId="1B6F00FD" w14:textId="77777777" w:rsidTr="008611FF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8B5A2A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Row number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8B5A2A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008611FF" w:rsidRPr="008B5A2A" w14:paraId="0407979F" w14:textId="77777777" w:rsidTr="008611FF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8B5A2A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19808AC3" w:rsidR="7BC02D42" w:rsidRPr="008B5A2A" w:rsidRDefault="2716EDAD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When disclosing information referred to in Article 455</w:t>
            </w:r>
            <w:r w:rsidR="00E077AE" w:rsidRPr="008B5A2A">
              <w:rPr>
                <w:rFonts w:ascii="Times New Roman" w:eastAsia="Times New Roman" w:hAnsi="Times New Roman" w:cs="Times New Roman"/>
                <w:sz w:val="24"/>
              </w:rPr>
              <w:t>, point (1a) of the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84D50B5" w:rsidRPr="008B5A2A">
              <w:rPr>
                <w:rFonts w:ascii="Times New Roman" w:eastAsia="Times New Roman" w:hAnsi="Times New Roman" w:cs="Times New Roman"/>
                <w:sz w:val="24"/>
              </w:rPr>
              <w:t xml:space="preserve">Regulation (EU) 575/2013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on the alternative internal model</w:t>
            </w:r>
            <w:r w:rsidR="2F9935B4" w:rsidRPr="008B5A2A">
              <w:rPr>
                <w:rFonts w:ascii="Times New Roman" w:eastAsia="Times New Roman" w:hAnsi="Times New Roman" w:cs="Times New Roman"/>
                <w:sz w:val="24"/>
              </w:rPr>
              <w:t xml:space="preserve">s for market risk,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institutions shall include</w:t>
            </w:r>
            <w:r w:rsidR="5DE802A1" w:rsidRPr="008B5A2A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8611FF" w:rsidRPr="008B5A2A" w14:paraId="6AB031EF" w14:textId="77777777" w:rsidTr="008611FF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55099BA3" w:rsidR="3C9E464D" w:rsidRPr="008B5A2A" w:rsidRDefault="00B02BFD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  <w:t>EU (</w:t>
            </w:r>
            <w:r w:rsidR="3C9E464D" w:rsidRPr="008B5A2A"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  <w:t>a</w:t>
            </w:r>
            <w:r w:rsidRPr="008B5A2A"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  <w:t>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73582C22" w:rsidR="3C9E464D" w:rsidRPr="008B5A2A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the institution’s objectives in undertaking trading activities</w:t>
            </w:r>
            <w:r w:rsidR="00A857E0" w:rsidRPr="008B5A2A">
              <w:rPr>
                <w:rFonts w:ascii="Times New Roman" w:eastAsia="Times New Roman" w:hAnsi="Times New Roman" w:cs="Times New Roman"/>
                <w:szCs w:val="22"/>
              </w:rPr>
              <w:t>,</w:t>
            </w:r>
            <w:r w:rsidRPr="008B5A2A">
              <w:rPr>
                <w:rFonts w:ascii="Times New Roman" w:eastAsia="Times New Roman" w:hAnsi="Times New Roman" w:cs="Times New Roman"/>
                <w:szCs w:val="22"/>
              </w:rPr>
              <w:t xml:space="preserve"> and the processes implemented to identify, measure, monitor and control the institution’s market risks</w:t>
            </w:r>
            <w:r w:rsidR="00A94820" w:rsidRPr="008B5A2A">
              <w:rPr>
                <w:rFonts w:ascii="Times New Roman" w:eastAsia="Times New Roman" w:hAnsi="Times New Roman" w:cs="Times New Roman"/>
                <w:szCs w:val="22"/>
              </w:rPr>
              <w:t xml:space="preserve">. This information can be provided by making a cross-reference to table </w:t>
            </w:r>
            <w:r w:rsidR="001E5FF3" w:rsidRPr="008B5A2A">
              <w:rPr>
                <w:rFonts w:ascii="Times New Roman" w:eastAsia="Times New Roman" w:hAnsi="Times New Roman" w:cs="Times New Roman"/>
                <w:szCs w:val="22"/>
              </w:rPr>
              <w:t>EU MRA</w:t>
            </w:r>
          </w:p>
        </w:tc>
      </w:tr>
      <w:tr w:rsidR="008611FF" w:rsidRPr="008B5A2A" w14:paraId="3EEEAC3B" w14:textId="77777777" w:rsidTr="008611FF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2C8F59E6" w:rsidR="3C9E464D" w:rsidRPr="008B5A2A" w:rsidRDefault="00671C8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  <w:lastRenderedPageBreak/>
              <w:t>EU (</w:t>
            </w:r>
            <w:r w:rsidR="3C9E464D" w:rsidRPr="008B5A2A"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  <w:t>b</w:t>
            </w:r>
            <w:r w:rsidRPr="008B5A2A"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  <w:t>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18A217A1" w:rsidR="3C9E464D" w:rsidRPr="008B5A2A" w:rsidRDefault="3C9E464D" w:rsidP="3765CAC5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the policies referred to in Article 104(1) for determining which position is to be included in the trading book</w:t>
            </w:r>
            <w:r w:rsidR="005B429A" w:rsidRPr="008B5A2A">
              <w:rPr>
                <w:rFonts w:ascii="Times New Roman" w:eastAsia="Times New Roman" w:hAnsi="Times New Roman" w:cs="Times New Roman"/>
                <w:szCs w:val="22"/>
              </w:rPr>
              <w:t>. This information can be provided by making cross-reference to table EU MR A;</w:t>
            </w:r>
          </w:p>
        </w:tc>
      </w:tr>
      <w:tr w:rsidR="008611FF" w:rsidRPr="008B5A2A" w14:paraId="0D6ADAE7" w14:textId="77777777" w:rsidTr="008611FF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D03AC39" w:rsidR="00671C85" w:rsidRPr="008B5A2A" w:rsidRDefault="00C06844" w:rsidP="00DE090B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  <w:t>EU (</w:t>
            </w:r>
            <w:r w:rsidR="003B45C4" w:rsidRPr="008B5A2A"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  <w:t>c)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7777777" w:rsidR="00671C85" w:rsidRPr="008B5A2A" w:rsidRDefault="00671C85" w:rsidP="00DE090B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the structure and organisation of the market risk management function and governance;</w:t>
            </w:r>
          </w:p>
        </w:tc>
      </w:tr>
      <w:tr w:rsidR="008611FF" w:rsidRPr="008B5A2A" w14:paraId="2E7B7CF0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8B5A2A" w:rsidRDefault="00701D8F" w:rsidP="3765CAC5">
            <w:pPr>
              <w:rPr>
                <w:rFonts w:ascii="Times New Roman" w:eastAsia="Times New Roman" w:hAnsi="Times New Roman" w:cs="Times New Roman"/>
                <w:szCs w:val="22"/>
              </w:rPr>
            </w:pPr>
          </w:p>
          <w:p w14:paraId="3A0D6228" w14:textId="431CCC23" w:rsidR="00701D8F" w:rsidRPr="008B5A2A" w:rsidRDefault="0D04DF7A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 xml:space="preserve">(A) (B) </w:t>
            </w:r>
            <w:r w:rsidR="22B32477" w:rsidRPr="008B5A2A">
              <w:rPr>
                <w:rFonts w:ascii="Times New Roman" w:eastAsia="Times New Roman" w:hAnsi="Times New Roman" w:cs="Times New Roman"/>
              </w:rPr>
              <w:t>General description of the trading desk structure</w:t>
            </w:r>
            <w:r w:rsidR="1DF704CA" w:rsidRPr="008B5A2A">
              <w:rPr>
                <w:rFonts w:ascii="Times New Roman" w:eastAsia="Times New Roman" w:hAnsi="Times New Roman" w:cs="Times New Roman"/>
              </w:rPr>
              <w:t xml:space="preserve"> and types of instruments included in the AIMA trading desk</w:t>
            </w:r>
            <w:r w:rsidR="22B32477"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6517C6A6" w:rsidRPr="008B5A2A">
              <w:rPr>
                <w:rFonts w:ascii="Times New Roman" w:eastAsia="Times New Roman" w:hAnsi="Times New Roman" w:cs="Times New Roman"/>
              </w:rPr>
              <w:t xml:space="preserve">in accordance with </w:t>
            </w:r>
            <w:r w:rsidR="23097F10" w:rsidRPr="008B5A2A">
              <w:rPr>
                <w:rFonts w:ascii="Times New Roman" w:eastAsia="Times New Roman" w:hAnsi="Times New Roman" w:cs="Times New Roman"/>
              </w:rPr>
              <w:t>Article 455</w:t>
            </w:r>
            <w:r w:rsidR="1E689576" w:rsidRPr="008B5A2A">
              <w:rPr>
                <w:rFonts w:ascii="Times New Roman" w:eastAsia="Times New Roman" w:hAnsi="Times New Roman" w:cs="Times New Roman"/>
              </w:rPr>
              <w:t xml:space="preserve"> (1)</w:t>
            </w:r>
            <w:r w:rsidR="0F8C82AF" w:rsidRPr="008B5A2A">
              <w:rPr>
                <w:rFonts w:ascii="Times New Roman" w:eastAsia="Times New Roman" w:hAnsi="Times New Roman" w:cs="Times New Roman"/>
              </w:rPr>
              <w:t>, point</w:t>
            </w:r>
            <w:r w:rsidR="1E689576" w:rsidRPr="008B5A2A">
              <w:rPr>
                <w:rFonts w:ascii="Times New Roman" w:eastAsia="Times New Roman" w:hAnsi="Times New Roman" w:cs="Times New Roman"/>
              </w:rPr>
              <w:t>s (c), (d)</w:t>
            </w:r>
            <w:r w:rsidR="23097F10"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1E689576" w:rsidRPr="008B5A2A">
              <w:rPr>
                <w:rFonts w:ascii="Times New Roman" w:eastAsia="Times New Roman" w:hAnsi="Times New Roman" w:cs="Times New Roman"/>
              </w:rPr>
              <w:t xml:space="preserve">of the </w:t>
            </w:r>
            <w:r w:rsidR="28525830" w:rsidRPr="008B5A2A">
              <w:rPr>
                <w:rFonts w:ascii="Times New Roman" w:eastAsia="Times New Roman" w:hAnsi="Times New Roman" w:cs="Times New Roman"/>
              </w:rPr>
              <w:t xml:space="preserve"> Regulation (EU) 575/2013</w:t>
            </w:r>
            <w:r w:rsidR="23097F10" w:rsidRPr="008B5A2A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8611FF" w:rsidRPr="008B5A2A" w14:paraId="59395D4F" w14:textId="77777777" w:rsidTr="008611FF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266872D2" w:rsidR="001B4290" w:rsidRPr="008B5A2A" w:rsidRDefault="001B4290" w:rsidP="00470C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  <w:t>B (a)</w:t>
            </w:r>
          </w:p>
          <w:p w14:paraId="6D2F2E9A" w14:textId="09BF2D11" w:rsidR="001B4290" w:rsidRPr="008B5A2A" w:rsidRDefault="001B4290" w:rsidP="00470C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1D7137F5" w:rsidR="001B4290" w:rsidRPr="008B5A2A" w:rsidRDefault="6FF6DD2C" w:rsidP="0BE40342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When disclosing information referred to in Article 455</w:t>
            </w:r>
            <w:r w:rsidR="1E689576" w:rsidRPr="008B5A2A">
              <w:rPr>
                <w:rFonts w:ascii="Times New Roman" w:eastAsia="Times New Roman" w:hAnsi="Times New Roman" w:cs="Times New Roman"/>
              </w:rPr>
              <w:t xml:space="preserve"> (1), point (c)</w:t>
            </w:r>
            <w:r w:rsidR="357C3DA5" w:rsidRPr="008B5A2A">
              <w:rPr>
                <w:rFonts w:ascii="Times New Roman" w:eastAsia="Times New Roman" w:hAnsi="Times New Roman" w:cs="Times New Roman"/>
              </w:rPr>
              <w:t xml:space="preserve"> of the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0098272B" w:rsidRPr="008B5A2A">
              <w:rPr>
                <w:rFonts w:ascii="Times New Roman" w:eastAsia="Times New Roman" w:hAnsi="Times New Roman" w:cs="Times New Roman"/>
              </w:rPr>
              <w:t>Regulation (EU) 575/2013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, </w:t>
            </w:r>
            <w:r w:rsidR="1ED470E2" w:rsidRPr="008B5A2A">
              <w:rPr>
                <w:rFonts w:ascii="Times New Roman" w:eastAsia="Times New Roman" w:hAnsi="Times New Roman" w:cs="Times New Roman"/>
              </w:rPr>
              <w:t>institutions shall provide a</w:t>
            </w:r>
            <w:r w:rsidR="6917E534" w:rsidRPr="008B5A2A">
              <w:rPr>
                <w:rFonts w:ascii="Times New Roman" w:eastAsia="Times New Roman" w:hAnsi="Times New Roman" w:cs="Times New Roman"/>
              </w:rPr>
              <w:t xml:space="preserve"> general description of the structure of the trading desks covered by the internal models referred to in Article 325az, including for each desk a broad description of the desk's business strategy, the instruments permitted therein and the main risk types in relation to that desk;</w:t>
            </w:r>
          </w:p>
        </w:tc>
      </w:tr>
      <w:tr w:rsidR="008611FF" w:rsidRPr="008B5A2A" w14:paraId="50FBF6A8" w14:textId="77777777" w:rsidTr="008611FF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8B5A2A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1B7C7BE3" w:rsidR="001B4290" w:rsidRPr="008B5A2A" w:rsidRDefault="00F5701F" w:rsidP="0BE40342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When disclosing information referred to in Article 455</w:t>
            </w:r>
            <w:r w:rsidR="00CD55C8" w:rsidRPr="008B5A2A">
              <w:rPr>
                <w:rFonts w:ascii="Times New Roman" w:eastAsia="Times New Roman" w:hAnsi="Times New Roman" w:cs="Times New Roman"/>
              </w:rPr>
              <w:t>(1), point (d) of the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0098272B" w:rsidRPr="008B5A2A">
              <w:rPr>
                <w:rFonts w:ascii="Times New Roman" w:eastAsia="Times New Roman" w:hAnsi="Times New Roman" w:cs="Times New Roman"/>
              </w:rPr>
              <w:t>Regulation (EU) 575/2013</w:t>
            </w:r>
            <w:r w:rsidRPr="008B5A2A">
              <w:rPr>
                <w:rFonts w:ascii="Times New Roman" w:eastAsia="Times New Roman" w:hAnsi="Times New Roman" w:cs="Times New Roman"/>
              </w:rPr>
              <w:t>, institutions shall provide a</w:t>
            </w:r>
            <w:r w:rsidR="001B4290" w:rsidRPr="008B5A2A">
              <w:rPr>
                <w:rFonts w:ascii="Times New Roman" w:eastAsia="Times New Roman" w:hAnsi="Times New Roman" w:cs="Times New Roman"/>
              </w:rPr>
              <w:t xml:space="preserve"> general overview of the trading book positions not covered by the internal models referred to in Article 325az, including a general description of the desk structure and of type of instruments included in the desks or in the desks categories in accordance with Article 104b;</w:t>
            </w:r>
          </w:p>
        </w:tc>
      </w:tr>
      <w:tr w:rsidR="008611FF" w:rsidRPr="008B5A2A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77777777" w:rsidR="00090EA4" w:rsidRPr="008B5A2A" w:rsidRDefault="00090EA4" w:rsidP="3765CAC5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 xml:space="preserve">B) C) E) </w:t>
            </w:r>
            <w:r w:rsidR="003C13EE" w:rsidRPr="008B5A2A">
              <w:rPr>
                <w:rFonts w:ascii="Times New Roman" w:eastAsia="Times New Roman" w:hAnsi="Times New Roman" w:cs="Times New Roman"/>
                <w:szCs w:val="22"/>
              </w:rPr>
              <w:t>Description of the main characteristics of the models used at the consolidated level</w:t>
            </w:r>
            <w:r w:rsidR="005E6E16" w:rsidRPr="008B5A2A">
              <w:rPr>
                <w:rFonts w:ascii="Times New Roman" w:eastAsia="Times New Roman" w:hAnsi="Times New Roman" w:cs="Times New Roman"/>
                <w:szCs w:val="22"/>
              </w:rPr>
              <w:t xml:space="preserve">, including </w:t>
            </w:r>
            <w:r w:rsidR="00E67450" w:rsidRPr="008B5A2A">
              <w:rPr>
                <w:rFonts w:ascii="Times New Roman" w:eastAsia="Times New Roman" w:hAnsi="Times New Roman" w:cs="Times New Roman"/>
                <w:szCs w:val="22"/>
              </w:rPr>
              <w:t>the approaches used in the validation of the models and modelling processes.</w:t>
            </w:r>
          </w:p>
          <w:p w14:paraId="32D410A2" w14:textId="3D7C861F" w:rsidR="00DE5B78" w:rsidRPr="008B5A2A" w:rsidDel="00671C85" w:rsidRDefault="00DE5B78" w:rsidP="3765CAC5">
            <w:pPr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  <w:tr w:rsidR="008611FF" w:rsidRPr="008B5A2A" w:rsidDel="00671C85" w14:paraId="2A2D75B6" w14:textId="77777777" w:rsidTr="008611FF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09595E2A" w:rsidR="00A75779" w:rsidRPr="008B5A2A" w:rsidDel="00671C85" w:rsidRDefault="00A75779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  <w:t>B (b) (c) (d) (e)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043AC4EF" w:rsidR="007E7D7A" w:rsidRPr="008B5A2A" w:rsidDel="00671C85" w:rsidRDefault="001D2F69" w:rsidP="0BE40342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When disclosing information referred to in Article 455</w:t>
            </w:r>
            <w:r w:rsidR="00CD55C8" w:rsidRPr="008B5A2A">
              <w:rPr>
                <w:rFonts w:ascii="Times New Roman" w:eastAsia="Times New Roman" w:hAnsi="Times New Roman" w:cs="Times New Roman"/>
              </w:rPr>
              <w:t>(1), point (f)</w:t>
            </w:r>
            <w:r w:rsidR="00974577" w:rsidRPr="008B5A2A">
              <w:rPr>
                <w:rFonts w:ascii="Times New Roman" w:eastAsia="Times New Roman" w:hAnsi="Times New Roman" w:cs="Times New Roman"/>
              </w:rPr>
              <w:t>(i) of the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00E9795A" w:rsidRPr="008B5A2A">
              <w:rPr>
                <w:rFonts w:ascii="Times New Roman" w:eastAsia="Times New Roman" w:hAnsi="Times New Roman" w:cs="Times New Roman"/>
              </w:rPr>
              <w:t>Regulation (EU) 575/2013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, institutions shall </w:t>
            </w:r>
            <w:r w:rsidR="00347F3B" w:rsidRPr="008B5A2A">
              <w:rPr>
                <w:rFonts w:ascii="Times New Roman" w:eastAsia="Times New Roman" w:hAnsi="Times New Roman" w:cs="Times New Roman"/>
              </w:rPr>
              <w:t xml:space="preserve">provide: </w:t>
            </w:r>
            <w:r w:rsidR="007E7D7A" w:rsidRPr="008B5A2A">
              <w:rPr>
                <w:rFonts w:ascii="Times New Roman" w:eastAsia="Times New Roman" w:hAnsi="Times New Roman" w:cs="Times New Roman"/>
              </w:rPr>
              <w:t xml:space="preserve"> the scope, the main characteristics and the key modelling choices of the different internal models referred to in Article 325az </w:t>
            </w:r>
            <w:r w:rsidR="00974577" w:rsidRPr="008B5A2A">
              <w:rPr>
                <w:rFonts w:ascii="Times New Roman" w:eastAsia="Times New Roman" w:hAnsi="Times New Roman" w:cs="Times New Roman"/>
              </w:rPr>
              <w:t xml:space="preserve">of the </w:t>
            </w:r>
            <w:r w:rsidR="5A4E6B5C" w:rsidRPr="008B5A2A">
              <w:rPr>
                <w:rFonts w:ascii="Times New Roman" w:eastAsia="Times New Roman" w:hAnsi="Times New Roman" w:cs="Times New Roman"/>
              </w:rPr>
              <w:t>Regulation (EU) 575/2013</w:t>
            </w:r>
            <w:r w:rsidR="001941CB"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007E7D7A" w:rsidRPr="008B5A2A">
              <w:rPr>
                <w:rFonts w:ascii="Times New Roman" w:eastAsia="Times New Roman" w:hAnsi="Times New Roman" w:cs="Times New Roman"/>
              </w:rPr>
              <w:t>ed to calculate the risk exposure amounts for the main models used at the consolidated level, and a description to what extent those internal models represent all the models used at the consolidated level, including where applicable:</w:t>
            </w:r>
            <w:r w:rsidR="00A75779"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00D6625B" w:rsidRPr="008B5A2A">
              <w:rPr>
                <w:rFonts w:ascii="Times New Roman" w:eastAsia="Times New Roman" w:hAnsi="Times New Roman" w:cs="Times New Roman"/>
              </w:rPr>
              <w:t xml:space="preserve">(i) </w:t>
            </w:r>
            <w:r w:rsidR="007E7D7A" w:rsidRPr="008B5A2A">
              <w:rPr>
                <w:rFonts w:ascii="Times New Roman" w:eastAsia="Times New Roman" w:hAnsi="Times New Roman" w:cs="Times New Roman"/>
              </w:rPr>
              <w:t>a broad description of the modelling approach used to calculate the expected shortfall referred to in Article 325ba(1), point (a)</w:t>
            </w:r>
            <w:r w:rsidR="00974577" w:rsidRPr="008B5A2A">
              <w:rPr>
                <w:rFonts w:ascii="Times New Roman" w:eastAsia="Times New Roman" w:hAnsi="Times New Roman" w:cs="Times New Roman"/>
              </w:rPr>
              <w:t xml:space="preserve"> of the </w:t>
            </w:r>
            <w:r w:rsidR="00AD637C" w:rsidRPr="008B5A2A">
              <w:rPr>
                <w:rFonts w:ascii="Times New Roman" w:eastAsia="Times New Roman" w:hAnsi="Times New Roman" w:cs="Times New Roman"/>
              </w:rPr>
              <w:t>Regulation (EU) 575/2013</w:t>
            </w:r>
            <w:r w:rsidR="007E7D7A" w:rsidRPr="008B5A2A">
              <w:rPr>
                <w:rFonts w:ascii="Times New Roman" w:eastAsia="Times New Roman" w:hAnsi="Times New Roman" w:cs="Times New Roman"/>
              </w:rPr>
              <w:t xml:space="preserve">, </w:t>
            </w:r>
            <w:r w:rsidR="001941CB" w:rsidRPr="008B5A2A">
              <w:rPr>
                <w:rFonts w:ascii="Times New Roman" w:eastAsia="Times New Roman" w:hAnsi="Times New Roman" w:cs="Times New Roman"/>
              </w:rPr>
              <w:t>including</w:t>
            </w:r>
            <w:r w:rsidR="007E7D7A" w:rsidRPr="008B5A2A">
              <w:rPr>
                <w:rFonts w:ascii="Times New Roman" w:eastAsia="Times New Roman" w:hAnsi="Times New Roman" w:cs="Times New Roman"/>
              </w:rPr>
              <w:t xml:space="preserve"> the frequency of data update</w:t>
            </w:r>
            <w:r w:rsidR="00A75779" w:rsidRPr="008B5A2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611FF" w:rsidRPr="008B5A2A" w:rsidDel="00671C85" w14:paraId="45EADEA6" w14:textId="77777777" w:rsidTr="008611FF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77E5A12E" w:rsidR="008A05A4" w:rsidRPr="008B5A2A" w:rsidDel="00671C85" w:rsidRDefault="00C82CB4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  <w:t>C (a)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6E1660E6" w:rsidR="00D6625B" w:rsidRPr="008B5A2A" w:rsidRDefault="00A75779" w:rsidP="0BE40342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When disclosing information referred to in Article 455</w:t>
            </w:r>
            <w:r w:rsidR="00974577" w:rsidRPr="008B5A2A">
              <w:rPr>
                <w:rFonts w:ascii="Times New Roman" w:eastAsia="Times New Roman" w:hAnsi="Times New Roman" w:cs="Times New Roman"/>
              </w:rPr>
              <w:t>(1), point (f)(ii) of the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32370E96" w:rsidRPr="008B5A2A">
              <w:rPr>
                <w:rFonts w:ascii="Times New Roman" w:eastAsia="Times New Roman" w:hAnsi="Times New Roman" w:cs="Times New Roman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575/2013</w:t>
            </w:r>
            <w:r w:rsidRPr="008B5A2A">
              <w:rPr>
                <w:rFonts w:ascii="Times New Roman" w:eastAsia="Times New Roman" w:hAnsi="Times New Roman" w:cs="Times New Roman"/>
              </w:rPr>
              <w:t>, institutions shall include</w:t>
            </w:r>
            <w:r w:rsidR="00D6625B" w:rsidRPr="008B5A2A">
              <w:rPr>
                <w:rFonts w:ascii="Times New Roman" w:eastAsia="Times New Roman" w:hAnsi="Times New Roman" w:cs="Times New Roman"/>
              </w:rPr>
              <w:t>, where applicable: a broad description of the methodology used to calculate the stress scenario risk measure referred to in Article 325ba(1), point (b)</w:t>
            </w:r>
            <w:r w:rsidR="00605F82" w:rsidRPr="008B5A2A">
              <w:rPr>
                <w:rFonts w:ascii="Times New Roman" w:eastAsia="Times New Roman" w:hAnsi="Times New Roman" w:cs="Times New Roman"/>
              </w:rPr>
              <w:t xml:space="preserve"> of the </w:t>
            </w:r>
            <w:r w:rsidR="5A4E6B5C" w:rsidRPr="008B5A2A">
              <w:rPr>
                <w:rFonts w:ascii="Times New Roman" w:eastAsia="Times New Roman" w:hAnsi="Times New Roman" w:cs="Times New Roman"/>
              </w:rPr>
              <w:t>Regulation (EU) 575/2013</w:t>
            </w:r>
            <w:r w:rsidR="00D6625B" w:rsidRPr="008B5A2A">
              <w:rPr>
                <w:rFonts w:ascii="Times New Roman" w:eastAsia="Times New Roman" w:hAnsi="Times New Roman" w:cs="Times New Roman"/>
              </w:rPr>
              <w:t>ther than the specifications provided for in Article 325bk(3)</w:t>
            </w:r>
            <w:r w:rsidR="00605F82" w:rsidRPr="008B5A2A">
              <w:rPr>
                <w:rFonts w:ascii="Times New Roman" w:eastAsia="Times New Roman" w:hAnsi="Times New Roman" w:cs="Times New Roman"/>
              </w:rPr>
              <w:t xml:space="preserve"> of the Re</w:t>
            </w:r>
            <w:r w:rsidR="5A4E6B5C" w:rsidRPr="008B5A2A">
              <w:rPr>
                <w:rFonts w:ascii="Times New Roman" w:eastAsia="Times New Roman" w:hAnsi="Times New Roman" w:cs="Times New Roman"/>
              </w:rPr>
              <w:t>gulation (EU) 575/2013</w:t>
            </w:r>
            <w:r w:rsidR="09FD1D50" w:rsidRPr="008B5A2A">
              <w:rPr>
                <w:rFonts w:ascii="Times New Roman" w:eastAsia="Times New Roman" w:hAnsi="Times New Roman" w:cs="Times New Roman"/>
              </w:rPr>
              <w:t>.</w:t>
            </w:r>
          </w:p>
          <w:p w14:paraId="3E866C05" w14:textId="635C3FD9" w:rsidR="008A05A4" w:rsidRPr="008B5A2A" w:rsidDel="00671C85" w:rsidRDefault="008A05A4" w:rsidP="3765CAC5">
            <w:pPr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  <w:tr w:rsidR="008611FF" w:rsidRPr="008B5A2A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8B5A2A" w:rsidRDefault="00C3247D" w:rsidP="00D6625B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 xml:space="preserve">D) </w:t>
            </w:r>
            <w:r w:rsidR="00E374FB" w:rsidRPr="008B5A2A">
              <w:rPr>
                <w:rFonts w:ascii="Times New Roman" w:eastAsia="Times New Roman" w:hAnsi="Times New Roman" w:cs="Times New Roman"/>
                <w:szCs w:val="22"/>
              </w:rPr>
              <w:t>Description of internal models to calculate the default risk charge</w:t>
            </w:r>
          </w:p>
        </w:tc>
      </w:tr>
      <w:tr w:rsidR="008611FF" w:rsidRPr="008B5A2A" w14:paraId="77D1514B" w14:textId="77777777" w:rsidTr="008611FF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4C21A863" w:rsidR="3C9E464D" w:rsidRPr="008B5A2A" w:rsidRDefault="00827740" w:rsidP="00470C3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/>
                <w:b/>
                <w:bCs/>
                <w:sz w:val="24"/>
                <w:lang w:eastAsia="ja-JP"/>
              </w:rPr>
              <w:t>(b)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B904F70" w:rsidR="3C9E464D" w:rsidRPr="008B5A2A" w:rsidRDefault="00FF5D12" w:rsidP="0BE40342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When disclosing information referred to in Article 455</w:t>
            </w:r>
            <w:r w:rsidR="00605F82" w:rsidRPr="008B5A2A">
              <w:rPr>
                <w:rFonts w:ascii="Times New Roman" w:eastAsia="Times New Roman" w:hAnsi="Times New Roman" w:cs="Times New Roman"/>
              </w:rPr>
              <w:t>(1), point (f) (iii) of the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2CD55D33" w:rsidRPr="008B5A2A">
              <w:rPr>
                <w:rFonts w:ascii="Times New Roman" w:eastAsia="Times New Roman" w:hAnsi="Times New Roman" w:cs="Times New Roman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575/2013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, institutions shall include, where applicable: </w:t>
            </w:r>
            <w:r w:rsidR="3C9E464D" w:rsidRPr="008B5A2A">
              <w:rPr>
                <w:rFonts w:ascii="Times New Roman" w:eastAsia="Times New Roman" w:hAnsi="Times New Roman" w:cs="Times New Roman"/>
              </w:rPr>
              <w:t>a broad description of the modelling approach used to calculate the default risk charge referred to in Article 325ba(2)</w:t>
            </w:r>
            <w:r w:rsidR="00605F82" w:rsidRPr="008B5A2A">
              <w:rPr>
                <w:rFonts w:ascii="Times New Roman" w:eastAsia="Times New Roman" w:hAnsi="Times New Roman" w:cs="Times New Roman"/>
              </w:rPr>
              <w:t xml:space="preserve"> of the </w:t>
            </w:r>
            <w:r w:rsidR="3B21E08E" w:rsidRPr="008B5A2A">
              <w:rPr>
                <w:rFonts w:ascii="Times New Roman" w:eastAsia="Times New Roman" w:hAnsi="Times New Roman" w:cs="Times New Roman"/>
              </w:rPr>
              <w:t xml:space="preserve"> 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</w:t>
            </w:r>
            <w:r w:rsidR="3B21E08E" w:rsidRPr="008B5A2A">
              <w:rPr>
                <w:rFonts w:ascii="Times New Roman" w:eastAsia="Times New Roman" w:hAnsi="Times New Roman" w:cs="Times New Roman"/>
              </w:rPr>
              <w:t>2013  i</w:t>
            </w:r>
            <w:r w:rsidR="6BEF0970" w:rsidRPr="008B5A2A">
              <w:rPr>
                <w:rFonts w:ascii="Times New Roman" w:eastAsia="Times New Roman" w:hAnsi="Times New Roman" w:cs="Times New Roman"/>
              </w:rPr>
              <w:t>ncluding</w:t>
            </w:r>
            <w:r w:rsidR="3C9E464D" w:rsidRPr="008B5A2A">
              <w:rPr>
                <w:rFonts w:ascii="Times New Roman" w:eastAsia="Times New Roman" w:hAnsi="Times New Roman" w:cs="Times New Roman"/>
              </w:rPr>
              <w:t xml:space="preserve"> the frequency of data update.</w:t>
            </w:r>
          </w:p>
        </w:tc>
      </w:tr>
    </w:tbl>
    <w:p w14:paraId="5FA44E6D" w14:textId="77777777" w:rsidR="008611FF" w:rsidRPr="008B5A2A" w:rsidRDefault="008611FF" w:rsidP="3821DFBC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81251D5" w14:textId="48BB9733" w:rsidR="00931C32" w:rsidRPr="008B5A2A" w:rsidRDefault="00931C32" w:rsidP="3821DFBC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  <w:r w:rsidRPr="008B5A2A">
        <w:rPr>
          <w:rFonts w:ascii="Times New Roman" w:hAnsi="Times New Roman" w:cs="Times New Roman"/>
          <w:b/>
          <w:color w:val="auto"/>
          <w:sz w:val="24"/>
          <w:lang w:val="en-GB"/>
        </w:rPr>
        <w:t>Template EU MR2 - Market risk under the</w:t>
      </w:r>
      <w:r w:rsidR="5052D778" w:rsidRPr="008B5A2A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 alternative</w:t>
      </w:r>
      <w:r w:rsidRPr="008B5A2A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 internal </w:t>
      </w:r>
      <w:r w:rsidR="588CE7D0" w:rsidRPr="008B5A2A">
        <w:rPr>
          <w:rFonts w:ascii="Times New Roman" w:hAnsi="Times New Roman" w:cs="Times New Roman"/>
          <w:b/>
          <w:color w:val="auto"/>
          <w:sz w:val="24"/>
          <w:lang w:val="en-GB"/>
        </w:rPr>
        <w:t>m</w:t>
      </w:r>
      <w:r w:rsidRPr="008B5A2A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odel </w:t>
      </w:r>
      <w:r w:rsidR="18548FBB" w:rsidRPr="008B5A2A">
        <w:rPr>
          <w:rFonts w:ascii="Times New Roman" w:hAnsi="Times New Roman" w:cs="Times New Roman"/>
          <w:b/>
          <w:color w:val="auto"/>
          <w:sz w:val="24"/>
          <w:lang w:val="en-GB"/>
        </w:rPr>
        <w:t>a</w:t>
      </w:r>
      <w:r w:rsidRPr="008B5A2A">
        <w:rPr>
          <w:rFonts w:ascii="Times New Roman" w:hAnsi="Times New Roman" w:cs="Times New Roman"/>
          <w:b/>
          <w:color w:val="auto"/>
          <w:sz w:val="24"/>
          <w:lang w:val="en-GB"/>
        </w:rPr>
        <w:t>pproach (</w:t>
      </w:r>
      <w:r w:rsidR="3354C78D" w:rsidRPr="008B5A2A">
        <w:rPr>
          <w:rFonts w:ascii="Times New Roman" w:hAnsi="Times New Roman" w:cs="Times New Roman"/>
          <w:b/>
          <w:color w:val="auto"/>
          <w:sz w:val="24"/>
          <w:lang w:val="en-GB"/>
        </w:rPr>
        <w:t>A</w:t>
      </w:r>
      <w:r w:rsidRPr="008B5A2A">
        <w:rPr>
          <w:rFonts w:ascii="Times New Roman" w:hAnsi="Times New Roman" w:cs="Times New Roman"/>
          <w:b/>
          <w:color w:val="auto"/>
          <w:sz w:val="24"/>
          <w:lang w:val="en-GB"/>
        </w:rPr>
        <w:t>IMA):</w:t>
      </w:r>
      <w:r w:rsidRPr="008B5A2A">
        <w:rPr>
          <w:rFonts w:ascii="Times New Roman" w:hAnsi="Times New Roman" w:cs="Times New Roman"/>
          <w:color w:val="auto"/>
          <w:sz w:val="24"/>
          <w:lang w:val="en-GB"/>
        </w:rPr>
        <w:t xml:space="preserve"> fixed format</w:t>
      </w:r>
    </w:p>
    <w:p w14:paraId="2D64DF36" w14:textId="2E7E80CC" w:rsidR="00931C32" w:rsidRPr="004213D9" w:rsidRDefault="00931C32" w:rsidP="004213D9">
      <w:pPr>
        <w:pStyle w:val="Titlelevel2"/>
        <w:numPr>
          <w:ilvl w:val="0"/>
          <w:numId w:val="9"/>
        </w:numPr>
        <w:spacing w:before="0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Institutions shall disclose the information referred to point (</w:t>
      </w:r>
      <w:r w:rsidR="4AD057AA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2</w:t>
      </w: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) of Article 455 </w:t>
      </w:r>
      <w:r w:rsidR="167ECDDF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Regulation</w:t>
      </w:r>
      <w:r w:rsidR="5A4E6B5C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(EU) 575/2013</w:t>
      </w: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by following the instructions provided below in this </w:t>
      </w: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lastRenderedPageBreak/>
        <w:t>Annex to complete template EU MR2 which is presented in Annex XXIX.</w:t>
      </w:r>
      <w:r w:rsidR="004213D9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Institutions shall not include any data on their Internal Risk transfer (IRT) desk in this template.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8611FF" w:rsidRPr="008B5A2A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77777777" w:rsidR="00931C32" w:rsidRPr="008B5A2A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8611FF" w:rsidRPr="008B5A2A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8B5A2A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Row number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8B5A2A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008611FF" w:rsidRPr="008B5A2A" w14:paraId="34D4196F" w14:textId="77777777" w:rsidTr="00470C3A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8B5A2A" w:rsidRDefault="59A8805A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8B5A2A" w:rsidRDefault="42390ABD" w:rsidP="4A0450B5">
            <w:pPr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 xml:space="preserve">Unconstrained expected shortfall measure </w:t>
            </w:r>
            <w:r w:rsidR="2FC34BD8" w:rsidRPr="008B5A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</w:t>
            </w:r>
            <w:proofErr w:type="spellStart"/>
            <w:r w:rsidR="2FC34BD8" w:rsidRPr="008B5A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UES</w:t>
            </w:r>
            <w:r w:rsidR="2FC34BD8" w:rsidRPr="008B5A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</w:t>
            </w:r>
            <w:proofErr w:type="spellEnd"/>
            <w:r w:rsidR="2FC34BD8" w:rsidRPr="008B5A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  <w:p w14:paraId="1E53AB6F" w14:textId="2D37B3D8" w:rsidR="3E91330B" w:rsidRPr="008B5A2A" w:rsidRDefault="3BB31265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 xml:space="preserve">The value disclosed </w:t>
            </w:r>
            <w:r w:rsidR="20BAA939" w:rsidRPr="008B5A2A">
              <w:rPr>
                <w:rFonts w:ascii="Times New Roman" w:hAnsi="Times New Roman" w:cs="Times New Roman"/>
              </w:rPr>
              <w:t>shall be calculated at the level of the overall portfolio and not at the level of a br</w:t>
            </w:r>
            <w:r w:rsidR="1039BAA8" w:rsidRPr="008B5A2A">
              <w:rPr>
                <w:rFonts w:ascii="Times New Roman" w:hAnsi="Times New Roman" w:cs="Times New Roman"/>
              </w:rPr>
              <w:t>o</w:t>
            </w:r>
            <w:r w:rsidR="20BAA939" w:rsidRPr="008B5A2A">
              <w:rPr>
                <w:rFonts w:ascii="Times New Roman" w:hAnsi="Times New Roman" w:cs="Times New Roman"/>
              </w:rPr>
              <w:t xml:space="preserve">ad category </w:t>
            </w:r>
            <w:r w:rsidR="0715563F" w:rsidRPr="008B5A2A">
              <w:rPr>
                <w:rFonts w:ascii="Times New Roman" w:hAnsi="Times New Roman" w:cs="Times New Roman"/>
              </w:rPr>
              <w:t>of risk</w:t>
            </w:r>
            <w:r w:rsidR="335A1535" w:rsidRPr="008B5A2A">
              <w:rPr>
                <w:rFonts w:ascii="Times New Roman" w:hAnsi="Times New Roman" w:cs="Times New Roman"/>
              </w:rPr>
              <w:t xml:space="preserve"> according to Articles 325bb and 325bc </w:t>
            </w:r>
            <w:r w:rsidR="7E480FE0" w:rsidRPr="008B5A2A">
              <w:rPr>
                <w:rFonts w:ascii="Times New Roman" w:hAnsi="Times New Roman" w:cs="Times New Roman"/>
              </w:rPr>
              <w:t>Regulation</w:t>
            </w:r>
            <w:r w:rsidR="5A4E6B5C" w:rsidRPr="008B5A2A">
              <w:rPr>
                <w:rFonts w:ascii="Times New Roman" w:hAnsi="Times New Roman" w:cs="Times New Roman"/>
              </w:rPr>
              <w:t xml:space="preserve"> (EU) 575/2013</w:t>
            </w:r>
            <w:r w:rsidR="335A1535" w:rsidRPr="008B5A2A">
              <w:rPr>
                <w:rFonts w:ascii="Times New Roman" w:hAnsi="Times New Roman" w:cs="Times New Roman"/>
              </w:rPr>
              <w:t>.</w:t>
            </w:r>
          </w:p>
        </w:tc>
      </w:tr>
      <w:tr w:rsidR="008611FF" w:rsidRPr="008B5A2A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8B5A2A" w:rsidRDefault="3B3426CC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8B5A2A" w:rsidRDefault="3B3426CC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 xml:space="preserve">Unconstrained expected shortfall measure for </w:t>
            </w:r>
            <w:r w:rsidR="01E12F8D"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 xml:space="preserve">the 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 xml:space="preserve">risk factor category </w:t>
            </w:r>
            <w:r w:rsidR="6DCBCB4F"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i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 xml:space="preserve">nterest </w:t>
            </w:r>
            <w:r w:rsidR="2D55B8CC"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r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ate</w:t>
            </w:r>
          </w:p>
          <w:p w14:paraId="39E48A15" w14:textId="16196473" w:rsidR="40EE3118" w:rsidRPr="008B5A2A" w:rsidRDefault="749F8553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T</w:t>
            </w:r>
            <w:r w:rsidR="5B594D8B" w:rsidRPr="008B5A2A">
              <w:rPr>
                <w:rFonts w:ascii="Times New Roman" w:eastAsia="Times New Roman" w:hAnsi="Times New Roman" w:cs="Times New Roman"/>
              </w:rPr>
              <w:t>he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 value disclosed shall </w:t>
            </w:r>
            <w:r w:rsidR="15402E32" w:rsidRPr="008B5A2A">
              <w:rPr>
                <w:rFonts w:ascii="Times New Roman" w:eastAsia="Times New Roman" w:hAnsi="Times New Roman" w:cs="Times New Roman"/>
              </w:rPr>
              <w:t>be calculated for the risk factors of the interes</w:t>
            </w:r>
            <w:r w:rsidR="4C26D47D" w:rsidRPr="008B5A2A">
              <w:rPr>
                <w:rFonts w:ascii="Times New Roman" w:eastAsia="Times New Roman" w:hAnsi="Times New Roman" w:cs="Times New Roman"/>
              </w:rPr>
              <w:t>t</w:t>
            </w:r>
            <w:r w:rsidR="15402E32" w:rsidRPr="008B5A2A">
              <w:rPr>
                <w:rFonts w:ascii="Times New Roman" w:eastAsia="Times New Roman" w:hAnsi="Times New Roman" w:cs="Times New Roman"/>
              </w:rPr>
              <w:t xml:space="preserve"> rate risk category </w:t>
            </w:r>
            <w:r w:rsidR="61E1B363"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="05F82D7D" w:rsidRPr="008B5A2A">
              <w:rPr>
                <w:rFonts w:ascii="Times New Roman" w:eastAsia="Times New Roman" w:hAnsi="Times New Roman" w:cs="Times New Roman"/>
              </w:rPr>
              <w:t>Articles 325bb</w:t>
            </w:r>
            <w:r w:rsidR="709C7A7B" w:rsidRPr="008B5A2A">
              <w:rPr>
                <w:rFonts w:ascii="Times New Roman" w:eastAsia="Times New Roman" w:hAnsi="Times New Roman" w:cs="Times New Roman"/>
              </w:rPr>
              <w:t xml:space="preserve">, </w:t>
            </w:r>
            <w:r w:rsidR="05F82D7D" w:rsidRPr="008B5A2A">
              <w:rPr>
                <w:rFonts w:ascii="Times New Roman" w:eastAsia="Times New Roman" w:hAnsi="Times New Roman" w:cs="Times New Roman"/>
              </w:rPr>
              <w:t>325b</w:t>
            </w:r>
            <w:r w:rsidR="75515E65" w:rsidRPr="008B5A2A">
              <w:rPr>
                <w:rFonts w:ascii="Times New Roman" w:eastAsia="Times New Roman" w:hAnsi="Times New Roman" w:cs="Times New Roman"/>
              </w:rPr>
              <w:t>c</w:t>
            </w:r>
            <w:r w:rsidR="67C46542" w:rsidRPr="008B5A2A">
              <w:rPr>
                <w:rFonts w:ascii="Times New Roman" w:eastAsia="Times New Roman" w:hAnsi="Times New Roman" w:cs="Times New Roman"/>
              </w:rPr>
              <w:t xml:space="preserve"> and 325bd</w:t>
            </w:r>
            <w:r w:rsidR="51F52224"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16F76100" w:rsidRPr="008B5A2A">
              <w:rPr>
                <w:rFonts w:ascii="Times New Roman" w:eastAsia="Times New Roman" w:hAnsi="Times New Roman" w:cs="Times New Roman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575/2013</w:t>
            </w:r>
            <w:r w:rsidR="51F52224" w:rsidRPr="008B5A2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611FF" w:rsidRPr="008B5A2A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8B5A2A" w:rsidRDefault="002F3022" w:rsidP="00234F41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EEC3A3" w14:textId="781BCD73" w:rsidR="00234F41" w:rsidRPr="008B5A2A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>Unconstrained expected shortfall measure for the risk factor category equity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4968BF82" w:rsidRPr="008B5A2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E1BA488" w14:textId="705548F0" w:rsidR="00234F41" w:rsidRPr="008B5A2A" w:rsidRDefault="7A25B94F" w:rsidP="140F9DE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 xml:space="preserve">The value disclosed shall be calculated for the risk factors of </w:t>
            </w:r>
            <w:r w:rsidR="44BF35F4" w:rsidRPr="008B5A2A">
              <w:rPr>
                <w:rFonts w:ascii="Times New Roman" w:eastAsia="Times New Roman" w:hAnsi="Times New Roman" w:cs="Times New Roman"/>
              </w:rPr>
              <w:t>equity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 risk category </w:t>
            </w: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Articles 325bb, 325bc and 325bd </w:t>
            </w:r>
            <w:r w:rsidR="5EBFBD17" w:rsidRPr="008B5A2A">
              <w:rPr>
                <w:rFonts w:ascii="Times New Roman" w:eastAsia="Times New Roman" w:hAnsi="Times New Roman" w:cs="Times New Roman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575/2013</w:t>
            </w:r>
            <w:r w:rsidR="3444B630" w:rsidRPr="008B5A2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611FF" w:rsidRPr="008B5A2A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8B5A2A" w:rsidRDefault="002F3022" w:rsidP="00B86E1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6A90B" w14:textId="77777777" w:rsidR="00B86E1A" w:rsidRPr="008B5A2A" w:rsidRDefault="00B86E1A" w:rsidP="00B86E1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Unconstrained expected shortfall measure for the risk factor category commodity</w:t>
            </w:r>
            <w:r w:rsidRPr="008B5A2A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  <w:p w14:paraId="7363F92C" w14:textId="248908D4" w:rsidR="00B86E1A" w:rsidRPr="008B5A2A" w:rsidRDefault="6131966D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T</w:t>
            </w:r>
            <w:r w:rsidR="05EA5842" w:rsidRPr="008B5A2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0BA8462" w14:textId="06887846" w:rsidR="00B86E1A" w:rsidRPr="008B5A2A" w:rsidRDefault="662FC4E3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The value disclosed shall be calculated for the risk factors of the</w:t>
            </w:r>
            <w:r w:rsidR="418234B9" w:rsidRPr="008B5A2A">
              <w:rPr>
                <w:rFonts w:ascii="Times New Roman" w:eastAsia="Times New Roman" w:hAnsi="Times New Roman" w:cs="Times New Roman"/>
              </w:rPr>
              <w:t xml:space="preserve"> commodity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 risk category </w:t>
            </w: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Articles 325bb, 325bc and 325bd </w:t>
            </w:r>
            <w:r w:rsidR="57D731EF" w:rsidRPr="008B5A2A">
              <w:rPr>
                <w:rFonts w:ascii="Times New Roman" w:eastAsia="Times New Roman" w:hAnsi="Times New Roman" w:cs="Times New Roman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575/2013</w:t>
            </w:r>
          </w:p>
        </w:tc>
      </w:tr>
      <w:tr w:rsidR="008611FF" w:rsidRPr="008B5A2A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8B5A2A" w:rsidRDefault="002F3022" w:rsidP="002F3022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8B5A2A" w:rsidRDefault="12ADB0E7" w:rsidP="140F9DE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>Unconstrained expected shortfall measure for the risk factor category foreign exchange</w:t>
            </w:r>
          </w:p>
          <w:p w14:paraId="1880B223" w14:textId="0BD3E985" w:rsidR="002F3022" w:rsidRPr="008B5A2A" w:rsidRDefault="1F3BA536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7C74C2F6" w:rsidRPr="008B5A2A">
              <w:rPr>
                <w:rFonts w:ascii="Times New Roman" w:eastAsia="Times New Roman" w:hAnsi="Times New Roman" w:cs="Times New Roman"/>
              </w:rPr>
              <w:t xml:space="preserve"> The value disclosed shall be calculated for the risk factors of the </w:t>
            </w:r>
            <w:r w:rsidR="10BB7391" w:rsidRPr="008B5A2A">
              <w:rPr>
                <w:rFonts w:ascii="Times New Roman" w:eastAsia="Times New Roman" w:hAnsi="Times New Roman" w:cs="Times New Roman"/>
              </w:rPr>
              <w:t>foreign exchange</w:t>
            </w:r>
            <w:r w:rsidR="7C74C2F6" w:rsidRPr="008B5A2A">
              <w:rPr>
                <w:rFonts w:ascii="Times New Roman" w:eastAsia="Times New Roman" w:hAnsi="Times New Roman" w:cs="Times New Roman"/>
              </w:rPr>
              <w:t xml:space="preserve"> risk category </w:t>
            </w:r>
            <w:r w:rsidR="7C74C2F6"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="7C74C2F6" w:rsidRPr="008B5A2A">
              <w:rPr>
                <w:rFonts w:ascii="Times New Roman" w:eastAsia="Times New Roman" w:hAnsi="Times New Roman" w:cs="Times New Roman"/>
              </w:rPr>
              <w:t xml:space="preserve">Articles 325bb, 325bc and 325bd </w:t>
            </w:r>
            <w:r w:rsidR="035B3B5C" w:rsidRPr="008B5A2A">
              <w:rPr>
                <w:rFonts w:ascii="Times New Roman" w:eastAsia="Times New Roman" w:hAnsi="Times New Roman" w:cs="Times New Roman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575/2013</w:t>
            </w:r>
          </w:p>
        </w:tc>
      </w:tr>
      <w:tr w:rsidR="008611FF" w:rsidRPr="008B5A2A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5BB2563A" w:rsidR="00234F41" w:rsidRPr="008B5A2A" w:rsidRDefault="00572E3E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BE84B9" w14:textId="21B277FE" w:rsidR="00234F41" w:rsidRPr="008B5A2A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 xml:space="preserve">Unconstrained expected shortfall measure for the risk factor category credit spread </w:t>
            </w:r>
          </w:p>
          <w:p w14:paraId="5C567B92" w14:textId="63A2D0C6" w:rsidR="00234F41" w:rsidRPr="008B5A2A" w:rsidRDefault="79641B5E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The value disclosed shall be calculated for the risk factors of the</w:t>
            </w:r>
            <w:r w:rsidR="653DAA98" w:rsidRPr="008B5A2A">
              <w:rPr>
                <w:rFonts w:ascii="Times New Roman" w:eastAsia="Times New Roman" w:hAnsi="Times New Roman" w:cs="Times New Roman"/>
              </w:rPr>
              <w:t xml:space="preserve"> credit spread 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risk category </w:t>
            </w: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Articles 325bb, 325bc and 325bd </w:t>
            </w:r>
            <w:r w:rsidR="66B44710" w:rsidRPr="008B5A2A">
              <w:rPr>
                <w:rFonts w:ascii="Times New Roman" w:eastAsia="Times New Roman" w:hAnsi="Times New Roman" w:cs="Times New Roman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575/2013</w:t>
            </w:r>
            <w:r w:rsidR="2E509B0B" w:rsidRPr="008B5A2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611FF" w:rsidRPr="008B5A2A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8B5A2A" w:rsidRDefault="00234F41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14CC777" w14:textId="7A7F44EE" w:rsidR="00234F41" w:rsidRPr="008B5A2A" w:rsidRDefault="471075D0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 xml:space="preserve">Sum of unconstrained expected shortfall measure for broad risk factor categories </w:t>
            </w:r>
            <w:r w:rsidRPr="008B5A2A">
              <w:rPr>
                <w:rFonts w:ascii="Times New Roman" w:eastAsia="Times New Roman" w:hAnsi="Times New Roman" w:cs="Times New Roman"/>
              </w:rPr>
              <w:t>(</w:t>
            </w:r>
            <w:r w:rsidRPr="008B5A2A">
              <w:rPr>
                <w:rFonts w:ascii="Times New Roman" w:eastAsia="Times New Roman" w:hAnsi="Times New Roman" w:cs="Times New Roman"/>
                <w:sz w:val="26"/>
                <w:szCs w:val="26"/>
              </w:rPr>
              <w:t>∑</w:t>
            </w:r>
            <w:proofErr w:type="spellStart"/>
            <w:r w:rsidRPr="008B5A2A">
              <w:rPr>
                <w:rFonts w:ascii="Times New Roman" w:eastAsia="Times New Roman" w:hAnsi="Times New Roman" w:cs="Times New Roman"/>
                <w:sz w:val="26"/>
                <w:szCs w:val="26"/>
              </w:rPr>
              <w:t>UES</w:t>
            </w:r>
            <w:r w:rsidRPr="008B5A2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i</w:t>
            </w:r>
            <w:r w:rsidRPr="008B5A2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t</w:t>
            </w:r>
            <w:proofErr w:type="spellEnd"/>
            <w:r w:rsidRPr="008B5A2A">
              <w:rPr>
                <w:rFonts w:ascii="Times New Roman" w:eastAsia="Times New Roman" w:hAnsi="Times New Roman" w:cs="Times New Roman"/>
              </w:rPr>
              <w:t>)[Sum of 2 to 6]</w:t>
            </w:r>
          </w:p>
          <w:p w14:paraId="0D4B3B7E" w14:textId="0C505591" w:rsidR="00234F41" w:rsidRPr="008B5A2A" w:rsidRDefault="00234F41" w:rsidP="140F9DE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611FF" w:rsidRPr="008B5A2A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8B5A2A" w:rsidRDefault="00234F41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8B5A2A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Expected shortfall measure (</w:t>
            </w:r>
            <w:proofErr w:type="spellStart"/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ES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  <w:vertAlign w:val="subscript"/>
              </w:rPr>
              <w:t>t</w:t>
            </w:r>
            <w:proofErr w:type="spellEnd"/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)</w:t>
            </w:r>
          </w:p>
          <w:p w14:paraId="3985A7B9" w14:textId="064CDFC2" w:rsidR="00234F41" w:rsidRPr="008B5A2A" w:rsidRDefault="5D2FC7FD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The e</w:t>
            </w:r>
            <w:r w:rsidR="5BABE3D1" w:rsidRPr="008B5A2A">
              <w:rPr>
                <w:rFonts w:ascii="Times New Roman" w:eastAsia="Times New Roman" w:hAnsi="Times New Roman" w:cs="Times New Roman"/>
              </w:rPr>
              <w:t xml:space="preserve">xpected shortfall risk measure </w:t>
            </w:r>
            <w:r w:rsidR="7D7D63FD" w:rsidRPr="008B5A2A">
              <w:rPr>
                <w:rFonts w:ascii="Times New Roman" w:eastAsia="Times New Roman" w:hAnsi="Times New Roman" w:cs="Times New Roman"/>
              </w:rPr>
              <w:t xml:space="preserve">shall be </w:t>
            </w:r>
            <w:r w:rsidR="5BABE3D1" w:rsidRPr="008B5A2A">
              <w:rPr>
                <w:rFonts w:ascii="Times New Roman" w:eastAsia="Times New Roman" w:hAnsi="Times New Roman" w:cs="Times New Roman"/>
              </w:rPr>
              <w:t xml:space="preserve">calculated in accordance with Article </w:t>
            </w:r>
            <w:r w:rsidR="66505BFF" w:rsidRPr="008B5A2A">
              <w:rPr>
                <w:rFonts w:ascii="Times New Roman" w:eastAsia="Times New Roman" w:hAnsi="Times New Roman" w:cs="Times New Roman"/>
              </w:rPr>
              <w:t>325ba(1), point (a)(i)</w:t>
            </w:r>
            <w:r w:rsidR="5BABE3D1"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105CD97D" w:rsidRPr="008B5A2A">
              <w:rPr>
                <w:rFonts w:ascii="Times New Roman" w:eastAsia="Times New Roman" w:hAnsi="Times New Roman" w:cs="Times New Roman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575/2013</w:t>
            </w:r>
            <w:r w:rsidR="105CD97D" w:rsidRPr="008B5A2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611FF" w:rsidRPr="008B5A2A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8B5A2A" w:rsidRDefault="00234F41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0618CAD3" w:rsidR="00234F41" w:rsidRPr="008B5A2A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Stress scenario risk measure (</w:t>
            </w:r>
            <w:proofErr w:type="spellStart"/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SS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  <w:vertAlign w:val="subscript"/>
              </w:rPr>
              <w:t>t</w:t>
            </w:r>
            <w:proofErr w:type="spellEnd"/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)</w:t>
            </w:r>
          </w:p>
          <w:p w14:paraId="1A984573" w14:textId="25895BD2" w:rsidR="00234F41" w:rsidRPr="008B5A2A" w:rsidRDefault="060F6C17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The</w:t>
            </w:r>
            <w:r w:rsidR="5BABE3D1" w:rsidRPr="008B5A2A">
              <w:rPr>
                <w:rFonts w:ascii="Times New Roman" w:eastAsia="Times New Roman" w:hAnsi="Times New Roman" w:cs="Times New Roman"/>
              </w:rPr>
              <w:t xml:space="preserve"> stress scenario risk measure </w:t>
            </w:r>
            <w:r w:rsidR="5F15F480" w:rsidRPr="008B5A2A">
              <w:rPr>
                <w:rFonts w:ascii="Times New Roman" w:eastAsia="Times New Roman" w:hAnsi="Times New Roman" w:cs="Times New Roman"/>
              </w:rPr>
              <w:t xml:space="preserve">shall be </w:t>
            </w:r>
            <w:r w:rsidR="5BABE3D1" w:rsidRPr="008B5A2A">
              <w:rPr>
                <w:rFonts w:ascii="Times New Roman" w:eastAsia="Times New Roman" w:hAnsi="Times New Roman" w:cs="Times New Roman"/>
              </w:rPr>
              <w:t xml:space="preserve">calculated in accordance with </w:t>
            </w:r>
            <w:r w:rsidR="2456F255" w:rsidRPr="008B5A2A">
              <w:rPr>
                <w:rFonts w:ascii="Times New Roman" w:eastAsia="Times New Roman" w:hAnsi="Times New Roman" w:cs="Times New Roman"/>
              </w:rPr>
              <w:t>Article 325ba(1), point (a)(ii)</w:t>
            </w:r>
            <w:r w:rsidR="5BABE3D1"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12679AD5" w:rsidRPr="008B5A2A">
              <w:rPr>
                <w:rFonts w:ascii="Times New Roman" w:eastAsia="Times New Roman" w:hAnsi="Times New Roman" w:cs="Times New Roman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575/2013</w:t>
            </w:r>
          </w:p>
        </w:tc>
      </w:tr>
      <w:tr w:rsidR="008611FF" w:rsidRPr="008B5A2A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8B5A2A" w:rsidRDefault="00234F41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8B5A2A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Default risk charge (</w:t>
            </w:r>
            <w:proofErr w:type="spellStart"/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DRC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  <w:vertAlign w:val="subscript"/>
              </w:rPr>
              <w:t>t</w:t>
            </w:r>
            <w:proofErr w:type="spellEnd"/>
            <w:r w:rsidRPr="008B5A2A">
              <w:rPr>
                <w:rFonts w:ascii="Times New Roman" w:eastAsia="Times New Roman" w:hAnsi="Times New Roman" w:cs="Times New Roman"/>
                <w:b/>
                <w:bCs/>
                <w:szCs w:val="22"/>
              </w:rPr>
              <w:t>)</w:t>
            </w:r>
          </w:p>
          <w:p w14:paraId="0AF5675B" w14:textId="627D1AB7" w:rsidR="00234F41" w:rsidRPr="008B5A2A" w:rsidRDefault="654BF7D8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The d</w:t>
            </w:r>
            <w:r w:rsidR="5BABE3D1" w:rsidRPr="008B5A2A">
              <w:rPr>
                <w:rFonts w:ascii="Times New Roman" w:eastAsia="Times New Roman" w:hAnsi="Times New Roman" w:cs="Times New Roman"/>
              </w:rPr>
              <w:t>efault risk charge</w:t>
            </w:r>
            <w:r w:rsidR="7214E0FE" w:rsidRPr="008B5A2A">
              <w:rPr>
                <w:rFonts w:ascii="Times New Roman" w:eastAsia="Times New Roman" w:hAnsi="Times New Roman" w:cs="Times New Roman"/>
              </w:rPr>
              <w:t xml:space="preserve"> shall be calculated in accordance with 325ba(2), point (a) </w:t>
            </w:r>
            <w:r w:rsidR="1A8C08E2" w:rsidRPr="008B5A2A">
              <w:rPr>
                <w:rFonts w:ascii="Times New Roman" w:eastAsia="Times New Roman" w:hAnsi="Times New Roman" w:cs="Times New Roman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575/2013</w:t>
            </w:r>
          </w:p>
        </w:tc>
      </w:tr>
      <w:tr w:rsidR="008611FF" w:rsidRPr="008B5A2A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8B5A2A" w:rsidRDefault="00234F41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8B5A2A" w:rsidRDefault="1AC2462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>PLA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addon</w:t>
            </w:r>
            <w:proofErr w:type="spellEnd"/>
          </w:p>
          <w:p w14:paraId="72CEFFB9" w14:textId="2C5D2A25" w:rsidR="00234F41" w:rsidRPr="008B5A2A" w:rsidRDefault="471075D0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lastRenderedPageBreak/>
              <w:t>This value shall be calculated in accordance with</w:t>
            </w:r>
            <w:r w:rsidR="2B836C8D" w:rsidRPr="008B5A2A">
              <w:rPr>
                <w:rFonts w:ascii="Times New Roman" w:eastAsia="Times New Roman" w:hAnsi="Times New Roman" w:cs="Times New Roman"/>
              </w:rPr>
              <w:t xml:space="preserve"> Article 325ba(3) of Regulation (EU) No 575/2013 in conjunction with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 Article 10(1) of Regulation (EU) 2022/2059</w:t>
            </w:r>
          </w:p>
        </w:tc>
      </w:tr>
      <w:tr w:rsidR="008611FF" w:rsidRPr="008B5A2A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8B5A2A" w:rsidRDefault="00234F41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lastRenderedPageBreak/>
              <w:t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05D96404" w:rsidR="00234F41" w:rsidRPr="008B5A2A" w:rsidRDefault="11A57A2D" w:rsidP="140F9DE1">
            <w:pPr>
              <w:rPr>
                <w:rFonts w:ascii="Times New Roman" w:hAnsi="Times New Roman" w:cs="Times New Roman"/>
                <w:b/>
                <w:bCs/>
              </w:rPr>
            </w:pPr>
            <w:r w:rsidRPr="008B5A2A">
              <w:rPr>
                <w:rFonts w:ascii="Times New Roman" w:hAnsi="Times New Roman" w:cs="Times New Roman"/>
                <w:b/>
                <w:bCs/>
              </w:rPr>
              <w:t>OFR for on- and off-balance sheet business plus</w:t>
            </w:r>
            <w:r w:rsidR="471075D0" w:rsidRPr="008B5A2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32530794" w:rsidRPr="008B5A2A">
              <w:rPr>
                <w:rFonts w:ascii="Times New Roman" w:hAnsi="Times New Roman" w:cs="Times New Roman"/>
                <w:b/>
                <w:bCs/>
              </w:rPr>
              <w:t>PLA</w:t>
            </w:r>
            <w:r w:rsidR="32530794" w:rsidRPr="008B5A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addon</w:t>
            </w:r>
            <w:proofErr w:type="spellEnd"/>
            <w:r w:rsidR="471075D0" w:rsidRPr="008B5A2A">
              <w:rPr>
                <w:rFonts w:ascii="Times New Roman" w:hAnsi="Times New Roman" w:cs="Times New Roman"/>
                <w:b/>
                <w:bCs/>
              </w:rPr>
              <w:t xml:space="preserve"> (AIMA + </w:t>
            </w:r>
            <w:proofErr w:type="spellStart"/>
            <w:r w:rsidR="639D3BBA" w:rsidRPr="008B5A2A">
              <w:rPr>
                <w:rFonts w:ascii="Times New Roman" w:hAnsi="Times New Roman" w:cs="Times New Roman"/>
                <w:b/>
                <w:bCs/>
              </w:rPr>
              <w:t>PLA</w:t>
            </w:r>
            <w:r w:rsidR="639D3BBA" w:rsidRPr="008B5A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addon</w:t>
            </w:r>
            <w:proofErr w:type="spellEnd"/>
            <w:r w:rsidR="471075D0" w:rsidRPr="008B5A2A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595AB2F9" w14:textId="23FB87CE" w:rsidR="00234F41" w:rsidRPr="008B5A2A" w:rsidRDefault="00234F41" w:rsidP="00234F41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Cs w:val="22"/>
              </w:rPr>
              <w:t>This value shall be calculated in accordance with Article 10(1) of Regulation (EU) 2022/2059. The value of row 11 shall be added.</w:t>
            </w:r>
          </w:p>
        </w:tc>
      </w:tr>
      <w:tr w:rsidR="008611FF" w:rsidRPr="008B5A2A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8B5A2A" w:rsidRDefault="00234F41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8B5A2A" w:rsidRDefault="471075D0" w:rsidP="140F9DE1">
            <w:pPr>
              <w:rPr>
                <w:rFonts w:ascii="Times New Roman" w:eastAsia="Times New Roman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>Total ASA OFR for t</w:t>
            </w:r>
            <w:r w:rsidRPr="008B5A2A">
              <w:rPr>
                <w:rFonts w:ascii="Times New Roman" w:hAnsi="Times New Roman" w:cs="Times New Roman"/>
                <w:b/>
                <w:bCs/>
              </w:rPr>
              <w:t>rading des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 xml:space="preserve">ks ineligible to use the AIMA </w:t>
            </w:r>
            <w:r w:rsidR="482EC743" w:rsidRPr="008B5A2A">
              <w:rPr>
                <w:rFonts w:ascii="Times New Roman" w:hAnsi="Times New Roman" w:cs="Times New Roman"/>
                <w:b/>
                <w:bCs/>
              </w:rPr>
              <w:t>(</w:t>
            </w:r>
            <w:proofErr w:type="spellStart"/>
            <w:r w:rsidR="482EC743" w:rsidRPr="008B5A2A">
              <w:rPr>
                <w:rFonts w:ascii="Times New Roman" w:hAnsi="Times New Roman" w:cs="Times New Roman"/>
                <w:b/>
                <w:bCs/>
              </w:rPr>
              <w:t>ASA</w:t>
            </w:r>
            <w:r w:rsidR="482EC743" w:rsidRPr="008B5A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non-</w:t>
            </w:r>
            <w:r w:rsidR="6043BACB" w:rsidRPr="008B5A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aima</w:t>
            </w:r>
            <w:proofErr w:type="spellEnd"/>
            <w:r w:rsidR="482EC743" w:rsidRPr="008B5A2A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010A62FB" w14:textId="56B1906A" w:rsidR="00234F41" w:rsidRPr="008B5A2A" w:rsidRDefault="11B9774E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 xml:space="preserve">This value shall be calculated as set out in </w:t>
            </w:r>
            <w:r w:rsidRPr="008B5A2A">
              <w:rPr>
                <w:rFonts w:ascii="Times New Roman" w:eastAsia="Times New Roman" w:hAnsi="Times New Roman" w:cs="Times New Roman"/>
                <w:szCs w:val="22"/>
              </w:rPr>
              <w:t>Article 325ba(3) of Regulation (EU) No 575/2013</w:t>
            </w:r>
          </w:p>
        </w:tc>
      </w:tr>
      <w:tr w:rsidR="008611FF" w:rsidRPr="008B5A2A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8B5A2A" w:rsidRDefault="00234F41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20DBF86B" w:rsidR="00234F41" w:rsidRPr="008B5A2A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>Difference in OFR under the AIMA and ASA for AIMA trading desks (</w:t>
            </w:r>
            <w:r w:rsidR="53768E03" w:rsidRPr="008B5A2A">
              <w:rPr>
                <w:rFonts w:ascii="Times New Roman" w:eastAsia="Times New Roman" w:hAnsi="Times New Roman" w:cs="Times New Roman"/>
                <w:b/>
                <w:bCs/>
              </w:rPr>
              <w:t>AIMA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proofErr w:type="spellStart"/>
            <w:r w:rsidR="5FCB1D39" w:rsidRPr="008B5A2A">
              <w:rPr>
                <w:rFonts w:ascii="Times New Roman" w:eastAsia="Times New Roman" w:hAnsi="Times New Roman" w:cs="Times New Roman"/>
                <w:b/>
                <w:bCs/>
              </w:rPr>
              <w:t>A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>SA</w:t>
            </w:r>
            <w:r w:rsidR="0AC6FA36" w:rsidRPr="008B5A2A">
              <w:rPr>
                <w:rFonts w:ascii="Times New Roman" w:eastAsia="Times New Roman" w:hAnsi="Times New Roman" w:cs="Times New Roman"/>
                <w:b/>
                <w:bCs/>
              </w:rPr>
              <w:t>aima</w:t>
            </w:r>
            <w:proofErr w:type="spellEnd"/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  <w:p w14:paraId="326E0483" w14:textId="3F22AE01" w:rsidR="00234F41" w:rsidRPr="008B5A2A" w:rsidRDefault="471075D0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 xml:space="preserve">This value shall be calculated as the difference between </w:t>
            </w:r>
            <w:r w:rsidR="3F28F1E0" w:rsidRPr="008B5A2A">
              <w:rPr>
                <w:rFonts w:ascii="Times New Roman" w:eastAsia="Times New Roman" w:hAnsi="Times New Roman" w:cs="Times New Roman"/>
              </w:rPr>
              <w:t>A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IMA own funds requirements for </w:t>
            </w:r>
            <w:r w:rsidR="277A49BD" w:rsidRPr="008B5A2A">
              <w:rPr>
                <w:rFonts w:ascii="Times New Roman" w:eastAsia="Times New Roman" w:hAnsi="Times New Roman" w:cs="Times New Roman"/>
              </w:rPr>
              <w:t>A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IMA desks (Article 10(1) of Regulation (EU) 2022/2059) and the value of </w:t>
            </w:r>
            <w:r w:rsidR="34A0388E" w:rsidRPr="008B5A2A">
              <w:rPr>
                <w:rFonts w:ascii="Times New Roman" w:eastAsia="Times New Roman" w:hAnsi="Times New Roman" w:cs="Times New Roman"/>
              </w:rPr>
              <w:t>A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SA own funds requirements for all </w:t>
            </w:r>
            <w:r w:rsidR="3138091C" w:rsidRPr="008B5A2A">
              <w:rPr>
                <w:rFonts w:ascii="Times New Roman" w:eastAsia="Times New Roman" w:hAnsi="Times New Roman" w:cs="Times New Roman"/>
              </w:rPr>
              <w:t>A</w:t>
            </w:r>
            <w:r w:rsidRPr="008B5A2A">
              <w:rPr>
                <w:rFonts w:ascii="Times New Roman" w:eastAsia="Times New Roman" w:hAnsi="Times New Roman" w:cs="Times New Roman"/>
              </w:rPr>
              <w:t>IMA desks (portfolio view) (Article 10(1) of Regulation (EU) 2022/2059)</w:t>
            </w:r>
          </w:p>
        </w:tc>
      </w:tr>
      <w:tr w:rsidR="008611FF" w:rsidRPr="008B5A2A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8B5A2A" w:rsidRDefault="00234F41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2D7FAA07" w:rsidR="00234F41" w:rsidRPr="008B5A2A" w:rsidRDefault="471075D0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>ASA OFR for all trading desks (including those subject to AIMA) (</w:t>
            </w:r>
            <w:proofErr w:type="spellStart"/>
            <w:r w:rsidR="7DB6E073" w:rsidRPr="008B5A2A">
              <w:rPr>
                <w:rFonts w:ascii="Times New Roman" w:eastAsia="Times New Roman" w:hAnsi="Times New Roman" w:cs="Times New Roman"/>
                <w:b/>
                <w:bCs/>
              </w:rPr>
              <w:t>A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>SA</w:t>
            </w:r>
            <w:r w:rsidR="7CE957D6" w:rsidRPr="008B5A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all</w:t>
            </w:r>
            <w:proofErr w:type="spellEnd"/>
            <w:r w:rsidR="7CE957D6" w:rsidRPr="008B5A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portfolio</w:t>
            </w: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  <w:p w14:paraId="7232E72B" w14:textId="62ED2C5E" w:rsidR="00234F41" w:rsidRPr="008B5A2A" w:rsidRDefault="3A829CD0" w:rsidP="140F9DE1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 xml:space="preserve">This value shall be calculated as set out in </w:t>
            </w:r>
            <w:r w:rsidRPr="008B5A2A">
              <w:rPr>
                <w:rFonts w:ascii="Times New Roman" w:eastAsia="Times New Roman" w:hAnsi="Times New Roman" w:cs="Times New Roman"/>
                <w:szCs w:val="22"/>
              </w:rPr>
              <w:t>Article 325ba(3) of Regulation (EU) No 575/2013</w:t>
            </w:r>
          </w:p>
        </w:tc>
      </w:tr>
      <w:tr w:rsidR="008611FF" w:rsidRPr="008B5A2A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8B5A2A" w:rsidRDefault="00234F41" w:rsidP="00470C3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45E7B442" w:rsidR="00234F41" w:rsidRPr="008B5A2A" w:rsidRDefault="471075D0" w:rsidP="3821DFB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 xml:space="preserve">Total </w:t>
            </w:r>
            <w:r w:rsidR="7E3B1295" w:rsidRPr="008B5A2A">
              <w:rPr>
                <w:rFonts w:ascii="Times New Roman" w:eastAsia="Times New Roman" w:hAnsi="Times New Roman" w:cs="Times New Roman"/>
                <w:b/>
                <w:bCs/>
              </w:rPr>
              <w:t xml:space="preserve">own funds </w:t>
            </w:r>
            <w:proofErr w:type="spellStart"/>
            <w:r w:rsidR="7E3B1295" w:rsidRPr="008B5A2A">
              <w:rPr>
                <w:rFonts w:ascii="Times New Roman" w:eastAsia="Times New Roman" w:hAnsi="Times New Roman" w:cs="Times New Roman"/>
                <w:b/>
                <w:bCs/>
              </w:rPr>
              <w:t>requirments</w:t>
            </w:r>
            <w:proofErr w:type="spellEnd"/>
            <w:r w:rsidRPr="008B5A2A">
              <w:rPr>
                <w:rFonts w:ascii="Times New Roman" w:eastAsia="Times New Roman" w:hAnsi="Times New Roman" w:cs="Times New Roman"/>
                <w:b/>
                <w:bCs/>
              </w:rPr>
              <w:t xml:space="preserve"> AIMA</w:t>
            </w:r>
            <w:r w:rsidR="5D8D852E" w:rsidRPr="008B5A2A">
              <w:rPr>
                <w:rFonts w:ascii="Times New Roman" w:eastAsia="Times New Roman" w:hAnsi="Times New Roman" w:cs="Times New Roman"/>
                <w:b/>
                <w:bCs/>
              </w:rPr>
              <w:t xml:space="preserve"> (</w:t>
            </w:r>
            <w:proofErr w:type="spellStart"/>
            <w:r w:rsidR="5D8D852E" w:rsidRPr="008B5A2A">
              <w:rPr>
                <w:rFonts w:ascii="Times New Roman" w:eastAsia="Times New Roman" w:hAnsi="Times New Roman" w:cs="Times New Roman"/>
                <w:b/>
                <w:bCs/>
              </w:rPr>
              <w:t>Total</w:t>
            </w:r>
            <w:r w:rsidR="5D8D852E" w:rsidRPr="008B5A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AIMA</w:t>
            </w:r>
            <w:proofErr w:type="spellEnd"/>
            <w:r w:rsidR="5D8D852E" w:rsidRPr="008B5A2A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  <w:p w14:paraId="11A40A93" w14:textId="16091B31" w:rsidR="00234F41" w:rsidRPr="008B5A2A" w:rsidRDefault="7D4B7A18" w:rsidP="3821DFBC">
            <w:pPr>
              <w:rPr>
                <w:rFonts w:ascii="Times New Roman" w:eastAsia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>This value shall be calculated as set out in</w:t>
            </w:r>
            <w:r w:rsidR="6C8840B6" w:rsidRPr="008B5A2A">
              <w:rPr>
                <w:rFonts w:ascii="Times New Roman" w:eastAsia="Times New Roman" w:hAnsi="Times New Roman" w:cs="Times New Roman"/>
              </w:rPr>
              <w:t xml:space="preserve"> </w:t>
            </w:r>
            <w:r w:rsidR="6C8840B6" w:rsidRPr="008B5A2A">
              <w:rPr>
                <w:rFonts w:ascii="Times New Roman" w:eastAsia="Times New Roman" w:hAnsi="Times New Roman" w:cs="Times New Roman"/>
                <w:szCs w:val="22"/>
              </w:rPr>
              <w:t>Article 325ba(3) of Regulation (EU) No 575/2013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611FF" w:rsidRPr="008B5A2A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8B5A2A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Column letter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8B5A2A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008611FF" w:rsidRPr="008B5A2A" w14:paraId="691830EE" w14:textId="77777777" w:rsidTr="00470C3A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8B5A2A" w:rsidRDefault="00234F41" w:rsidP="00470C3A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2C313269" w:rsidR="00234F41" w:rsidRPr="008B5A2A" w:rsidRDefault="00234F41" w:rsidP="00234F41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Disclosure of the most recent risk measure [row 1 to 10] or own funds requirement [row 11 to 16] at the current quarter </w:t>
            </w:r>
          </w:p>
        </w:tc>
      </w:tr>
      <w:tr w:rsidR="008611FF" w:rsidRPr="008B5A2A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8B5A2A" w:rsidRDefault="00825C6F" w:rsidP="00825C6F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39DDCDF9" w:rsidR="00825C6F" w:rsidRPr="008B5A2A" w:rsidRDefault="00825C6F" w:rsidP="3821DFBC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Mean value of the Risk measure [row 1 to 10] over the previous 60 business day</w:t>
            </w:r>
            <w:r w:rsidR="65F44FA7" w:rsidRPr="008B5A2A">
              <w:rPr>
                <w:rFonts w:ascii="Times New Roman" w:hAnsi="Times New Roman" w:cs="Times New Roman"/>
                <w:sz w:val="24"/>
                <w:lang w:eastAsia="ja-JP"/>
              </w:rPr>
              <w:t>s</w:t>
            </w: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 [row 1 to 9] or over the previous 12 weeks [row 10] at the current quarter</w:t>
            </w:r>
          </w:p>
        </w:tc>
      </w:tr>
      <w:tr w:rsidR="008611FF" w:rsidRPr="008B5A2A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015DEC5B" w:rsidR="00234F41" w:rsidRPr="008B5A2A" w:rsidRDefault="00825C6F" w:rsidP="00470C3A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2869AA0B" w:rsidR="00234F41" w:rsidRPr="008B5A2A" w:rsidRDefault="00234F41" w:rsidP="3821DFBC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Highest Risk measure over the previous 60 business day</w:t>
            </w:r>
            <w:r w:rsidR="2C9C033A" w:rsidRPr="008B5A2A">
              <w:rPr>
                <w:rFonts w:ascii="Times New Roman" w:hAnsi="Times New Roman" w:cs="Times New Roman"/>
                <w:sz w:val="24"/>
                <w:lang w:eastAsia="ja-JP"/>
              </w:rPr>
              <w:t>s</w:t>
            </w: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 [row 1 to </w:t>
            </w:r>
            <w:r w:rsidR="509CC21A" w:rsidRPr="008B5A2A">
              <w:rPr>
                <w:rFonts w:ascii="Times New Roman" w:hAnsi="Times New Roman" w:cs="Times New Roman"/>
                <w:sz w:val="24"/>
                <w:lang w:eastAsia="ja-JP"/>
              </w:rPr>
              <w:t>6</w:t>
            </w: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] at the current quarter </w:t>
            </w:r>
          </w:p>
        </w:tc>
      </w:tr>
      <w:tr w:rsidR="008611FF" w:rsidRPr="008B5A2A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B41184F" w:rsidR="00234F41" w:rsidRPr="008B5A2A" w:rsidRDefault="00825C6F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187FEEF9" w:rsidR="00234F41" w:rsidRPr="008B5A2A" w:rsidRDefault="00234F41" w:rsidP="3821DFBC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Lowest Risk measure over the previous 60 business day</w:t>
            </w:r>
            <w:r w:rsidR="6A21B232" w:rsidRPr="008B5A2A">
              <w:rPr>
                <w:rFonts w:ascii="Times New Roman" w:hAnsi="Times New Roman" w:cs="Times New Roman"/>
                <w:sz w:val="24"/>
                <w:lang w:eastAsia="ja-JP"/>
              </w:rPr>
              <w:t>s</w:t>
            </w: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 [row 1 to </w:t>
            </w:r>
            <w:r w:rsidR="6FDFAB55" w:rsidRPr="008B5A2A">
              <w:rPr>
                <w:rFonts w:ascii="Times New Roman" w:hAnsi="Times New Roman" w:cs="Times New Roman"/>
                <w:sz w:val="24"/>
                <w:lang w:eastAsia="ja-JP"/>
              </w:rPr>
              <w:t>6</w:t>
            </w: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] at the current quarter</w:t>
            </w:r>
          </w:p>
        </w:tc>
      </w:tr>
      <w:tr w:rsidR="008611FF" w:rsidRPr="008B5A2A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8B5A2A" w:rsidRDefault="00234F41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0166676A" w:rsidR="00234F41" w:rsidRPr="008B5A2A" w:rsidRDefault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Number of back-testing </w:t>
            </w:r>
            <w:proofErr w:type="spellStart"/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overshootings</w:t>
            </w:r>
            <w:proofErr w:type="spellEnd"/>
            <w:r w:rsidR="3F645DFE"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 [row 1]</w:t>
            </w:r>
          </w:p>
          <w:p w14:paraId="486CF129" w14:textId="49048050" w:rsidR="00234F41" w:rsidRPr="008B5A2A" w:rsidRDefault="51A69309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</w:rPr>
              <w:t xml:space="preserve">The number of </w:t>
            </w:r>
            <w:proofErr w:type="spellStart"/>
            <w:r w:rsidRPr="008B5A2A">
              <w:rPr>
                <w:rFonts w:ascii="Times New Roman" w:eastAsia="Times New Roman" w:hAnsi="Times New Roman" w:cs="Times New Roman"/>
              </w:rPr>
              <w:t>overshootings</w:t>
            </w:r>
            <w:proofErr w:type="spellEnd"/>
            <w:r w:rsidRPr="008B5A2A">
              <w:rPr>
                <w:rFonts w:ascii="Times New Roman" w:eastAsia="Times New Roman" w:hAnsi="Times New Roman" w:cs="Times New Roman"/>
              </w:rPr>
              <w:t xml:space="preserve"> reported in this cell shall be the number used for the determination of the add-on in accordance with Table 3 of Article 325</w:t>
            </w:r>
            <w:r w:rsidR="62428427" w:rsidRPr="008B5A2A">
              <w:rPr>
                <w:rFonts w:ascii="Times New Roman" w:eastAsia="Times New Roman" w:hAnsi="Times New Roman" w:cs="Times New Roman"/>
              </w:rPr>
              <w:t>b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f(6), point (b) </w:t>
            </w:r>
            <w:r w:rsidR="04D070BB" w:rsidRPr="008B5A2A">
              <w:rPr>
                <w:rFonts w:ascii="Times New Roman" w:eastAsia="Times New Roman" w:hAnsi="Times New Roman" w:cs="Times New Roman"/>
              </w:rPr>
              <w:t>of Regulation</w:t>
            </w:r>
            <w:r w:rsidR="5A4E6B5C" w:rsidRPr="008B5A2A">
              <w:rPr>
                <w:rFonts w:ascii="Times New Roman" w:eastAsia="Times New Roman" w:hAnsi="Times New Roman" w:cs="Times New Roman"/>
              </w:rPr>
              <w:t xml:space="preserve"> (EU) 575/2013</w:t>
            </w:r>
            <w:r w:rsidRPr="008B5A2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8B5A2A">
              <w:rPr>
                <w:rFonts w:ascii="Times New Roman" w:eastAsia="Times New Roman" w:hAnsi="Times New Roman" w:cs="Times New Roman"/>
              </w:rPr>
              <w:t>Overshootings</w:t>
            </w:r>
            <w:proofErr w:type="spellEnd"/>
            <w:r w:rsidRPr="008B5A2A">
              <w:rPr>
                <w:rFonts w:ascii="Times New Roman" w:eastAsia="Times New Roman" w:hAnsi="Times New Roman" w:cs="Times New Roman"/>
              </w:rPr>
              <w:t xml:space="preserve"> that are excluded with the permission of the competent authority shall not be included.</w:t>
            </w:r>
          </w:p>
        </w:tc>
      </w:tr>
      <w:tr w:rsidR="008611FF" w:rsidRPr="008B5A2A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8B5A2A" w:rsidRDefault="00234F41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26D28C59" w:rsidR="00234F41" w:rsidRPr="008B5A2A" w:rsidRDefault="00234F41" w:rsidP="00234F41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Most recent risk measure [row 1 to 10] or own funds requirement [row 11 to 16] at the previous quarter </w:t>
            </w:r>
          </w:p>
        </w:tc>
      </w:tr>
      <w:tr w:rsidR="008611FF" w:rsidRPr="008B5A2A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8B5A2A" w:rsidRDefault="00234F41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5C0C074A" w:rsidR="00234F41" w:rsidRPr="008B5A2A" w:rsidRDefault="00234F41" w:rsidP="00234F41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Mean value of the Risk measure [row 1 to 10] over the previous 60 business day [row 1 to 9] or over the previous 12 weeks [row 10] at the previous quarter</w:t>
            </w:r>
          </w:p>
        </w:tc>
      </w:tr>
    </w:tbl>
    <w:p w14:paraId="33C919D7" w14:textId="77777777" w:rsidR="003A4712" w:rsidRPr="008B5A2A" w:rsidRDefault="003A4712" w:rsidP="003A4712">
      <w:pPr>
        <w:spacing w:after="160" w:line="259" w:lineRule="auto"/>
        <w:rPr>
          <w:rFonts w:ascii="Times New Roman" w:hAnsi="Times New Roman" w:cs="Times New Roman"/>
          <w:b/>
          <w:sz w:val="24"/>
        </w:rPr>
      </w:pPr>
    </w:p>
    <w:p w14:paraId="7EADC0A6" w14:textId="3E0DD59F" w:rsidR="00AA4A0F" w:rsidRPr="008B5A2A" w:rsidRDefault="00AA4A0F" w:rsidP="003A4712">
      <w:pPr>
        <w:spacing w:after="160" w:line="259" w:lineRule="auto"/>
        <w:rPr>
          <w:rFonts w:ascii="Times New Roman" w:eastAsiaTheme="majorEastAsia" w:hAnsi="Times New Roman" w:cs="Times New Roman"/>
          <w:b/>
          <w:bCs/>
          <w:sz w:val="24"/>
        </w:rPr>
      </w:pPr>
      <w:r w:rsidRPr="008B5A2A">
        <w:rPr>
          <w:rFonts w:ascii="Times New Roman" w:hAnsi="Times New Roman" w:cs="Times New Roman"/>
          <w:b/>
          <w:sz w:val="24"/>
        </w:rPr>
        <w:t>Template EU MR 3 - Market risk under the simplified standardised approach (SSA)</w:t>
      </w:r>
      <w:r w:rsidRPr="008B5A2A">
        <w:rPr>
          <w:rFonts w:ascii="Times New Roman" w:hAnsi="Times New Roman" w:cs="Times New Roman"/>
          <w:sz w:val="24"/>
        </w:rPr>
        <w:t>: fixed format</w:t>
      </w:r>
    </w:p>
    <w:p w14:paraId="6AC491D2" w14:textId="5A8DE244" w:rsidR="00AA4A0F" w:rsidRPr="008B5A2A" w:rsidRDefault="00AA4A0F" w:rsidP="0BE40342">
      <w:pPr>
        <w:pStyle w:val="Titlelevel2"/>
        <w:numPr>
          <w:ilvl w:val="0"/>
          <w:numId w:val="5"/>
        </w:numPr>
        <w:spacing w:before="0"/>
        <w:jc w:val="both"/>
        <w:rPr>
          <w:rFonts w:ascii="Times New Roman" w:hAnsi="Times New Roman" w:cs="Times New Roman"/>
          <w:b/>
          <w:color w:val="auto"/>
          <w:sz w:val="24"/>
          <w:lang w:val="en-GB"/>
        </w:rPr>
      </w:pP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lastRenderedPageBreak/>
        <w:t xml:space="preserve">Institutions shall disclose the information referred to in Article 445 </w:t>
      </w:r>
      <w:r w:rsidR="3EAC4B84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>Regulation</w:t>
      </w:r>
      <w:r w:rsidR="5A4E6B5C"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(EU) 575/2013</w:t>
      </w:r>
      <w:r w:rsidRPr="008B5A2A">
        <w:rPr>
          <w:rFonts w:ascii="Times New Roman" w:eastAsiaTheme="minorEastAsia" w:hAnsi="Times New Roman" w:cs="Times New Roman"/>
          <w:color w:val="auto"/>
          <w:sz w:val="24"/>
          <w:lang w:val="en-GB"/>
        </w:rPr>
        <w:t xml:space="preserve"> by following the instructions provided below in this Annex to complete template EU MR 3 which is presented in Annex XXIX.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8611FF" w:rsidRPr="008B5A2A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77777777" w:rsidR="00AA4A0F" w:rsidRPr="008B5A2A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8611FF" w:rsidRPr="008B5A2A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8B5A2A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Row number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8B5A2A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008611FF" w:rsidRPr="008B5A2A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8B5A2A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8B5A2A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8611FF" w:rsidRPr="008B5A2A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8B5A2A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33A" w14:textId="77777777" w:rsidR="00AA4A0F" w:rsidRPr="008B5A2A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 xml:space="preserve">Interest rate risk (general and specific) </w:t>
            </w:r>
          </w:p>
          <w:p w14:paraId="53976F70" w14:textId="2F52813D" w:rsidR="00AA4A0F" w:rsidRPr="008B5A2A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</w:rPr>
              <w:t xml:space="preserve">General and specific risk of positions in traded debt instruments in the trading book, in accordance with Chapter 2 of Title IV of Part Three </w:t>
            </w:r>
            <w:r w:rsidR="0406BB73" w:rsidRPr="008B5A2A">
              <w:rPr>
                <w:rFonts w:ascii="Times New Roman" w:hAnsi="Times New Roman" w:cs="Times New Roman"/>
                <w:sz w:val="24"/>
              </w:rPr>
              <w:t>Regulation</w:t>
            </w:r>
            <w:r w:rsidR="5A4E6B5C" w:rsidRPr="008B5A2A">
              <w:rPr>
                <w:rFonts w:ascii="Times New Roman" w:hAnsi="Times New Roman" w:cs="Times New Roman"/>
                <w:sz w:val="24"/>
              </w:rPr>
              <w:t xml:space="preserve"> (EU) 575/2013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, excluding specific risk related to securitisation</w:t>
            </w:r>
          </w:p>
        </w:tc>
      </w:tr>
      <w:tr w:rsidR="008611FF" w:rsidRPr="008B5A2A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8B5A2A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77777777" w:rsidR="00AA4A0F" w:rsidRPr="008B5A2A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Equity risk (general and specific)</w:t>
            </w:r>
          </w:p>
          <w:p w14:paraId="7CB149BE" w14:textId="48BA62B0" w:rsidR="00AA4A0F" w:rsidRPr="008B5A2A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</w:rPr>
              <w:t xml:space="preserve">General and specific risk of positions in equities in the trading book, in accordance with Chapter 2 of Title IV of Part Three </w:t>
            </w:r>
            <w:r w:rsidR="5270E00E" w:rsidRPr="008B5A2A">
              <w:rPr>
                <w:rFonts w:ascii="Times New Roman" w:hAnsi="Times New Roman" w:cs="Times New Roman"/>
                <w:sz w:val="24"/>
              </w:rPr>
              <w:t>Regulation</w:t>
            </w:r>
            <w:r w:rsidR="5A4E6B5C" w:rsidRPr="008B5A2A">
              <w:rPr>
                <w:rFonts w:ascii="Times New Roman" w:hAnsi="Times New Roman" w:cs="Times New Roman"/>
                <w:sz w:val="24"/>
              </w:rPr>
              <w:t xml:space="preserve"> (EU) 575/2013</w:t>
            </w:r>
          </w:p>
        </w:tc>
      </w:tr>
      <w:tr w:rsidR="008611FF" w:rsidRPr="008B5A2A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8B5A2A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8B5A2A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Commodity risk</w:t>
            </w:r>
          </w:p>
          <w:p w14:paraId="63B3CA85" w14:textId="0B927E14" w:rsidR="00AA4A0F" w:rsidRPr="008B5A2A" w:rsidRDefault="00AA4A0F" w:rsidP="0BE40342">
            <w:pPr>
              <w:spacing w:after="240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Risk of positions in commodities in accordance with Chapter 4 of Title IV of Part Three </w:t>
            </w:r>
            <w:r w:rsidR="7EBFBB7D" w:rsidRPr="008B5A2A">
              <w:rPr>
                <w:rFonts w:ascii="Times New Roman" w:hAnsi="Times New Roman" w:cs="Times New Roman"/>
                <w:sz w:val="24"/>
                <w:lang w:eastAsia="ja-JP"/>
              </w:rPr>
              <w:t>Regulation</w:t>
            </w:r>
            <w:r w:rsidR="5A4E6B5C"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 (EU) 575/2013</w:t>
            </w:r>
            <w:r w:rsidR="7EBFBB7D" w:rsidRPr="008B5A2A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  <w:tr w:rsidR="008611FF" w:rsidRPr="008B5A2A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8B5A2A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8B5A2A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Foreign exchange risk</w:t>
            </w:r>
          </w:p>
          <w:p w14:paraId="0EF57964" w14:textId="66EAC6CD" w:rsidR="00AA4A0F" w:rsidRPr="008B5A2A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Risk of positions in foreign exchange in accordance with Chapter 3 of Title IV of Part Three </w:t>
            </w:r>
            <w:r w:rsidR="622179F0" w:rsidRPr="008B5A2A">
              <w:rPr>
                <w:rFonts w:ascii="Times New Roman" w:hAnsi="Times New Roman" w:cs="Times New Roman"/>
                <w:sz w:val="24"/>
                <w:lang w:eastAsia="ja-JP"/>
              </w:rPr>
              <w:t>Regulation</w:t>
            </w:r>
            <w:r w:rsidR="5A4E6B5C" w:rsidRPr="008B5A2A">
              <w:rPr>
                <w:rFonts w:ascii="Times New Roman" w:hAnsi="Times New Roman" w:cs="Times New Roman"/>
                <w:sz w:val="24"/>
                <w:lang w:eastAsia="ja-JP"/>
              </w:rPr>
              <w:t xml:space="preserve"> (EU) 575/2013</w:t>
            </w:r>
          </w:p>
        </w:tc>
      </w:tr>
      <w:tr w:rsidR="008611FF" w:rsidRPr="008B5A2A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8B5A2A" w:rsidRDefault="00AA4A0F" w:rsidP="00DE090B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8B5A2A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Securitisation (specific risk)</w:t>
            </w:r>
          </w:p>
          <w:p w14:paraId="20BB6B2F" w14:textId="75F556F0" w:rsidR="00AA4A0F" w:rsidRPr="008B5A2A" w:rsidRDefault="00AA4A0F" w:rsidP="00DE090B">
            <w:pPr>
              <w:rPr>
                <w:rFonts w:ascii="Times New Roman" w:hAnsi="Times New Roman" w:cs="Times New Roman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Specific risk of securitisation positions in the trading book in accordance </w:t>
            </w:r>
            <w:proofErr w:type="gramStart"/>
            <w:r w:rsidRPr="008B5A2A">
              <w:rPr>
                <w:rFonts w:ascii="Times New Roman" w:eastAsia="Times New Roman" w:hAnsi="Times New Roman" w:cs="Times New Roman"/>
                <w:sz w:val="24"/>
              </w:rPr>
              <w:t>with in</w:t>
            </w:r>
            <w:proofErr w:type="gramEnd"/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Articles 337 and 338 of Chapter 2 of Title IV of Part Three </w:t>
            </w:r>
            <w:r w:rsidR="3D0FF6D2" w:rsidRPr="008B5A2A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8B5A2A" w:rsidRDefault="00AA4A0F" w:rsidP="00DE090B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167" w14:textId="77777777" w:rsidR="00AA4A0F" w:rsidRPr="008B5A2A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Total OFR S-SA </w:t>
            </w:r>
          </w:p>
          <w:p w14:paraId="5DD2D55D" w14:textId="7F233965" w:rsidR="00AA4A0F" w:rsidRPr="008B5A2A" w:rsidRDefault="00AA4A0F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Disclosure of own funds requirements referred to in Article 438</w:t>
            </w:r>
            <w:r w:rsidR="2F9537E2" w:rsidRPr="008B5A2A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4010298B" w:rsidRPr="008B5A2A">
              <w:rPr>
                <w:rFonts w:ascii="Times New Roman" w:eastAsia="Times New Roman" w:hAnsi="Times New Roman" w:cs="Times New Roman"/>
                <w:sz w:val="24"/>
              </w:rPr>
              <w:t>point (d) of Regulation</w:t>
            </w:r>
            <w:r w:rsidR="5A4E6B5C" w:rsidRPr="008B5A2A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, computed as the simple sum of amounts in the above  rows 1 to 5</w:t>
            </w:r>
            <w:r w:rsidR="4FD6A758"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56185555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0AB2" w14:textId="77777777" w:rsidR="00AA4A0F" w:rsidRPr="008B5A2A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Column letter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1206" w14:textId="77777777" w:rsidR="00AA4A0F" w:rsidRPr="008B5A2A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Explanation</w:t>
            </w:r>
          </w:p>
        </w:tc>
      </w:tr>
      <w:tr w:rsidR="008611FF" w:rsidRPr="008B5A2A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8B5A2A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8B5A2A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8B5A2A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Outright products</w:t>
            </w:r>
          </w:p>
        </w:tc>
      </w:tr>
      <w:tr w:rsidR="008611FF" w:rsidRPr="008B5A2A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8B5A2A" w:rsidRDefault="00AA4A0F" w:rsidP="00DE090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lastRenderedPageBreak/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77777777" w:rsidR="00AA4A0F" w:rsidRPr="008B5A2A" w:rsidRDefault="00AA4A0F" w:rsidP="00DE090B">
            <w:pPr>
              <w:rPr>
                <w:rFonts w:ascii="Times New Roman" w:eastAsia="Calibri" w:hAnsi="Times New Roman" w:cs="Times New Roman"/>
                <w:szCs w:val="22"/>
              </w:rPr>
            </w:pPr>
            <w:r w:rsidRPr="008B5A2A">
              <w:rPr>
                <w:rFonts w:ascii="Times New Roman" w:eastAsia="Times New Roman" w:hAnsi="Times New Roman" w:cs="Times New Roman"/>
                <w:sz w:val="24"/>
              </w:rPr>
              <w:t>Positions in products that are not optional and are not included in the approaches of the RTS for non-delta risk of options in the standardised market risk approach</w:t>
            </w:r>
            <w:r w:rsidRPr="008B5A2A"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</w:p>
        </w:tc>
      </w:tr>
      <w:tr w:rsidR="008611FF" w:rsidRPr="008B5A2A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8B5A2A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8B5A2A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  <w:lang w:eastAsia="ja-JP"/>
              </w:rPr>
              <w:t>Options</w:t>
            </w:r>
          </w:p>
        </w:tc>
      </w:tr>
      <w:tr w:rsidR="008611FF" w:rsidRPr="008B5A2A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8B5A2A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8B5A2A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</w:rPr>
              <w:t>Simplified approach</w:t>
            </w:r>
          </w:p>
          <w:p w14:paraId="71365A3F" w14:textId="6A2B7213" w:rsidR="00AA4A0F" w:rsidRPr="008B5A2A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</w:rPr>
              <w:t xml:space="preserve">Options or warrants </w:t>
            </w: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as defined in Article 329 (3) of Chapter 2 of Title IV of Part Three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7E0935AF" w:rsidRPr="008B5A2A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for which institutions calculate the own funds requirements related to the </w:t>
            </w:r>
            <w:r w:rsidRPr="008B5A2A">
              <w:rPr>
                <w:rFonts w:ascii="Times New Roman" w:hAnsi="Times New Roman" w:cs="Times New Roman"/>
                <w:sz w:val="24"/>
              </w:rPr>
              <w:t xml:space="preserve">non-delta risk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using the simplified approach</w:t>
            </w:r>
            <w:r w:rsidRPr="008B5A2A"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</w:p>
        </w:tc>
      </w:tr>
      <w:tr w:rsidR="008611FF" w:rsidRPr="008B5A2A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8B5A2A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8B5A2A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</w:rPr>
              <w:t>Delta plus approach</w:t>
            </w:r>
          </w:p>
          <w:p w14:paraId="4982FF4D" w14:textId="5EB66098" w:rsidR="00AA4A0F" w:rsidRPr="008B5A2A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</w:rPr>
              <w:t xml:space="preserve">Options or warrants </w:t>
            </w: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in the trading book as defined in Article 329 (3) of Chapter 2 of Title IV of Part Three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76E999B5" w:rsidRPr="008B5A2A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8B5A2A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for which institutions calculate the own funds requirements related to the </w:t>
            </w:r>
            <w:r w:rsidRPr="008B5A2A">
              <w:rPr>
                <w:rFonts w:ascii="Times New Roman" w:hAnsi="Times New Roman" w:cs="Times New Roman"/>
                <w:sz w:val="24"/>
              </w:rPr>
              <w:t xml:space="preserve">non-delta risk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using the delta plus approach</w:t>
            </w:r>
            <w:r w:rsidRPr="008B5A2A"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611FF" w:rsidRPr="008B5A2A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8B5A2A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8B5A2A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5A2A">
              <w:rPr>
                <w:rFonts w:ascii="Times New Roman" w:hAnsi="Times New Roman" w:cs="Times New Roman"/>
                <w:b/>
                <w:sz w:val="24"/>
              </w:rPr>
              <w:t>Scenario approach</w:t>
            </w:r>
          </w:p>
          <w:p w14:paraId="2B78A76A" w14:textId="692EA036" w:rsidR="00AA4A0F" w:rsidRPr="008B5A2A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8B5A2A">
              <w:rPr>
                <w:rFonts w:ascii="Times New Roman" w:hAnsi="Times New Roman" w:cs="Times New Roman"/>
                <w:sz w:val="24"/>
              </w:rPr>
              <w:t xml:space="preserve">Options or warrants </w:t>
            </w:r>
            <w:r w:rsidRPr="008B5A2A">
              <w:rPr>
                <w:rFonts w:ascii="Times New Roman" w:hAnsi="Times New Roman" w:cs="Times New Roman"/>
                <w:sz w:val="24"/>
                <w:lang w:eastAsia="ja-JP"/>
              </w:rPr>
              <w:t>in the trading book as defined in Article 329 (3) of Chapter 2 of Title IV of Part Three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D637C" w:rsidRPr="008B5A2A">
              <w:rPr>
                <w:rFonts w:ascii="Times New Roman" w:eastAsia="Times New Roman" w:hAnsi="Times New Roman" w:cs="Times New Roman"/>
              </w:rPr>
              <w:t xml:space="preserve">Regulation (EU) 575/2013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 xml:space="preserve">for which institutions calculate the own funds requirements related to the </w:t>
            </w:r>
            <w:r w:rsidRPr="008B5A2A">
              <w:rPr>
                <w:rFonts w:ascii="Times New Roman" w:hAnsi="Times New Roman" w:cs="Times New Roman"/>
                <w:sz w:val="24"/>
              </w:rPr>
              <w:t xml:space="preserve">non-delta risk </w:t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using the scenario approach</w:t>
            </w:r>
            <w:r w:rsidRPr="008B5A2A"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 w:rsidRPr="008B5A2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14:paraId="4B99056E" w14:textId="77777777" w:rsidR="00931C32" w:rsidRPr="008B5A2A" w:rsidRDefault="00931C32">
      <w:pPr>
        <w:rPr>
          <w:rFonts w:ascii="Times New Roman" w:hAnsi="Times New Roman" w:cs="Times New Roman"/>
        </w:rPr>
      </w:pPr>
    </w:p>
    <w:sectPr w:rsidR="00931C32" w:rsidRPr="008B5A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1A622" w14:textId="77777777" w:rsidR="00F2772C" w:rsidRDefault="00F2772C" w:rsidP="00931C32">
      <w:r>
        <w:separator/>
      </w:r>
    </w:p>
  </w:endnote>
  <w:endnote w:type="continuationSeparator" w:id="0">
    <w:p w14:paraId="5609A27D" w14:textId="77777777" w:rsidR="00F2772C" w:rsidRDefault="00F2772C" w:rsidP="00931C32">
      <w:r>
        <w:continuationSeparator/>
      </w:r>
    </w:p>
  </w:endnote>
  <w:endnote w:type="continuationNotice" w:id="1">
    <w:p w14:paraId="2EEBBAF9" w14:textId="77777777" w:rsidR="00677CBD" w:rsidRDefault="00677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7CC1D" w14:textId="77777777" w:rsidR="001E400B" w:rsidRDefault="001E40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960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6A1F2" w14:textId="77777777" w:rsidR="001E400B" w:rsidRDefault="001E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58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2946DB82" w14:textId="77777777" w:rsidR="001E400B" w:rsidRDefault="001E40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1D779" w14:textId="77777777" w:rsidR="001E400B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FBD0" w14:textId="77777777" w:rsidR="00F2772C" w:rsidRDefault="00F2772C" w:rsidP="00931C32">
      <w:r>
        <w:separator/>
      </w:r>
    </w:p>
  </w:footnote>
  <w:footnote w:type="continuationSeparator" w:id="0">
    <w:p w14:paraId="012E5BFC" w14:textId="77777777" w:rsidR="00F2772C" w:rsidRDefault="00F2772C" w:rsidP="00931C32">
      <w:r>
        <w:continuationSeparator/>
      </w:r>
    </w:p>
  </w:footnote>
  <w:footnote w:type="continuationNotice" w:id="1">
    <w:p w14:paraId="05A445BA" w14:textId="77777777" w:rsidR="00677CBD" w:rsidRDefault="00677CBD"/>
  </w:footnote>
  <w:footnote w:id="2">
    <w:p w14:paraId="3798489D" w14:textId="77777777" w:rsidR="00931C32" w:rsidRPr="00222AAB" w:rsidRDefault="00931C32" w:rsidP="007F0B68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Pr="00222AAB">
        <w:t>Regulation (EU) No 575/2013 of the European Parliament and of the Council of 26 June 2013 on prudential requirements for credit institutions and investment firms and amending Regulation (EU) No 648/2012 (</w:t>
      </w:r>
      <w:hyperlink r:id="rId1" w:history="1">
        <w:r w:rsidRPr="00222AAB">
          <w:rPr>
            <w:rStyle w:val="Hyperlink"/>
            <w:rFonts w:cstheme="minorHAnsi"/>
          </w:rPr>
          <w:t>OJ L 176, 27.6.2013, p. 1</w:t>
        </w:r>
      </w:hyperlink>
      <w:r w:rsidRPr="00222AAB">
        <w:t>).</w:t>
      </w:r>
    </w:p>
    <w:p w14:paraId="62EBF3C5" w14:textId="77777777" w:rsidR="00931C32" w:rsidRPr="00222AAB" w:rsidRDefault="00931C32" w:rsidP="007F0B68">
      <w:pPr>
        <w:pStyle w:val="FootnoteText"/>
      </w:pPr>
    </w:p>
  </w:footnote>
  <w:footnote w:id="3">
    <w:p w14:paraId="6651B5AC" w14:textId="77777777" w:rsidR="00AA4A0F" w:rsidRPr="008158FF" w:rsidRDefault="00AA4A0F" w:rsidP="00AA4A0F">
      <w:pPr>
        <w:pStyle w:val="FootnoteText"/>
      </w:pPr>
      <w:r>
        <w:footnoteRef/>
      </w:r>
      <w:r>
        <w:t xml:space="preserve"> </w:t>
      </w:r>
      <w:r>
        <w:tab/>
      </w:r>
      <w:r w:rsidRPr="00715C8B">
        <w:t xml:space="preserve">As defined in COMMISSION DELEGATED REGULATION (EU) No 528/2014 of 12 March 2014 supplementing Regulation (EU) No 575/2013 of the European Parliament and of the Council </w:t>
      </w:r>
      <w:proofErr w:type="gramStart"/>
      <w:r w:rsidRPr="00715C8B">
        <w:t>with regard to</w:t>
      </w:r>
      <w:proofErr w:type="gramEnd"/>
      <w:r w:rsidRPr="00715C8B">
        <w:t xml:space="preserve"> regulatory technical standards for non-delta risk of options in the standardised market risk approach (OJ L 148, 20.5.2014, p. 29).</w:t>
      </w:r>
    </w:p>
  </w:footnote>
  <w:footnote w:id="4">
    <w:p w14:paraId="67B37F98" w14:textId="77777777" w:rsidR="00AA4A0F" w:rsidRPr="00222AAB" w:rsidRDefault="00AA4A0F" w:rsidP="00AA4A0F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Pr="00222AAB">
        <w:t xml:space="preserve">As defined in COMMISSION DELEGATED REGULATION (EU) No 528/2014 of 12 March 2014 supplementing Regulation (EU) No 575/2013 of the European Parliament and of the Council </w:t>
      </w:r>
      <w:proofErr w:type="gramStart"/>
      <w:r w:rsidRPr="00222AAB">
        <w:t>with regard to</w:t>
      </w:r>
      <w:proofErr w:type="gramEnd"/>
      <w:r w:rsidRPr="00222AAB">
        <w:t xml:space="preserve"> regulatory technical standards for non-delta risk of options in the standardised market risk approach (OJ L 148, 20.5.2014, p. 29).</w:t>
      </w:r>
    </w:p>
  </w:footnote>
  <w:footnote w:id="5">
    <w:p w14:paraId="6C32CA93" w14:textId="77777777" w:rsidR="00AA4A0F" w:rsidRPr="00222AAB" w:rsidRDefault="00AA4A0F" w:rsidP="00AA4A0F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Pr="00222AAB">
        <w:t xml:space="preserve">As defined in COMMISSION DELEGATED REGULATION (EU) No 528/2014 of 12 March 2014 supplementing Regulation (EU) No 575/2013 of the European Parliament and of the Council </w:t>
      </w:r>
      <w:proofErr w:type="gramStart"/>
      <w:r w:rsidRPr="00222AAB">
        <w:t>with regard to</w:t>
      </w:r>
      <w:proofErr w:type="gramEnd"/>
      <w:r w:rsidRPr="00222AAB">
        <w:t xml:space="preserve"> regulatory technical standards for non-delta risk of options in the standardised market risk approach (OJ L 148, 20.5.2014, p. 29).</w:t>
      </w:r>
    </w:p>
  </w:footnote>
  <w:footnote w:id="6">
    <w:p w14:paraId="739259DE" w14:textId="77777777" w:rsidR="00AA4A0F" w:rsidRPr="00222AAB" w:rsidRDefault="00AA4A0F" w:rsidP="00AA4A0F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Pr="00222AAB">
        <w:t xml:space="preserve">As defined in COMMISSION DELEGATED REGULATION (EU) No 528/2014 of 12 March 2014 supplementing Regulation (EU) No 575/2013 of the European Parliament and of the Council </w:t>
      </w:r>
      <w:proofErr w:type="gramStart"/>
      <w:r w:rsidRPr="00222AAB">
        <w:t>with regard to</w:t>
      </w:r>
      <w:proofErr w:type="gramEnd"/>
      <w:r w:rsidRPr="00222AAB">
        <w:t xml:space="preserve"> regulatory technical standards for non-delta risk of options in the standardised market risk approach (OJ L 148, 20.5.2014, p. 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2FF13506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470C3A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470C3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470C3A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470C3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3C506488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732D967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11FFB457" w:rsidR="003711D5" w:rsidRPr="00470C3A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470C3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11FFB457" w:rsidR="003711D5" w:rsidRPr="00470C3A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470C3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5EFD03C3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470C3A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470C3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470C3A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470C3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44831"/>
    <w:multiLevelType w:val="hybridMultilevel"/>
    <w:tmpl w:val="8FBCC706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D5598"/>
    <w:multiLevelType w:val="hybridMultilevel"/>
    <w:tmpl w:val="32BCBD6C"/>
    <w:lvl w:ilvl="0" w:tplc="6F103D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3750E"/>
    <w:multiLevelType w:val="hybridMultilevel"/>
    <w:tmpl w:val="8FBCC706"/>
    <w:lvl w:ilvl="0" w:tplc="FFFFFFFF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8FBCC706"/>
    <w:lvl w:ilvl="0" w:tplc="FFFFFFFF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4"/>
  </w:num>
  <w:num w:numId="3" w16cid:durableId="1245528726">
    <w:abstractNumId w:val="2"/>
  </w:num>
  <w:num w:numId="4" w16cid:durableId="164059399">
    <w:abstractNumId w:val="1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3"/>
  </w:num>
  <w:num w:numId="8" w16cid:durableId="1220552432">
    <w:abstractNumId w:val="2"/>
  </w:num>
  <w:num w:numId="9" w16cid:durableId="18793970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9D9"/>
    <w:rsid w:val="001737C7"/>
    <w:rsid w:val="00180294"/>
    <w:rsid w:val="001941CB"/>
    <w:rsid w:val="001B4290"/>
    <w:rsid w:val="001D2F69"/>
    <w:rsid w:val="001E400B"/>
    <w:rsid w:val="001E5FF3"/>
    <w:rsid w:val="00200AE2"/>
    <w:rsid w:val="00214362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C07D9"/>
    <w:rsid w:val="002C1404"/>
    <w:rsid w:val="002C5234"/>
    <w:rsid w:val="002F3022"/>
    <w:rsid w:val="00313F1F"/>
    <w:rsid w:val="00347F3B"/>
    <w:rsid w:val="003711D5"/>
    <w:rsid w:val="003A4712"/>
    <w:rsid w:val="003B4210"/>
    <w:rsid w:val="003B45C4"/>
    <w:rsid w:val="003C13EE"/>
    <w:rsid w:val="003F26DE"/>
    <w:rsid w:val="00416FA0"/>
    <w:rsid w:val="004213D9"/>
    <w:rsid w:val="0043C992"/>
    <w:rsid w:val="00470C3A"/>
    <w:rsid w:val="004832DE"/>
    <w:rsid w:val="00487226"/>
    <w:rsid w:val="00487DDA"/>
    <w:rsid w:val="00498A5B"/>
    <w:rsid w:val="0049D48D"/>
    <w:rsid w:val="004C112C"/>
    <w:rsid w:val="004D0D9E"/>
    <w:rsid w:val="00522E9A"/>
    <w:rsid w:val="00537B45"/>
    <w:rsid w:val="00572E3E"/>
    <w:rsid w:val="005938AD"/>
    <w:rsid w:val="005B429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E00FD"/>
    <w:rsid w:val="007E7D7A"/>
    <w:rsid w:val="007F0B68"/>
    <w:rsid w:val="007F14DD"/>
    <w:rsid w:val="008158FF"/>
    <w:rsid w:val="00824BCF"/>
    <w:rsid w:val="00825C6F"/>
    <w:rsid w:val="00827740"/>
    <w:rsid w:val="00857EB9"/>
    <w:rsid w:val="008611FF"/>
    <w:rsid w:val="00877F9B"/>
    <w:rsid w:val="008A05A4"/>
    <w:rsid w:val="008B5A2A"/>
    <w:rsid w:val="008D03CB"/>
    <w:rsid w:val="009063C1"/>
    <w:rsid w:val="00911AB2"/>
    <w:rsid w:val="00931C32"/>
    <w:rsid w:val="009724FC"/>
    <w:rsid w:val="00974577"/>
    <w:rsid w:val="0098272B"/>
    <w:rsid w:val="009A6C30"/>
    <w:rsid w:val="00A57E44"/>
    <w:rsid w:val="00A66CC7"/>
    <w:rsid w:val="00A71B45"/>
    <w:rsid w:val="00A75779"/>
    <w:rsid w:val="00A857E0"/>
    <w:rsid w:val="00A87CCE"/>
    <w:rsid w:val="00A93BC7"/>
    <w:rsid w:val="00A94820"/>
    <w:rsid w:val="00AA4A0F"/>
    <w:rsid w:val="00AB6AC8"/>
    <w:rsid w:val="00AD637C"/>
    <w:rsid w:val="00AD6592"/>
    <w:rsid w:val="00AF5A1F"/>
    <w:rsid w:val="00B02BFD"/>
    <w:rsid w:val="00B335DB"/>
    <w:rsid w:val="00B3658A"/>
    <w:rsid w:val="00B55C66"/>
    <w:rsid w:val="00B6384D"/>
    <w:rsid w:val="00B83EB1"/>
    <w:rsid w:val="00B86E1A"/>
    <w:rsid w:val="00B9598A"/>
    <w:rsid w:val="00BA0BDC"/>
    <w:rsid w:val="00BA2AA9"/>
    <w:rsid w:val="00BE4793"/>
    <w:rsid w:val="00BE603F"/>
    <w:rsid w:val="00C06844"/>
    <w:rsid w:val="00C17F4F"/>
    <w:rsid w:val="00C213B7"/>
    <w:rsid w:val="00C225C5"/>
    <w:rsid w:val="00C3247D"/>
    <w:rsid w:val="00C45A99"/>
    <w:rsid w:val="00C622B1"/>
    <w:rsid w:val="00C802F7"/>
    <w:rsid w:val="00C82CB4"/>
    <w:rsid w:val="00C84951"/>
    <w:rsid w:val="00CA0B40"/>
    <w:rsid w:val="00CD55C8"/>
    <w:rsid w:val="00CF112B"/>
    <w:rsid w:val="00CF17F8"/>
    <w:rsid w:val="00D0172B"/>
    <w:rsid w:val="00D45AA4"/>
    <w:rsid w:val="00D6625B"/>
    <w:rsid w:val="00D708CB"/>
    <w:rsid w:val="00D9145B"/>
    <w:rsid w:val="00DE090B"/>
    <w:rsid w:val="00DE4020"/>
    <w:rsid w:val="00DE5B78"/>
    <w:rsid w:val="00DF6C74"/>
    <w:rsid w:val="00DF7AF6"/>
    <w:rsid w:val="00E077AE"/>
    <w:rsid w:val="00E21B21"/>
    <w:rsid w:val="00E31B3A"/>
    <w:rsid w:val="00E33CFA"/>
    <w:rsid w:val="00E352E6"/>
    <w:rsid w:val="00E374FB"/>
    <w:rsid w:val="00E52C25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5701F"/>
    <w:rsid w:val="00F66685"/>
    <w:rsid w:val="00F806E6"/>
    <w:rsid w:val="00F85A37"/>
    <w:rsid w:val="00F96CAA"/>
    <w:rsid w:val="00FB1DFD"/>
    <w:rsid w:val="00FC71A8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99F3EE3"/>
  <w15:chartTrackingRefBased/>
  <w15:docId w15:val="{FEF5B8EC-37D6-4F0C-B94B-1A151DA2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en-US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BE3AA5F0DE645896C0462F7C5D938" ma:contentTypeVersion="6" ma:contentTypeDescription="Create a new document." ma:contentTypeScope="" ma:versionID="c2e59f4e4d83ec644ccdfdaf026672d5">
  <xsd:schema xmlns:xsd="http://www.w3.org/2001/XMLSchema" xmlns:xs="http://www.w3.org/2001/XMLSchema" xmlns:p="http://schemas.microsoft.com/office/2006/metadata/properties" xmlns:ns2="1d1fc3b4-c08a-409e-910a-1e7fd9ab0e83" xmlns:ns3="a3cbe3c2-7079-4fd0-87e5-1f3dddda4994" targetNamespace="http://schemas.microsoft.com/office/2006/metadata/properties" ma:root="true" ma:fieldsID="18320d25fb51baa20342427f0b4e4ed8" ns2:_="" ns3:_="">
    <xsd:import namespace="1d1fc3b4-c08a-409e-910a-1e7fd9ab0e83"/>
    <xsd:import namespace="a3cbe3c2-7079-4fd0-87e5-1f3dddda4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1fc3b4-c08a-409e-910a-1e7fd9ab0e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be3c2-7079-4fd0-87e5-1f3dddda4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BA7340-FD8D-41E9-BB48-F392A4EE9ADA}">
  <ds:schemaRefs>
    <ds:schemaRef ds:uri="http://purl.org/dc/elements/1.1/"/>
    <ds:schemaRef ds:uri="a3cbe3c2-7079-4fd0-87e5-1f3dddda4994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1d1fc3b4-c08a-409e-910a-1e7fd9ab0e83"/>
  </ds:schemaRefs>
</ds:datastoreItem>
</file>

<file path=customXml/itemProps2.xml><?xml version="1.0" encoding="utf-8"?>
<ds:datastoreItem xmlns:ds="http://schemas.openxmlformats.org/officeDocument/2006/customXml" ds:itemID="{4A0AAB61-3BE2-4A8F-8AC6-9DED24FFBD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7F8BBB-E45C-4522-9EBB-682BA0D97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1fc3b4-c08a-409e-910a-1e7fd9ab0e83"/>
    <ds:schemaRef ds:uri="a3cbe3c2-7079-4fd0-87e5-1f3dddda4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2634</Words>
  <Characters>15015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17614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Lidja Schiavo</cp:lastModifiedBy>
  <cp:revision>9</cp:revision>
  <dcterms:created xsi:type="dcterms:W3CDTF">2023-11-21T16:45:00Z</dcterms:created>
  <dcterms:modified xsi:type="dcterms:W3CDTF">2023-12-11T14:34:00Z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0x01010057DBE3AA5F0DE645896C0462F7C5D938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#000000,12,Calibri</vt:lpwstr>
  </property>
  <property fmtid="{D5CDD505-2E9C-101B-9397-08002B2CF9AE}" pid="5" name="ClassificationContentMarkingHeaderText">
    <vt:lpwstr>EBA Regular Use</vt:lpwstr>
  </property>
</Properties>
</file>