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74E3" w14:textId="77777777" w:rsidR="004D4419" w:rsidRPr="001562B3" w:rsidRDefault="006B08A5" w:rsidP="00A33695">
      <w:pPr>
        <w:jc w:val="center"/>
        <w:rPr>
          <w:rFonts w:ascii="Times New Roman" w:hAnsi="Times New Roman"/>
          <w:b/>
          <w:sz w:val="24"/>
        </w:rPr>
      </w:pPr>
      <w:bookmarkStart w:id="0" w:name="_Toc262568021"/>
      <w:bookmarkStart w:id="1" w:name="_Toc295829847"/>
      <w:bookmarkStart w:id="2" w:name="_GoBack"/>
      <w:bookmarkEnd w:id="2"/>
      <w:r w:rsidRPr="001562B3">
        <w:rPr>
          <w:rFonts w:ascii="Times New Roman" w:hAnsi="Times New Roman"/>
          <w:b/>
          <w:sz w:val="24"/>
        </w:rPr>
        <w:t>EN</w:t>
      </w:r>
    </w:p>
    <w:p w14:paraId="37FA52DC" w14:textId="77777777" w:rsidR="007676ED" w:rsidRPr="001562B3" w:rsidRDefault="007676ED" w:rsidP="00A33695">
      <w:pPr>
        <w:jc w:val="center"/>
        <w:rPr>
          <w:rFonts w:ascii="Times New Roman" w:hAnsi="Times New Roman"/>
          <w:b/>
          <w:sz w:val="24"/>
        </w:rPr>
      </w:pPr>
    </w:p>
    <w:p w14:paraId="19498416" w14:textId="77777777" w:rsidR="002648B0" w:rsidRPr="001562B3" w:rsidRDefault="002648B0" w:rsidP="00A33695">
      <w:pPr>
        <w:jc w:val="center"/>
        <w:rPr>
          <w:rFonts w:ascii="Times New Roman" w:hAnsi="Times New Roman"/>
          <w:b/>
          <w:sz w:val="24"/>
          <w:u w:val="single"/>
        </w:rPr>
      </w:pPr>
      <w:r w:rsidRPr="001562B3">
        <w:rPr>
          <w:rFonts w:ascii="Times New Roman" w:hAnsi="Times New Roman"/>
          <w:b/>
          <w:sz w:val="24"/>
          <w:u w:val="single"/>
        </w:rPr>
        <w:t>ANNEX II</w:t>
      </w:r>
    </w:p>
    <w:p w14:paraId="72B7353D" w14:textId="015A3DEE" w:rsidR="002D5E59" w:rsidRPr="001562B3" w:rsidRDefault="002648B0" w:rsidP="00C271AC">
      <w:pPr>
        <w:jc w:val="center"/>
        <w:rPr>
          <w:rFonts w:ascii="Times New Roman" w:hAnsi="Times New Roman"/>
          <w:b/>
          <w:sz w:val="24"/>
          <w:lang w:eastAsia="de-DE"/>
        </w:rPr>
      </w:pPr>
      <w:r w:rsidRPr="001562B3">
        <w:rPr>
          <w:rFonts w:ascii="Times New Roman" w:hAnsi="Times New Roman"/>
          <w:b/>
          <w:sz w:val="24"/>
          <w:lang w:eastAsia="de-DE"/>
        </w:rPr>
        <w:t>REPORTING ON</w:t>
      </w:r>
      <w:r w:rsidR="00102048" w:rsidRPr="001562B3">
        <w:rPr>
          <w:rFonts w:ascii="Times New Roman" w:hAnsi="Times New Roman"/>
          <w:b/>
          <w:sz w:val="24"/>
          <w:lang w:eastAsia="de-DE"/>
        </w:rPr>
        <w:t xml:space="preserve"> THE MINIMUM REQUIREMENT FOR OWN FUNDS AND ELIGIBLE LIABILITIES</w:t>
      </w:r>
      <w:r w:rsidR="007826D1" w:rsidRPr="001562B3">
        <w:rPr>
          <w:rFonts w:ascii="Times New Roman" w:hAnsi="Times New Roman"/>
          <w:b/>
          <w:sz w:val="24"/>
          <w:lang w:eastAsia="de-DE"/>
        </w:rPr>
        <w:t xml:space="preserve"> - INSTRUCTIONS</w:t>
      </w:r>
      <w:bookmarkStart w:id="3" w:name="_Toc264038394"/>
      <w:bookmarkStart w:id="4" w:name="_Toc360188317"/>
      <w:bookmarkStart w:id="5" w:name="_Toc473560865"/>
      <w:bookmarkStart w:id="6" w:name="_Toc45558472"/>
    </w:p>
    <w:p w14:paraId="1E3EA219" w14:textId="498D9ACB" w:rsidR="00937126" w:rsidRPr="001562B3" w:rsidRDefault="00937126" w:rsidP="00C271AC">
      <w:pPr>
        <w:jc w:val="center"/>
        <w:rPr>
          <w:rFonts w:ascii="Times New Roman" w:hAnsi="Times New Roman"/>
        </w:rPr>
      </w:pPr>
    </w:p>
    <w:p w14:paraId="59F3C90B" w14:textId="2D215499" w:rsidR="002648B0" w:rsidRPr="001562B3" w:rsidRDefault="002648B0" w:rsidP="002D5E59">
      <w:pPr>
        <w:pStyle w:val="Heading2"/>
        <w:rPr>
          <w:rFonts w:ascii="Times New Roman" w:hAnsi="Times New Roman"/>
          <w:lang w:val="en-GB"/>
        </w:rPr>
      </w:pPr>
      <w:r w:rsidRPr="001562B3">
        <w:rPr>
          <w:rFonts w:ascii="Times New Roman" w:hAnsi="Times New Roman"/>
          <w:lang w:val="en-GB"/>
        </w:rPr>
        <w:t>PART I:</w:t>
      </w:r>
      <w:bookmarkEnd w:id="3"/>
      <w:r w:rsidRPr="001562B3">
        <w:rPr>
          <w:rFonts w:ascii="Times New Roman" w:hAnsi="Times New Roman"/>
          <w:lang w:val="en-GB"/>
        </w:rPr>
        <w:t xml:space="preserve"> GENERAL INSTRUCTIONS</w:t>
      </w:r>
      <w:bookmarkEnd w:id="4"/>
      <w:bookmarkEnd w:id="5"/>
      <w:bookmarkEnd w:id="6"/>
    </w:p>
    <w:p w14:paraId="787498EA" w14:textId="5C2F927E" w:rsidR="002648B0" w:rsidRPr="001562B3" w:rsidRDefault="002648B0" w:rsidP="00962025">
      <w:pPr>
        <w:pStyle w:val="Numberedtilelevel1"/>
      </w:pPr>
      <w:bookmarkStart w:id="7" w:name="_Toc360188318"/>
      <w:bookmarkStart w:id="8" w:name="_Toc473560866"/>
      <w:bookmarkStart w:id="9" w:name="_Toc45558473"/>
      <w:r w:rsidRPr="001562B3">
        <w:t>Structure and conventions</w:t>
      </w:r>
      <w:bookmarkEnd w:id="7"/>
      <w:bookmarkEnd w:id="8"/>
      <w:bookmarkEnd w:id="9"/>
    </w:p>
    <w:p w14:paraId="2C1B34C2" w14:textId="170A170D" w:rsidR="002648B0" w:rsidRPr="001562B3" w:rsidRDefault="002648B0" w:rsidP="00BA4811">
      <w:pPr>
        <w:pStyle w:val="Numberedtilelevel1"/>
        <w:numPr>
          <w:ilvl w:val="1"/>
          <w:numId w:val="30"/>
        </w:numPr>
      </w:pPr>
      <w:bookmarkStart w:id="10" w:name="_Toc360188319"/>
      <w:bookmarkStart w:id="11" w:name="_Toc473560867"/>
      <w:bookmarkStart w:id="12" w:name="_Toc16868626"/>
      <w:bookmarkStart w:id="13" w:name="_Toc45558474"/>
      <w:bookmarkStart w:id="14" w:name="_Toc264038399"/>
      <w:bookmarkStart w:id="15" w:name="_Toc294018834"/>
      <w:r w:rsidRPr="001562B3">
        <w:t>Structure</w:t>
      </w:r>
      <w:bookmarkEnd w:id="10"/>
      <w:bookmarkEnd w:id="11"/>
      <w:bookmarkEnd w:id="12"/>
      <w:bookmarkEnd w:id="13"/>
    </w:p>
    <w:p w14:paraId="2AC3B1BF" w14:textId="310ACCAB" w:rsidR="002648B0" w:rsidRPr="001562B3" w:rsidRDefault="00102048" w:rsidP="00E05895">
      <w:pPr>
        <w:pStyle w:val="InstructionsText2"/>
      </w:pPr>
      <w:r w:rsidRPr="001562B3">
        <w:t>This framework</w:t>
      </w:r>
      <w:r w:rsidR="006876BA" w:rsidRPr="001562B3">
        <w:t xml:space="preserve"> for reporting on MREL and TLAC</w:t>
      </w:r>
      <w:r w:rsidRPr="001562B3">
        <w:t xml:space="preserve"> consists of </w:t>
      </w:r>
      <w:r w:rsidR="004125A1" w:rsidRPr="001562B3">
        <w:t>f</w:t>
      </w:r>
      <w:r w:rsidR="00D94DDD" w:rsidRPr="001562B3">
        <w:t>our</w:t>
      </w:r>
      <w:r w:rsidR="004125A1" w:rsidRPr="001562B3">
        <w:t xml:space="preserve"> </w:t>
      </w:r>
      <w:r w:rsidRPr="001562B3">
        <w:t>groups</w:t>
      </w:r>
      <w:r w:rsidR="002648B0" w:rsidRPr="001562B3">
        <w:t xml:space="preserve"> of templates:</w:t>
      </w:r>
    </w:p>
    <w:p w14:paraId="3086B9DD" w14:textId="5E78D7ED" w:rsidR="002648B0" w:rsidRPr="001562B3" w:rsidRDefault="00142215" w:rsidP="008E501F">
      <w:pPr>
        <w:pStyle w:val="InstructionsText2"/>
        <w:numPr>
          <w:ilvl w:val="1"/>
          <w:numId w:val="15"/>
        </w:numPr>
      </w:pPr>
      <w:r w:rsidRPr="001562B3">
        <w:t>a</w:t>
      </w:r>
      <w:r w:rsidR="001E440D" w:rsidRPr="001562B3">
        <w:t xml:space="preserve">mounts: key metrics of </w:t>
      </w:r>
      <w:r w:rsidR="00102048" w:rsidRPr="001562B3">
        <w:t>MREL and TLAC;</w:t>
      </w:r>
    </w:p>
    <w:p w14:paraId="3B952615" w14:textId="5D008287" w:rsidR="00436204" w:rsidRPr="001562B3" w:rsidRDefault="00142215">
      <w:pPr>
        <w:pStyle w:val="InstructionsText2"/>
        <w:numPr>
          <w:ilvl w:val="1"/>
          <w:numId w:val="15"/>
        </w:numPr>
      </w:pPr>
      <w:r w:rsidRPr="001562B3">
        <w:t>c</w:t>
      </w:r>
      <w:r w:rsidR="001E440D" w:rsidRPr="001562B3">
        <w:t>omposition and maturity</w:t>
      </w:r>
      <w:r w:rsidR="00102048" w:rsidRPr="001562B3">
        <w:t>;</w:t>
      </w:r>
    </w:p>
    <w:p w14:paraId="63E2C274" w14:textId="67BC4149" w:rsidR="002648B0" w:rsidRPr="001562B3" w:rsidRDefault="00102048">
      <w:pPr>
        <w:pStyle w:val="InstructionsText2"/>
        <w:numPr>
          <w:ilvl w:val="1"/>
          <w:numId w:val="15"/>
        </w:numPr>
      </w:pPr>
      <w:r w:rsidRPr="001562B3">
        <w:t>creditor ranking</w:t>
      </w:r>
      <w:r w:rsidR="002648B0" w:rsidRPr="001562B3">
        <w:t>;</w:t>
      </w:r>
    </w:p>
    <w:p w14:paraId="0D4AB948" w14:textId="42C1A351" w:rsidR="002648B0" w:rsidRPr="001562B3" w:rsidRDefault="00142215">
      <w:pPr>
        <w:pStyle w:val="InstructionsText2"/>
        <w:numPr>
          <w:ilvl w:val="1"/>
          <w:numId w:val="15"/>
        </w:numPr>
      </w:pPr>
      <w:r w:rsidRPr="001562B3">
        <w:t>c</w:t>
      </w:r>
      <w:r w:rsidR="00223FB6" w:rsidRPr="001562B3">
        <w:t>ontract-specific information</w:t>
      </w:r>
      <w:r w:rsidRPr="001562B3">
        <w:t>.</w:t>
      </w:r>
    </w:p>
    <w:p w14:paraId="0F36F124" w14:textId="59ECD771" w:rsidR="002648B0" w:rsidRPr="001562B3" w:rsidRDefault="002648B0">
      <w:pPr>
        <w:pStyle w:val="InstructionsText2"/>
      </w:pPr>
      <w:r w:rsidRPr="001562B3">
        <w:t xml:space="preserve">For each template legal references are provided. Further detailed information regarding more general aspects of the reporting of each </w:t>
      </w:r>
      <w:r w:rsidR="00102048" w:rsidRPr="001562B3">
        <w:t>set</w:t>
      </w:r>
      <w:r w:rsidRPr="001562B3">
        <w:t xml:space="preserve"> of templates</w:t>
      </w:r>
      <w:r w:rsidR="00102048" w:rsidRPr="001562B3">
        <w:t xml:space="preserve"> and</w:t>
      </w:r>
      <w:r w:rsidRPr="001562B3">
        <w:t xml:space="preserve"> instructions concerning specific positions are included in</w:t>
      </w:r>
      <w:r w:rsidR="00C71B86" w:rsidRPr="001562B3">
        <w:t xml:space="preserve"> this part of the </w:t>
      </w:r>
      <w:r w:rsidR="00102048" w:rsidRPr="001562B3">
        <w:t>Regulation</w:t>
      </w:r>
      <w:r w:rsidRPr="001562B3">
        <w:t>.</w:t>
      </w:r>
    </w:p>
    <w:p w14:paraId="720FE1D9" w14:textId="3CD80A7E" w:rsidR="002648B0" w:rsidRPr="001562B3" w:rsidRDefault="002648B0" w:rsidP="00BA4811">
      <w:pPr>
        <w:pStyle w:val="Numberedtilelevel1"/>
        <w:numPr>
          <w:ilvl w:val="1"/>
          <w:numId w:val="30"/>
        </w:numPr>
      </w:pPr>
      <w:bookmarkStart w:id="16" w:name="_Toc360188320"/>
      <w:bookmarkStart w:id="17" w:name="_Toc473560868"/>
      <w:bookmarkStart w:id="18" w:name="_Toc16868627"/>
      <w:bookmarkStart w:id="19" w:name="_Toc45558475"/>
      <w:r w:rsidRPr="001562B3">
        <w:t>Numbering convention</w:t>
      </w:r>
      <w:bookmarkEnd w:id="16"/>
      <w:bookmarkEnd w:id="17"/>
      <w:bookmarkEnd w:id="18"/>
      <w:bookmarkEnd w:id="19"/>
    </w:p>
    <w:p w14:paraId="66584242" w14:textId="63AA7C63" w:rsidR="002648B0" w:rsidRPr="001562B3" w:rsidRDefault="002648B0" w:rsidP="00E05895">
      <w:pPr>
        <w:pStyle w:val="InstructionsText2"/>
      </w:pPr>
      <w:r w:rsidRPr="001562B3">
        <w:t>The document follow</w:t>
      </w:r>
      <w:r w:rsidR="00C93697" w:rsidRPr="001562B3">
        <w:t>s</w:t>
      </w:r>
      <w:r w:rsidR="00102048" w:rsidRPr="001562B3">
        <w:t xml:space="preserve"> the labelling convention </w:t>
      </w:r>
      <w:r w:rsidR="00142215" w:rsidRPr="001562B3">
        <w:t>set out in points (a) to (d)</w:t>
      </w:r>
      <w:r w:rsidRPr="001562B3">
        <w:t>, when referring to the columns, rows and cells of the templates. Th</w:t>
      </w:r>
      <w:r w:rsidR="00142215" w:rsidRPr="001562B3">
        <w:t>o</w:t>
      </w:r>
      <w:r w:rsidRPr="001562B3">
        <w:t>se numerical codes are extensively used in the validation rules</w:t>
      </w:r>
      <w:r w:rsidR="00102048" w:rsidRPr="001562B3">
        <w:t xml:space="preserve"> defined in accordance with Annex </w:t>
      </w:r>
      <w:r w:rsidR="00DE3106" w:rsidRPr="001562B3">
        <w:t>III</w:t>
      </w:r>
      <w:r w:rsidRPr="001562B3">
        <w:t>.</w:t>
      </w:r>
    </w:p>
    <w:p w14:paraId="62F2C4B4" w14:textId="37DCE2FC" w:rsidR="005643EA" w:rsidRPr="001562B3" w:rsidRDefault="00142215" w:rsidP="008E501F">
      <w:pPr>
        <w:pStyle w:val="InstructionsText2"/>
        <w:numPr>
          <w:ilvl w:val="1"/>
          <w:numId w:val="15"/>
        </w:numPr>
      </w:pPr>
      <w:r w:rsidRPr="001562B3">
        <w:t>t</w:t>
      </w:r>
      <w:r w:rsidR="002648B0" w:rsidRPr="001562B3">
        <w:t>he following general notation is followed: {Template;Row;Column}</w:t>
      </w:r>
      <w:r w:rsidRPr="001562B3">
        <w:t>;</w:t>
      </w:r>
    </w:p>
    <w:p w14:paraId="7FB9131E" w14:textId="0B707586" w:rsidR="007D41F2" w:rsidRPr="001562B3" w:rsidRDefault="00142215">
      <w:pPr>
        <w:pStyle w:val="InstructionsText2"/>
        <w:numPr>
          <w:ilvl w:val="1"/>
          <w:numId w:val="15"/>
        </w:numPr>
      </w:pPr>
      <w:r w:rsidRPr="001562B3">
        <w:t>r</w:t>
      </w:r>
      <w:r w:rsidR="007D41F2" w:rsidRPr="001562B3">
        <w:t>eferences</w:t>
      </w:r>
      <w:r w:rsidR="002648B0" w:rsidRPr="001562B3">
        <w:t xml:space="preserve"> inside a template</w:t>
      </w:r>
      <w:r w:rsidR="007D41F2" w:rsidRPr="001562B3">
        <w:t xml:space="preserve"> do not include an indication of the template</w:t>
      </w:r>
      <w:r w:rsidR="002648B0" w:rsidRPr="001562B3">
        <w:t>: {Row;Column}</w:t>
      </w:r>
      <w:r w:rsidRPr="001562B3">
        <w:t>;</w:t>
      </w:r>
    </w:p>
    <w:p w14:paraId="07D8D5F5" w14:textId="74593C91" w:rsidR="007D41F2" w:rsidRPr="001562B3" w:rsidRDefault="00142215">
      <w:pPr>
        <w:pStyle w:val="InstructionsText2"/>
        <w:numPr>
          <w:ilvl w:val="1"/>
          <w:numId w:val="15"/>
        </w:numPr>
      </w:pPr>
      <w:r w:rsidRPr="001562B3">
        <w:t>i</w:t>
      </w:r>
      <w:r w:rsidR="002648B0" w:rsidRPr="001562B3">
        <w:t xml:space="preserve">n case of templates with only one column, only rows </w:t>
      </w:r>
      <w:r w:rsidR="00C93697" w:rsidRPr="001562B3">
        <w:t>are</w:t>
      </w:r>
      <w:r w:rsidR="002648B0" w:rsidRPr="001562B3">
        <w:t xml:space="preserve"> referred to</w:t>
      </w:r>
      <w:r w:rsidR="007D41F2" w:rsidRPr="001562B3">
        <w:t xml:space="preserve">: </w:t>
      </w:r>
      <w:r w:rsidR="002648B0" w:rsidRPr="001562B3">
        <w:t>{Template;Row}</w:t>
      </w:r>
      <w:r w:rsidR="00BD4614" w:rsidRPr="001562B3">
        <w:t>;</w:t>
      </w:r>
    </w:p>
    <w:p w14:paraId="690EFD8E" w14:textId="1E756AEF" w:rsidR="002648B0" w:rsidRPr="001562B3" w:rsidRDefault="00BD4614">
      <w:pPr>
        <w:pStyle w:val="InstructionsText2"/>
        <w:numPr>
          <w:ilvl w:val="1"/>
          <w:numId w:val="15"/>
        </w:numPr>
      </w:pPr>
      <w:r w:rsidRPr="001562B3">
        <w:t>a</w:t>
      </w:r>
      <w:r w:rsidR="002648B0" w:rsidRPr="001562B3">
        <w:t xml:space="preserve">n asterisk sign </w:t>
      </w:r>
      <w:r w:rsidR="00C93697" w:rsidRPr="001562B3">
        <w:t>is</w:t>
      </w:r>
      <w:r w:rsidR="002648B0" w:rsidRPr="001562B3">
        <w:t xml:space="preserve"> used to express that the </w:t>
      </w:r>
      <w:r w:rsidR="007D41F2" w:rsidRPr="001562B3">
        <w:t>reference covers</w:t>
      </w:r>
      <w:r w:rsidR="002648B0" w:rsidRPr="001562B3">
        <w:t xml:space="preserve"> the rows or columns specified before.</w:t>
      </w:r>
    </w:p>
    <w:p w14:paraId="7F222ACA" w14:textId="049AEB36" w:rsidR="002648B0" w:rsidRPr="001562B3" w:rsidRDefault="002648B0" w:rsidP="00BA4811">
      <w:pPr>
        <w:pStyle w:val="Numberedtilelevel1"/>
        <w:numPr>
          <w:ilvl w:val="1"/>
          <w:numId w:val="30"/>
        </w:numPr>
      </w:pPr>
      <w:bookmarkStart w:id="20" w:name="_Toc360188321"/>
      <w:bookmarkStart w:id="21" w:name="_Toc473560869"/>
      <w:bookmarkStart w:id="22" w:name="_Toc16868628"/>
      <w:bookmarkStart w:id="23" w:name="_Toc45558476"/>
      <w:r w:rsidRPr="001562B3">
        <w:lastRenderedPageBreak/>
        <w:t>Sign convention</w:t>
      </w:r>
      <w:bookmarkEnd w:id="14"/>
      <w:bookmarkEnd w:id="15"/>
      <w:bookmarkEnd w:id="20"/>
      <w:bookmarkEnd w:id="21"/>
      <w:bookmarkEnd w:id="22"/>
      <w:bookmarkEnd w:id="23"/>
    </w:p>
    <w:p w14:paraId="5CD09166" w14:textId="3D59906B" w:rsidR="002648B0" w:rsidRPr="001562B3" w:rsidRDefault="002648B0" w:rsidP="00E05895">
      <w:pPr>
        <w:pStyle w:val="InstructionsText2"/>
      </w:pPr>
      <w:r w:rsidRPr="001562B3">
        <w:t xml:space="preserve">Any amount that increases the </w:t>
      </w:r>
      <w:r w:rsidR="007D41F2" w:rsidRPr="001562B3">
        <w:t>own funds and eligible liabilities, the risk weighted exposure amounts, the leverage ratio exposure measure</w:t>
      </w:r>
      <w:r w:rsidRPr="001562B3">
        <w:t xml:space="preserve"> </w:t>
      </w:r>
      <w:r w:rsidR="007D41F2" w:rsidRPr="001562B3">
        <w:t xml:space="preserve">or the requirements </w:t>
      </w:r>
      <w:r w:rsidR="00C93697" w:rsidRPr="001562B3">
        <w:t>shall</w:t>
      </w:r>
      <w:r w:rsidRPr="001562B3">
        <w:t xml:space="preserve"> be reported as a positive figure. </w:t>
      </w:r>
      <w:r w:rsidR="00BD4614" w:rsidRPr="001562B3">
        <w:t>On the contrary</w:t>
      </w:r>
      <w:r w:rsidR="007D41F2" w:rsidRPr="001562B3">
        <w:t xml:space="preserve">, </w:t>
      </w:r>
      <w:r w:rsidRPr="001562B3">
        <w:t xml:space="preserve">any amount that reduces the </w:t>
      </w:r>
      <w:r w:rsidR="007D41F2" w:rsidRPr="001562B3">
        <w:t>own funds and eligible liabilities, the risk weighted exposure amounts, the leverage ratio exposure measure or the requirements</w:t>
      </w:r>
      <w:r w:rsidRPr="001562B3">
        <w:t xml:space="preserve"> </w:t>
      </w:r>
      <w:r w:rsidR="00C93697" w:rsidRPr="001562B3">
        <w:t>shall</w:t>
      </w:r>
      <w:r w:rsidRPr="001562B3">
        <w:t xml:space="preserve"> be reported as a negative figure. Where there is a negative sign (-) preceding the label of an item no positive figure is expected to be reported for that item.</w:t>
      </w:r>
    </w:p>
    <w:p w14:paraId="4866E65F" w14:textId="06153E8B" w:rsidR="00304CA5" w:rsidRPr="001562B3" w:rsidRDefault="001F2830" w:rsidP="00BA4811">
      <w:pPr>
        <w:pStyle w:val="Numberedtilelevel1"/>
        <w:numPr>
          <w:ilvl w:val="1"/>
          <w:numId w:val="30"/>
        </w:numPr>
      </w:pPr>
      <w:bookmarkStart w:id="24" w:name="_Toc16868629"/>
      <w:bookmarkStart w:id="25" w:name="_Toc45558477"/>
      <w:r w:rsidRPr="001562B3">
        <w:t>Abbreviations</w:t>
      </w:r>
      <w:bookmarkEnd w:id="24"/>
      <w:bookmarkEnd w:id="25"/>
    </w:p>
    <w:p w14:paraId="246BFF93" w14:textId="300638DB" w:rsidR="007D41F2" w:rsidRPr="001562B3" w:rsidRDefault="007D41F2" w:rsidP="00E05895">
      <w:pPr>
        <w:pStyle w:val="InstructionsText2"/>
      </w:pPr>
      <w:r w:rsidRPr="001562B3">
        <w:t xml:space="preserve">The following abbreviations apply for </w:t>
      </w:r>
      <w:r w:rsidR="00304CA5" w:rsidRPr="001562B3">
        <w:t>the purposes of th</w:t>
      </w:r>
      <w:r w:rsidRPr="001562B3">
        <w:t>e</w:t>
      </w:r>
      <w:r w:rsidR="00304CA5" w:rsidRPr="001562B3">
        <w:t xml:space="preserve"> </w:t>
      </w:r>
      <w:r w:rsidRPr="001562B3">
        <w:t>Annexes to this Re</w:t>
      </w:r>
      <w:r w:rsidR="00975018" w:rsidRPr="001562B3">
        <w:t>gu</w:t>
      </w:r>
      <w:r w:rsidRPr="001562B3">
        <w:t>lation:</w:t>
      </w:r>
    </w:p>
    <w:p w14:paraId="570D1886" w14:textId="160507E7" w:rsidR="007A0406" w:rsidRPr="001562B3" w:rsidRDefault="006876BA">
      <w:pPr>
        <w:pStyle w:val="InstructionsText2"/>
        <w:numPr>
          <w:ilvl w:val="1"/>
          <w:numId w:val="15"/>
        </w:numPr>
      </w:pPr>
      <w:r w:rsidRPr="001562B3" w:rsidDel="006876BA">
        <w:t xml:space="preserve"> </w:t>
      </w:r>
      <w:r w:rsidR="007A0406" w:rsidRPr="001562B3">
        <w:t xml:space="preserve">‘MREL’ refers to the minimum requirement for own funds and eligible liabilities pursuant to Article 45 </w:t>
      </w:r>
      <w:r w:rsidR="00B33C46" w:rsidRPr="001562B3">
        <w:t>of Directive 2014/59/EU</w:t>
      </w:r>
      <w:r w:rsidRPr="001562B3">
        <w:rPr>
          <w:rStyle w:val="FootnoteReference"/>
        </w:rPr>
        <w:footnoteReference w:id="2"/>
      </w:r>
      <w:r w:rsidR="007A0406" w:rsidRPr="001562B3">
        <w:t>;</w:t>
      </w:r>
    </w:p>
    <w:p w14:paraId="57536738" w14:textId="2A7AE090" w:rsidR="007A0406" w:rsidRPr="001562B3" w:rsidRDefault="007A0406">
      <w:pPr>
        <w:pStyle w:val="InstructionsText2"/>
        <w:numPr>
          <w:ilvl w:val="1"/>
          <w:numId w:val="15"/>
        </w:numPr>
      </w:pPr>
      <w:r w:rsidRPr="001562B3">
        <w:t>‘TLAC’ refers to the</w:t>
      </w:r>
      <w:r w:rsidR="005C73C9" w:rsidRPr="001562B3">
        <w:t xml:space="preserve"> requirements for own funds and eligible liabilities for </w:t>
      </w:r>
      <w:r w:rsidR="000D7F3B">
        <w:t>global systemically important institutions (</w:t>
      </w:r>
      <w:r w:rsidR="005C73C9" w:rsidRPr="001562B3">
        <w:t>G-SIIs</w:t>
      </w:r>
      <w:r w:rsidR="000D7F3B">
        <w:t>)</w:t>
      </w:r>
      <w:r w:rsidRPr="001562B3">
        <w:t xml:space="preserve"> </w:t>
      </w:r>
      <w:r w:rsidR="005C73C9" w:rsidRPr="001562B3">
        <w:t xml:space="preserve">pursuant to Article 92a </w:t>
      </w:r>
      <w:r w:rsidR="00D301E1" w:rsidRPr="001562B3">
        <w:t xml:space="preserve">of </w:t>
      </w:r>
      <w:r w:rsidR="00C47ED5" w:rsidRPr="001562B3">
        <w:t>Regulation (EU) No 575/2013</w:t>
      </w:r>
      <w:r w:rsidR="006876BA" w:rsidRPr="001562B3">
        <w:rPr>
          <w:rStyle w:val="FootnoteReference"/>
        </w:rPr>
        <w:footnoteReference w:id="3"/>
      </w:r>
      <w:r w:rsidR="005C73C9" w:rsidRPr="001562B3">
        <w:t>;</w:t>
      </w:r>
    </w:p>
    <w:p w14:paraId="2F8292A9" w14:textId="510A8DF1" w:rsidR="005C73C9" w:rsidRPr="001562B3" w:rsidRDefault="005C73C9">
      <w:pPr>
        <w:pStyle w:val="InstructionsText2"/>
        <w:numPr>
          <w:ilvl w:val="1"/>
          <w:numId w:val="15"/>
        </w:numPr>
      </w:pPr>
      <w:r w:rsidRPr="001562B3">
        <w:t xml:space="preserve">‘Internal TLAC’ refers to the requirement for own funds and eligible liabilities for non-EU G-SIIs pursuant to Article 92b </w:t>
      </w:r>
      <w:r w:rsidR="00D301E1" w:rsidRPr="001562B3">
        <w:t xml:space="preserve">of </w:t>
      </w:r>
      <w:r w:rsidR="00C47ED5" w:rsidRPr="001562B3">
        <w:t>Regulation (EU) No 575/2013</w:t>
      </w:r>
      <w:r w:rsidRPr="001562B3">
        <w:t>;</w:t>
      </w:r>
    </w:p>
    <w:p w14:paraId="20FFA708" w14:textId="3A916788" w:rsidR="008E638A" w:rsidRPr="001562B3" w:rsidRDefault="008E638A">
      <w:pPr>
        <w:pStyle w:val="InstructionsText2"/>
        <w:numPr>
          <w:ilvl w:val="1"/>
          <w:numId w:val="15"/>
        </w:numPr>
      </w:pPr>
      <w:r w:rsidRPr="001562B3">
        <w:t xml:space="preserve">‘Internal MREL’ refers to the MREL applied to entities that are not themselves resolution entities pursuant to Article 45f </w:t>
      </w:r>
      <w:r w:rsidR="00B33C46" w:rsidRPr="001562B3">
        <w:t>of Directive 2014/59/EU</w:t>
      </w:r>
      <w:r w:rsidRPr="001562B3">
        <w:t>.</w:t>
      </w:r>
    </w:p>
    <w:p w14:paraId="6568EFDF" w14:textId="77777777" w:rsidR="00304CA5" w:rsidRPr="001562B3" w:rsidRDefault="00304CA5" w:rsidP="004125A1">
      <w:pPr>
        <w:rPr>
          <w:rFonts w:ascii="Times New Roman" w:hAnsi="Times New Roman"/>
        </w:rPr>
      </w:pPr>
    </w:p>
    <w:p w14:paraId="31426CA0" w14:textId="02347391" w:rsidR="004A4EB9" w:rsidRPr="001562B3" w:rsidRDefault="004A4EB9" w:rsidP="007B2300">
      <w:pPr>
        <w:pStyle w:val="body"/>
        <w:rPr>
          <w:lang w:val="en-GB"/>
        </w:rPr>
      </w:pPr>
      <w:bookmarkStart w:id="26" w:name="_Toc264033192"/>
      <w:bookmarkEnd w:id="26"/>
    </w:p>
    <w:p w14:paraId="314229FD" w14:textId="77777777" w:rsidR="00AD3F9D" w:rsidRPr="001562B3" w:rsidRDefault="00AD3F9D" w:rsidP="001562B3">
      <w:pPr>
        <w:pStyle w:val="InstructionsText2"/>
        <w:sectPr w:rsidR="00AD3F9D" w:rsidRPr="001562B3" w:rsidSect="00A801A9">
          <w:headerReference w:type="default" r:id="rId8"/>
          <w:footerReference w:type="default" r:id="rId9"/>
          <w:endnotePr>
            <w:numFmt w:val="decimal"/>
          </w:endnotePr>
          <w:pgSz w:w="11906" w:h="16838"/>
          <w:pgMar w:top="1417" w:right="1417" w:bottom="1134" w:left="1417" w:header="708" w:footer="708" w:gutter="0"/>
          <w:cols w:space="708"/>
          <w:rtlGutter/>
          <w:docGrid w:linePitch="360"/>
        </w:sectPr>
      </w:pPr>
    </w:p>
    <w:p w14:paraId="2FB2FFF1" w14:textId="3BEA7F0A" w:rsidR="002648B0" w:rsidRPr="001562B3" w:rsidRDefault="002648B0" w:rsidP="00D64B66">
      <w:pPr>
        <w:pStyle w:val="Heading2"/>
        <w:rPr>
          <w:rFonts w:ascii="Times New Roman" w:hAnsi="Times New Roman"/>
          <w:lang w:val="en-GB"/>
        </w:rPr>
      </w:pPr>
      <w:bookmarkStart w:id="27" w:name="_Toc360188322"/>
      <w:bookmarkStart w:id="28" w:name="_Toc473560870"/>
      <w:bookmarkStart w:id="29" w:name="_Toc45558478"/>
      <w:r w:rsidRPr="001562B3">
        <w:rPr>
          <w:rFonts w:ascii="Times New Roman" w:hAnsi="Times New Roman"/>
          <w:lang w:val="en-GB"/>
        </w:rPr>
        <w:lastRenderedPageBreak/>
        <w:t>PART II: TEMPLATE RELATED INSTRUCTIONS</w:t>
      </w:r>
      <w:bookmarkEnd w:id="27"/>
      <w:bookmarkEnd w:id="28"/>
      <w:bookmarkEnd w:id="29"/>
    </w:p>
    <w:p w14:paraId="011193F3" w14:textId="255CE50E" w:rsidR="002648B0" w:rsidRPr="001562B3" w:rsidRDefault="00F753F4" w:rsidP="00873459">
      <w:pPr>
        <w:pStyle w:val="Numberedtilelevel1"/>
        <w:numPr>
          <w:ilvl w:val="0"/>
          <w:numId w:val="31"/>
        </w:numPr>
      </w:pPr>
      <w:bookmarkStart w:id="30" w:name="_Toc45558479"/>
      <w:r w:rsidRPr="001562B3">
        <w:t xml:space="preserve">Amounts: </w:t>
      </w:r>
      <w:r w:rsidR="001E440D" w:rsidRPr="001562B3">
        <w:t>M 01.00 –</w:t>
      </w:r>
      <w:r w:rsidR="00DB2266" w:rsidRPr="001562B3">
        <w:t>K</w:t>
      </w:r>
      <w:r w:rsidR="002701C8" w:rsidRPr="001562B3">
        <w:t xml:space="preserve">ey metrics </w:t>
      </w:r>
      <w:r w:rsidR="00DB2266" w:rsidRPr="001562B3">
        <w:t>for</w:t>
      </w:r>
      <w:r w:rsidR="002701C8" w:rsidRPr="001562B3">
        <w:t xml:space="preserve"> </w:t>
      </w:r>
      <w:r w:rsidR="00B4591B" w:rsidRPr="001562B3">
        <w:t>MREL and TLAC</w:t>
      </w:r>
      <w:r w:rsidR="001E440D" w:rsidRPr="001562B3">
        <w:t xml:space="preserve"> (KM2)</w:t>
      </w:r>
      <w:bookmarkEnd w:id="30"/>
    </w:p>
    <w:p w14:paraId="33F01D1B" w14:textId="77777777" w:rsidR="00443BEC" w:rsidRPr="001562B3" w:rsidRDefault="00443BEC" w:rsidP="00C271AC">
      <w:pPr>
        <w:pStyle w:val="Numberedtilelevel1"/>
        <w:numPr>
          <w:ilvl w:val="1"/>
          <w:numId w:val="30"/>
        </w:numPr>
      </w:pPr>
      <w:bookmarkStart w:id="31" w:name="_Toc45558480"/>
      <w:r w:rsidRPr="001562B3">
        <w:t>General remarks</w:t>
      </w:r>
      <w:bookmarkEnd w:id="31"/>
    </w:p>
    <w:p w14:paraId="6B3CD7BF" w14:textId="06246238" w:rsidR="00902E77" w:rsidRPr="001562B3" w:rsidRDefault="002701C8" w:rsidP="00E05895">
      <w:pPr>
        <w:pStyle w:val="InstructionsText2"/>
      </w:pPr>
      <w:r w:rsidRPr="001562B3">
        <w:t>T</w:t>
      </w:r>
      <w:r w:rsidR="00902E77" w:rsidRPr="001562B3">
        <w:t xml:space="preserve">he column referring to the Minimum Requirement for own funds and eligible liabilities </w:t>
      </w:r>
      <w:r w:rsidR="00231C4F" w:rsidRPr="001562B3">
        <w:t xml:space="preserve">(MREL) </w:t>
      </w:r>
      <w:r w:rsidR="00902E77" w:rsidRPr="001562B3">
        <w:t xml:space="preserve">shall be filled in by </w:t>
      </w:r>
      <w:r w:rsidR="002C6E63" w:rsidRPr="001562B3">
        <w:t xml:space="preserve">entities </w:t>
      </w:r>
      <w:r w:rsidR="00902E77" w:rsidRPr="001562B3">
        <w:t>that are subject to the minimum requirement for own funds and eligible liabilities in accordance with Article 45</w:t>
      </w:r>
      <w:r w:rsidR="002C6E63" w:rsidRPr="001562B3">
        <w:t>e</w:t>
      </w:r>
      <w:r w:rsidR="00B24942" w:rsidRPr="001562B3">
        <w:t xml:space="preserve"> </w:t>
      </w:r>
      <w:r w:rsidR="00BD4614" w:rsidRPr="001562B3">
        <w:t>of Directive 2014/59/EU</w:t>
      </w:r>
      <w:r w:rsidR="00902E77" w:rsidRPr="001562B3">
        <w:t xml:space="preserve">. Only those entities obliged to comply with the requirement of Articles 92a </w:t>
      </w:r>
      <w:r w:rsidR="00BD4614" w:rsidRPr="001562B3">
        <w:t>of Regulation (EU) No 575/2013</w:t>
      </w:r>
      <w:r w:rsidR="00902E77" w:rsidRPr="001562B3">
        <w:t xml:space="preserve"> shall report items referring to the G-SII requirement for own funds and eligible liabilities</w:t>
      </w:r>
      <w:r w:rsidR="00231C4F" w:rsidRPr="001562B3">
        <w:t xml:space="preserve"> (TLAC)</w:t>
      </w:r>
      <w:r w:rsidR="00902E77" w:rsidRPr="001562B3">
        <w:t>.</w:t>
      </w:r>
    </w:p>
    <w:p w14:paraId="507A7131" w14:textId="77167883" w:rsidR="00443BEC" w:rsidRPr="001562B3" w:rsidRDefault="00443BEC" w:rsidP="00443BEC">
      <w:pPr>
        <w:pStyle w:val="Numberedtilelevel1"/>
        <w:numPr>
          <w:ilvl w:val="1"/>
          <w:numId w:val="30"/>
        </w:numPr>
      </w:pPr>
      <w:bookmarkStart w:id="32" w:name="_Toc45558481"/>
      <w:r w:rsidRPr="001562B3">
        <w:t>Instructions concerning specific positions</w:t>
      </w:r>
      <w:bookmarkEnd w:id="32"/>
    </w:p>
    <w:tbl>
      <w:tblPr>
        <w:tblW w:w="8749" w:type="dxa"/>
        <w:tblInd w:w="539" w:type="dxa"/>
        <w:tblLayout w:type="fixed"/>
        <w:tblLook w:val="00A0" w:firstRow="1" w:lastRow="0" w:firstColumn="1" w:lastColumn="0" w:noHBand="0" w:noVBand="0"/>
      </w:tblPr>
      <w:tblGrid>
        <w:gridCol w:w="1129"/>
        <w:gridCol w:w="7620"/>
      </w:tblGrid>
      <w:tr w:rsidR="00FF0E1F" w:rsidRPr="001562B3" w14:paraId="76045A07" w14:textId="77777777" w:rsidTr="00FF0E1F">
        <w:tc>
          <w:tcPr>
            <w:tcW w:w="1129" w:type="dxa"/>
            <w:tcBorders>
              <w:top w:val="single" w:sz="4" w:space="0" w:color="auto"/>
              <w:left w:val="single" w:sz="4" w:space="0" w:color="auto"/>
              <w:bottom w:val="single" w:sz="4" w:space="0" w:color="auto"/>
              <w:right w:val="single" w:sz="4" w:space="0" w:color="auto"/>
            </w:tcBorders>
            <w:shd w:val="clear" w:color="auto" w:fill="D9D9D9"/>
          </w:tcPr>
          <w:p w14:paraId="491DC8DF" w14:textId="77777777" w:rsidR="00FF0E1F" w:rsidRPr="001562B3" w:rsidRDefault="00FF0E1F" w:rsidP="00E05895">
            <w:pPr>
              <w:pStyle w:val="InstructionsText"/>
            </w:pPr>
            <w:r w:rsidRPr="001562B3">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16AFEC2E" w14:textId="77777777" w:rsidR="00FF0E1F" w:rsidRPr="001562B3" w:rsidRDefault="00FF0E1F" w:rsidP="008E501F">
            <w:pPr>
              <w:pStyle w:val="InstructionsText"/>
            </w:pPr>
            <w:r w:rsidRPr="001562B3">
              <w:t>Legal references and instructions</w:t>
            </w:r>
          </w:p>
        </w:tc>
      </w:tr>
      <w:tr w:rsidR="00B24942" w:rsidRPr="001562B3" w14:paraId="5ABDF8AA" w14:textId="77777777" w:rsidTr="00FF0E1F">
        <w:tc>
          <w:tcPr>
            <w:tcW w:w="1129" w:type="dxa"/>
            <w:tcBorders>
              <w:top w:val="single" w:sz="4" w:space="0" w:color="auto"/>
              <w:left w:val="single" w:sz="4" w:space="0" w:color="auto"/>
              <w:bottom w:val="single" w:sz="4" w:space="0" w:color="auto"/>
              <w:right w:val="single" w:sz="4" w:space="0" w:color="auto"/>
            </w:tcBorders>
            <w:shd w:val="clear" w:color="auto" w:fill="auto"/>
          </w:tcPr>
          <w:p w14:paraId="1FFEBD06" w14:textId="48A203E7" w:rsidR="00B24942" w:rsidRPr="001562B3" w:rsidRDefault="00B24942" w:rsidP="00E05895">
            <w:pPr>
              <w:pStyle w:val="InstructionsText"/>
            </w:pPr>
            <w:r w:rsidRPr="001562B3">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3375FF9" w14:textId="77777777" w:rsidR="00B24942" w:rsidRPr="001562B3" w:rsidRDefault="00B2494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Minimum requirement for own funds and eligible liabilities (MREL)</w:t>
            </w:r>
          </w:p>
          <w:p w14:paraId="2AD8D05B" w14:textId="3CD8A827" w:rsidR="00B24942" w:rsidRPr="001562B3" w:rsidRDefault="00B24942">
            <w:pPr>
              <w:pStyle w:val="InstructionsText"/>
            </w:pPr>
            <w:r w:rsidRPr="001562B3">
              <w:rPr>
                <w:rStyle w:val="InstructionsTabelleberschrift"/>
                <w:rFonts w:ascii="Times New Roman" w:hAnsi="Times New Roman"/>
                <w:b w:val="0"/>
                <w:sz w:val="24"/>
                <w:u w:val="none"/>
              </w:rPr>
              <w:t>Article</w:t>
            </w:r>
            <w:r w:rsidR="00631A23" w:rsidRPr="001562B3">
              <w:rPr>
                <w:rStyle w:val="InstructionsTabelleberschrift"/>
                <w:rFonts w:ascii="Times New Roman" w:hAnsi="Times New Roman"/>
                <w:b w:val="0"/>
                <w:sz w:val="24"/>
                <w:u w:val="none"/>
              </w:rPr>
              <w:t>s 45 and</w:t>
            </w:r>
            <w:r w:rsidRPr="001562B3">
              <w:rPr>
                <w:rStyle w:val="InstructionsTabelleberschrift"/>
                <w:rFonts w:ascii="Times New Roman" w:hAnsi="Times New Roman"/>
                <w:b w:val="0"/>
                <w:sz w:val="24"/>
                <w:u w:val="none"/>
              </w:rPr>
              <w:t xml:space="preserve"> 45</w:t>
            </w:r>
            <w:r w:rsidR="00685956" w:rsidRPr="001562B3">
              <w:rPr>
                <w:rStyle w:val="InstructionsTabelleberschrift"/>
                <w:rFonts w:ascii="Times New Roman" w:hAnsi="Times New Roman"/>
                <w:b w:val="0"/>
                <w:sz w:val="24"/>
                <w:u w:val="none"/>
              </w:rPr>
              <w:t>e</w:t>
            </w:r>
            <w:r w:rsidRPr="001562B3">
              <w:rPr>
                <w:rStyle w:val="InstructionsTabelleberschrift"/>
                <w:rFonts w:ascii="Times New Roman" w:hAnsi="Times New Roman"/>
                <w:b w:val="0"/>
                <w:sz w:val="24"/>
                <w:u w:val="none"/>
              </w:rPr>
              <w:t xml:space="preserve"> </w:t>
            </w:r>
            <w:r w:rsidR="00BD4614" w:rsidRPr="001562B3">
              <w:t>of Directive 2014/59/EU</w:t>
            </w:r>
          </w:p>
        </w:tc>
      </w:tr>
      <w:tr w:rsidR="00B24942" w:rsidRPr="001562B3" w14:paraId="0E066ADC" w14:textId="77777777" w:rsidTr="00FF0E1F">
        <w:tc>
          <w:tcPr>
            <w:tcW w:w="1129" w:type="dxa"/>
            <w:tcBorders>
              <w:top w:val="single" w:sz="4" w:space="0" w:color="auto"/>
              <w:left w:val="single" w:sz="4" w:space="0" w:color="auto"/>
              <w:bottom w:val="single" w:sz="4" w:space="0" w:color="auto"/>
              <w:right w:val="single" w:sz="4" w:space="0" w:color="auto"/>
            </w:tcBorders>
            <w:shd w:val="clear" w:color="auto" w:fill="auto"/>
          </w:tcPr>
          <w:p w14:paraId="45327B7F" w14:textId="17F5FFCB" w:rsidR="00B24942" w:rsidRPr="001562B3" w:rsidRDefault="00B24942" w:rsidP="00E05895">
            <w:pPr>
              <w:pStyle w:val="InstructionsText"/>
            </w:pPr>
            <w:r w:rsidRPr="001562B3">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31B21F8" w14:textId="642A69C0" w:rsidR="00B24942" w:rsidRPr="001562B3" w:rsidRDefault="00B2494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Requirement for own funds and eligible liabilities for G-SIIs (TLAC)</w:t>
            </w:r>
          </w:p>
          <w:p w14:paraId="3CB88656" w14:textId="5EB7C7A4" w:rsidR="00B24942" w:rsidRPr="001562B3" w:rsidRDefault="00B24942">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92a </w:t>
            </w:r>
            <w:r w:rsidR="00BD4614" w:rsidRPr="001562B3">
              <w:t>of Regulation (EU) No 575/2013</w:t>
            </w:r>
          </w:p>
        </w:tc>
      </w:tr>
    </w:tbl>
    <w:p w14:paraId="131E3F94" w14:textId="2091667C" w:rsidR="00FF0E1F" w:rsidRPr="001562B3" w:rsidRDefault="00FF0E1F" w:rsidP="00E05895">
      <w:pPr>
        <w:pStyle w:val="InstructionsText"/>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482729" w:rsidRPr="001562B3" w14:paraId="3CA212D1" w14:textId="77777777" w:rsidTr="00482729">
        <w:tc>
          <w:tcPr>
            <w:tcW w:w="1129" w:type="dxa"/>
            <w:shd w:val="clear" w:color="auto" w:fill="D9D9D9"/>
          </w:tcPr>
          <w:p w14:paraId="3C2709B8" w14:textId="77777777" w:rsidR="00482729" w:rsidRPr="001562B3" w:rsidRDefault="00482729" w:rsidP="008E501F">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Row</w:t>
            </w:r>
          </w:p>
        </w:tc>
        <w:tc>
          <w:tcPr>
            <w:tcW w:w="7620" w:type="dxa"/>
            <w:shd w:val="clear" w:color="auto" w:fill="D9D9D9"/>
          </w:tcPr>
          <w:p w14:paraId="40ACB4D4" w14:textId="77777777" w:rsidR="00482729" w:rsidRPr="001562B3" w:rsidRDefault="00482729">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Legal references and instructions</w:t>
            </w:r>
          </w:p>
        </w:tc>
      </w:tr>
      <w:tr w:rsidR="00482729" w:rsidRPr="001562B3" w14:paraId="10EE241B" w14:textId="77777777" w:rsidTr="00482729">
        <w:tc>
          <w:tcPr>
            <w:tcW w:w="1129" w:type="dxa"/>
          </w:tcPr>
          <w:p w14:paraId="02D860CF" w14:textId="09C9E02C" w:rsidR="00482729" w:rsidRPr="001562B3" w:rsidRDefault="00482729"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0100 - 01</w:t>
            </w:r>
            <w:r w:rsidR="00DE1B16"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tcPr>
          <w:p w14:paraId="420690CF" w14:textId="4B72D8DC" w:rsidR="00482729" w:rsidRPr="001562B3" w:rsidRDefault="00D61796" w:rsidP="008E501F">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Total risk exposure amount</w:t>
            </w:r>
            <w:r w:rsidR="007C3317" w:rsidRPr="001562B3">
              <w:rPr>
                <w:rStyle w:val="InstructionsTabelleberschrift"/>
                <w:rFonts w:ascii="Times New Roman" w:hAnsi="Times New Roman"/>
                <w:sz w:val="24"/>
              </w:rPr>
              <w:t xml:space="preserve"> and </w:t>
            </w:r>
            <w:r w:rsidR="00482729" w:rsidRPr="001562B3">
              <w:rPr>
                <w:rStyle w:val="InstructionsTabelleberschrift"/>
                <w:rFonts w:ascii="Times New Roman" w:hAnsi="Times New Roman"/>
                <w:sz w:val="24"/>
              </w:rPr>
              <w:t>total exposure measure</w:t>
            </w:r>
            <w:r w:rsidRPr="001562B3">
              <w:rPr>
                <w:rStyle w:val="InstructionsTabelleberschrift"/>
                <w:rFonts w:ascii="Times New Roman" w:hAnsi="Times New Roman"/>
                <w:sz w:val="24"/>
              </w:rPr>
              <w:t xml:space="preserve"> </w:t>
            </w:r>
          </w:p>
        </w:tc>
      </w:tr>
      <w:tr w:rsidR="00482729" w:rsidRPr="001562B3" w14:paraId="4ABF163D" w14:textId="77777777" w:rsidTr="00482729">
        <w:tc>
          <w:tcPr>
            <w:tcW w:w="1129" w:type="dxa"/>
          </w:tcPr>
          <w:p w14:paraId="1AEBCE31" w14:textId="77777777" w:rsidR="00482729" w:rsidRPr="001562B3" w:rsidRDefault="00482729"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0100</w:t>
            </w:r>
          </w:p>
        </w:tc>
        <w:tc>
          <w:tcPr>
            <w:tcW w:w="7620" w:type="dxa"/>
          </w:tcPr>
          <w:p w14:paraId="6351F1FC" w14:textId="14541FAF" w:rsidR="00482729" w:rsidRPr="001562B3" w:rsidRDefault="00482729"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Total risk exposure amount (TREA)</w:t>
            </w:r>
          </w:p>
          <w:p w14:paraId="2DCC2520" w14:textId="36987F91" w:rsidR="00EB663A" w:rsidRPr="001562B3" w:rsidRDefault="00740250" w:rsidP="00740250">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Point (a) of </w:t>
            </w:r>
            <w:r w:rsidR="00833ACC" w:rsidRPr="001562B3">
              <w:rPr>
                <w:rStyle w:val="FormatvorlageInstructionsTabelleText"/>
                <w:rFonts w:ascii="Times New Roman" w:hAnsi="Times New Roman"/>
                <w:sz w:val="24"/>
                <w:lang w:eastAsia="de-DE"/>
              </w:rPr>
              <w:t xml:space="preserve">Article 45(2) </w:t>
            </w:r>
            <w:r w:rsidR="00BD4614" w:rsidRPr="001562B3">
              <w:rPr>
                <w:rStyle w:val="FormatvorlageInstructionsTabelleText"/>
                <w:rFonts w:ascii="Times New Roman" w:hAnsi="Times New Roman"/>
                <w:sz w:val="24"/>
                <w:lang w:eastAsia="de-DE"/>
              </w:rPr>
              <w:t>of Directive 2014/59/EU</w:t>
            </w:r>
            <w:r w:rsidR="00833ACC" w:rsidRPr="001562B3">
              <w:rPr>
                <w:rStyle w:val="FormatvorlageInstructionsTabelleText"/>
                <w:rFonts w:ascii="Times New Roman" w:hAnsi="Times New Roman"/>
                <w:sz w:val="24"/>
                <w:lang w:eastAsia="de-DE"/>
              </w:rPr>
              <w:t xml:space="preserve">, </w:t>
            </w:r>
            <w:r w:rsidR="00482729" w:rsidRPr="001562B3">
              <w:rPr>
                <w:rStyle w:val="FormatvorlageInstructionsTabelleText"/>
                <w:rFonts w:ascii="Times New Roman" w:hAnsi="Times New Roman"/>
                <w:sz w:val="24"/>
                <w:lang w:eastAsia="de-DE"/>
              </w:rPr>
              <w:t xml:space="preserve">Article 92(3) </w:t>
            </w:r>
            <w:r w:rsidR="00BD4614" w:rsidRPr="001562B3">
              <w:rPr>
                <w:rStyle w:val="FormatvorlageInstructionsTabelleText"/>
                <w:rFonts w:ascii="Times New Roman" w:hAnsi="Times New Roman"/>
                <w:sz w:val="24"/>
                <w:lang w:eastAsia="de-DE"/>
              </w:rPr>
              <w:t>of Regulation (EU) No 575/2013</w:t>
            </w:r>
            <w:r w:rsidR="009D2B1C">
              <w:rPr>
                <w:rStyle w:val="FormatvorlageInstructionsTabelleText"/>
                <w:rFonts w:ascii="Times New Roman" w:hAnsi="Times New Roman"/>
                <w:sz w:val="24"/>
                <w:lang w:eastAsia="de-DE"/>
              </w:rPr>
              <w:t>.</w:t>
            </w:r>
          </w:p>
          <w:p w14:paraId="59BD35A0" w14:textId="6FD46776" w:rsidR="00482729" w:rsidRPr="001562B3" w:rsidRDefault="00EB663A" w:rsidP="00454476">
            <w:pPr>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The total risk exposure amount reported in this row shall be the total risk exposure amount which is the basis for compliance with the requirements of Article 45 </w:t>
            </w:r>
            <w:r w:rsidR="00454476" w:rsidRPr="001562B3">
              <w:rPr>
                <w:rStyle w:val="FormatvorlageInstructionsTabelleText"/>
                <w:rFonts w:ascii="Times New Roman" w:hAnsi="Times New Roman"/>
                <w:sz w:val="24"/>
                <w:lang w:eastAsia="de-DE"/>
              </w:rPr>
              <w:t>of Directive 2014/59/EU or</w:t>
            </w:r>
            <w:r w:rsidRPr="001562B3">
              <w:rPr>
                <w:rStyle w:val="FormatvorlageInstructionsTabelleText"/>
                <w:rFonts w:ascii="Times New Roman" w:hAnsi="Times New Roman"/>
                <w:sz w:val="24"/>
                <w:lang w:eastAsia="de-DE"/>
              </w:rPr>
              <w:t xml:space="preserve"> Article 92a </w:t>
            </w:r>
            <w:r w:rsidR="00454476"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as applicable.</w:t>
            </w:r>
          </w:p>
        </w:tc>
      </w:tr>
      <w:tr w:rsidR="00482729" w:rsidRPr="001562B3" w14:paraId="3AD21AA0" w14:textId="77777777" w:rsidTr="00482729">
        <w:tc>
          <w:tcPr>
            <w:tcW w:w="1129" w:type="dxa"/>
          </w:tcPr>
          <w:p w14:paraId="1FC4F735" w14:textId="77777777" w:rsidR="00482729" w:rsidRPr="001562B3" w:rsidRDefault="00482729"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0110</w:t>
            </w:r>
          </w:p>
        </w:tc>
        <w:tc>
          <w:tcPr>
            <w:tcW w:w="7620" w:type="dxa"/>
          </w:tcPr>
          <w:p w14:paraId="624C65F2" w14:textId="5BF36935" w:rsidR="00482729" w:rsidRPr="001562B3" w:rsidRDefault="00482729"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Total exposure measure</w:t>
            </w:r>
            <w:r w:rsidR="009D2B1C">
              <w:rPr>
                <w:rStyle w:val="InstructionsTabelleberschrift"/>
                <w:rFonts w:ascii="Times New Roman" w:hAnsi="Times New Roman"/>
                <w:sz w:val="24"/>
              </w:rPr>
              <w:t xml:space="preserve"> (TEM)</w:t>
            </w:r>
          </w:p>
          <w:p w14:paraId="1A7F5C6F" w14:textId="0FEF4F72" w:rsidR="00482729" w:rsidRPr="001562B3" w:rsidRDefault="00740250" w:rsidP="00740250">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Point (b) of </w:t>
            </w:r>
            <w:r w:rsidR="00833ACC" w:rsidRPr="001562B3">
              <w:rPr>
                <w:rStyle w:val="FormatvorlageInstructionsTabelleText"/>
                <w:rFonts w:ascii="Times New Roman" w:hAnsi="Times New Roman"/>
                <w:sz w:val="24"/>
                <w:lang w:eastAsia="de-DE"/>
              </w:rPr>
              <w:t xml:space="preserve">Article 45(2) </w:t>
            </w:r>
            <w:r w:rsidR="00454476" w:rsidRPr="001562B3">
              <w:rPr>
                <w:rStyle w:val="FormatvorlageInstructionsTabelleText"/>
                <w:rFonts w:ascii="Times New Roman" w:hAnsi="Times New Roman"/>
                <w:sz w:val="24"/>
                <w:lang w:eastAsia="de-DE"/>
              </w:rPr>
              <w:t>of Directive 2014/59/EU</w:t>
            </w:r>
            <w:r w:rsidR="00833ACC" w:rsidRPr="001562B3">
              <w:rPr>
                <w:rStyle w:val="FormatvorlageInstructionsTabelleText"/>
                <w:rFonts w:ascii="Times New Roman" w:hAnsi="Times New Roman"/>
                <w:sz w:val="24"/>
                <w:lang w:eastAsia="de-DE"/>
              </w:rPr>
              <w:t xml:space="preserve">, </w:t>
            </w:r>
            <w:r w:rsidR="00482729" w:rsidRPr="001562B3">
              <w:rPr>
                <w:rStyle w:val="FormatvorlageInstructionsTabelleText"/>
                <w:rFonts w:ascii="Times New Roman" w:hAnsi="Times New Roman"/>
                <w:sz w:val="24"/>
                <w:lang w:eastAsia="de-DE"/>
              </w:rPr>
              <w:t xml:space="preserve">Articles 429(4) and 429a </w:t>
            </w:r>
            <w:r w:rsidR="00454476" w:rsidRPr="001562B3">
              <w:rPr>
                <w:rStyle w:val="FormatvorlageInstructionsTabelleText"/>
                <w:rFonts w:ascii="Times New Roman" w:hAnsi="Times New Roman"/>
                <w:sz w:val="24"/>
                <w:lang w:eastAsia="de-DE"/>
              </w:rPr>
              <w:t>of Regulation (EU) No 575/2013</w:t>
            </w:r>
            <w:r w:rsidR="00482729" w:rsidRPr="001562B3">
              <w:rPr>
                <w:rStyle w:val="FormatvorlageInstructionsTabelleText"/>
                <w:rFonts w:ascii="Times New Roman" w:hAnsi="Times New Roman"/>
                <w:sz w:val="24"/>
                <w:lang w:eastAsia="de-DE"/>
              </w:rPr>
              <w:t>.</w:t>
            </w:r>
          </w:p>
          <w:p w14:paraId="27EFEFE0" w14:textId="3256C09C" w:rsidR="00EB663A" w:rsidRPr="001562B3" w:rsidRDefault="00EB663A" w:rsidP="00454476">
            <w:pPr>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The total exposure measure reported in this row shall be the total exposure measure which is the basis for compliance with the requirements of Article 45 </w:t>
            </w:r>
            <w:r w:rsidR="00454476" w:rsidRPr="001562B3">
              <w:rPr>
                <w:rStyle w:val="FormatvorlageInstructionsTabelleText"/>
                <w:rFonts w:ascii="Times New Roman" w:hAnsi="Times New Roman"/>
                <w:sz w:val="24"/>
                <w:lang w:eastAsia="de-DE"/>
              </w:rPr>
              <w:t>of Directive 2014/59/EU or</w:t>
            </w:r>
            <w:r w:rsidRPr="001562B3">
              <w:rPr>
                <w:rStyle w:val="FormatvorlageInstructionsTabelleText"/>
                <w:rFonts w:ascii="Times New Roman" w:hAnsi="Times New Roman"/>
                <w:sz w:val="24"/>
                <w:lang w:eastAsia="de-DE"/>
              </w:rPr>
              <w:t xml:space="preserve"> Article 92a </w:t>
            </w:r>
            <w:r w:rsidR="00454476"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as applicable.</w:t>
            </w:r>
          </w:p>
        </w:tc>
      </w:tr>
      <w:tr w:rsidR="00833ACC" w:rsidRPr="001562B3" w14:paraId="5ACF39FB" w14:textId="77777777" w:rsidTr="00482729">
        <w:tc>
          <w:tcPr>
            <w:tcW w:w="1129" w:type="dxa"/>
          </w:tcPr>
          <w:p w14:paraId="1A555FC6" w14:textId="6E8FDEAE" w:rsidR="00833ACC" w:rsidRPr="001562B3" w:rsidRDefault="00833ACC"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0200 - </w:t>
            </w:r>
            <w:r w:rsidR="00505FD3" w:rsidRPr="001562B3">
              <w:rPr>
                <w:rStyle w:val="FormatvorlageInstructionsTabelleText"/>
                <w:rFonts w:ascii="Times New Roman" w:hAnsi="Times New Roman"/>
                <w:sz w:val="24"/>
              </w:rPr>
              <w:t>0230</w:t>
            </w:r>
          </w:p>
        </w:tc>
        <w:tc>
          <w:tcPr>
            <w:tcW w:w="7620" w:type="dxa"/>
          </w:tcPr>
          <w:p w14:paraId="5847F001" w14:textId="7DB76AE6" w:rsidR="00833ACC" w:rsidRPr="001562B3" w:rsidRDefault="00833ACC"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Own funds and eligible liabilities</w:t>
            </w:r>
          </w:p>
        </w:tc>
      </w:tr>
      <w:tr w:rsidR="00833ACC" w:rsidRPr="001562B3" w14:paraId="56610C42" w14:textId="77777777" w:rsidTr="00482729">
        <w:tc>
          <w:tcPr>
            <w:tcW w:w="1129" w:type="dxa"/>
          </w:tcPr>
          <w:p w14:paraId="20C9006A" w14:textId="4D78796C" w:rsidR="00833ACC" w:rsidRPr="001562B3" w:rsidRDefault="00833ACC"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0200</w:t>
            </w:r>
          </w:p>
        </w:tc>
        <w:tc>
          <w:tcPr>
            <w:tcW w:w="7620" w:type="dxa"/>
          </w:tcPr>
          <w:p w14:paraId="69CC3F9F" w14:textId="44BAB6DC" w:rsidR="00833ACC" w:rsidRPr="001562B3" w:rsidRDefault="00833ACC"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Own funds and eligible liabilities</w:t>
            </w:r>
          </w:p>
          <w:p w14:paraId="23602173" w14:textId="13A6C1A6" w:rsidR="00014A29" w:rsidRPr="001562B3" w:rsidRDefault="00014A29" w:rsidP="00833ACC">
            <w:pPr>
              <w:rPr>
                <w:rStyle w:val="FormatvorlageInstructionsTabelleText"/>
                <w:rFonts w:ascii="Times New Roman" w:hAnsi="Times New Roman"/>
                <w:i/>
                <w:sz w:val="24"/>
                <w:lang w:eastAsia="de-DE"/>
              </w:rPr>
            </w:pPr>
            <w:r w:rsidRPr="001562B3">
              <w:rPr>
                <w:rStyle w:val="FormatvorlageInstructionsTabelleText"/>
                <w:rFonts w:ascii="Times New Roman" w:hAnsi="Times New Roman"/>
                <w:i/>
                <w:sz w:val="24"/>
                <w:lang w:eastAsia="de-DE"/>
              </w:rPr>
              <w:t>MREL</w:t>
            </w:r>
          </w:p>
          <w:p w14:paraId="5BB19EC3" w14:textId="6EEA08CA" w:rsidR="00833ACC" w:rsidRPr="001562B3" w:rsidRDefault="00833ACC" w:rsidP="00833ACC">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lastRenderedPageBreak/>
              <w:t>The amount of own funds and eligible liabilities counting towards MREL shall be</w:t>
            </w:r>
            <w:r w:rsidR="00CC7A43" w:rsidRPr="001562B3">
              <w:rPr>
                <w:rStyle w:val="FormatvorlageInstructionsTabelleText"/>
                <w:rFonts w:ascii="Times New Roman" w:hAnsi="Times New Roman"/>
                <w:sz w:val="24"/>
                <w:lang w:eastAsia="de-DE"/>
              </w:rPr>
              <w:t xml:space="preserve"> reported as</w:t>
            </w:r>
            <w:r w:rsidRPr="001562B3">
              <w:rPr>
                <w:rStyle w:val="FormatvorlageInstructionsTabelleText"/>
                <w:rFonts w:ascii="Times New Roman" w:hAnsi="Times New Roman"/>
                <w:sz w:val="24"/>
                <w:lang w:eastAsia="de-DE"/>
              </w:rPr>
              <w:t xml:space="preserve"> the sum of</w:t>
            </w:r>
            <w:r w:rsidR="00406456" w:rsidRPr="001562B3">
              <w:rPr>
                <w:rStyle w:val="FormatvorlageInstructionsTabelleText"/>
                <w:rFonts w:ascii="Times New Roman" w:hAnsi="Times New Roman"/>
                <w:sz w:val="24"/>
                <w:lang w:eastAsia="de-DE"/>
              </w:rPr>
              <w:t>:</w:t>
            </w:r>
          </w:p>
          <w:p w14:paraId="48247D2D" w14:textId="666A62C5" w:rsidR="00833ACC" w:rsidRPr="001562B3" w:rsidRDefault="00833ACC" w:rsidP="00454476">
            <w:pPr>
              <w:pStyle w:val="ListParagraph"/>
              <w:numPr>
                <w:ilvl w:val="0"/>
                <w:numId w:val="20"/>
              </w:num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own funds </w:t>
            </w:r>
            <w:r w:rsidR="00454476" w:rsidRPr="001562B3">
              <w:rPr>
                <w:rStyle w:val="FormatvorlageInstructionsTabelleText"/>
                <w:rFonts w:ascii="Times New Roman" w:hAnsi="Times New Roman"/>
                <w:sz w:val="24"/>
                <w:lang w:eastAsia="de-DE"/>
              </w:rPr>
              <w:t>as defined in</w:t>
            </w:r>
            <w:r w:rsidRPr="001562B3">
              <w:rPr>
                <w:rStyle w:val="FormatvorlageInstructionsTabelleText"/>
                <w:rFonts w:ascii="Times New Roman" w:hAnsi="Times New Roman"/>
                <w:sz w:val="24"/>
                <w:lang w:eastAsia="de-DE"/>
              </w:rPr>
              <w:t xml:space="preserve"> </w:t>
            </w:r>
            <w:r w:rsidR="00740250" w:rsidRPr="001562B3">
              <w:rPr>
                <w:rStyle w:val="FormatvorlageInstructionsTabelleText"/>
                <w:rFonts w:ascii="Times New Roman" w:hAnsi="Times New Roman"/>
                <w:sz w:val="24"/>
                <w:lang w:eastAsia="de-DE"/>
              </w:rPr>
              <w:t xml:space="preserve">point (118) of </w:t>
            </w:r>
            <w:r w:rsidRPr="001562B3">
              <w:rPr>
                <w:rStyle w:val="FormatvorlageInstructionsTabelleText"/>
                <w:rFonts w:ascii="Times New Roman" w:hAnsi="Times New Roman"/>
                <w:sz w:val="24"/>
                <w:lang w:eastAsia="de-DE"/>
              </w:rPr>
              <w:t>Article</w:t>
            </w:r>
            <w:r w:rsidR="00C74C49" w:rsidRPr="001562B3">
              <w:rPr>
                <w:rStyle w:val="FormatvorlageInstructionsTabelleText"/>
                <w:rFonts w:ascii="Times New Roman" w:hAnsi="Times New Roman"/>
                <w:sz w:val="24"/>
                <w:lang w:eastAsia="de-DE"/>
              </w:rPr>
              <w:t xml:space="preserve"> 4(1)</w:t>
            </w:r>
            <w:r w:rsidRPr="001562B3">
              <w:rPr>
                <w:rStyle w:val="FormatvorlageInstructionsTabelleText"/>
                <w:rFonts w:ascii="Times New Roman" w:hAnsi="Times New Roman"/>
                <w:sz w:val="24"/>
                <w:lang w:eastAsia="de-DE"/>
              </w:rPr>
              <w:t xml:space="preserve"> </w:t>
            </w:r>
            <w:r w:rsidR="00C74C49" w:rsidRPr="001562B3">
              <w:rPr>
                <w:rStyle w:val="FormatvorlageInstructionsTabelleText"/>
                <w:rFonts w:ascii="Times New Roman" w:hAnsi="Times New Roman"/>
                <w:sz w:val="24"/>
                <w:lang w:eastAsia="de-DE"/>
              </w:rPr>
              <w:t xml:space="preserve">and </w:t>
            </w:r>
            <w:r w:rsidR="00740250" w:rsidRPr="001562B3">
              <w:rPr>
                <w:rStyle w:val="FormatvorlageInstructionsTabelleText"/>
                <w:rFonts w:ascii="Times New Roman" w:hAnsi="Times New Roman"/>
                <w:sz w:val="24"/>
                <w:lang w:eastAsia="de-DE"/>
              </w:rPr>
              <w:t xml:space="preserve">Article </w:t>
            </w:r>
            <w:r w:rsidRPr="001562B3">
              <w:rPr>
                <w:rStyle w:val="FormatvorlageInstructionsTabelleText"/>
                <w:rFonts w:ascii="Times New Roman" w:hAnsi="Times New Roman"/>
                <w:sz w:val="24"/>
                <w:lang w:eastAsia="de-DE"/>
              </w:rPr>
              <w:t xml:space="preserve">72 </w:t>
            </w:r>
            <w:r w:rsidR="00454476"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xml:space="preserve"> </w:t>
            </w:r>
          </w:p>
          <w:p w14:paraId="4562E31B" w14:textId="5855FB9A" w:rsidR="00833ACC" w:rsidRPr="001562B3" w:rsidRDefault="00031DC6" w:rsidP="00454476">
            <w:pPr>
              <w:pStyle w:val="ListParagraph"/>
              <w:numPr>
                <w:ilvl w:val="0"/>
                <w:numId w:val="20"/>
              </w:num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lang w:eastAsia="de-DE"/>
              </w:rPr>
              <w:t xml:space="preserve">eligible </w:t>
            </w:r>
            <w:r w:rsidR="00833ACC" w:rsidRPr="001562B3">
              <w:rPr>
                <w:rStyle w:val="FormatvorlageInstructionsTabelleText"/>
                <w:rFonts w:ascii="Times New Roman" w:hAnsi="Times New Roman"/>
                <w:sz w:val="24"/>
                <w:lang w:eastAsia="de-DE"/>
              </w:rPr>
              <w:t xml:space="preserve">liabilities </w:t>
            </w:r>
            <w:r w:rsidR="00DE3106" w:rsidRPr="001562B3">
              <w:rPr>
                <w:rStyle w:val="FormatvorlageInstructionsTabelleText"/>
                <w:rFonts w:ascii="Times New Roman" w:hAnsi="Times New Roman"/>
                <w:sz w:val="24"/>
                <w:lang w:eastAsia="de-DE"/>
              </w:rPr>
              <w:t>as defined in point (71a) of Article 2(1)</w:t>
            </w:r>
            <w:r w:rsidR="00833ACC" w:rsidRPr="001562B3">
              <w:rPr>
                <w:rStyle w:val="FormatvorlageInstructionsTabelleText"/>
                <w:rFonts w:ascii="Times New Roman" w:hAnsi="Times New Roman"/>
                <w:sz w:val="24"/>
                <w:lang w:eastAsia="de-DE"/>
              </w:rPr>
              <w:t xml:space="preserve"> </w:t>
            </w:r>
            <w:r w:rsidR="00454476" w:rsidRPr="001562B3">
              <w:rPr>
                <w:rStyle w:val="FormatvorlageInstructionsTabelleText"/>
                <w:rFonts w:ascii="Times New Roman" w:hAnsi="Times New Roman"/>
                <w:sz w:val="24"/>
                <w:lang w:eastAsia="de-DE"/>
              </w:rPr>
              <w:t>of Directive 2014/59/EU</w:t>
            </w:r>
            <w:r w:rsidR="00833ACC" w:rsidRPr="001562B3">
              <w:rPr>
                <w:rStyle w:val="FormatvorlageInstructionsTabelleText"/>
                <w:rFonts w:ascii="Times New Roman" w:hAnsi="Times New Roman"/>
                <w:sz w:val="24"/>
                <w:lang w:eastAsia="de-DE"/>
              </w:rPr>
              <w:t>.</w:t>
            </w:r>
          </w:p>
          <w:p w14:paraId="08E53EB1" w14:textId="75A237C1" w:rsidR="00014A29" w:rsidRPr="001562B3" w:rsidRDefault="00014A29" w:rsidP="00CC7A43">
            <w:p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454476" w:rsidRPr="001562B3">
              <w:rPr>
                <w:rStyle w:val="FormatvorlageInstructionsTabelleText"/>
                <w:rFonts w:ascii="Times New Roman" w:hAnsi="Times New Roman"/>
                <w:sz w:val="24"/>
                <w:lang w:eastAsia="de-DE"/>
              </w:rPr>
              <w:t>of Directive 2014/59/EU</w:t>
            </w:r>
            <w:r w:rsidRPr="001562B3">
              <w:rPr>
                <w:rStyle w:val="FormatvorlageInstructionsTabelleText"/>
                <w:rFonts w:ascii="Times New Roman" w:hAnsi="Times New Roman"/>
                <w:sz w:val="24"/>
              </w:rPr>
              <w:t>.</w:t>
            </w:r>
          </w:p>
          <w:p w14:paraId="3802483D" w14:textId="72951D63" w:rsidR="00014A29" w:rsidRPr="001562B3" w:rsidRDefault="00014A29" w:rsidP="007B2300">
            <w:pPr>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172C64BD" w14:textId="5B59747A" w:rsidR="00C74C49" w:rsidRPr="001562B3" w:rsidRDefault="00C74C49" w:rsidP="00CC7A4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The amount of own funds and eligible liabilities counting towards the G-SII requirement for own funds and eligible liabilities</w:t>
            </w:r>
            <w:r w:rsidR="00785132" w:rsidRPr="001562B3">
              <w:rPr>
                <w:rStyle w:val="FormatvorlageInstructionsTabelleText"/>
                <w:rFonts w:ascii="Times New Roman" w:hAnsi="Times New Roman"/>
                <w:sz w:val="24"/>
                <w:lang w:eastAsia="de-DE"/>
              </w:rPr>
              <w:t xml:space="preserve"> (TLAC)</w:t>
            </w:r>
            <w:r w:rsidRPr="001562B3">
              <w:rPr>
                <w:rStyle w:val="FormatvorlageInstructionsTabelleText"/>
                <w:rFonts w:ascii="Times New Roman" w:hAnsi="Times New Roman"/>
                <w:sz w:val="24"/>
                <w:lang w:eastAsia="de-DE"/>
              </w:rPr>
              <w:t xml:space="preserve"> shall be the amount referred to in Article </w:t>
            </w:r>
            <w:r w:rsidR="00CC7A43" w:rsidRPr="001562B3">
              <w:rPr>
                <w:rStyle w:val="FormatvorlageInstructionsTabelleText"/>
                <w:rFonts w:ascii="Times New Roman" w:hAnsi="Times New Roman"/>
                <w:sz w:val="24"/>
                <w:lang w:eastAsia="de-DE"/>
              </w:rPr>
              <w:t>72l</w:t>
            </w:r>
            <w:r w:rsidRPr="001562B3">
              <w:rPr>
                <w:rStyle w:val="FormatvorlageInstructionsTabelleText"/>
                <w:rFonts w:ascii="Times New Roman" w:hAnsi="Times New Roman"/>
                <w:sz w:val="24"/>
                <w:lang w:eastAsia="de-DE"/>
              </w:rPr>
              <w:t xml:space="preserve"> </w:t>
            </w:r>
            <w:r w:rsidR="00D301E1" w:rsidRPr="001562B3">
              <w:rPr>
                <w:rStyle w:val="FormatvorlageInstructionsTabelleText"/>
                <w:rFonts w:ascii="Times New Roman" w:hAnsi="Times New Roman"/>
                <w:sz w:val="24"/>
                <w:lang w:eastAsia="de-DE"/>
              </w:rPr>
              <w:t xml:space="preserve">of </w:t>
            </w:r>
            <w:r w:rsidR="00C47ED5" w:rsidRPr="001562B3">
              <w:rPr>
                <w:rStyle w:val="FormatvorlageInstructionsTabelleText"/>
                <w:rFonts w:ascii="Times New Roman" w:hAnsi="Times New Roman"/>
                <w:sz w:val="24"/>
                <w:lang w:eastAsia="de-DE"/>
              </w:rPr>
              <w:t>Regulation (EU) No 575/2013</w:t>
            </w:r>
            <w:r w:rsidRPr="001562B3">
              <w:rPr>
                <w:rStyle w:val="FormatvorlageInstructionsTabelleText"/>
                <w:rFonts w:ascii="Times New Roman" w:hAnsi="Times New Roman"/>
                <w:sz w:val="24"/>
                <w:lang w:eastAsia="de-DE"/>
              </w:rPr>
              <w:t xml:space="preserve">, </w:t>
            </w:r>
            <w:r w:rsidR="00CC7A43" w:rsidRPr="001562B3">
              <w:rPr>
                <w:rStyle w:val="FormatvorlageInstructionsTabelleText"/>
                <w:rFonts w:ascii="Times New Roman" w:hAnsi="Times New Roman"/>
                <w:sz w:val="24"/>
                <w:lang w:eastAsia="de-DE"/>
              </w:rPr>
              <w:t>consisting of</w:t>
            </w:r>
            <w:r w:rsidR="00031DC6" w:rsidRPr="001562B3">
              <w:rPr>
                <w:rStyle w:val="FormatvorlageInstructionsTabelleText"/>
                <w:rFonts w:ascii="Times New Roman" w:hAnsi="Times New Roman"/>
                <w:sz w:val="24"/>
                <w:lang w:eastAsia="de-DE"/>
              </w:rPr>
              <w:t>:</w:t>
            </w:r>
          </w:p>
          <w:p w14:paraId="2C797F81" w14:textId="2FDF57B4" w:rsidR="00C74C49" w:rsidRPr="001562B3" w:rsidRDefault="00C74C49" w:rsidP="00FC7D64">
            <w:pPr>
              <w:pStyle w:val="ListParagraph"/>
              <w:numPr>
                <w:ilvl w:val="0"/>
                <w:numId w:val="22"/>
              </w:num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lang w:eastAsia="de-DE"/>
              </w:rPr>
              <w:t xml:space="preserve">own funds as </w:t>
            </w:r>
            <w:r w:rsidR="00FC7D64" w:rsidRPr="001562B3">
              <w:rPr>
                <w:rStyle w:val="FormatvorlageInstructionsTabelleText"/>
                <w:rFonts w:ascii="Times New Roman" w:hAnsi="Times New Roman"/>
                <w:sz w:val="24"/>
                <w:lang w:eastAsia="de-DE"/>
              </w:rPr>
              <w:t>defined</w:t>
            </w:r>
            <w:r w:rsidRPr="001562B3">
              <w:rPr>
                <w:rStyle w:val="FormatvorlageInstructionsTabelleText"/>
                <w:rFonts w:ascii="Times New Roman" w:hAnsi="Times New Roman"/>
                <w:sz w:val="24"/>
                <w:lang w:eastAsia="de-DE"/>
              </w:rPr>
              <w:t xml:space="preserve"> in </w:t>
            </w:r>
            <w:r w:rsidR="00740250" w:rsidRPr="001562B3">
              <w:rPr>
                <w:rStyle w:val="FormatvorlageInstructionsTabelleText"/>
                <w:rFonts w:ascii="Times New Roman" w:hAnsi="Times New Roman"/>
                <w:sz w:val="24"/>
                <w:lang w:eastAsia="de-DE"/>
              </w:rPr>
              <w:t xml:space="preserve">point (118) of </w:t>
            </w:r>
            <w:r w:rsidRPr="001562B3">
              <w:rPr>
                <w:rStyle w:val="FormatvorlageInstructionsTabelleText"/>
                <w:rFonts w:ascii="Times New Roman" w:hAnsi="Times New Roman"/>
                <w:sz w:val="24"/>
                <w:lang w:eastAsia="de-DE"/>
              </w:rPr>
              <w:t xml:space="preserve">Article 4(1) and </w:t>
            </w:r>
            <w:r w:rsidR="00740250" w:rsidRPr="001562B3">
              <w:rPr>
                <w:rStyle w:val="FormatvorlageInstructionsTabelleText"/>
                <w:rFonts w:ascii="Times New Roman" w:hAnsi="Times New Roman"/>
                <w:sz w:val="24"/>
                <w:lang w:eastAsia="de-DE"/>
              </w:rPr>
              <w:t xml:space="preserve">Article </w:t>
            </w:r>
            <w:r w:rsidRPr="001562B3">
              <w:rPr>
                <w:rStyle w:val="FormatvorlageInstructionsTabelleText"/>
                <w:rFonts w:ascii="Times New Roman" w:hAnsi="Times New Roman"/>
                <w:sz w:val="24"/>
                <w:lang w:eastAsia="de-DE"/>
              </w:rPr>
              <w:t xml:space="preserve">72 </w:t>
            </w:r>
            <w:r w:rsidR="00FC7D64" w:rsidRPr="001562B3">
              <w:rPr>
                <w:rStyle w:val="FormatvorlageInstructionsTabelleText"/>
                <w:rFonts w:ascii="Times New Roman" w:hAnsi="Times New Roman"/>
                <w:sz w:val="24"/>
                <w:lang w:eastAsia="de-DE"/>
              </w:rPr>
              <w:t>of Regulation (EU) No 575/2013;</w:t>
            </w:r>
          </w:p>
          <w:p w14:paraId="5A219BC0" w14:textId="42171A65" w:rsidR="00C60A1B" w:rsidRPr="001562B3" w:rsidRDefault="00C74C49" w:rsidP="00FC7D64">
            <w:pPr>
              <w:pStyle w:val="ListParagraph"/>
              <w:numPr>
                <w:ilvl w:val="0"/>
                <w:numId w:val="22"/>
              </w:numPr>
              <w:rPr>
                <w:rStyle w:val="InstructionsTabelleberschrift"/>
                <w:rFonts w:ascii="Times New Roman" w:hAnsi="Times New Roman"/>
                <w:b w:val="0"/>
                <w:sz w:val="24"/>
              </w:rPr>
            </w:pPr>
            <w:r w:rsidRPr="001562B3">
              <w:rPr>
                <w:rStyle w:val="FormatvorlageInstructionsTabelleText"/>
                <w:rFonts w:ascii="Times New Roman" w:hAnsi="Times New Roman"/>
                <w:sz w:val="24"/>
                <w:lang w:eastAsia="de-DE"/>
              </w:rPr>
              <w:t xml:space="preserve">eligible liabilities </w:t>
            </w:r>
            <w:r w:rsidR="00AB6AB2" w:rsidRPr="001562B3">
              <w:rPr>
                <w:rStyle w:val="FormatvorlageInstructionsTabelleText"/>
                <w:rFonts w:ascii="Times New Roman" w:hAnsi="Times New Roman"/>
                <w:sz w:val="24"/>
                <w:lang w:eastAsia="de-DE"/>
              </w:rPr>
              <w:t>in accordance with</w:t>
            </w:r>
            <w:r w:rsidR="00DE1B16" w:rsidRPr="001562B3">
              <w:rPr>
                <w:rStyle w:val="FormatvorlageInstructionsTabelleText"/>
                <w:rFonts w:ascii="Times New Roman" w:hAnsi="Times New Roman"/>
                <w:sz w:val="24"/>
                <w:lang w:eastAsia="de-DE"/>
              </w:rPr>
              <w:t xml:space="preserve"> Article 72k </w:t>
            </w:r>
            <w:r w:rsidR="00FC7D64" w:rsidRPr="001562B3">
              <w:rPr>
                <w:rStyle w:val="FormatvorlageInstructionsTabelleText"/>
                <w:rFonts w:ascii="Times New Roman" w:hAnsi="Times New Roman"/>
                <w:sz w:val="24"/>
                <w:lang w:eastAsia="de-DE"/>
              </w:rPr>
              <w:t>of Regulation (EU) No 575/2013</w:t>
            </w:r>
            <w:r w:rsidR="00CC7A43" w:rsidRPr="001562B3">
              <w:rPr>
                <w:rStyle w:val="FormatvorlageInstructionsTabelleText"/>
                <w:rFonts w:ascii="Times New Roman" w:hAnsi="Times New Roman"/>
                <w:sz w:val="24"/>
                <w:lang w:eastAsia="de-DE"/>
              </w:rPr>
              <w:t>.</w:t>
            </w:r>
          </w:p>
        </w:tc>
      </w:tr>
      <w:tr w:rsidR="00CC7A43" w:rsidRPr="001562B3" w14:paraId="0580BAE0" w14:textId="77777777" w:rsidTr="00482729">
        <w:tc>
          <w:tcPr>
            <w:tcW w:w="1129" w:type="dxa"/>
          </w:tcPr>
          <w:p w14:paraId="7F1FCE61" w14:textId="5708257A" w:rsidR="00CC7A43" w:rsidRPr="001562B3" w:rsidRDefault="00CC7A43"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0210</w:t>
            </w:r>
          </w:p>
        </w:tc>
        <w:tc>
          <w:tcPr>
            <w:tcW w:w="7620" w:type="dxa"/>
          </w:tcPr>
          <w:p w14:paraId="4DC5951E" w14:textId="77777777" w:rsidR="00CC7A43" w:rsidRPr="001562B3" w:rsidRDefault="00CC7A43"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own funds and subordinated liabilities</w:t>
            </w:r>
          </w:p>
          <w:p w14:paraId="2FF67EC2" w14:textId="46DA0283" w:rsidR="00CC7A43" w:rsidRPr="001562B3" w:rsidRDefault="00CC7A43" w:rsidP="008E501F">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The amount of own funds and subordinated eligible liabilities counting towards MREL shall be reported as the sum of:</w:t>
            </w:r>
          </w:p>
          <w:p w14:paraId="1E69B0AB" w14:textId="5FCA8702" w:rsidR="00CC7A43" w:rsidRPr="001562B3" w:rsidRDefault="00CC7A43" w:rsidP="007B2300">
            <w:pPr>
              <w:pStyle w:val="ListParagraph"/>
              <w:numPr>
                <w:ilvl w:val="0"/>
                <w:numId w:val="45"/>
              </w:numPr>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own </w:t>
            </w:r>
            <w:r w:rsidRPr="001562B3">
              <w:rPr>
                <w:rStyle w:val="FormatvorlageInstructionsTabelleText"/>
                <w:rFonts w:ascii="Times New Roman" w:hAnsi="Times New Roman"/>
                <w:sz w:val="24"/>
                <w:lang w:eastAsia="de-DE"/>
              </w:rPr>
              <w:t>funds</w:t>
            </w:r>
            <w:r w:rsidRPr="001562B3">
              <w:rPr>
                <w:rStyle w:val="InstructionsTabelleberschrift"/>
                <w:rFonts w:ascii="Times New Roman" w:hAnsi="Times New Roman"/>
                <w:b w:val="0"/>
                <w:sz w:val="24"/>
                <w:u w:val="none"/>
              </w:rPr>
              <w:t xml:space="preserve"> as </w:t>
            </w:r>
            <w:r w:rsidR="00E55589" w:rsidRPr="001562B3">
              <w:rPr>
                <w:rStyle w:val="InstructionsTabelleberschrift"/>
                <w:rFonts w:ascii="Times New Roman" w:hAnsi="Times New Roman"/>
                <w:b w:val="0"/>
                <w:sz w:val="24"/>
                <w:u w:val="none"/>
              </w:rPr>
              <w:t>defined</w:t>
            </w:r>
            <w:r w:rsidRPr="001562B3">
              <w:rPr>
                <w:rStyle w:val="InstructionsTabelleberschrift"/>
                <w:rFonts w:ascii="Times New Roman" w:hAnsi="Times New Roman"/>
                <w:b w:val="0"/>
                <w:sz w:val="24"/>
                <w:u w:val="none"/>
              </w:rPr>
              <w:t xml:space="preserve"> in </w:t>
            </w:r>
            <w:r w:rsidR="00307F17" w:rsidRPr="001562B3">
              <w:rPr>
                <w:rStyle w:val="InstructionsTabelleberschrift"/>
                <w:rFonts w:ascii="Times New Roman" w:hAnsi="Times New Roman"/>
                <w:b w:val="0"/>
                <w:sz w:val="24"/>
                <w:u w:val="none"/>
              </w:rPr>
              <w:t xml:space="preserve">point (118) of </w:t>
            </w:r>
            <w:r w:rsidRPr="001562B3">
              <w:rPr>
                <w:rStyle w:val="InstructionsTabelleberschrift"/>
                <w:rFonts w:ascii="Times New Roman" w:hAnsi="Times New Roman"/>
                <w:b w:val="0"/>
                <w:sz w:val="24"/>
                <w:u w:val="none"/>
              </w:rPr>
              <w:t xml:space="preserve">Article 4(1) and </w:t>
            </w:r>
            <w:r w:rsidR="00307F17" w:rsidRPr="001562B3">
              <w:rPr>
                <w:rStyle w:val="InstructionsTabelleberschrift"/>
                <w:rFonts w:ascii="Times New Roman" w:hAnsi="Times New Roman"/>
                <w:b w:val="0"/>
                <w:sz w:val="24"/>
                <w:u w:val="none"/>
              </w:rPr>
              <w:t xml:space="preserve">Article </w:t>
            </w:r>
            <w:r w:rsidRPr="001562B3">
              <w:rPr>
                <w:rStyle w:val="InstructionsTabelleberschrift"/>
                <w:rFonts w:ascii="Times New Roman" w:hAnsi="Times New Roman"/>
                <w:b w:val="0"/>
                <w:sz w:val="24"/>
                <w:u w:val="none"/>
              </w:rPr>
              <w:t xml:space="preserve">72 </w:t>
            </w:r>
            <w:r w:rsidR="00E55589" w:rsidRPr="001562B3">
              <w:rPr>
                <w:rStyle w:val="FormatvorlageInstructionsTabelleText"/>
                <w:rFonts w:ascii="Times New Roman" w:hAnsi="Times New Roman"/>
                <w:sz w:val="24"/>
                <w:lang w:eastAsia="de-DE"/>
              </w:rPr>
              <w:t>of Regulation (EU) No 575/2013</w:t>
            </w:r>
            <w:r w:rsidR="00E55589" w:rsidRPr="001562B3">
              <w:rPr>
                <w:rStyle w:val="InstructionsTabelleberschrift"/>
                <w:rFonts w:ascii="Times New Roman" w:hAnsi="Times New Roman"/>
                <w:b w:val="0"/>
                <w:sz w:val="24"/>
                <w:u w:val="none"/>
              </w:rPr>
              <w:t>;</w:t>
            </w:r>
          </w:p>
          <w:p w14:paraId="2CA01563" w14:textId="14FD37EF" w:rsidR="00DE3106" w:rsidRPr="001562B3" w:rsidRDefault="00031DC6" w:rsidP="00E55589">
            <w:pPr>
              <w:pStyle w:val="ListParagraph"/>
              <w:numPr>
                <w:ilvl w:val="0"/>
                <w:numId w:val="45"/>
              </w:numPr>
              <w:rPr>
                <w:rStyle w:val="FormatvorlageInstructionsTabelleText"/>
                <w:rFonts w:ascii="Times New Roman" w:hAnsi="Times New Roman"/>
                <w:sz w:val="24"/>
                <w:lang w:eastAsia="de-DE"/>
              </w:rPr>
            </w:pPr>
            <w:r w:rsidRPr="001562B3">
              <w:rPr>
                <w:rStyle w:val="InstructionsTabelleberschrift"/>
                <w:rFonts w:ascii="Times New Roman" w:hAnsi="Times New Roman"/>
                <w:b w:val="0"/>
                <w:sz w:val="24"/>
                <w:u w:val="none"/>
              </w:rPr>
              <w:t>eligible liabilities included in the</w:t>
            </w:r>
            <w:r w:rsidRPr="001562B3">
              <w:rPr>
                <w:rStyle w:val="FormatvorlageInstructionsTabelleText"/>
                <w:rFonts w:ascii="Times New Roman" w:hAnsi="Times New Roman"/>
                <w:sz w:val="24"/>
                <w:lang w:eastAsia="de-DE"/>
              </w:rPr>
              <w:t xml:space="preserve"> amount of own funds and eligible liabilities </w:t>
            </w:r>
            <w:r w:rsidR="00E55589" w:rsidRPr="001562B3">
              <w:rPr>
                <w:rStyle w:val="FormatvorlageInstructionsTabelleText"/>
                <w:rFonts w:ascii="Times New Roman" w:hAnsi="Times New Roman"/>
                <w:sz w:val="24"/>
                <w:lang w:eastAsia="de-DE"/>
              </w:rPr>
              <w:t>in accordance with</w:t>
            </w:r>
            <w:r w:rsidRPr="001562B3">
              <w:rPr>
                <w:rStyle w:val="FormatvorlageInstructionsTabelleText"/>
                <w:rFonts w:ascii="Times New Roman" w:hAnsi="Times New Roman"/>
                <w:sz w:val="24"/>
                <w:lang w:eastAsia="de-DE"/>
              </w:rPr>
              <w:t xml:space="preserve"> Article 45b </w:t>
            </w:r>
            <w:r w:rsidR="00E55589" w:rsidRPr="001562B3">
              <w:rPr>
                <w:rStyle w:val="FormatvorlageInstructionsTabelleText"/>
                <w:rFonts w:ascii="Times New Roman" w:hAnsi="Times New Roman"/>
                <w:sz w:val="24"/>
                <w:lang w:eastAsia="de-DE"/>
              </w:rPr>
              <w:t>of Directive 2014/59/EU</w:t>
            </w:r>
            <w:r w:rsidR="00785132" w:rsidRPr="001562B3">
              <w:rPr>
                <w:rStyle w:val="FormatvorlageInstructionsTabelleText"/>
                <w:rFonts w:ascii="Times New Roman" w:hAnsi="Times New Roman"/>
                <w:sz w:val="24"/>
                <w:lang w:eastAsia="de-DE"/>
              </w:rPr>
              <w:t xml:space="preserve"> </w:t>
            </w:r>
            <w:r w:rsidRPr="001562B3">
              <w:rPr>
                <w:rStyle w:val="FormatvorlageInstructionsTabelleText"/>
                <w:rFonts w:ascii="Times New Roman" w:hAnsi="Times New Roman"/>
                <w:sz w:val="24"/>
                <w:lang w:eastAsia="de-DE"/>
              </w:rPr>
              <w:t xml:space="preserve">which are subordinated eligible instruments as defined in </w:t>
            </w:r>
            <w:r w:rsidR="00307F17" w:rsidRPr="001562B3">
              <w:rPr>
                <w:rStyle w:val="FormatvorlageInstructionsTabelleText"/>
                <w:rFonts w:ascii="Times New Roman" w:hAnsi="Times New Roman"/>
                <w:sz w:val="24"/>
                <w:lang w:eastAsia="de-DE"/>
              </w:rPr>
              <w:t xml:space="preserve">point (71b) of </w:t>
            </w:r>
            <w:r w:rsidRPr="001562B3">
              <w:rPr>
                <w:rStyle w:val="FormatvorlageInstructionsTabelleText"/>
                <w:rFonts w:ascii="Times New Roman" w:hAnsi="Times New Roman"/>
                <w:sz w:val="24"/>
                <w:lang w:eastAsia="de-DE"/>
              </w:rPr>
              <w:t xml:space="preserve">Article 2(1) </w:t>
            </w:r>
            <w:r w:rsidR="00E55589" w:rsidRPr="001562B3">
              <w:rPr>
                <w:rStyle w:val="FormatvorlageInstructionsTabelleText"/>
                <w:rFonts w:ascii="Times New Roman" w:hAnsi="Times New Roman"/>
                <w:sz w:val="24"/>
                <w:lang w:eastAsia="de-DE"/>
              </w:rPr>
              <w:t>of that Directive;</w:t>
            </w:r>
          </w:p>
          <w:p w14:paraId="013BC1DB" w14:textId="4C025BAC" w:rsidR="007B2300" w:rsidRPr="001562B3" w:rsidRDefault="00DE3106" w:rsidP="007B2300">
            <w:pPr>
              <w:pStyle w:val="ListParagraph"/>
              <w:numPr>
                <w:ilvl w:val="0"/>
                <w:numId w:val="45"/>
              </w:numPr>
              <w:rPr>
                <w:rStyle w:val="FormatvorlageInstructionsTabelleText"/>
                <w:rFonts w:ascii="Times New Roman" w:hAnsi="Times New Roman"/>
                <w:sz w:val="24"/>
                <w:u w:val="single"/>
              </w:rPr>
            </w:pPr>
            <w:r w:rsidRPr="001562B3">
              <w:rPr>
                <w:rStyle w:val="InstructionsTabelleberschrift"/>
                <w:rFonts w:ascii="Times New Roman" w:hAnsi="Times New Roman"/>
                <w:b w:val="0"/>
                <w:sz w:val="24"/>
                <w:u w:val="none"/>
              </w:rPr>
              <w:t>liabilities</w:t>
            </w:r>
            <w:r w:rsidRPr="001562B3">
              <w:rPr>
                <w:rStyle w:val="FormatvorlageInstructionsTabelleText"/>
                <w:rFonts w:ascii="Times New Roman" w:hAnsi="Times New Roman"/>
                <w:sz w:val="24"/>
                <w:lang w:eastAsia="de-DE"/>
              </w:rPr>
              <w:t xml:space="preserve"> included in the amount of own funds and eligible liabilities </w:t>
            </w:r>
            <w:r w:rsidR="00E55589" w:rsidRPr="001562B3">
              <w:rPr>
                <w:rStyle w:val="FormatvorlageInstructionsTabelleText"/>
                <w:rFonts w:ascii="Times New Roman" w:hAnsi="Times New Roman"/>
                <w:sz w:val="24"/>
                <w:lang w:eastAsia="de-DE"/>
              </w:rPr>
              <w:t>in accordance with</w:t>
            </w:r>
            <w:r w:rsidRPr="001562B3">
              <w:rPr>
                <w:rStyle w:val="FormatvorlageInstructionsTabelleText"/>
                <w:rFonts w:ascii="Times New Roman" w:hAnsi="Times New Roman"/>
                <w:sz w:val="24"/>
                <w:lang w:eastAsia="de-DE"/>
              </w:rPr>
              <w:t xml:space="preserve"> Article 45b(3)</w:t>
            </w:r>
            <w:r w:rsidR="00E55589" w:rsidRPr="001562B3">
              <w:rPr>
                <w:rStyle w:val="FormatvorlageInstructionsTabelleText"/>
                <w:rFonts w:ascii="Times New Roman" w:hAnsi="Times New Roman"/>
                <w:sz w:val="24"/>
                <w:lang w:eastAsia="de-DE"/>
              </w:rPr>
              <w:t xml:space="preserve"> of Directive 2014/59/EU</w:t>
            </w:r>
            <w:r w:rsidRPr="001562B3">
              <w:rPr>
                <w:rStyle w:val="FormatvorlageInstructionsTabelleText"/>
                <w:rFonts w:ascii="Times New Roman" w:hAnsi="Times New Roman"/>
                <w:sz w:val="24"/>
                <w:lang w:eastAsia="de-DE"/>
              </w:rPr>
              <w:t>.</w:t>
            </w:r>
          </w:p>
          <w:p w14:paraId="023D5208" w14:textId="1183B459" w:rsidR="00CC7A43" w:rsidRPr="001562B3" w:rsidRDefault="0036191E" w:rsidP="00E55589">
            <w:pPr>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 xml:space="preserve">In case of instruments governed by the law of a third country, </w:t>
            </w:r>
            <w:r w:rsidR="00014A29" w:rsidRPr="001562B3">
              <w:rPr>
                <w:rStyle w:val="FormatvorlageInstructionsTabelleText"/>
                <w:rFonts w:ascii="Times New Roman" w:hAnsi="Times New Roman"/>
                <w:sz w:val="24"/>
              </w:rPr>
              <w:t>the instrument shall only be included in this row if it</w:t>
            </w:r>
            <w:r w:rsidR="007B2300" w:rsidRPr="001562B3">
              <w:rPr>
                <w:rStyle w:val="FormatvorlageInstructionsTabelleText"/>
                <w:rFonts w:ascii="Times New Roman" w:hAnsi="Times New Roman"/>
                <w:sz w:val="24"/>
              </w:rPr>
              <w:t xml:space="preserve"> meet</w:t>
            </w:r>
            <w:r w:rsidR="00014A29" w:rsidRPr="001562B3">
              <w:rPr>
                <w:rStyle w:val="FormatvorlageInstructionsTabelleText"/>
                <w:rFonts w:ascii="Times New Roman" w:hAnsi="Times New Roman"/>
                <w:sz w:val="24"/>
              </w:rPr>
              <w:t>s</w:t>
            </w:r>
            <w:r w:rsidR="007B2300" w:rsidRPr="001562B3">
              <w:rPr>
                <w:rStyle w:val="FormatvorlageInstructionsTabelleText"/>
                <w:rFonts w:ascii="Times New Roman" w:hAnsi="Times New Roman"/>
                <w:sz w:val="24"/>
              </w:rPr>
              <w:t xml:space="preserve"> the requirements of Article 55 </w:t>
            </w:r>
            <w:r w:rsidR="00E55589" w:rsidRPr="001562B3">
              <w:rPr>
                <w:rStyle w:val="FormatvorlageInstructionsTabelleText"/>
                <w:rFonts w:ascii="Times New Roman" w:hAnsi="Times New Roman"/>
                <w:sz w:val="24"/>
              </w:rPr>
              <w:t xml:space="preserve">of </w:t>
            </w:r>
            <w:r w:rsidR="00E55589" w:rsidRPr="001562B3">
              <w:rPr>
                <w:rStyle w:val="FormatvorlageInstructionsTabelleText"/>
                <w:rFonts w:ascii="Times New Roman" w:hAnsi="Times New Roman"/>
                <w:sz w:val="24"/>
                <w:lang w:eastAsia="de-DE"/>
              </w:rPr>
              <w:t>Directive 2014/59/EU</w:t>
            </w:r>
            <w:r w:rsidR="00014A29" w:rsidRPr="001562B3">
              <w:rPr>
                <w:rStyle w:val="FormatvorlageInstructionsTabelleText"/>
                <w:rFonts w:ascii="Times New Roman" w:hAnsi="Times New Roman"/>
                <w:sz w:val="24"/>
              </w:rPr>
              <w:t>.</w:t>
            </w:r>
          </w:p>
        </w:tc>
      </w:tr>
      <w:tr w:rsidR="000D5110" w:rsidRPr="001562B3" w14:paraId="4FA2C35D" w14:textId="77777777" w:rsidTr="000D5110">
        <w:tc>
          <w:tcPr>
            <w:tcW w:w="1129" w:type="dxa"/>
          </w:tcPr>
          <w:p w14:paraId="260B136D" w14:textId="21AE5F32" w:rsidR="000D5110" w:rsidRPr="001562B3" w:rsidRDefault="000D5110"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w:t>
            </w:r>
            <w:r w:rsidR="00C018FD"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tcPr>
          <w:p w14:paraId="11F50189" w14:textId="77777777" w:rsidR="000D5110" w:rsidRPr="001562B3" w:rsidRDefault="000D511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governed by third country law</w:t>
            </w:r>
          </w:p>
          <w:p w14:paraId="1FA67352" w14:textId="511A7DCE" w:rsidR="000D5110" w:rsidRPr="001562B3" w:rsidRDefault="000D5110">
            <w:pPr>
              <w:pStyle w:val="InstructionsText"/>
              <w:rPr>
                <w:rStyle w:val="InstructionsTabelleberschrift"/>
                <w:rFonts w:ascii="Times New Roman" w:hAnsi="Times New Roman"/>
                <w:b w:val="0"/>
                <w:sz w:val="24"/>
                <w:u w:val="none"/>
                <w:lang w:eastAsia="en-US"/>
              </w:rPr>
            </w:pPr>
            <w:r w:rsidRPr="001562B3">
              <w:rPr>
                <w:rStyle w:val="InstructionsTabelleberschrift"/>
                <w:rFonts w:ascii="Times New Roman" w:hAnsi="Times New Roman"/>
                <w:b w:val="0"/>
                <w:sz w:val="24"/>
                <w:u w:val="none"/>
              </w:rPr>
              <w:t xml:space="preserve">The amount of </w:t>
            </w:r>
            <w:r w:rsidR="00C018FD" w:rsidRPr="001562B3">
              <w:rPr>
                <w:rStyle w:val="InstructionsTabelleberschrift"/>
                <w:rFonts w:ascii="Times New Roman" w:hAnsi="Times New Roman"/>
                <w:b w:val="0"/>
                <w:sz w:val="24"/>
                <w:u w:val="none"/>
              </w:rPr>
              <w:t xml:space="preserve">own funds and eligible liabilities </w:t>
            </w:r>
            <w:r w:rsidRPr="001562B3">
              <w:rPr>
                <w:rStyle w:val="InstructionsTabelleberschrift"/>
                <w:rFonts w:ascii="Times New Roman" w:hAnsi="Times New Roman"/>
                <w:b w:val="0"/>
                <w:sz w:val="24"/>
                <w:u w:val="none"/>
              </w:rPr>
              <w:t>that are governed by the law of a third country</w:t>
            </w:r>
            <w:r w:rsidR="00C9299D" w:rsidRPr="001562B3">
              <w:rPr>
                <w:rStyle w:val="InstructionsTabelleberschrift"/>
                <w:rFonts w:ascii="Times New Roman" w:hAnsi="Times New Roman"/>
                <w:b w:val="0"/>
                <w:sz w:val="24"/>
                <w:u w:val="none"/>
              </w:rPr>
              <w:t xml:space="preserve"> </w:t>
            </w:r>
            <w:r w:rsidR="00F86360" w:rsidRPr="001562B3">
              <w:rPr>
                <w:rStyle w:val="InstructionsTabelleberschrift"/>
                <w:rFonts w:ascii="Times New Roman" w:hAnsi="Times New Roman"/>
                <w:b w:val="0"/>
                <w:sz w:val="24"/>
                <w:u w:val="none"/>
              </w:rPr>
              <w:t>as referred to in</w:t>
            </w:r>
            <w:r w:rsidR="00C9299D" w:rsidRPr="001562B3">
              <w:rPr>
                <w:rStyle w:val="InstructionsTabelleberschrift"/>
                <w:rFonts w:ascii="Times New Roman" w:hAnsi="Times New Roman"/>
                <w:b w:val="0"/>
                <w:sz w:val="24"/>
                <w:u w:val="none"/>
              </w:rPr>
              <w:t xml:space="preserve"> </w:t>
            </w:r>
            <w:r w:rsidRPr="001562B3">
              <w:rPr>
                <w:rStyle w:val="InstructionsTabelleberschrift"/>
                <w:rFonts w:ascii="Times New Roman" w:hAnsi="Times New Roman"/>
                <w:b w:val="0"/>
                <w:sz w:val="24"/>
                <w:u w:val="none"/>
              </w:rPr>
              <w:t xml:space="preserve">Article 55 </w:t>
            </w:r>
            <w:r w:rsidR="00F86360" w:rsidRPr="001562B3">
              <w:rPr>
                <w:rStyle w:val="InstructionsTabelleberschrift"/>
                <w:rFonts w:ascii="Times New Roman" w:hAnsi="Times New Roman"/>
                <w:b w:val="0"/>
                <w:sz w:val="24"/>
                <w:u w:val="none"/>
              </w:rPr>
              <w:t>of Directive 2014/59/EU</w:t>
            </w:r>
            <w:r w:rsidRPr="001562B3">
              <w:rPr>
                <w:rStyle w:val="InstructionsTabelleberschrift"/>
                <w:rFonts w:ascii="Times New Roman" w:hAnsi="Times New Roman"/>
                <w:b w:val="0"/>
                <w:sz w:val="24"/>
                <w:u w:val="none"/>
              </w:rPr>
              <w:t>.</w:t>
            </w:r>
          </w:p>
        </w:tc>
      </w:tr>
      <w:tr w:rsidR="000D5110" w:rsidRPr="001562B3" w14:paraId="5C23CDC9" w14:textId="77777777" w:rsidTr="000D5110">
        <w:tc>
          <w:tcPr>
            <w:tcW w:w="1129" w:type="dxa"/>
          </w:tcPr>
          <w:p w14:paraId="322DB7EE" w14:textId="42E1D608" w:rsidR="000D5110" w:rsidRPr="001562B3" w:rsidRDefault="000D5110"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w:t>
            </w:r>
            <w:r w:rsidR="00C533EB"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0</w:t>
            </w:r>
          </w:p>
        </w:tc>
        <w:tc>
          <w:tcPr>
            <w:tcW w:w="7620" w:type="dxa"/>
          </w:tcPr>
          <w:p w14:paraId="1EF5E394" w14:textId="50AFE1B3" w:rsidR="000D5110" w:rsidRPr="001562B3" w:rsidRDefault="000D511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containing a write down and conversion clause </w:t>
            </w:r>
            <w:r w:rsidR="00F86360" w:rsidRPr="001562B3">
              <w:rPr>
                <w:rStyle w:val="InstructionsTabelleberschrift"/>
                <w:rFonts w:ascii="Times New Roman" w:hAnsi="Times New Roman"/>
                <w:sz w:val="24"/>
              </w:rPr>
              <w:t xml:space="preserve">as referred </w:t>
            </w:r>
            <w:r w:rsidRPr="001562B3">
              <w:rPr>
                <w:rStyle w:val="InstructionsTabelleberschrift"/>
                <w:rFonts w:ascii="Times New Roman" w:hAnsi="Times New Roman"/>
                <w:sz w:val="24"/>
              </w:rPr>
              <w:t xml:space="preserve"> to </w:t>
            </w:r>
            <w:r w:rsidR="00F86360" w:rsidRPr="001562B3">
              <w:rPr>
                <w:rStyle w:val="InstructionsTabelleberschrift"/>
                <w:rFonts w:ascii="Times New Roman" w:hAnsi="Times New Roman"/>
                <w:sz w:val="24"/>
              </w:rPr>
              <w:t xml:space="preserve">in </w:t>
            </w:r>
            <w:r w:rsidRPr="001562B3">
              <w:rPr>
                <w:rStyle w:val="InstructionsTabelleberschrift"/>
                <w:rFonts w:ascii="Times New Roman" w:hAnsi="Times New Roman"/>
                <w:sz w:val="24"/>
              </w:rPr>
              <w:t xml:space="preserve">Article 55 </w:t>
            </w:r>
            <w:r w:rsidR="00B33C46" w:rsidRPr="001562B3">
              <w:rPr>
                <w:rStyle w:val="InstructionsTabelleberschrift"/>
                <w:rFonts w:ascii="Times New Roman" w:hAnsi="Times New Roman"/>
                <w:sz w:val="24"/>
              </w:rPr>
              <w:t>of Directive 2014/59/EU</w:t>
            </w:r>
          </w:p>
          <w:p w14:paraId="5A286E7E" w14:textId="06727C74" w:rsidR="000D5110" w:rsidRPr="001562B3" w:rsidRDefault="000D5110">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b w:val="0"/>
                <w:sz w:val="24"/>
                <w:u w:val="none"/>
              </w:rPr>
              <w:t xml:space="preserve">The amount of </w:t>
            </w:r>
            <w:r w:rsidR="00C018FD" w:rsidRPr="001562B3">
              <w:rPr>
                <w:rStyle w:val="InstructionsTabelleberschrift"/>
                <w:rFonts w:ascii="Times New Roman" w:hAnsi="Times New Roman"/>
                <w:b w:val="0"/>
                <w:sz w:val="24"/>
                <w:u w:val="none"/>
              </w:rPr>
              <w:t xml:space="preserve">own funds and eligible liabilities </w:t>
            </w:r>
            <w:r w:rsidRPr="001562B3">
              <w:rPr>
                <w:rStyle w:val="InstructionsTabelleberschrift"/>
                <w:rFonts w:ascii="Times New Roman" w:hAnsi="Times New Roman"/>
                <w:b w:val="0"/>
                <w:sz w:val="24"/>
                <w:u w:val="none"/>
              </w:rPr>
              <w:t xml:space="preserve">that are governed by the law of a third country and that contain a write down and conversion clause as referred to in Article 55 </w:t>
            </w:r>
            <w:r w:rsidR="00F86360" w:rsidRPr="001562B3">
              <w:rPr>
                <w:rStyle w:val="InstructionsTabelleberschrift"/>
                <w:rFonts w:ascii="Times New Roman" w:hAnsi="Times New Roman"/>
                <w:b w:val="0"/>
                <w:sz w:val="24"/>
                <w:u w:val="none"/>
              </w:rPr>
              <w:t xml:space="preserve">of </w:t>
            </w:r>
            <w:r w:rsidR="00F86360" w:rsidRPr="001562B3">
              <w:rPr>
                <w:rStyle w:val="FormatvorlageInstructionsTabelleText"/>
                <w:rFonts w:ascii="Times New Roman" w:hAnsi="Times New Roman"/>
                <w:sz w:val="24"/>
              </w:rPr>
              <w:t>Directive 2014/59/EU</w:t>
            </w:r>
            <w:r w:rsidR="00F86360" w:rsidRPr="001562B3">
              <w:rPr>
                <w:rStyle w:val="InstructionsTabelleberschrift"/>
                <w:rFonts w:ascii="Times New Roman" w:hAnsi="Times New Roman"/>
                <w:b w:val="0"/>
                <w:sz w:val="24"/>
                <w:u w:val="none"/>
              </w:rPr>
              <w:t>.</w:t>
            </w:r>
          </w:p>
        </w:tc>
      </w:tr>
      <w:tr w:rsidR="00C725CB" w:rsidRPr="001562B3" w14:paraId="520E2C77" w14:textId="77777777" w:rsidTr="00482729">
        <w:tc>
          <w:tcPr>
            <w:tcW w:w="1129" w:type="dxa"/>
          </w:tcPr>
          <w:p w14:paraId="6194C92E" w14:textId="711D1B3F" w:rsidR="00C725CB" w:rsidRPr="001562B3" w:rsidRDefault="00C725CB" w:rsidP="003D419A">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0250</w:t>
            </w:r>
            <w:r w:rsidR="00975018" w:rsidRPr="001562B3">
              <w:rPr>
                <w:rStyle w:val="FormatvorlageInstructionsTabelleText"/>
                <w:rFonts w:ascii="Times New Roman" w:hAnsi="Times New Roman"/>
                <w:sz w:val="24"/>
              </w:rPr>
              <w:t xml:space="preserve"> - 02</w:t>
            </w:r>
            <w:r w:rsidR="003D419A" w:rsidRPr="001562B3">
              <w:rPr>
                <w:rStyle w:val="FormatvorlageInstructionsTabelleText"/>
                <w:rFonts w:ascii="Times New Roman" w:hAnsi="Times New Roman"/>
                <w:sz w:val="24"/>
              </w:rPr>
              <w:t>9</w:t>
            </w:r>
            <w:r w:rsidR="00975018" w:rsidRPr="001562B3">
              <w:rPr>
                <w:rStyle w:val="FormatvorlageInstructionsTabelleText"/>
                <w:rFonts w:ascii="Times New Roman" w:hAnsi="Times New Roman"/>
                <w:sz w:val="24"/>
              </w:rPr>
              <w:t>0</w:t>
            </w:r>
          </w:p>
        </w:tc>
        <w:tc>
          <w:tcPr>
            <w:tcW w:w="7620" w:type="dxa"/>
          </w:tcPr>
          <w:p w14:paraId="1E3DF83A" w14:textId="77777777" w:rsidR="00C725CB" w:rsidRPr="001562B3" w:rsidRDefault="0097501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Other bail-in</w:t>
            </w:r>
            <w:r w:rsidR="00C725CB" w:rsidRPr="001562B3">
              <w:rPr>
                <w:rStyle w:val="InstructionsTabelleberschrift"/>
                <w:rFonts w:ascii="Times New Roman" w:hAnsi="Times New Roman"/>
                <w:sz w:val="24"/>
              </w:rPr>
              <w:t>able liabilities</w:t>
            </w:r>
          </w:p>
          <w:p w14:paraId="23F6E725" w14:textId="661BFC95" w:rsidR="00303127" w:rsidRPr="001562B3" w:rsidRDefault="00093411" w:rsidP="00093411">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lastRenderedPageBreak/>
              <w:t>E</w:t>
            </w:r>
            <w:r w:rsidR="00303127" w:rsidRPr="001562B3">
              <w:rPr>
                <w:rStyle w:val="InstructionsTabelleberschrift"/>
                <w:rFonts w:ascii="Times New Roman" w:hAnsi="Times New Roman"/>
                <w:b w:val="0"/>
                <w:sz w:val="24"/>
                <w:u w:val="none"/>
              </w:rPr>
              <w:t xml:space="preserve">ntities that, at the date of the reporting of that information, hold amounts of own funds and eligible liabilities of at least 150 % of the requirement </w:t>
            </w:r>
            <w:r w:rsidR="009D5DA0" w:rsidRPr="001562B3">
              <w:rPr>
                <w:rStyle w:val="InstructionsTabelleberschrift"/>
                <w:rFonts w:ascii="Times New Roman" w:hAnsi="Times New Roman"/>
                <w:b w:val="0"/>
                <w:sz w:val="24"/>
                <w:u w:val="none"/>
              </w:rPr>
              <w:t>laid down</w:t>
            </w:r>
            <w:r w:rsidR="00303127" w:rsidRPr="001562B3">
              <w:rPr>
                <w:rStyle w:val="InstructionsTabelleberschrift"/>
                <w:rFonts w:ascii="Times New Roman" w:hAnsi="Times New Roman"/>
                <w:b w:val="0"/>
                <w:sz w:val="24"/>
                <w:u w:val="none"/>
              </w:rPr>
              <w:t xml:space="preserve"> in Article 45(1) </w:t>
            </w:r>
            <w:r w:rsidR="009D5DA0" w:rsidRPr="001562B3">
              <w:rPr>
                <w:rStyle w:val="InstructionsTabelleberschrift"/>
                <w:rFonts w:ascii="Times New Roman" w:hAnsi="Times New Roman"/>
                <w:b w:val="0"/>
                <w:sz w:val="24"/>
                <w:u w:val="none"/>
              </w:rPr>
              <w:t xml:space="preserve">of </w:t>
            </w:r>
            <w:r w:rsidR="009D5DA0" w:rsidRPr="001562B3">
              <w:rPr>
                <w:rStyle w:val="FormatvorlageInstructionsTabelleText"/>
                <w:rFonts w:ascii="Times New Roman" w:hAnsi="Times New Roman"/>
                <w:sz w:val="24"/>
              </w:rPr>
              <w:t>Directive 2014/59/EU</w:t>
            </w:r>
            <w:r w:rsidR="008458AF" w:rsidRPr="001562B3">
              <w:rPr>
                <w:rStyle w:val="FormatvorlageInstructionsTabelleText"/>
                <w:rFonts w:ascii="Times New Roman" w:hAnsi="Times New Roman"/>
                <w:sz w:val="24"/>
              </w:rPr>
              <w:t xml:space="preserve"> </w:t>
            </w:r>
            <w:r w:rsidRPr="001562B3">
              <w:rPr>
                <w:rStyle w:val="InstructionsTabelleberschrift"/>
                <w:rFonts w:ascii="Times New Roman" w:hAnsi="Times New Roman"/>
                <w:b w:val="0"/>
                <w:sz w:val="24"/>
                <w:u w:val="none"/>
              </w:rPr>
              <w:t>shall be exempted from reporting the information in rows 0250 to 0290</w:t>
            </w:r>
            <w:r w:rsidR="00303127" w:rsidRPr="001562B3">
              <w:rPr>
                <w:rStyle w:val="InstructionsTabelleberschrift"/>
                <w:rFonts w:ascii="Times New Roman" w:hAnsi="Times New Roman"/>
                <w:b w:val="0"/>
                <w:sz w:val="24"/>
                <w:u w:val="none"/>
              </w:rPr>
              <w:t>.</w:t>
            </w:r>
            <w:r w:rsidR="0028511C" w:rsidRPr="001562B3">
              <w:rPr>
                <w:rStyle w:val="InstructionsTabelleberschrift"/>
                <w:rFonts w:ascii="Times New Roman" w:hAnsi="Times New Roman"/>
                <w:b w:val="0"/>
                <w:sz w:val="24"/>
                <w:u w:val="none"/>
              </w:rPr>
              <w:t xml:space="preserve"> Such entities may opt to report </w:t>
            </w:r>
            <w:r w:rsidRPr="001562B3">
              <w:rPr>
                <w:rStyle w:val="InstructionsTabelleberschrift"/>
                <w:rFonts w:ascii="Times New Roman" w:hAnsi="Times New Roman"/>
                <w:b w:val="0"/>
                <w:sz w:val="24"/>
                <w:u w:val="none"/>
              </w:rPr>
              <w:t>that information</w:t>
            </w:r>
            <w:r w:rsidR="0028511C" w:rsidRPr="001562B3">
              <w:rPr>
                <w:rStyle w:val="InstructionsTabelleberschrift"/>
                <w:rFonts w:ascii="Times New Roman" w:hAnsi="Times New Roman"/>
                <w:b w:val="0"/>
                <w:sz w:val="24"/>
                <w:u w:val="none"/>
              </w:rPr>
              <w:t xml:space="preserve"> in this template on a voluntary basis</w:t>
            </w:r>
            <w:r w:rsidR="00265B83" w:rsidRPr="001562B3">
              <w:rPr>
                <w:rStyle w:val="InstructionsTabelleberschrift"/>
                <w:rFonts w:ascii="Times New Roman" w:hAnsi="Times New Roman"/>
                <w:b w:val="0"/>
                <w:sz w:val="24"/>
                <w:u w:val="none"/>
              </w:rPr>
              <w:t>.</w:t>
            </w:r>
          </w:p>
        </w:tc>
      </w:tr>
      <w:tr w:rsidR="00975018" w:rsidRPr="001562B3" w14:paraId="42F97DBF" w14:textId="77777777" w:rsidTr="00482729">
        <w:tc>
          <w:tcPr>
            <w:tcW w:w="1129" w:type="dxa"/>
          </w:tcPr>
          <w:p w14:paraId="3162371B" w14:textId="2087A44F" w:rsidR="00975018" w:rsidRPr="001562B3" w:rsidRDefault="0097501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0250</w:t>
            </w:r>
          </w:p>
        </w:tc>
        <w:tc>
          <w:tcPr>
            <w:tcW w:w="7620" w:type="dxa"/>
          </w:tcPr>
          <w:p w14:paraId="5DF67F30" w14:textId="4A1B3CDE" w:rsidR="00975018" w:rsidRPr="001562B3" w:rsidRDefault="0097501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Other bail-inable liabilities</w:t>
            </w:r>
          </w:p>
          <w:p w14:paraId="13517B1C" w14:textId="428E834A" w:rsidR="007705FD" w:rsidRPr="001562B3" w:rsidRDefault="00810D53">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The amount of </w:t>
            </w:r>
            <w:r w:rsidR="007705FD" w:rsidRPr="001562B3">
              <w:rPr>
                <w:rStyle w:val="InstructionsTabelleberschrift"/>
                <w:rFonts w:ascii="Times New Roman" w:hAnsi="Times New Roman"/>
                <w:b w:val="0"/>
                <w:sz w:val="24"/>
                <w:u w:val="none"/>
              </w:rPr>
              <w:t xml:space="preserve">bail-inable </w:t>
            </w:r>
            <w:r w:rsidRPr="001562B3">
              <w:rPr>
                <w:rStyle w:val="InstructionsTabelleberschrift"/>
                <w:rFonts w:ascii="Times New Roman" w:hAnsi="Times New Roman"/>
                <w:b w:val="0"/>
                <w:sz w:val="24"/>
                <w:u w:val="none"/>
              </w:rPr>
              <w:t>liabilities</w:t>
            </w:r>
            <w:r w:rsidR="007705FD" w:rsidRPr="001562B3">
              <w:rPr>
                <w:rStyle w:val="InstructionsTabelleberschrift"/>
                <w:rFonts w:ascii="Times New Roman" w:hAnsi="Times New Roman"/>
                <w:b w:val="0"/>
                <w:sz w:val="24"/>
                <w:u w:val="none"/>
              </w:rPr>
              <w:t xml:space="preserve">, as defined in </w:t>
            </w:r>
            <w:r w:rsidR="00307F17" w:rsidRPr="001562B3">
              <w:rPr>
                <w:rStyle w:val="InstructionsTabelleberschrift"/>
                <w:rFonts w:ascii="Times New Roman" w:hAnsi="Times New Roman"/>
                <w:b w:val="0"/>
                <w:sz w:val="24"/>
                <w:u w:val="none"/>
              </w:rPr>
              <w:t xml:space="preserve">point (71) of </w:t>
            </w:r>
            <w:r w:rsidR="007705FD" w:rsidRPr="001562B3">
              <w:rPr>
                <w:rStyle w:val="InstructionsTabelleberschrift"/>
                <w:rFonts w:ascii="Times New Roman" w:hAnsi="Times New Roman"/>
                <w:b w:val="0"/>
                <w:sz w:val="24"/>
                <w:u w:val="none"/>
              </w:rPr>
              <w:t xml:space="preserve">Article 2(1) </w:t>
            </w:r>
            <w:r w:rsidR="009D5DA0" w:rsidRPr="001562B3">
              <w:rPr>
                <w:rStyle w:val="InstructionsTabelleberschrift"/>
                <w:rFonts w:ascii="Times New Roman" w:hAnsi="Times New Roman"/>
                <w:b w:val="0"/>
                <w:sz w:val="24"/>
                <w:u w:val="none"/>
              </w:rPr>
              <w:t xml:space="preserve">of </w:t>
            </w:r>
            <w:r w:rsidR="009D5DA0" w:rsidRPr="001562B3">
              <w:rPr>
                <w:rStyle w:val="FormatvorlageInstructionsTabelleText"/>
                <w:rFonts w:ascii="Times New Roman" w:hAnsi="Times New Roman"/>
                <w:sz w:val="24"/>
              </w:rPr>
              <w:t>Directive 2014/59/EU</w:t>
            </w:r>
            <w:r w:rsidR="007705FD" w:rsidRPr="001562B3">
              <w:rPr>
                <w:rStyle w:val="InstructionsTabelleberschrift"/>
                <w:rFonts w:ascii="Times New Roman" w:hAnsi="Times New Roman"/>
                <w:b w:val="0"/>
                <w:sz w:val="24"/>
                <w:u w:val="none"/>
              </w:rPr>
              <w:t xml:space="preserve">, that are not included </w:t>
            </w:r>
            <w:r w:rsidR="009D5DA0" w:rsidRPr="001562B3">
              <w:rPr>
                <w:rStyle w:val="InstructionsTabelleberschrift"/>
                <w:rFonts w:ascii="Times New Roman" w:hAnsi="Times New Roman"/>
                <w:b w:val="0"/>
                <w:sz w:val="24"/>
                <w:u w:val="none"/>
              </w:rPr>
              <w:t xml:space="preserve">in </w:t>
            </w:r>
            <w:r w:rsidR="00F3521D" w:rsidRPr="001562B3">
              <w:rPr>
                <w:rStyle w:val="InstructionsTabelleberschrift"/>
                <w:rFonts w:ascii="Times New Roman" w:hAnsi="Times New Roman"/>
                <w:b w:val="0"/>
                <w:sz w:val="24"/>
                <w:u w:val="none"/>
              </w:rPr>
              <w:t xml:space="preserve">own funds and eligible liabilities </w:t>
            </w:r>
            <w:r w:rsidR="009D5DA0" w:rsidRPr="001562B3">
              <w:rPr>
                <w:rStyle w:val="InstructionsTabelleberschrift"/>
                <w:rFonts w:ascii="Times New Roman" w:hAnsi="Times New Roman"/>
                <w:b w:val="0"/>
                <w:sz w:val="24"/>
                <w:u w:val="none"/>
              </w:rPr>
              <w:t>in accordance with</w:t>
            </w:r>
            <w:r w:rsidR="00F3521D" w:rsidRPr="001562B3">
              <w:rPr>
                <w:rStyle w:val="InstructionsTabelleberschrift"/>
                <w:rFonts w:ascii="Times New Roman" w:hAnsi="Times New Roman"/>
                <w:b w:val="0"/>
                <w:sz w:val="24"/>
                <w:u w:val="none"/>
              </w:rPr>
              <w:t xml:space="preserve"> Article 45b </w:t>
            </w:r>
            <w:r w:rsidR="009D5DA0" w:rsidRPr="001562B3">
              <w:rPr>
                <w:rStyle w:val="InstructionsTabelleberschrift"/>
                <w:rFonts w:ascii="Times New Roman" w:hAnsi="Times New Roman"/>
                <w:b w:val="0"/>
                <w:sz w:val="24"/>
                <w:u w:val="none"/>
              </w:rPr>
              <w:t>of that Directive</w:t>
            </w:r>
            <w:r w:rsidR="00F3521D" w:rsidRPr="001562B3">
              <w:rPr>
                <w:rStyle w:val="InstructionsTabelleberschrift"/>
                <w:rFonts w:ascii="Times New Roman" w:hAnsi="Times New Roman"/>
                <w:b w:val="0"/>
                <w:sz w:val="24"/>
                <w:u w:val="none"/>
              </w:rPr>
              <w:t>.</w:t>
            </w:r>
          </w:p>
          <w:p w14:paraId="1FE8D9D5" w14:textId="37E5610F" w:rsidR="000B5B4D" w:rsidRPr="001562B3" w:rsidRDefault="000B5B4D">
            <w:pPr>
              <w:pStyle w:val="InstructionsText"/>
              <w:rPr>
                <w:rStyle w:val="InstructionsTabelleberschrift"/>
                <w:rFonts w:ascii="Times New Roman" w:hAnsi="Times New Roman"/>
                <w:b w:val="0"/>
                <w:sz w:val="24"/>
                <w:u w:val="none"/>
                <w:lang w:eastAsia="en-US"/>
              </w:rPr>
            </w:pPr>
            <w:r w:rsidRPr="001562B3">
              <w:rPr>
                <w:rStyle w:val="InstructionsTabelleberschrift"/>
                <w:rFonts w:ascii="Times New Roman" w:hAnsi="Times New Roman"/>
                <w:b w:val="0"/>
                <w:sz w:val="24"/>
                <w:u w:val="none"/>
              </w:rPr>
              <w:t>Th</w:t>
            </w:r>
            <w:r w:rsidR="009D5DA0" w:rsidRPr="001562B3">
              <w:rPr>
                <w:rStyle w:val="InstructionsTabelleberschrift"/>
                <w:rFonts w:ascii="Times New Roman" w:hAnsi="Times New Roman"/>
                <w:b w:val="0"/>
                <w:sz w:val="24"/>
                <w:u w:val="none"/>
              </w:rPr>
              <w:t>at amount</w:t>
            </w:r>
            <w:r w:rsidRPr="001562B3">
              <w:rPr>
                <w:rStyle w:val="InstructionsTabelleberschrift"/>
                <w:rFonts w:ascii="Times New Roman" w:hAnsi="Times New Roman"/>
                <w:b w:val="0"/>
                <w:sz w:val="24"/>
                <w:u w:val="none"/>
              </w:rPr>
              <w:t xml:space="preserve"> corresponds to the difference between the liabilities not excluded from bail-in as reported in {r0300, c0</w:t>
            </w:r>
            <w:r w:rsidR="008751EA" w:rsidRPr="001562B3">
              <w:rPr>
                <w:rStyle w:val="InstructionsTabelleberschrift"/>
                <w:rFonts w:ascii="Times New Roman" w:hAnsi="Times New Roman"/>
                <w:b w:val="0"/>
                <w:sz w:val="24"/>
                <w:u w:val="none"/>
              </w:rPr>
              <w:t>0</w:t>
            </w:r>
            <w:r w:rsidRPr="001562B3">
              <w:rPr>
                <w:rStyle w:val="InstructionsTabelleberschrift"/>
                <w:rFonts w:ascii="Times New Roman" w:hAnsi="Times New Roman"/>
                <w:b w:val="0"/>
                <w:sz w:val="24"/>
                <w:u w:val="none"/>
              </w:rPr>
              <w:t xml:space="preserve">90} of template Z 02.00 </w:t>
            </w:r>
            <w:r w:rsidR="009D5DA0" w:rsidRPr="001562B3">
              <w:rPr>
                <w:rStyle w:val="InstructionsTabelleberschrift"/>
                <w:rFonts w:ascii="Times New Roman" w:hAnsi="Times New Roman"/>
                <w:b w:val="0"/>
                <w:sz w:val="24"/>
                <w:u w:val="none"/>
              </w:rPr>
              <w:t>laid down in</w:t>
            </w:r>
            <w:r w:rsidRPr="001562B3">
              <w:rPr>
                <w:rStyle w:val="InstructionsTabelleberschrift"/>
                <w:rFonts w:ascii="Times New Roman" w:hAnsi="Times New Roman"/>
                <w:b w:val="0"/>
                <w:sz w:val="24"/>
                <w:u w:val="none"/>
              </w:rPr>
              <w:t xml:space="preserve"> Annex I to </w:t>
            </w:r>
            <w:r w:rsidR="009D5DA0" w:rsidRPr="001562B3">
              <w:rPr>
                <w:rStyle w:val="InstructionsTabelleberschrift"/>
                <w:rFonts w:ascii="Times New Roman" w:hAnsi="Times New Roman"/>
                <w:b w:val="0"/>
                <w:sz w:val="24"/>
                <w:u w:val="none"/>
              </w:rPr>
              <w:t xml:space="preserve">Commission Implementing </w:t>
            </w:r>
            <w:r w:rsidRPr="001562B3">
              <w:rPr>
                <w:rStyle w:val="InstructionsTabelleberschrift"/>
                <w:rFonts w:ascii="Times New Roman" w:hAnsi="Times New Roman"/>
                <w:b w:val="0"/>
                <w:sz w:val="24"/>
                <w:u w:val="none"/>
              </w:rPr>
              <w:t>Regulation (EU) 2018/1624</w:t>
            </w:r>
            <w:r w:rsidR="009D5DA0" w:rsidRPr="001562B3">
              <w:rPr>
                <w:rStyle w:val="FootnoteReference"/>
                <w:bCs/>
              </w:rPr>
              <w:footnoteReference w:id="4"/>
            </w:r>
            <w:r w:rsidRPr="001562B3">
              <w:rPr>
                <w:rStyle w:val="InstructionsTabelleberschrift"/>
                <w:rFonts w:ascii="Times New Roman" w:hAnsi="Times New Roman"/>
                <w:b w:val="0"/>
                <w:sz w:val="24"/>
                <w:u w:val="none"/>
              </w:rPr>
              <w:t xml:space="preserve"> and the eligible liabilities as reported in {r0</w:t>
            </w:r>
            <w:r w:rsidR="00D9516E" w:rsidRPr="001562B3">
              <w:rPr>
                <w:rStyle w:val="InstructionsTabelleberschrift"/>
                <w:rFonts w:ascii="Times New Roman" w:hAnsi="Times New Roman"/>
                <w:b w:val="0"/>
                <w:sz w:val="24"/>
                <w:u w:val="none"/>
              </w:rPr>
              <w:t>20</w:t>
            </w:r>
            <w:r w:rsidRPr="001562B3">
              <w:rPr>
                <w:rStyle w:val="InstructionsTabelleberschrift"/>
                <w:rFonts w:ascii="Times New Roman" w:hAnsi="Times New Roman"/>
                <w:b w:val="0"/>
                <w:sz w:val="24"/>
                <w:u w:val="none"/>
              </w:rPr>
              <w:t xml:space="preserve">0} of </w:t>
            </w:r>
            <w:r w:rsidR="00D9516E" w:rsidRPr="001562B3">
              <w:rPr>
                <w:rStyle w:val="InstructionsTabelleberschrift"/>
                <w:rFonts w:ascii="Times New Roman" w:hAnsi="Times New Roman"/>
                <w:b w:val="0"/>
                <w:sz w:val="24"/>
                <w:u w:val="none"/>
              </w:rPr>
              <w:t xml:space="preserve">this </w:t>
            </w:r>
            <w:r w:rsidRPr="001562B3">
              <w:rPr>
                <w:rStyle w:val="InstructionsTabelleberschrift"/>
                <w:rFonts w:ascii="Times New Roman" w:hAnsi="Times New Roman"/>
                <w:b w:val="0"/>
                <w:sz w:val="24"/>
                <w:u w:val="none"/>
              </w:rPr>
              <w:t>template.</w:t>
            </w:r>
          </w:p>
        </w:tc>
      </w:tr>
      <w:tr w:rsidR="00975018" w:rsidRPr="001562B3" w14:paraId="5A270F57" w14:textId="77777777" w:rsidTr="00482729">
        <w:tc>
          <w:tcPr>
            <w:tcW w:w="1129" w:type="dxa"/>
          </w:tcPr>
          <w:p w14:paraId="4AC52576" w14:textId="6D98DAFD" w:rsidR="00975018" w:rsidRPr="001562B3" w:rsidRDefault="0097501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0260</w:t>
            </w:r>
          </w:p>
        </w:tc>
        <w:tc>
          <w:tcPr>
            <w:tcW w:w="7620" w:type="dxa"/>
          </w:tcPr>
          <w:p w14:paraId="7CF081FC" w14:textId="77777777" w:rsidR="00975018" w:rsidRPr="001562B3" w:rsidRDefault="000B5B4D"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governed by third country law</w:t>
            </w:r>
          </w:p>
          <w:p w14:paraId="083AFDCB" w14:textId="463FBABB" w:rsidR="000B5B4D" w:rsidRPr="001562B3" w:rsidRDefault="000B5B4D">
            <w:pPr>
              <w:pStyle w:val="InstructionsText"/>
              <w:rPr>
                <w:rStyle w:val="InstructionsTabelleberschrift"/>
                <w:rFonts w:ascii="Times New Roman" w:hAnsi="Times New Roman"/>
                <w:b w:val="0"/>
                <w:sz w:val="24"/>
                <w:u w:val="none"/>
                <w:lang w:eastAsia="en-US"/>
              </w:rPr>
            </w:pPr>
            <w:r w:rsidRPr="001562B3">
              <w:rPr>
                <w:rStyle w:val="InstructionsTabelleberschrift"/>
                <w:rFonts w:ascii="Times New Roman" w:hAnsi="Times New Roman"/>
                <w:b w:val="0"/>
                <w:sz w:val="24"/>
                <w:u w:val="none"/>
              </w:rPr>
              <w:t xml:space="preserve">The amount of other bail-inable liabilities that are governed by </w:t>
            </w:r>
            <w:r w:rsidR="00F3521D" w:rsidRPr="001562B3">
              <w:rPr>
                <w:rStyle w:val="InstructionsTabelleberschrift"/>
                <w:rFonts w:ascii="Times New Roman" w:hAnsi="Times New Roman"/>
                <w:b w:val="0"/>
                <w:sz w:val="24"/>
                <w:u w:val="none"/>
              </w:rPr>
              <w:t>the law of a third country</w:t>
            </w:r>
            <w:r w:rsidR="00155C3C" w:rsidRPr="001562B3">
              <w:rPr>
                <w:rStyle w:val="InstructionsTabelleberschrift"/>
                <w:rFonts w:ascii="Times New Roman" w:hAnsi="Times New Roman"/>
                <w:b w:val="0"/>
                <w:sz w:val="24"/>
                <w:u w:val="none"/>
              </w:rPr>
              <w:t xml:space="preserve"> </w:t>
            </w:r>
            <w:r w:rsidR="00A70DFB" w:rsidRPr="001562B3">
              <w:rPr>
                <w:rStyle w:val="InstructionsTabelleberschrift"/>
                <w:rFonts w:ascii="Times New Roman" w:hAnsi="Times New Roman"/>
                <w:b w:val="0"/>
                <w:sz w:val="24"/>
                <w:u w:val="none"/>
              </w:rPr>
              <w:t>as referred to in</w:t>
            </w:r>
            <w:r w:rsidR="00155C3C" w:rsidRPr="001562B3">
              <w:rPr>
                <w:rStyle w:val="InstructionsTabelleberschrift"/>
                <w:rFonts w:ascii="Times New Roman" w:hAnsi="Times New Roman"/>
                <w:b w:val="0"/>
                <w:sz w:val="24"/>
                <w:u w:val="none"/>
              </w:rPr>
              <w:t xml:space="preserve"> </w:t>
            </w:r>
            <w:r w:rsidR="00F3521D" w:rsidRPr="001562B3">
              <w:rPr>
                <w:rStyle w:val="InstructionsTabelleberschrift"/>
                <w:rFonts w:ascii="Times New Roman" w:hAnsi="Times New Roman"/>
                <w:b w:val="0"/>
                <w:sz w:val="24"/>
                <w:u w:val="none"/>
              </w:rPr>
              <w:t xml:space="preserve">Article 55 </w:t>
            </w:r>
            <w:r w:rsidR="00B33C46" w:rsidRPr="001562B3">
              <w:rPr>
                <w:rStyle w:val="InstructionsTabelleberschrift"/>
                <w:rFonts w:ascii="Times New Roman" w:hAnsi="Times New Roman"/>
                <w:b w:val="0"/>
                <w:sz w:val="24"/>
                <w:u w:val="none"/>
              </w:rPr>
              <w:t xml:space="preserve">of </w:t>
            </w:r>
            <w:r w:rsidR="00B33C46" w:rsidRPr="001562B3">
              <w:t>Directive 2014/59/EU</w:t>
            </w:r>
            <w:r w:rsidR="00F3521D" w:rsidRPr="001562B3">
              <w:rPr>
                <w:rStyle w:val="InstructionsTabelleberschrift"/>
                <w:rFonts w:ascii="Times New Roman" w:hAnsi="Times New Roman"/>
                <w:b w:val="0"/>
                <w:sz w:val="24"/>
                <w:u w:val="none"/>
              </w:rPr>
              <w:t>.</w:t>
            </w:r>
          </w:p>
        </w:tc>
      </w:tr>
      <w:tr w:rsidR="00975018" w:rsidRPr="001562B3" w14:paraId="5EAA89AD" w14:textId="77777777" w:rsidTr="00482729">
        <w:tc>
          <w:tcPr>
            <w:tcW w:w="1129" w:type="dxa"/>
          </w:tcPr>
          <w:p w14:paraId="509F7041" w14:textId="18983768" w:rsidR="00975018" w:rsidRPr="001562B3" w:rsidRDefault="0097501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0270</w:t>
            </w:r>
          </w:p>
        </w:tc>
        <w:tc>
          <w:tcPr>
            <w:tcW w:w="7620" w:type="dxa"/>
          </w:tcPr>
          <w:p w14:paraId="6C3DE5F1" w14:textId="03089B29" w:rsidR="00975018" w:rsidRPr="001562B3" w:rsidRDefault="000B5B4D"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containing a write down and conversion clause </w:t>
            </w:r>
            <w:r w:rsidR="00A70DFB" w:rsidRPr="001562B3">
              <w:rPr>
                <w:rStyle w:val="InstructionsTabelleberschrift"/>
                <w:rFonts w:ascii="Times New Roman" w:hAnsi="Times New Roman"/>
                <w:sz w:val="24"/>
              </w:rPr>
              <w:t>as referred to in</w:t>
            </w:r>
            <w:r w:rsidRPr="001562B3">
              <w:rPr>
                <w:rStyle w:val="InstructionsTabelleberschrift"/>
                <w:rFonts w:ascii="Times New Roman" w:hAnsi="Times New Roman"/>
                <w:sz w:val="24"/>
              </w:rPr>
              <w:t xml:space="preserve"> Article 55 </w:t>
            </w:r>
            <w:r w:rsidR="00A70DFB" w:rsidRPr="001562B3">
              <w:rPr>
                <w:rStyle w:val="InstructionsTabelleberschrift"/>
                <w:rFonts w:ascii="Times New Roman" w:hAnsi="Times New Roman"/>
                <w:sz w:val="24"/>
              </w:rPr>
              <w:t>of Directive 2014/59/EU</w:t>
            </w:r>
          </w:p>
          <w:p w14:paraId="0FA24129" w14:textId="7C351D54" w:rsidR="000B5B4D" w:rsidRPr="001562B3" w:rsidRDefault="002A4F17">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b w:val="0"/>
                <w:sz w:val="24"/>
                <w:u w:val="none"/>
              </w:rPr>
              <w:t xml:space="preserve">The amount of other bail-inable liabilities that are governed by </w:t>
            </w:r>
            <w:r w:rsidR="0061204C" w:rsidRPr="001562B3">
              <w:rPr>
                <w:rStyle w:val="InstructionsTabelleberschrift"/>
                <w:rFonts w:ascii="Times New Roman" w:hAnsi="Times New Roman"/>
                <w:b w:val="0"/>
                <w:sz w:val="24"/>
                <w:u w:val="none"/>
              </w:rPr>
              <w:t xml:space="preserve">the law of a third country </w:t>
            </w:r>
            <w:r w:rsidRPr="001562B3">
              <w:rPr>
                <w:rStyle w:val="InstructionsTabelleberschrift"/>
                <w:rFonts w:ascii="Times New Roman" w:hAnsi="Times New Roman"/>
                <w:b w:val="0"/>
                <w:sz w:val="24"/>
                <w:u w:val="none"/>
              </w:rPr>
              <w:t>and that contain a write down and conversion clause as referred to in Article 55</w:t>
            </w:r>
            <w:r w:rsidR="00A70DFB" w:rsidRPr="001562B3">
              <w:rPr>
                <w:rStyle w:val="InstructionsTabelleberschrift"/>
                <w:rFonts w:ascii="Times New Roman" w:hAnsi="Times New Roman"/>
                <w:b w:val="0"/>
                <w:sz w:val="24"/>
                <w:u w:val="none"/>
              </w:rPr>
              <w:t xml:space="preserve"> of Directive 2014/59/EU.</w:t>
            </w:r>
          </w:p>
        </w:tc>
      </w:tr>
      <w:tr w:rsidR="00EC3749" w:rsidRPr="001562B3" w14:paraId="73B1588C" w14:textId="77777777" w:rsidTr="00482729">
        <w:tc>
          <w:tcPr>
            <w:tcW w:w="1129" w:type="dxa"/>
          </w:tcPr>
          <w:p w14:paraId="7ADCB31C" w14:textId="569C6F29" w:rsidR="00EC3749" w:rsidRPr="001562B3" w:rsidRDefault="00EC374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0280 – 0290</w:t>
            </w:r>
          </w:p>
        </w:tc>
        <w:tc>
          <w:tcPr>
            <w:tcW w:w="7620" w:type="dxa"/>
          </w:tcPr>
          <w:p w14:paraId="7FD04343" w14:textId="76053762" w:rsidR="00EC3749" w:rsidRPr="001562B3" w:rsidRDefault="00EC3749"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Breakdown of other bail-inable liabilities by residual maturity</w:t>
            </w:r>
          </w:p>
        </w:tc>
      </w:tr>
      <w:tr w:rsidR="00EC3749" w:rsidRPr="001562B3" w14:paraId="67A079B9" w14:textId="77777777" w:rsidTr="00482729">
        <w:tc>
          <w:tcPr>
            <w:tcW w:w="1129" w:type="dxa"/>
          </w:tcPr>
          <w:p w14:paraId="5EEE6C29" w14:textId="2CD6E6B3" w:rsidR="00EC3749" w:rsidRPr="001562B3" w:rsidRDefault="00EC374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0280</w:t>
            </w:r>
          </w:p>
        </w:tc>
        <w:tc>
          <w:tcPr>
            <w:tcW w:w="7620" w:type="dxa"/>
          </w:tcPr>
          <w:p w14:paraId="7BB8479E" w14:textId="1277B407" w:rsidR="00EC3749" w:rsidRPr="001562B3" w:rsidRDefault="00EC3749" w:rsidP="00E05895">
            <w:pPr>
              <w:pStyle w:val="InstructionsText"/>
              <w:rPr>
                <w:rStyle w:val="InstructionsTabelleberschrift"/>
                <w:rFonts w:ascii="Times New Roman" w:hAnsi="Times New Roman"/>
                <w:b w:val="0"/>
                <w:sz w:val="24"/>
              </w:rPr>
            </w:pPr>
            <w:r w:rsidRPr="001562B3">
              <w:t>Residual maturity of &lt; 1 year</w:t>
            </w:r>
          </w:p>
        </w:tc>
      </w:tr>
      <w:tr w:rsidR="00EC3749" w:rsidRPr="001562B3" w14:paraId="525A1AA1" w14:textId="77777777" w:rsidTr="00482729">
        <w:tc>
          <w:tcPr>
            <w:tcW w:w="1129" w:type="dxa"/>
          </w:tcPr>
          <w:p w14:paraId="4FAE69C0" w14:textId="1CECBCB2" w:rsidR="00EC3749" w:rsidRPr="001562B3" w:rsidRDefault="00EC374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0285</w:t>
            </w:r>
          </w:p>
        </w:tc>
        <w:tc>
          <w:tcPr>
            <w:tcW w:w="7620" w:type="dxa"/>
          </w:tcPr>
          <w:p w14:paraId="711BCB7B" w14:textId="7195CB9C" w:rsidR="00EC3749" w:rsidRPr="001562B3" w:rsidRDefault="00EC3749" w:rsidP="00E05895">
            <w:pPr>
              <w:pStyle w:val="InstructionsText"/>
              <w:rPr>
                <w:rStyle w:val="InstructionsTabelleberschrift"/>
                <w:rFonts w:ascii="Times New Roman" w:hAnsi="Times New Roman"/>
                <w:b w:val="0"/>
                <w:sz w:val="24"/>
              </w:rPr>
            </w:pPr>
            <w:r w:rsidRPr="001562B3">
              <w:t>Residual maturity of &gt;= 1 year and &lt; 2 years</w:t>
            </w:r>
          </w:p>
        </w:tc>
      </w:tr>
      <w:tr w:rsidR="00EC3749" w:rsidRPr="001562B3" w14:paraId="2321B833" w14:textId="77777777" w:rsidTr="00482729">
        <w:tc>
          <w:tcPr>
            <w:tcW w:w="1129" w:type="dxa"/>
          </w:tcPr>
          <w:p w14:paraId="23750752" w14:textId="4414C85A" w:rsidR="00EC3749" w:rsidRPr="001562B3" w:rsidRDefault="00EC374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0290</w:t>
            </w:r>
          </w:p>
        </w:tc>
        <w:tc>
          <w:tcPr>
            <w:tcW w:w="7620" w:type="dxa"/>
          </w:tcPr>
          <w:p w14:paraId="5BA6A556" w14:textId="4CC49FD3" w:rsidR="00EC3749" w:rsidRPr="001562B3" w:rsidRDefault="00EC3749" w:rsidP="00E05895">
            <w:pPr>
              <w:pStyle w:val="InstructionsText"/>
              <w:rPr>
                <w:rStyle w:val="InstructionsTabelleberschrift"/>
                <w:rFonts w:ascii="Times New Roman" w:hAnsi="Times New Roman"/>
                <w:b w:val="0"/>
                <w:sz w:val="24"/>
              </w:rPr>
            </w:pPr>
            <w:r w:rsidRPr="001562B3">
              <w:t>Residual maturity of &gt;= 2 years</w:t>
            </w:r>
          </w:p>
        </w:tc>
      </w:tr>
      <w:tr w:rsidR="00CC7A43" w:rsidRPr="001562B3" w14:paraId="5FBFB25C" w14:textId="77777777" w:rsidTr="00482729">
        <w:tc>
          <w:tcPr>
            <w:tcW w:w="1129" w:type="dxa"/>
          </w:tcPr>
          <w:p w14:paraId="0BAE42F4" w14:textId="274A17ED" w:rsidR="00CC7A43" w:rsidRPr="001562B3" w:rsidRDefault="00CC7A43"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0300 - 0360</w:t>
            </w:r>
          </w:p>
        </w:tc>
        <w:tc>
          <w:tcPr>
            <w:tcW w:w="7620" w:type="dxa"/>
          </w:tcPr>
          <w:p w14:paraId="374B5319" w14:textId="4410DC5B" w:rsidR="00CC7A43" w:rsidRPr="001562B3" w:rsidRDefault="00CC7A43"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Ratios and subordination exemptions</w:t>
            </w:r>
          </w:p>
        </w:tc>
      </w:tr>
      <w:tr w:rsidR="00A0358A" w:rsidRPr="001562B3" w14:paraId="05DC925B" w14:textId="77777777" w:rsidTr="00482729">
        <w:tc>
          <w:tcPr>
            <w:tcW w:w="1129" w:type="dxa"/>
          </w:tcPr>
          <w:p w14:paraId="3A493DAB" w14:textId="387626B0" w:rsidR="00A0358A" w:rsidRPr="001562B3" w:rsidRDefault="00A0358A"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0300</w:t>
            </w:r>
          </w:p>
        </w:tc>
        <w:tc>
          <w:tcPr>
            <w:tcW w:w="7620" w:type="dxa"/>
          </w:tcPr>
          <w:p w14:paraId="63757942" w14:textId="1ACF8B54" w:rsidR="00A0358A" w:rsidRPr="001562B3" w:rsidRDefault="00A0358A"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Own funds and eligible liabilities as a percentage of the </w:t>
            </w:r>
            <w:r w:rsidR="009D2B1C">
              <w:rPr>
                <w:rStyle w:val="InstructionsTabelleberschrift"/>
                <w:rFonts w:ascii="Times New Roman" w:hAnsi="Times New Roman"/>
                <w:sz w:val="24"/>
              </w:rPr>
              <w:t>TREA</w:t>
            </w:r>
          </w:p>
          <w:p w14:paraId="26CF9D91" w14:textId="5756A504" w:rsidR="00A0358A" w:rsidRPr="001562B3" w:rsidRDefault="00A0358A">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sz w:val="24"/>
                <w:u w:val="none"/>
              </w:rPr>
              <w:t xml:space="preserve">For the purpose of this row, the amount of own funds and eligible liabilities that is reported in row 0200 shall be expressed as a percentage of the total risk exposure amount calculated in accordance with Article 92(3) </w:t>
            </w:r>
            <w:r w:rsidR="00A70DFB" w:rsidRPr="001562B3">
              <w:rPr>
                <w:rStyle w:val="InstructionsTabelleberschrift"/>
                <w:rFonts w:ascii="Times New Roman" w:hAnsi="Times New Roman"/>
                <w:b w:val="0"/>
                <w:sz w:val="24"/>
                <w:u w:val="none"/>
              </w:rPr>
              <w:t>of Regulation (EU) No 575/2013</w:t>
            </w:r>
            <w:r w:rsidRPr="001562B3">
              <w:rPr>
                <w:rStyle w:val="InstructionsTabelleberschrift"/>
                <w:rFonts w:ascii="Times New Roman" w:hAnsi="Times New Roman"/>
                <w:b w:val="0"/>
                <w:sz w:val="24"/>
                <w:u w:val="none"/>
              </w:rPr>
              <w:t>.</w:t>
            </w:r>
          </w:p>
        </w:tc>
      </w:tr>
      <w:tr w:rsidR="00A0358A" w:rsidRPr="001562B3" w14:paraId="3B43F132" w14:textId="77777777" w:rsidTr="00482729">
        <w:tc>
          <w:tcPr>
            <w:tcW w:w="1129" w:type="dxa"/>
          </w:tcPr>
          <w:p w14:paraId="6C4C71A0" w14:textId="30311B7C" w:rsidR="00A0358A" w:rsidRPr="001562B3" w:rsidRDefault="002B6980"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0310</w:t>
            </w:r>
          </w:p>
        </w:tc>
        <w:tc>
          <w:tcPr>
            <w:tcW w:w="7620" w:type="dxa"/>
          </w:tcPr>
          <w:p w14:paraId="19FBD071" w14:textId="77777777" w:rsidR="00A0358A" w:rsidRPr="001562B3" w:rsidRDefault="002B6980"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own funds and subordinated liabilities</w:t>
            </w:r>
          </w:p>
          <w:p w14:paraId="4BB00887" w14:textId="32057959" w:rsidR="002B6980" w:rsidRPr="001562B3" w:rsidRDefault="002B6980" w:rsidP="00E05895">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sz w:val="24"/>
                <w:u w:val="none"/>
              </w:rPr>
              <w:t xml:space="preserve">For the purpose of this row, the amount of own funds and subordinated eligible liabilities that is reported in row 0210 shall be expressed as a percentage of the total risk exposure amount calculated in accordance with Article 92(3) </w:t>
            </w:r>
            <w:r w:rsidR="006A357B" w:rsidRPr="001562B3">
              <w:rPr>
                <w:rStyle w:val="FormatvorlageInstructionsTabelleText"/>
                <w:rFonts w:ascii="Times New Roman" w:hAnsi="Times New Roman"/>
                <w:sz w:val="24"/>
              </w:rPr>
              <w:t>of Regulation (EU) No 575/2013</w:t>
            </w:r>
            <w:r w:rsidRPr="001562B3">
              <w:rPr>
                <w:rStyle w:val="InstructionsTabelleberschrift"/>
                <w:rFonts w:ascii="Times New Roman" w:hAnsi="Times New Roman"/>
                <w:b w:val="0"/>
                <w:sz w:val="24"/>
                <w:u w:val="none"/>
              </w:rPr>
              <w:t>.</w:t>
            </w:r>
          </w:p>
        </w:tc>
      </w:tr>
      <w:tr w:rsidR="00A0358A" w:rsidRPr="001562B3" w14:paraId="7D1F0DD3" w14:textId="77777777" w:rsidTr="00482729">
        <w:tc>
          <w:tcPr>
            <w:tcW w:w="1129" w:type="dxa"/>
          </w:tcPr>
          <w:p w14:paraId="5FAADABD" w14:textId="4C7009D5" w:rsidR="00A0358A" w:rsidRPr="001562B3" w:rsidRDefault="00A0358A"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0320</w:t>
            </w:r>
          </w:p>
        </w:tc>
        <w:tc>
          <w:tcPr>
            <w:tcW w:w="7620" w:type="dxa"/>
          </w:tcPr>
          <w:p w14:paraId="3AA50C32" w14:textId="102EF905" w:rsidR="002B6980" w:rsidRPr="001562B3" w:rsidRDefault="002B6980"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Own funds and eligible liabilities as a percentage of the </w:t>
            </w:r>
            <w:r w:rsidR="009D2B1C">
              <w:rPr>
                <w:rStyle w:val="InstructionsTabelleberschrift"/>
                <w:rFonts w:ascii="Times New Roman" w:hAnsi="Times New Roman"/>
                <w:sz w:val="24"/>
              </w:rPr>
              <w:t>TEM</w:t>
            </w:r>
          </w:p>
          <w:p w14:paraId="389667F6" w14:textId="1F81C3B1" w:rsidR="00A0358A" w:rsidRPr="001562B3" w:rsidRDefault="00A0358A" w:rsidP="008E501F">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sz w:val="24"/>
                <w:u w:val="none"/>
              </w:rPr>
              <w:t xml:space="preserve">For the purpose of this row, the amount of own funds and eligible liabilities  that is reported in row 0200 shall be expressed as a percentage of the </w:t>
            </w:r>
            <w:r w:rsidR="002B6980" w:rsidRPr="001562B3">
              <w:rPr>
                <w:rStyle w:val="InstructionsTabelleberschrift"/>
                <w:rFonts w:ascii="Times New Roman" w:hAnsi="Times New Roman"/>
                <w:b w:val="0"/>
                <w:sz w:val="24"/>
                <w:u w:val="none"/>
              </w:rPr>
              <w:t xml:space="preserve">total exposure measure calculated in accordance with Articles 429(4) and 429a </w:t>
            </w:r>
            <w:r w:rsidR="006A357B" w:rsidRPr="001562B3">
              <w:rPr>
                <w:rStyle w:val="FormatvorlageInstructionsTabelleText"/>
                <w:rFonts w:ascii="Times New Roman" w:hAnsi="Times New Roman"/>
                <w:sz w:val="24"/>
              </w:rPr>
              <w:t>of Regulation (EU) No 575/2013</w:t>
            </w:r>
            <w:r w:rsidRPr="001562B3">
              <w:rPr>
                <w:rStyle w:val="InstructionsTabelleberschrift"/>
                <w:rFonts w:ascii="Times New Roman" w:hAnsi="Times New Roman"/>
                <w:b w:val="0"/>
                <w:sz w:val="24"/>
                <w:u w:val="none"/>
              </w:rPr>
              <w:t>.</w:t>
            </w:r>
          </w:p>
        </w:tc>
      </w:tr>
      <w:tr w:rsidR="002B6980" w:rsidRPr="001562B3" w14:paraId="2603BE6A" w14:textId="77777777" w:rsidTr="00C90338">
        <w:tc>
          <w:tcPr>
            <w:tcW w:w="1129" w:type="dxa"/>
          </w:tcPr>
          <w:p w14:paraId="70C4E830" w14:textId="2D563F10" w:rsidR="002B6980" w:rsidRPr="001562B3" w:rsidRDefault="002B6980"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0330</w:t>
            </w:r>
          </w:p>
        </w:tc>
        <w:tc>
          <w:tcPr>
            <w:tcW w:w="7620" w:type="dxa"/>
          </w:tcPr>
          <w:p w14:paraId="4D0C5A18" w14:textId="77777777" w:rsidR="002B6980" w:rsidRPr="001562B3" w:rsidRDefault="002B698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own funds and subordinated liabilities</w:t>
            </w:r>
          </w:p>
          <w:p w14:paraId="6DE930D8" w14:textId="503D3305" w:rsidR="002B6980" w:rsidRPr="001562B3" w:rsidRDefault="002B6980" w:rsidP="008E501F">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sz w:val="24"/>
                <w:u w:val="none"/>
              </w:rPr>
              <w:t xml:space="preserve">For the purpose of this row, the amount of own funds and subordinated eligible liabilities that is reported in row 0210 shall be expressed as a percentage of the total exposure measure calculated in accordance with Articles 429(4) and 429a </w:t>
            </w:r>
            <w:r w:rsidR="001C369A" w:rsidRPr="001562B3">
              <w:rPr>
                <w:rStyle w:val="FormatvorlageInstructionsTabelleText"/>
                <w:rFonts w:ascii="Times New Roman" w:hAnsi="Times New Roman"/>
                <w:sz w:val="24"/>
              </w:rPr>
              <w:t>of Regulation (EU) No 575/2013</w:t>
            </w:r>
            <w:r w:rsidRPr="001562B3">
              <w:rPr>
                <w:rStyle w:val="InstructionsTabelleberschrift"/>
                <w:rFonts w:ascii="Times New Roman" w:hAnsi="Times New Roman"/>
                <w:b w:val="0"/>
                <w:sz w:val="24"/>
                <w:u w:val="none"/>
              </w:rPr>
              <w:t>.</w:t>
            </w:r>
          </w:p>
        </w:tc>
      </w:tr>
      <w:tr w:rsidR="004C2312" w:rsidRPr="001562B3" w14:paraId="318821F0" w14:textId="77777777" w:rsidTr="00341BC3">
        <w:tc>
          <w:tcPr>
            <w:tcW w:w="1129" w:type="dxa"/>
          </w:tcPr>
          <w:p w14:paraId="62E1CCA0" w14:textId="4A8C2BD4" w:rsidR="004C2312" w:rsidRPr="001562B3" w:rsidRDefault="004C2312"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0340</w:t>
            </w:r>
          </w:p>
        </w:tc>
        <w:tc>
          <w:tcPr>
            <w:tcW w:w="7620" w:type="dxa"/>
          </w:tcPr>
          <w:p w14:paraId="0B740E04" w14:textId="56DB18DD" w:rsidR="004C2312" w:rsidRPr="001562B3" w:rsidRDefault="004C2312"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Does the subordination exemption </w:t>
            </w:r>
            <w:r w:rsidR="00441D4D" w:rsidRPr="001562B3">
              <w:rPr>
                <w:rStyle w:val="InstructionsTabelleberschrift"/>
                <w:rFonts w:ascii="Times New Roman" w:hAnsi="Times New Roman"/>
                <w:sz w:val="24"/>
              </w:rPr>
              <w:t xml:space="preserve">laid down </w:t>
            </w:r>
            <w:r w:rsidRPr="001562B3">
              <w:rPr>
                <w:rStyle w:val="InstructionsTabelleberschrift"/>
                <w:rFonts w:ascii="Times New Roman" w:hAnsi="Times New Roman"/>
                <w:sz w:val="24"/>
              </w:rPr>
              <w:t xml:space="preserve">in Article 72b(4) </w:t>
            </w:r>
            <w:r w:rsidR="00441D4D" w:rsidRPr="001562B3">
              <w:rPr>
                <w:rStyle w:val="InstructionsTabelleberschrift"/>
                <w:rFonts w:ascii="Times New Roman" w:hAnsi="Times New Roman"/>
                <w:sz w:val="24"/>
              </w:rPr>
              <w:t>of Regulation (EU) No 575/2013</w:t>
            </w:r>
            <w:r w:rsidRPr="001562B3">
              <w:rPr>
                <w:rStyle w:val="InstructionsTabelleberschrift"/>
                <w:rFonts w:ascii="Times New Roman" w:hAnsi="Times New Roman"/>
                <w:sz w:val="24"/>
              </w:rPr>
              <w:t xml:space="preserve"> apply? (5% exemption)</w:t>
            </w:r>
          </w:p>
          <w:p w14:paraId="7E4A548A" w14:textId="0F07A0A9" w:rsidR="004C2312" w:rsidRPr="001562B3" w:rsidRDefault="004C2312" w:rsidP="008E501F">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This row shall only be reported by </w:t>
            </w:r>
            <w:r w:rsidR="00E645F5" w:rsidRPr="001562B3">
              <w:rPr>
                <w:rStyle w:val="InstructionsTabelleberschrift"/>
                <w:rFonts w:ascii="Times New Roman" w:hAnsi="Times New Roman"/>
                <w:b w:val="0"/>
                <w:sz w:val="24"/>
                <w:u w:val="none"/>
              </w:rPr>
              <w:t xml:space="preserve">entities </w:t>
            </w:r>
            <w:r w:rsidRPr="001562B3">
              <w:rPr>
                <w:rStyle w:val="InstructionsTabelleberschrift"/>
                <w:rFonts w:ascii="Times New Roman" w:hAnsi="Times New Roman"/>
                <w:b w:val="0"/>
                <w:sz w:val="24"/>
                <w:u w:val="none"/>
              </w:rPr>
              <w:t>subject to the G-SII requirement for own funds and eligible liabilities (TLAC requirement).</w:t>
            </w:r>
          </w:p>
          <w:p w14:paraId="049A2EF8" w14:textId="27BA3427" w:rsidR="004C2312" w:rsidRPr="001562B3" w:rsidRDefault="001C369A" w:rsidP="00341BC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Where</w:t>
            </w:r>
            <w:r w:rsidR="004C2312" w:rsidRPr="001562B3">
              <w:rPr>
                <w:rStyle w:val="FormatvorlageInstructionsTabelleText"/>
                <w:rFonts w:ascii="Times New Roman" w:hAnsi="Times New Roman"/>
                <w:sz w:val="24"/>
                <w:lang w:eastAsia="de-DE"/>
              </w:rPr>
              <w:t xml:space="preserve"> the resolution authority permits liabilities to qualify as eligible liabilities instruments in accordance with Article 72b(4) </w:t>
            </w:r>
            <w:r w:rsidR="00441D4D" w:rsidRPr="001562B3">
              <w:rPr>
                <w:rStyle w:val="FormatvorlageInstructionsTabelleText"/>
                <w:rFonts w:ascii="Times New Roman" w:hAnsi="Times New Roman"/>
                <w:sz w:val="24"/>
                <w:lang w:eastAsia="de-DE"/>
              </w:rPr>
              <w:t>of Regulation (EU) No 575/2013</w:t>
            </w:r>
            <w:r w:rsidR="004C2312" w:rsidRPr="001562B3">
              <w:rPr>
                <w:rStyle w:val="FormatvorlageInstructionsTabelleText"/>
                <w:rFonts w:ascii="Times New Roman" w:hAnsi="Times New Roman"/>
                <w:sz w:val="24"/>
                <w:lang w:eastAsia="de-DE"/>
              </w:rPr>
              <w:t>, the reporting entity shall indicate ‘yes’ in column 00</w:t>
            </w:r>
            <w:r w:rsidR="00D9516E" w:rsidRPr="001562B3">
              <w:rPr>
                <w:rStyle w:val="FormatvorlageInstructionsTabelleText"/>
                <w:rFonts w:ascii="Times New Roman" w:hAnsi="Times New Roman"/>
                <w:sz w:val="24"/>
                <w:lang w:eastAsia="de-DE"/>
              </w:rPr>
              <w:t>2</w:t>
            </w:r>
            <w:r w:rsidR="004C2312" w:rsidRPr="001562B3">
              <w:rPr>
                <w:rStyle w:val="FormatvorlageInstructionsTabelleText"/>
                <w:rFonts w:ascii="Times New Roman" w:hAnsi="Times New Roman"/>
                <w:sz w:val="24"/>
                <w:lang w:eastAsia="de-DE"/>
              </w:rPr>
              <w:t>0.</w:t>
            </w:r>
          </w:p>
          <w:p w14:paraId="2A0884E3" w14:textId="22D96245" w:rsidR="004C2312" w:rsidRPr="001562B3" w:rsidRDefault="00441D4D" w:rsidP="00341BC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Where</w:t>
            </w:r>
            <w:r w:rsidR="004C2312" w:rsidRPr="001562B3">
              <w:rPr>
                <w:rStyle w:val="FormatvorlageInstructionsTabelleText"/>
                <w:rFonts w:ascii="Times New Roman" w:hAnsi="Times New Roman"/>
                <w:sz w:val="24"/>
                <w:lang w:eastAsia="de-DE"/>
              </w:rPr>
              <w:t xml:space="preserve"> the resolution authority does not permit liabilities to qualify as eligible liabilities instruments in accordance with Article 72b(4) </w:t>
            </w:r>
            <w:r w:rsidRPr="001562B3">
              <w:rPr>
                <w:rStyle w:val="FormatvorlageInstructionsTabelleText"/>
                <w:rFonts w:ascii="Times New Roman" w:hAnsi="Times New Roman"/>
                <w:sz w:val="24"/>
                <w:lang w:eastAsia="de-DE"/>
              </w:rPr>
              <w:t>of Regulation (EU) No 575/2013</w:t>
            </w:r>
            <w:r w:rsidR="004C2312" w:rsidRPr="001562B3">
              <w:rPr>
                <w:rStyle w:val="FormatvorlageInstructionsTabelleText"/>
                <w:rFonts w:ascii="Times New Roman" w:hAnsi="Times New Roman"/>
                <w:sz w:val="24"/>
                <w:lang w:eastAsia="de-DE"/>
              </w:rPr>
              <w:t xml:space="preserve">, the </w:t>
            </w:r>
            <w:r w:rsidRPr="001562B3">
              <w:rPr>
                <w:rStyle w:val="FormatvorlageInstructionsTabelleText"/>
                <w:rFonts w:ascii="Times New Roman" w:hAnsi="Times New Roman"/>
                <w:sz w:val="24"/>
                <w:lang w:eastAsia="de-DE"/>
              </w:rPr>
              <w:t>reporting entity</w:t>
            </w:r>
            <w:r w:rsidR="004C2312" w:rsidRPr="001562B3">
              <w:rPr>
                <w:rStyle w:val="FormatvorlageInstructionsTabelleText"/>
                <w:rFonts w:ascii="Times New Roman" w:hAnsi="Times New Roman"/>
                <w:sz w:val="24"/>
                <w:lang w:eastAsia="de-DE"/>
              </w:rPr>
              <w:t xml:space="preserve"> shall indicate ‘no’ in column 00</w:t>
            </w:r>
            <w:r w:rsidR="00D9516E" w:rsidRPr="001562B3">
              <w:rPr>
                <w:rStyle w:val="FormatvorlageInstructionsTabelleText"/>
                <w:rFonts w:ascii="Times New Roman" w:hAnsi="Times New Roman"/>
                <w:sz w:val="24"/>
                <w:lang w:eastAsia="de-DE"/>
              </w:rPr>
              <w:t>2</w:t>
            </w:r>
            <w:r w:rsidR="004C2312" w:rsidRPr="001562B3">
              <w:rPr>
                <w:rStyle w:val="FormatvorlageInstructionsTabelleText"/>
                <w:rFonts w:ascii="Times New Roman" w:hAnsi="Times New Roman"/>
                <w:sz w:val="24"/>
                <w:lang w:eastAsia="de-DE"/>
              </w:rPr>
              <w:t>0.</w:t>
            </w:r>
          </w:p>
          <w:p w14:paraId="23DEB310" w14:textId="089BA898" w:rsidR="004C2312" w:rsidRPr="001562B3" w:rsidRDefault="004C2312" w:rsidP="00441D4D">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As exemptions </w:t>
            </w:r>
            <w:r w:rsidR="00744F64" w:rsidRPr="001562B3">
              <w:rPr>
                <w:rStyle w:val="FormatvorlageInstructionsTabelleText"/>
                <w:rFonts w:ascii="Times New Roman" w:hAnsi="Times New Roman"/>
                <w:sz w:val="24"/>
                <w:lang w:eastAsia="de-DE"/>
              </w:rPr>
              <w:t xml:space="preserve">laid down </w:t>
            </w:r>
            <w:r w:rsidRPr="001562B3">
              <w:rPr>
                <w:rStyle w:val="FormatvorlageInstructionsTabelleText"/>
                <w:rFonts w:ascii="Times New Roman" w:hAnsi="Times New Roman"/>
                <w:sz w:val="24"/>
                <w:lang w:eastAsia="de-DE"/>
              </w:rPr>
              <w:t xml:space="preserve">in Article 72b(3) and (4) </w:t>
            </w:r>
            <w:r w:rsidR="00441D4D"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xml:space="preserve"> are mutually exclusive, this row shall not be populated if the reporting entity has populated {r0350}.</w:t>
            </w:r>
          </w:p>
        </w:tc>
      </w:tr>
      <w:tr w:rsidR="002B6980" w:rsidRPr="001562B3" w14:paraId="16166491" w14:textId="77777777" w:rsidTr="00C90338">
        <w:tc>
          <w:tcPr>
            <w:tcW w:w="1129" w:type="dxa"/>
          </w:tcPr>
          <w:p w14:paraId="1FA1A80C" w14:textId="15BD6414" w:rsidR="002B6980" w:rsidRPr="001562B3" w:rsidRDefault="002B6980"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w:t>
            </w:r>
            <w:r w:rsidR="004C2312"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0</w:t>
            </w:r>
          </w:p>
        </w:tc>
        <w:tc>
          <w:tcPr>
            <w:tcW w:w="7620" w:type="dxa"/>
          </w:tcPr>
          <w:p w14:paraId="3509C99D" w14:textId="6E6DF543" w:rsidR="000418B8" w:rsidRPr="001562B3" w:rsidRDefault="000418B8"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Aggregate amount of permitted non-subordinated eligible liabilities instruments </w:t>
            </w:r>
            <w:r w:rsidR="00DB2266" w:rsidRPr="001562B3">
              <w:rPr>
                <w:rStyle w:val="InstructionsTabelleberschrift"/>
                <w:rFonts w:ascii="Times New Roman" w:hAnsi="Times New Roman"/>
                <w:sz w:val="24"/>
              </w:rPr>
              <w:t>i</w:t>
            </w:r>
            <w:r w:rsidRPr="001562B3">
              <w:rPr>
                <w:rStyle w:val="InstructionsTabelleberschrift"/>
                <w:rFonts w:ascii="Times New Roman" w:hAnsi="Times New Roman"/>
                <w:sz w:val="24"/>
              </w:rPr>
              <w:t xml:space="preserve">f the subordination discretion </w:t>
            </w:r>
            <w:r w:rsidR="00B62F3B" w:rsidRPr="001562B3">
              <w:rPr>
                <w:rStyle w:val="InstructionsTabelleberschrift"/>
                <w:rFonts w:ascii="Times New Roman" w:hAnsi="Times New Roman"/>
                <w:sz w:val="24"/>
              </w:rPr>
              <w:t>laid down in</w:t>
            </w:r>
            <w:r w:rsidRPr="001562B3">
              <w:rPr>
                <w:rStyle w:val="InstructionsTabelleberschrift"/>
                <w:rFonts w:ascii="Times New Roman" w:hAnsi="Times New Roman"/>
                <w:sz w:val="24"/>
              </w:rPr>
              <w:t xml:space="preserve"> Article 72b(3) </w:t>
            </w:r>
            <w:r w:rsidR="00B62F3B" w:rsidRPr="001562B3">
              <w:rPr>
                <w:rStyle w:val="InstructionsTabelleberschrift"/>
                <w:rFonts w:ascii="Times New Roman" w:hAnsi="Times New Roman"/>
                <w:sz w:val="24"/>
              </w:rPr>
              <w:t>of Regulation (EU) No 575/2013</w:t>
            </w:r>
            <w:r w:rsidRPr="001562B3">
              <w:rPr>
                <w:rStyle w:val="InstructionsTabelleberschrift"/>
                <w:rFonts w:ascii="Times New Roman" w:hAnsi="Times New Roman"/>
                <w:sz w:val="24"/>
              </w:rPr>
              <w:t xml:space="preserve"> is applied (max 3</w:t>
            </w:r>
            <w:r w:rsidR="00A45607" w:rsidRPr="001562B3">
              <w:rPr>
                <w:rStyle w:val="InstructionsTabelleberschrift"/>
                <w:rFonts w:ascii="Times New Roman" w:hAnsi="Times New Roman"/>
                <w:sz w:val="24"/>
              </w:rPr>
              <w:t>,</w:t>
            </w:r>
            <w:r w:rsidRPr="001562B3">
              <w:rPr>
                <w:rStyle w:val="InstructionsTabelleberschrift"/>
                <w:rFonts w:ascii="Times New Roman" w:hAnsi="Times New Roman"/>
                <w:sz w:val="24"/>
              </w:rPr>
              <w:t>5% exemption)</w:t>
            </w:r>
          </w:p>
          <w:p w14:paraId="1FC3A371" w14:textId="5AFA5120" w:rsidR="002B6980" w:rsidRPr="001562B3" w:rsidRDefault="008C0FD4" w:rsidP="008C0FD4">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Aggregate amount of non-subordinated liabilities </w:t>
            </w:r>
            <w:r w:rsidR="0029472F" w:rsidRPr="001562B3">
              <w:rPr>
                <w:rStyle w:val="FormatvorlageInstructionsTabelleText"/>
                <w:rFonts w:ascii="Times New Roman" w:hAnsi="Times New Roman"/>
                <w:sz w:val="24"/>
                <w:lang w:eastAsia="de-DE"/>
              </w:rPr>
              <w:t>that</w:t>
            </w:r>
            <w:r w:rsidRPr="001562B3">
              <w:rPr>
                <w:rStyle w:val="FormatvorlageInstructionsTabelleText"/>
                <w:rFonts w:ascii="Times New Roman" w:hAnsi="Times New Roman"/>
                <w:sz w:val="24"/>
                <w:lang w:eastAsia="de-DE"/>
              </w:rPr>
              <w:t xml:space="preserve"> the resolution </w:t>
            </w:r>
            <w:r w:rsidR="00D27C0D" w:rsidRPr="001562B3">
              <w:rPr>
                <w:rStyle w:val="FormatvorlageInstructionsTabelleText"/>
                <w:rFonts w:ascii="Times New Roman" w:hAnsi="Times New Roman"/>
                <w:sz w:val="24"/>
                <w:lang w:eastAsia="de-DE"/>
              </w:rPr>
              <w:t xml:space="preserve">authority </w:t>
            </w:r>
            <w:r w:rsidRPr="001562B3">
              <w:rPr>
                <w:rStyle w:val="FormatvorlageInstructionsTabelleText"/>
                <w:rFonts w:ascii="Times New Roman" w:hAnsi="Times New Roman"/>
                <w:sz w:val="24"/>
                <w:lang w:eastAsia="de-DE"/>
              </w:rPr>
              <w:t xml:space="preserve">has permitted to qualify as eligible </w:t>
            </w:r>
            <w:r w:rsidR="00D27C0D" w:rsidRPr="001562B3">
              <w:rPr>
                <w:rStyle w:val="FormatvorlageInstructionsTabelleText"/>
                <w:rFonts w:ascii="Times New Roman" w:hAnsi="Times New Roman"/>
                <w:sz w:val="24"/>
                <w:lang w:eastAsia="de-DE"/>
              </w:rPr>
              <w:t>liabilities</w:t>
            </w:r>
            <w:r w:rsidRPr="001562B3">
              <w:rPr>
                <w:rStyle w:val="FormatvorlageInstructionsTabelleText"/>
                <w:rFonts w:ascii="Times New Roman" w:hAnsi="Times New Roman"/>
                <w:sz w:val="24"/>
                <w:lang w:eastAsia="de-DE"/>
              </w:rPr>
              <w:t xml:space="preserve"> instruments for the purpose of </w:t>
            </w:r>
            <w:r w:rsidR="00D0066E" w:rsidRPr="001562B3">
              <w:rPr>
                <w:rStyle w:val="FormatvorlageInstructionsTabelleText"/>
                <w:rFonts w:ascii="Times New Roman" w:hAnsi="Times New Roman"/>
                <w:sz w:val="24"/>
                <w:lang w:eastAsia="de-DE"/>
              </w:rPr>
              <w:t>the G-SII requirement for own funds and eligible liabilities</w:t>
            </w:r>
            <w:r w:rsidR="00C533EB" w:rsidRPr="001562B3">
              <w:rPr>
                <w:rStyle w:val="FormatvorlageInstructionsTabelleText"/>
                <w:rFonts w:ascii="Times New Roman" w:hAnsi="Times New Roman"/>
                <w:sz w:val="24"/>
                <w:lang w:eastAsia="de-DE"/>
              </w:rPr>
              <w:t xml:space="preserve"> (TLAC)</w:t>
            </w:r>
            <w:r w:rsidRPr="001562B3">
              <w:rPr>
                <w:rStyle w:val="FormatvorlageInstructionsTabelleText"/>
                <w:rFonts w:ascii="Times New Roman" w:hAnsi="Times New Roman"/>
                <w:sz w:val="24"/>
                <w:lang w:eastAsia="de-DE"/>
              </w:rPr>
              <w:t xml:space="preserve"> </w:t>
            </w:r>
            <w:r w:rsidR="0029472F" w:rsidRPr="001562B3">
              <w:rPr>
                <w:rStyle w:val="FormatvorlageInstructionsTabelleText"/>
                <w:rFonts w:ascii="Times New Roman" w:hAnsi="Times New Roman"/>
                <w:sz w:val="24"/>
                <w:lang w:eastAsia="de-DE"/>
              </w:rPr>
              <w:t>in accordance with</w:t>
            </w:r>
            <w:r w:rsidRPr="001562B3">
              <w:rPr>
                <w:rStyle w:val="FormatvorlageInstructionsTabelleText"/>
                <w:rFonts w:ascii="Times New Roman" w:hAnsi="Times New Roman"/>
                <w:sz w:val="24"/>
                <w:lang w:eastAsia="de-DE"/>
              </w:rPr>
              <w:t xml:space="preserve"> </w:t>
            </w:r>
            <w:r w:rsidR="002B6980" w:rsidRPr="001562B3">
              <w:rPr>
                <w:rStyle w:val="FormatvorlageInstructionsTabelleText"/>
                <w:rFonts w:ascii="Times New Roman" w:hAnsi="Times New Roman"/>
                <w:sz w:val="24"/>
                <w:lang w:eastAsia="de-DE"/>
              </w:rPr>
              <w:t xml:space="preserve">Article 72b(3) </w:t>
            </w:r>
            <w:r w:rsidR="006852D5" w:rsidRPr="001562B3">
              <w:rPr>
                <w:rStyle w:val="FormatvorlageInstructionsTabelleText"/>
                <w:rFonts w:ascii="Times New Roman" w:hAnsi="Times New Roman"/>
                <w:sz w:val="24"/>
                <w:lang w:eastAsia="de-DE"/>
              </w:rPr>
              <w:t>of Regulation (EU) No 575/2013</w:t>
            </w:r>
            <w:r w:rsidR="003F0C55" w:rsidRPr="001562B3">
              <w:rPr>
                <w:rStyle w:val="FormatvorlageInstructionsTabelleText"/>
                <w:rFonts w:ascii="Times New Roman" w:hAnsi="Times New Roman"/>
                <w:sz w:val="24"/>
                <w:lang w:eastAsia="de-DE"/>
              </w:rPr>
              <w:t xml:space="preserve"> or which qualify pursuant to Article 494(3) </w:t>
            </w:r>
            <w:r w:rsidR="00D301E1" w:rsidRPr="001562B3">
              <w:rPr>
                <w:rStyle w:val="FormatvorlageInstructionsTabelleText"/>
                <w:rFonts w:ascii="Times New Roman" w:hAnsi="Times New Roman"/>
                <w:sz w:val="24"/>
                <w:lang w:eastAsia="de-DE"/>
              </w:rPr>
              <w:t>of that Regulation</w:t>
            </w:r>
            <w:r w:rsidR="003F0C55" w:rsidRPr="001562B3">
              <w:rPr>
                <w:rStyle w:val="FormatvorlageInstructionsTabelleText"/>
                <w:rFonts w:ascii="Times New Roman" w:hAnsi="Times New Roman"/>
                <w:sz w:val="24"/>
                <w:lang w:eastAsia="de-DE"/>
              </w:rPr>
              <w:t>.</w:t>
            </w:r>
          </w:p>
          <w:p w14:paraId="46632850" w14:textId="6D5EA3BA" w:rsidR="0027718F" w:rsidRPr="001562B3" w:rsidRDefault="0027718F" w:rsidP="008C0FD4">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Until 31 December 2021, the amount reported in this row shall be the amount after application of Article 494(2) </w:t>
            </w:r>
            <w:r w:rsidR="00744F64"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xml:space="preserve"> (2</w:t>
            </w:r>
            <w:r w:rsidR="00744F64" w:rsidRPr="001562B3">
              <w:rPr>
                <w:rStyle w:val="FormatvorlageInstructionsTabelleText"/>
                <w:rFonts w:ascii="Times New Roman" w:hAnsi="Times New Roman"/>
                <w:sz w:val="24"/>
                <w:lang w:eastAsia="de-DE"/>
              </w:rPr>
              <w:t>,</w:t>
            </w:r>
            <w:r w:rsidRPr="001562B3">
              <w:rPr>
                <w:rStyle w:val="FormatvorlageInstructionsTabelleText"/>
                <w:rFonts w:ascii="Times New Roman" w:hAnsi="Times New Roman"/>
                <w:sz w:val="24"/>
                <w:lang w:eastAsia="de-DE"/>
              </w:rPr>
              <w:t>5% cap).</w:t>
            </w:r>
          </w:p>
          <w:p w14:paraId="5A2D4755" w14:textId="6058CE93" w:rsidR="002B6980" w:rsidRPr="001562B3" w:rsidRDefault="002B6980" w:rsidP="000D1C6A">
            <w:pPr>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As </w:t>
            </w:r>
            <w:r w:rsidR="00C533EB" w:rsidRPr="001562B3">
              <w:rPr>
                <w:rStyle w:val="FormatvorlageInstructionsTabelleText"/>
                <w:rFonts w:ascii="Times New Roman" w:hAnsi="Times New Roman"/>
                <w:sz w:val="24"/>
                <w:lang w:eastAsia="de-DE"/>
              </w:rPr>
              <w:t xml:space="preserve">the </w:t>
            </w:r>
            <w:r w:rsidRPr="001562B3">
              <w:rPr>
                <w:rStyle w:val="FormatvorlageInstructionsTabelleText"/>
                <w:rFonts w:ascii="Times New Roman" w:hAnsi="Times New Roman"/>
                <w:sz w:val="24"/>
                <w:lang w:eastAsia="de-DE"/>
              </w:rPr>
              <w:t xml:space="preserve">exemptions </w:t>
            </w:r>
            <w:r w:rsidR="00744F64" w:rsidRPr="001562B3">
              <w:rPr>
                <w:rStyle w:val="FormatvorlageInstructionsTabelleText"/>
                <w:rFonts w:ascii="Times New Roman" w:hAnsi="Times New Roman"/>
                <w:sz w:val="24"/>
                <w:lang w:eastAsia="de-DE"/>
              </w:rPr>
              <w:t xml:space="preserve">laid down </w:t>
            </w:r>
            <w:r w:rsidRPr="001562B3">
              <w:rPr>
                <w:rStyle w:val="FormatvorlageInstructionsTabelleText"/>
                <w:rFonts w:ascii="Times New Roman" w:hAnsi="Times New Roman"/>
                <w:sz w:val="24"/>
                <w:lang w:eastAsia="de-DE"/>
              </w:rPr>
              <w:t xml:space="preserve">in Article 72b(3) and (4) </w:t>
            </w:r>
            <w:r w:rsidR="00744F64"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xml:space="preserve"> are mutually exclusive, this row shall not be populated if the reporting entity indicates ‘yes’ in {r03</w:t>
            </w:r>
            <w:r w:rsidR="004C2312" w:rsidRPr="001562B3">
              <w:rPr>
                <w:rStyle w:val="FormatvorlageInstructionsTabelleText"/>
                <w:rFonts w:ascii="Times New Roman" w:hAnsi="Times New Roman"/>
                <w:sz w:val="24"/>
                <w:lang w:eastAsia="de-DE"/>
              </w:rPr>
              <w:t>4</w:t>
            </w:r>
            <w:r w:rsidRPr="001562B3">
              <w:rPr>
                <w:rStyle w:val="FormatvorlageInstructionsTabelleText"/>
                <w:rFonts w:ascii="Times New Roman" w:hAnsi="Times New Roman"/>
                <w:sz w:val="24"/>
                <w:lang w:eastAsia="de-DE"/>
              </w:rPr>
              <w:t>0,c0</w:t>
            </w:r>
            <w:r w:rsidR="00DB2266" w:rsidRPr="001562B3">
              <w:rPr>
                <w:rStyle w:val="FormatvorlageInstructionsTabelleText"/>
                <w:rFonts w:ascii="Times New Roman" w:hAnsi="Times New Roman"/>
                <w:sz w:val="24"/>
                <w:lang w:eastAsia="de-DE"/>
              </w:rPr>
              <w:t>0</w:t>
            </w:r>
            <w:r w:rsidR="000D1C6A" w:rsidRPr="001562B3">
              <w:rPr>
                <w:rStyle w:val="FormatvorlageInstructionsTabelleText"/>
                <w:rFonts w:ascii="Times New Roman" w:hAnsi="Times New Roman"/>
                <w:sz w:val="24"/>
                <w:lang w:eastAsia="de-DE"/>
              </w:rPr>
              <w:t>2</w:t>
            </w:r>
            <w:r w:rsidRPr="001562B3">
              <w:rPr>
                <w:rStyle w:val="FormatvorlageInstructionsTabelleText"/>
                <w:rFonts w:ascii="Times New Roman" w:hAnsi="Times New Roman"/>
                <w:sz w:val="24"/>
                <w:lang w:eastAsia="de-DE"/>
              </w:rPr>
              <w:t>0}.</w:t>
            </w:r>
          </w:p>
        </w:tc>
      </w:tr>
      <w:tr w:rsidR="004C2312" w:rsidRPr="001562B3" w14:paraId="182951D6" w14:textId="77777777" w:rsidTr="00341BC3">
        <w:tc>
          <w:tcPr>
            <w:tcW w:w="1129" w:type="dxa"/>
          </w:tcPr>
          <w:p w14:paraId="15B70DD8" w14:textId="77777777" w:rsidR="004C2312" w:rsidRPr="001562B3" w:rsidRDefault="004C2312"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0360</w:t>
            </w:r>
          </w:p>
        </w:tc>
        <w:tc>
          <w:tcPr>
            <w:tcW w:w="7620" w:type="dxa"/>
          </w:tcPr>
          <w:p w14:paraId="2A9ACE51" w14:textId="77777777" w:rsidR="004C2312" w:rsidRPr="001562B3" w:rsidRDefault="004C231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Share of the total non-subordinated liabilities that is included in own funds and eligible liabilities</w:t>
            </w:r>
          </w:p>
          <w:p w14:paraId="0FE9D1C5" w14:textId="188F5A41" w:rsidR="004C2312" w:rsidRPr="001562B3" w:rsidRDefault="004C2312">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This row shall only be reported by </w:t>
            </w:r>
            <w:r w:rsidR="00E645F5" w:rsidRPr="001562B3">
              <w:rPr>
                <w:rStyle w:val="InstructionsTabelleberschrift"/>
                <w:rFonts w:ascii="Times New Roman" w:hAnsi="Times New Roman"/>
                <w:b w:val="0"/>
                <w:sz w:val="24"/>
                <w:u w:val="none"/>
              </w:rPr>
              <w:t xml:space="preserve">entities </w:t>
            </w:r>
            <w:r w:rsidRPr="001562B3">
              <w:rPr>
                <w:rStyle w:val="InstructionsTabelleberschrift"/>
                <w:rFonts w:ascii="Times New Roman" w:hAnsi="Times New Roman"/>
                <w:b w:val="0"/>
                <w:sz w:val="24"/>
                <w:u w:val="none"/>
              </w:rPr>
              <w:t>subject to the G-SII requirement for own funds and eligible liabilities (TLAC requirement).</w:t>
            </w:r>
          </w:p>
          <w:p w14:paraId="18212BF7" w14:textId="5569B4EC" w:rsidR="004C2312" w:rsidRPr="001562B3" w:rsidRDefault="004C2312">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If a capped subordination exemption </w:t>
            </w:r>
            <w:r w:rsidR="00744F64" w:rsidRPr="001562B3">
              <w:rPr>
                <w:rStyle w:val="InstructionsTabelleberschrift"/>
                <w:rFonts w:ascii="Times New Roman" w:hAnsi="Times New Roman"/>
                <w:b w:val="0"/>
                <w:sz w:val="24"/>
                <w:u w:val="none"/>
              </w:rPr>
              <w:t>laid down in</w:t>
            </w:r>
            <w:r w:rsidRPr="001562B3">
              <w:rPr>
                <w:rStyle w:val="InstructionsTabelleberschrift"/>
                <w:rFonts w:ascii="Times New Roman" w:hAnsi="Times New Roman"/>
                <w:b w:val="0"/>
                <w:sz w:val="24"/>
                <w:u w:val="none"/>
              </w:rPr>
              <w:t xml:space="preserve"> Article 72b(3) </w:t>
            </w:r>
            <w:r w:rsidR="00744F64" w:rsidRPr="001562B3">
              <w:rPr>
                <w:rStyle w:val="InstructionsTabelleberschrift"/>
                <w:rFonts w:ascii="Times New Roman" w:hAnsi="Times New Roman"/>
                <w:b w:val="0"/>
                <w:sz w:val="24"/>
                <w:u w:val="none"/>
              </w:rPr>
              <w:t>of Regulation (EU) No 575/2013 applies</w:t>
            </w:r>
            <w:r w:rsidRPr="001562B3">
              <w:rPr>
                <w:rStyle w:val="InstructionsTabelleberschrift"/>
                <w:rFonts w:ascii="Times New Roman" w:hAnsi="Times New Roman"/>
                <w:b w:val="0"/>
                <w:sz w:val="24"/>
                <w:u w:val="none"/>
              </w:rPr>
              <w:t xml:space="preserve">, </w:t>
            </w:r>
            <w:r w:rsidR="00E645F5" w:rsidRPr="001562B3">
              <w:rPr>
                <w:rStyle w:val="InstructionsTabelleberschrift"/>
                <w:rFonts w:ascii="Times New Roman" w:hAnsi="Times New Roman"/>
                <w:b w:val="0"/>
                <w:sz w:val="24"/>
                <w:u w:val="none"/>
              </w:rPr>
              <w:t>en</w:t>
            </w:r>
            <w:r w:rsidR="00744F64" w:rsidRPr="001562B3">
              <w:rPr>
                <w:rStyle w:val="InstructionsTabelleberschrift"/>
                <w:rFonts w:ascii="Times New Roman" w:hAnsi="Times New Roman"/>
                <w:b w:val="0"/>
                <w:sz w:val="24"/>
                <w:u w:val="none"/>
              </w:rPr>
              <w:t>t</w:t>
            </w:r>
            <w:r w:rsidR="00E645F5" w:rsidRPr="001562B3">
              <w:rPr>
                <w:rStyle w:val="InstructionsTabelleberschrift"/>
                <w:rFonts w:ascii="Times New Roman" w:hAnsi="Times New Roman"/>
                <w:b w:val="0"/>
                <w:sz w:val="24"/>
                <w:u w:val="none"/>
              </w:rPr>
              <w:t xml:space="preserve">ities </w:t>
            </w:r>
            <w:r w:rsidRPr="001562B3">
              <w:rPr>
                <w:rStyle w:val="InstructionsTabelleberschrift"/>
                <w:rFonts w:ascii="Times New Roman" w:hAnsi="Times New Roman"/>
                <w:b w:val="0"/>
                <w:sz w:val="24"/>
                <w:u w:val="none"/>
              </w:rPr>
              <w:t>shall report:</w:t>
            </w:r>
          </w:p>
          <w:p w14:paraId="4BA05B73" w14:textId="527E2F2D" w:rsidR="004C2312" w:rsidRPr="001562B3" w:rsidRDefault="004C2312" w:rsidP="00E274D8">
            <w:pPr>
              <w:pStyle w:val="ListParagraph"/>
              <w:numPr>
                <w:ilvl w:val="0"/>
                <w:numId w:val="24"/>
              </w:numPr>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lang w:eastAsia="de-DE"/>
              </w:rPr>
              <w:lastRenderedPageBreak/>
              <w:t xml:space="preserve">the amount of liabilities issued that ranks </w:t>
            </w:r>
            <w:r w:rsidRPr="001562B3">
              <w:rPr>
                <w:rStyle w:val="InstructionsTabelleberschrift"/>
                <w:rFonts w:ascii="Times New Roman" w:hAnsi="Times New Roman"/>
                <w:b w:val="0"/>
                <w:i/>
                <w:sz w:val="24"/>
                <w:u w:val="none"/>
                <w:lang w:eastAsia="de-DE"/>
              </w:rPr>
              <w:t>pari passu</w:t>
            </w:r>
            <w:r w:rsidRPr="001562B3">
              <w:rPr>
                <w:rStyle w:val="InstructionsTabelleberschrift"/>
                <w:rFonts w:ascii="Times New Roman" w:hAnsi="Times New Roman"/>
                <w:b w:val="0"/>
                <w:sz w:val="24"/>
                <w:u w:val="none"/>
                <w:lang w:eastAsia="de-DE"/>
              </w:rPr>
              <w:t xml:space="preserve"> with excluded liabilities</w:t>
            </w:r>
            <w:r w:rsidR="00465306" w:rsidRPr="001562B3">
              <w:rPr>
                <w:rStyle w:val="InstructionsTabelleberschrift"/>
                <w:rFonts w:ascii="Times New Roman" w:hAnsi="Times New Roman"/>
                <w:b w:val="0"/>
                <w:sz w:val="24"/>
                <w:u w:val="none"/>
                <w:lang w:eastAsia="de-DE"/>
              </w:rPr>
              <w:t xml:space="preserve"> as referred to in Article 72a(2) </w:t>
            </w:r>
            <w:r w:rsidR="00E274D8" w:rsidRPr="001562B3">
              <w:rPr>
                <w:rStyle w:val="InstructionsTabelleberschrift"/>
                <w:rFonts w:ascii="Times New Roman" w:hAnsi="Times New Roman"/>
                <w:b w:val="0"/>
                <w:sz w:val="24"/>
                <w:u w:val="none"/>
                <w:lang w:eastAsia="de-DE"/>
              </w:rPr>
              <w:t>of Regulation (EU) No 575/2013</w:t>
            </w:r>
            <w:r w:rsidRPr="001562B3">
              <w:rPr>
                <w:rStyle w:val="InstructionsTabelleberschrift"/>
                <w:rFonts w:ascii="Times New Roman" w:hAnsi="Times New Roman"/>
                <w:b w:val="0"/>
                <w:sz w:val="24"/>
                <w:u w:val="none"/>
                <w:lang w:eastAsia="de-DE"/>
              </w:rPr>
              <w:t xml:space="preserve"> and is </w:t>
            </w:r>
            <w:r w:rsidRPr="001562B3">
              <w:rPr>
                <w:rStyle w:val="InstructionsTabelleberschrift"/>
                <w:rFonts w:ascii="Times New Roman" w:hAnsi="Times New Roman"/>
                <w:b w:val="0"/>
                <w:sz w:val="24"/>
                <w:u w:val="none"/>
              </w:rPr>
              <w:t>included in the amount reported in row 0200 (after application of the cap)</w:t>
            </w:r>
            <w:r w:rsidRPr="001562B3">
              <w:rPr>
                <w:rStyle w:val="InstructionsTabelleberschrift"/>
                <w:rFonts w:ascii="Times New Roman" w:hAnsi="Times New Roman"/>
                <w:b w:val="0"/>
                <w:sz w:val="24"/>
                <w:u w:val="none"/>
                <w:lang w:eastAsia="de-DE"/>
              </w:rPr>
              <w:t>,</w:t>
            </w:r>
          </w:p>
          <w:p w14:paraId="61E137DF" w14:textId="5AC9E81D" w:rsidR="004C2312" w:rsidRPr="001562B3" w:rsidRDefault="004C2312" w:rsidP="000B6FC5">
            <w:pPr>
              <w:pStyle w:val="ListParagraph"/>
              <w:numPr>
                <w:ilvl w:val="0"/>
                <w:numId w:val="24"/>
              </w:numPr>
              <w:rPr>
                <w:rStyle w:val="InstructionsTabelleberschrift"/>
                <w:rFonts w:ascii="Times New Roman" w:hAnsi="Times New Roman"/>
                <w:b w:val="0"/>
                <w:sz w:val="24"/>
              </w:rPr>
            </w:pPr>
            <w:r w:rsidRPr="001562B3">
              <w:rPr>
                <w:rStyle w:val="InstructionsTabelleberschrift"/>
                <w:rFonts w:ascii="Times New Roman" w:hAnsi="Times New Roman"/>
                <w:b w:val="0"/>
                <w:sz w:val="24"/>
                <w:u w:val="none"/>
                <w:lang w:eastAsia="de-DE"/>
              </w:rPr>
              <w:t xml:space="preserve">divided by the amount of liabilities issued that ranks </w:t>
            </w:r>
            <w:r w:rsidRPr="001562B3">
              <w:rPr>
                <w:rStyle w:val="InstructionsTabelleberschrift"/>
                <w:rFonts w:ascii="Times New Roman" w:hAnsi="Times New Roman"/>
                <w:b w:val="0"/>
                <w:i/>
                <w:sz w:val="24"/>
                <w:u w:val="none"/>
                <w:lang w:eastAsia="de-DE"/>
              </w:rPr>
              <w:t>pari passu</w:t>
            </w:r>
            <w:r w:rsidRPr="001562B3">
              <w:rPr>
                <w:rStyle w:val="InstructionsTabelleberschrift"/>
                <w:rFonts w:ascii="Times New Roman" w:hAnsi="Times New Roman"/>
                <w:b w:val="0"/>
                <w:sz w:val="24"/>
                <w:u w:val="none"/>
                <w:lang w:eastAsia="de-DE"/>
              </w:rPr>
              <w:t xml:space="preserve"> with excluded liabilities </w:t>
            </w:r>
            <w:r w:rsidR="00465306" w:rsidRPr="001562B3">
              <w:rPr>
                <w:rStyle w:val="InstructionsTabelleberschrift"/>
                <w:rFonts w:ascii="Times New Roman" w:hAnsi="Times New Roman"/>
                <w:b w:val="0"/>
                <w:sz w:val="24"/>
                <w:u w:val="none"/>
                <w:lang w:eastAsia="de-DE"/>
              </w:rPr>
              <w:t xml:space="preserve">as referred to </w:t>
            </w:r>
            <w:r w:rsidRPr="001562B3">
              <w:rPr>
                <w:rStyle w:val="InstructionsTabelleberschrift"/>
                <w:rFonts w:ascii="Times New Roman" w:hAnsi="Times New Roman"/>
                <w:b w:val="0"/>
                <w:sz w:val="24"/>
                <w:u w:val="none"/>
                <w:lang w:eastAsia="de-DE"/>
              </w:rPr>
              <w:t xml:space="preserve">Article 72a(2) </w:t>
            </w:r>
            <w:r w:rsidR="00E274D8" w:rsidRPr="001562B3">
              <w:rPr>
                <w:rStyle w:val="InstructionsTabelleberschrift"/>
                <w:rFonts w:ascii="Times New Roman" w:hAnsi="Times New Roman"/>
                <w:b w:val="0"/>
                <w:sz w:val="24"/>
                <w:u w:val="none"/>
                <w:lang w:eastAsia="de-DE"/>
              </w:rPr>
              <w:t>of Regulation (EU) No 575/2013</w:t>
            </w:r>
            <w:r w:rsidRPr="001562B3">
              <w:rPr>
                <w:rStyle w:val="InstructionsTabelleberschrift"/>
                <w:rFonts w:ascii="Times New Roman" w:hAnsi="Times New Roman"/>
                <w:b w:val="0"/>
                <w:sz w:val="24"/>
                <w:u w:val="none"/>
                <w:lang w:eastAsia="de-DE"/>
              </w:rPr>
              <w:t xml:space="preserve"> and that would be recognised under row 0200 if no cap was applied.</w:t>
            </w:r>
          </w:p>
        </w:tc>
      </w:tr>
    </w:tbl>
    <w:p w14:paraId="12B066B2" w14:textId="77777777" w:rsidR="005643EA" w:rsidRPr="001562B3" w:rsidRDefault="005643EA" w:rsidP="00E05895">
      <w:pPr>
        <w:pStyle w:val="InstructionsText"/>
      </w:pPr>
    </w:p>
    <w:p w14:paraId="55DB744D" w14:textId="77777777" w:rsidR="0015093D" w:rsidRPr="001562B3" w:rsidRDefault="002A276F" w:rsidP="0015093D">
      <w:pPr>
        <w:pStyle w:val="Numberedtilelevel1"/>
      </w:pPr>
      <w:bookmarkStart w:id="33" w:name="_Toc45558482"/>
      <w:bookmarkStart w:id="34" w:name="_Toc473560875"/>
      <w:bookmarkStart w:id="35" w:name="_Toc308175823"/>
      <w:bookmarkStart w:id="36" w:name="_Toc360188327"/>
      <w:r w:rsidRPr="001562B3">
        <w:t>Composition and maturity</w:t>
      </w:r>
      <w:bookmarkEnd w:id="33"/>
    </w:p>
    <w:p w14:paraId="3F7E1AB0" w14:textId="3A544002" w:rsidR="0015093D" w:rsidRPr="001562B3" w:rsidRDefault="00F72178" w:rsidP="00873459">
      <w:pPr>
        <w:pStyle w:val="Numberedtilelevel1"/>
        <w:numPr>
          <w:ilvl w:val="1"/>
          <w:numId w:val="30"/>
        </w:numPr>
      </w:pPr>
      <w:bookmarkStart w:id="37" w:name="_Toc45558483"/>
      <w:bookmarkEnd w:id="0"/>
      <w:bookmarkEnd w:id="1"/>
      <w:bookmarkEnd w:id="34"/>
      <w:bookmarkEnd w:id="35"/>
      <w:bookmarkEnd w:id="36"/>
      <w:r w:rsidRPr="001562B3">
        <w:t xml:space="preserve">M 02.00 – </w:t>
      </w:r>
      <w:r w:rsidR="007004FE" w:rsidRPr="001562B3">
        <w:t>MREL and TLAC capacity and composition (resolution groups and entities) (</w:t>
      </w:r>
      <w:r w:rsidR="000B5E2E" w:rsidRPr="001562B3">
        <w:t>TLAC1</w:t>
      </w:r>
      <w:r w:rsidR="007004FE" w:rsidRPr="001562B3">
        <w:t>)</w:t>
      </w:r>
      <w:bookmarkEnd w:id="37"/>
    </w:p>
    <w:p w14:paraId="2DC79833" w14:textId="1965E9D9" w:rsidR="00F72178" w:rsidRPr="001562B3" w:rsidRDefault="00F72178" w:rsidP="00873459">
      <w:pPr>
        <w:pStyle w:val="Numberedtilelevel1"/>
        <w:numPr>
          <w:ilvl w:val="2"/>
          <w:numId w:val="30"/>
        </w:numPr>
      </w:pPr>
      <w:bookmarkStart w:id="38" w:name="_Toc16865801"/>
      <w:bookmarkStart w:id="39" w:name="_Toc16868635"/>
      <w:bookmarkStart w:id="40" w:name="_Toc20316748"/>
      <w:bookmarkStart w:id="41" w:name="_Toc45558484"/>
      <w:bookmarkEnd w:id="38"/>
      <w:r w:rsidRPr="001562B3">
        <w:t>General remarks</w:t>
      </w:r>
      <w:bookmarkEnd w:id="39"/>
      <w:bookmarkEnd w:id="40"/>
      <w:bookmarkEnd w:id="41"/>
    </w:p>
    <w:p w14:paraId="7532242D" w14:textId="4019739D" w:rsidR="002701C8" w:rsidRPr="001562B3" w:rsidRDefault="002701C8" w:rsidP="001562B3">
      <w:pPr>
        <w:pStyle w:val="InstructionsText2"/>
      </w:pPr>
      <w:r w:rsidRPr="001562B3">
        <w:t>Template M 02.00 – MREL and TLAC capacity and composition (resolution groups and entities) (</w:t>
      </w:r>
      <w:r w:rsidR="000B5E2E" w:rsidRPr="001562B3">
        <w:t>TLAC1</w:t>
      </w:r>
      <w:r w:rsidRPr="001562B3">
        <w:t>) provides further details on the composition of the own funds and eligible liabilities.</w:t>
      </w:r>
    </w:p>
    <w:p w14:paraId="2B751F8F" w14:textId="549BCD0B" w:rsidR="00095D0D" w:rsidRPr="001562B3" w:rsidRDefault="00095D0D">
      <w:pPr>
        <w:pStyle w:val="InstructionsText2"/>
      </w:pPr>
      <w:r w:rsidRPr="001562B3">
        <w:t xml:space="preserve">The column referring to the Minimum Requirement for own funds and eligible liabilities (MREL) shall be filled in by entities that are subject to the minimum requirement for own funds and eligible liabilities in accordance with Article 45e </w:t>
      </w:r>
      <w:r w:rsidR="006852D5" w:rsidRPr="001562B3">
        <w:t>of Directive 2014/59/EU</w:t>
      </w:r>
      <w:r w:rsidRPr="001562B3">
        <w:t xml:space="preserve">. Only those entities obliged to comply with the requirement </w:t>
      </w:r>
      <w:r w:rsidR="006852D5" w:rsidRPr="001562B3">
        <w:t>laid down in</w:t>
      </w:r>
      <w:r w:rsidRPr="001562B3">
        <w:t xml:space="preserve"> Article 92a </w:t>
      </w:r>
      <w:r w:rsidR="006852D5" w:rsidRPr="001562B3">
        <w:t>of Regulation (EU) No 575/2013</w:t>
      </w:r>
      <w:r w:rsidRPr="001562B3">
        <w:t xml:space="preserve"> shall report items referring to the G-SII requirement for own funds and eligible liabilities (TLAC).</w:t>
      </w:r>
    </w:p>
    <w:p w14:paraId="5AAB8790" w14:textId="4559A873" w:rsidR="00F72178" w:rsidRPr="001562B3" w:rsidRDefault="00F72178" w:rsidP="00873459">
      <w:pPr>
        <w:pStyle w:val="Numberedtilelevel1"/>
        <w:numPr>
          <w:ilvl w:val="2"/>
          <w:numId w:val="30"/>
        </w:numPr>
      </w:pPr>
      <w:bookmarkStart w:id="42" w:name="_Toc18593301"/>
      <w:bookmarkStart w:id="43" w:name="_Toc16868636"/>
      <w:bookmarkStart w:id="44" w:name="_Toc20316749"/>
      <w:bookmarkStart w:id="45" w:name="_Toc45558485"/>
      <w:bookmarkEnd w:id="42"/>
      <w:r w:rsidRPr="001562B3">
        <w:t>Instructions concerning specific positions</w:t>
      </w:r>
      <w:bookmarkEnd w:id="43"/>
      <w:bookmarkEnd w:id="44"/>
      <w:bookmarkEnd w:id="45"/>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913681" w:rsidRPr="001562B3" w14:paraId="44909951" w14:textId="77777777" w:rsidTr="001D28F3">
        <w:tc>
          <w:tcPr>
            <w:tcW w:w="1129" w:type="dxa"/>
            <w:shd w:val="clear" w:color="auto" w:fill="D9D9D9"/>
          </w:tcPr>
          <w:p w14:paraId="3799FB3B" w14:textId="2B0D5FB1" w:rsidR="00913681" w:rsidRPr="001562B3" w:rsidRDefault="00913681" w:rsidP="00E05895">
            <w:pPr>
              <w:pStyle w:val="InstructionsText"/>
              <w:rPr>
                <w:rStyle w:val="InstructionsTabelleText"/>
                <w:rFonts w:ascii="Times New Roman" w:eastAsia="Arial" w:hAnsi="Times New Roman"/>
                <w:bCs/>
                <w:sz w:val="24"/>
                <w:lang w:eastAsia="en-US"/>
              </w:rPr>
            </w:pPr>
            <w:r w:rsidRPr="001562B3">
              <w:rPr>
                <w:rStyle w:val="InstructionsTabelleText"/>
                <w:rFonts w:ascii="Times New Roman" w:hAnsi="Times New Roman"/>
                <w:sz w:val="24"/>
              </w:rPr>
              <w:t>Column</w:t>
            </w:r>
          </w:p>
        </w:tc>
        <w:tc>
          <w:tcPr>
            <w:tcW w:w="7620" w:type="dxa"/>
            <w:shd w:val="clear" w:color="auto" w:fill="D9D9D9"/>
          </w:tcPr>
          <w:p w14:paraId="2947DA5B" w14:textId="77777777" w:rsidR="00913681" w:rsidRPr="001562B3" w:rsidRDefault="00913681" w:rsidP="008E501F">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Legal references and instructions</w:t>
            </w:r>
          </w:p>
        </w:tc>
      </w:tr>
      <w:tr w:rsidR="00913681" w:rsidRPr="001562B3" w14:paraId="594DECC5" w14:textId="77777777" w:rsidTr="001D28F3">
        <w:tc>
          <w:tcPr>
            <w:tcW w:w="1129" w:type="dxa"/>
          </w:tcPr>
          <w:p w14:paraId="7A56A478" w14:textId="77777777" w:rsidR="00913681" w:rsidRPr="001562B3" w:rsidRDefault="00913681"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0010</w:t>
            </w:r>
          </w:p>
        </w:tc>
        <w:tc>
          <w:tcPr>
            <w:tcW w:w="7620" w:type="dxa"/>
          </w:tcPr>
          <w:p w14:paraId="29E99259" w14:textId="77777777" w:rsidR="00913681" w:rsidRPr="001562B3" w:rsidRDefault="00913681"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Minimum requirement for own funds and eligible liabilities (MREL)</w:t>
            </w:r>
          </w:p>
          <w:p w14:paraId="3BA23812" w14:textId="78160C50" w:rsidR="00A47334" w:rsidRPr="001562B3" w:rsidRDefault="00A47334">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Article</w:t>
            </w:r>
            <w:r w:rsidR="00631A23" w:rsidRPr="001562B3">
              <w:rPr>
                <w:rStyle w:val="InstructionsTabelleberschrift"/>
                <w:rFonts w:ascii="Times New Roman" w:hAnsi="Times New Roman"/>
                <w:b w:val="0"/>
                <w:sz w:val="24"/>
                <w:u w:val="none"/>
              </w:rPr>
              <w:t>s 45 and</w:t>
            </w:r>
            <w:r w:rsidRPr="001562B3">
              <w:rPr>
                <w:rStyle w:val="InstructionsTabelleberschrift"/>
                <w:rFonts w:ascii="Times New Roman" w:hAnsi="Times New Roman"/>
                <w:b w:val="0"/>
                <w:sz w:val="24"/>
                <w:u w:val="none"/>
              </w:rPr>
              <w:t xml:space="preserve"> 45</w:t>
            </w:r>
            <w:r w:rsidR="00685956" w:rsidRPr="001562B3">
              <w:rPr>
                <w:rStyle w:val="InstructionsTabelleberschrift"/>
                <w:rFonts w:ascii="Times New Roman" w:hAnsi="Times New Roman"/>
                <w:b w:val="0"/>
                <w:sz w:val="24"/>
                <w:u w:val="none"/>
              </w:rPr>
              <w:t>e</w:t>
            </w:r>
            <w:r w:rsidRPr="001562B3">
              <w:rPr>
                <w:rStyle w:val="InstructionsTabelleberschrift"/>
                <w:rFonts w:ascii="Times New Roman" w:hAnsi="Times New Roman"/>
                <w:b w:val="0"/>
                <w:sz w:val="24"/>
                <w:u w:val="none"/>
              </w:rPr>
              <w:t xml:space="preserve"> </w:t>
            </w:r>
            <w:r w:rsidR="006852D5" w:rsidRPr="001562B3">
              <w:rPr>
                <w:rStyle w:val="InstructionsTabelleberschrift"/>
                <w:rFonts w:ascii="Times New Roman" w:hAnsi="Times New Roman"/>
                <w:b w:val="0"/>
                <w:sz w:val="24"/>
                <w:u w:val="none"/>
              </w:rPr>
              <w:t>of Directive 2014/59/EU</w:t>
            </w:r>
            <w:r w:rsidRPr="001562B3">
              <w:rPr>
                <w:rStyle w:val="InstructionsTabelleberschrift"/>
                <w:rFonts w:ascii="Times New Roman" w:hAnsi="Times New Roman"/>
                <w:b w:val="0"/>
                <w:sz w:val="24"/>
                <w:u w:val="none"/>
              </w:rPr>
              <w:t>.</w:t>
            </w:r>
          </w:p>
        </w:tc>
      </w:tr>
      <w:tr w:rsidR="00913681" w:rsidRPr="001562B3" w14:paraId="1ACD0238" w14:textId="77777777" w:rsidTr="001D28F3">
        <w:tc>
          <w:tcPr>
            <w:tcW w:w="1129" w:type="dxa"/>
          </w:tcPr>
          <w:p w14:paraId="1D81206E" w14:textId="77777777" w:rsidR="00913681" w:rsidRPr="001562B3" w:rsidRDefault="00913681"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0020</w:t>
            </w:r>
          </w:p>
        </w:tc>
        <w:tc>
          <w:tcPr>
            <w:tcW w:w="7620" w:type="dxa"/>
          </w:tcPr>
          <w:p w14:paraId="3B4D8FB6" w14:textId="205BC47D" w:rsidR="00913681" w:rsidRPr="001562B3" w:rsidRDefault="00913681"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Requirement</w:t>
            </w:r>
            <w:r w:rsidR="001048C4" w:rsidRPr="001562B3">
              <w:rPr>
                <w:rStyle w:val="InstructionsTabelleberschrift"/>
                <w:rFonts w:ascii="Times New Roman" w:hAnsi="Times New Roman"/>
                <w:sz w:val="24"/>
              </w:rPr>
              <w:t>s</w:t>
            </w:r>
            <w:r w:rsidRPr="001562B3">
              <w:rPr>
                <w:rStyle w:val="InstructionsTabelleberschrift"/>
                <w:rFonts w:ascii="Times New Roman" w:hAnsi="Times New Roman"/>
                <w:sz w:val="24"/>
              </w:rPr>
              <w:t xml:space="preserve"> for own funds and eligible liabilities </w:t>
            </w:r>
            <w:r w:rsidR="001048C4" w:rsidRPr="001562B3">
              <w:rPr>
                <w:rStyle w:val="InstructionsTabelleberschrift"/>
                <w:rFonts w:ascii="Times New Roman" w:hAnsi="Times New Roman"/>
                <w:sz w:val="24"/>
              </w:rPr>
              <w:t xml:space="preserve">for G-SIIs </w:t>
            </w:r>
            <w:r w:rsidRPr="001562B3">
              <w:rPr>
                <w:rStyle w:val="InstructionsTabelleberschrift"/>
                <w:rFonts w:ascii="Times New Roman" w:hAnsi="Times New Roman"/>
                <w:sz w:val="24"/>
              </w:rPr>
              <w:t>(TLAC)</w:t>
            </w:r>
          </w:p>
          <w:p w14:paraId="28749035" w14:textId="00E359CB" w:rsidR="00913681" w:rsidRPr="001562B3" w:rsidRDefault="00913681">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92a </w:t>
            </w:r>
            <w:r w:rsidR="006852D5" w:rsidRPr="001562B3">
              <w:t>of Regulation (EU) No 575/2013</w:t>
            </w:r>
            <w:r w:rsidR="006852D5" w:rsidRPr="001562B3">
              <w:rPr>
                <w:rStyle w:val="FormatvorlageInstructionsTabelleText"/>
                <w:rFonts w:ascii="Times New Roman" w:hAnsi="Times New Roman"/>
                <w:sz w:val="24"/>
              </w:rPr>
              <w:t>.</w:t>
            </w:r>
          </w:p>
        </w:tc>
      </w:tr>
      <w:tr w:rsidR="00913681" w:rsidRPr="001562B3" w14:paraId="1E16C6CA" w14:textId="77777777" w:rsidTr="001D28F3">
        <w:tc>
          <w:tcPr>
            <w:tcW w:w="1129" w:type="dxa"/>
          </w:tcPr>
          <w:p w14:paraId="45DAE454" w14:textId="77777777" w:rsidR="00913681" w:rsidRPr="001562B3" w:rsidRDefault="00913681"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0030</w:t>
            </w:r>
          </w:p>
        </w:tc>
        <w:tc>
          <w:tcPr>
            <w:tcW w:w="7620" w:type="dxa"/>
            <w:vAlign w:val="center"/>
          </w:tcPr>
          <w:p w14:paraId="4332BAEC" w14:textId="0F53D802" w:rsidR="00913681" w:rsidRPr="001562B3" w:rsidRDefault="00913681"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Memo item: Amounts eligible for the purposes of MREL, but not </w:t>
            </w:r>
            <w:r w:rsidR="006852D5" w:rsidRPr="001562B3">
              <w:rPr>
                <w:rStyle w:val="InstructionsTabelleberschrift"/>
                <w:rFonts w:ascii="Times New Roman" w:hAnsi="Times New Roman"/>
                <w:sz w:val="24"/>
              </w:rPr>
              <w:t xml:space="preserve">of </w:t>
            </w:r>
            <w:r w:rsidRPr="001562B3">
              <w:rPr>
                <w:rStyle w:val="InstructionsTabelleberschrift"/>
                <w:rFonts w:ascii="Times New Roman" w:hAnsi="Times New Roman"/>
                <w:sz w:val="24"/>
              </w:rPr>
              <w:t>TLAC</w:t>
            </w:r>
          </w:p>
          <w:p w14:paraId="45D0BB3D" w14:textId="173F3B31" w:rsidR="00913681" w:rsidRPr="001562B3" w:rsidRDefault="00913681">
            <w:pPr>
              <w:pStyle w:val="InstructionsText"/>
              <w:rPr>
                <w:noProof/>
              </w:rPr>
            </w:pPr>
            <w:r w:rsidRPr="001562B3">
              <w:rPr>
                <w:rStyle w:val="FormatvorlageInstructionsTabelleText"/>
                <w:rFonts w:ascii="Times New Roman" w:hAnsi="Times New Roman"/>
                <w:sz w:val="24"/>
              </w:rPr>
              <w:t xml:space="preserve">This column shall only be filled in by </w:t>
            </w:r>
            <w:r w:rsidR="00E645F5" w:rsidRPr="001562B3">
              <w:rPr>
                <w:rStyle w:val="FormatvorlageInstructionsTabelleText"/>
                <w:rFonts w:ascii="Times New Roman" w:hAnsi="Times New Roman"/>
                <w:sz w:val="24"/>
              </w:rPr>
              <w:t>entities</w:t>
            </w:r>
            <w:r w:rsidRPr="001562B3">
              <w:rPr>
                <w:rStyle w:val="FormatvorlageInstructionsTabelleText"/>
                <w:rFonts w:ascii="Times New Roman" w:hAnsi="Times New Roman"/>
                <w:sz w:val="24"/>
              </w:rPr>
              <w:t xml:space="preserve"> subject to the requirement for own funds and eligible liabilities</w:t>
            </w:r>
            <w:r w:rsidR="001048C4" w:rsidRPr="001562B3">
              <w:rPr>
                <w:rStyle w:val="FormatvorlageInstructionsTabelleText"/>
                <w:rFonts w:ascii="Times New Roman" w:hAnsi="Times New Roman"/>
                <w:sz w:val="24"/>
              </w:rPr>
              <w:t xml:space="preserve"> for G-SIIs</w:t>
            </w:r>
            <w:r w:rsidR="00231C4F" w:rsidRPr="001562B3">
              <w:rPr>
                <w:rStyle w:val="FormatvorlageInstructionsTabelleText"/>
                <w:rFonts w:ascii="Times New Roman" w:hAnsi="Times New Roman"/>
                <w:sz w:val="24"/>
              </w:rPr>
              <w:t xml:space="preserve"> (TLAC)</w:t>
            </w:r>
            <w:r w:rsidRPr="001562B3">
              <w:rPr>
                <w:rStyle w:val="FormatvorlageInstructionsTabelleText"/>
                <w:rFonts w:ascii="Times New Roman" w:hAnsi="Times New Roman"/>
                <w:sz w:val="24"/>
              </w:rPr>
              <w:t>.</w:t>
            </w:r>
            <w:r w:rsidRPr="001562B3">
              <w:rPr>
                <w:noProof/>
              </w:rPr>
              <w:t xml:space="preserve"> </w:t>
            </w:r>
          </w:p>
          <w:p w14:paraId="47297FC0" w14:textId="3CE2FA32" w:rsidR="00913681" w:rsidRPr="001562B3" w:rsidRDefault="00913681">
            <w:pPr>
              <w:pStyle w:val="InstructionsText"/>
              <w:rPr>
                <w:rStyle w:val="InstructionsTabelleberschrift"/>
                <w:rFonts w:ascii="Times New Roman" w:hAnsi="Times New Roman"/>
                <w:sz w:val="24"/>
                <w:lang w:eastAsia="en-US"/>
              </w:rPr>
            </w:pPr>
            <w:r w:rsidRPr="001562B3">
              <w:rPr>
                <w:rStyle w:val="FormatvorlageInstructionsTabelleText"/>
                <w:rFonts w:ascii="Times New Roman" w:hAnsi="Times New Roman"/>
                <w:sz w:val="24"/>
              </w:rPr>
              <w:t>This column shall reflect the difference between amounts of</w:t>
            </w:r>
            <w:r w:rsidR="00631A23" w:rsidRPr="001562B3">
              <w:rPr>
                <w:rStyle w:val="FormatvorlageInstructionsTabelleText"/>
                <w:rFonts w:ascii="Times New Roman" w:hAnsi="Times New Roman"/>
                <w:sz w:val="24"/>
              </w:rPr>
              <w:t xml:space="preserve"> own funds and</w:t>
            </w:r>
            <w:r w:rsidRPr="001562B3">
              <w:rPr>
                <w:rStyle w:val="FormatvorlageInstructionsTabelleText"/>
                <w:rFonts w:ascii="Times New Roman" w:hAnsi="Times New Roman"/>
                <w:sz w:val="24"/>
              </w:rPr>
              <w:t xml:space="preserve"> </w:t>
            </w:r>
            <w:r w:rsidR="001048C4" w:rsidRPr="001562B3">
              <w:rPr>
                <w:rStyle w:val="FormatvorlageInstructionsTabelleText"/>
                <w:rFonts w:ascii="Times New Roman" w:hAnsi="Times New Roman"/>
                <w:sz w:val="24"/>
              </w:rPr>
              <w:t>liabilities</w:t>
            </w:r>
            <w:r w:rsidRPr="001562B3">
              <w:rPr>
                <w:rStyle w:val="FormatvorlageInstructionsTabelleText"/>
                <w:rFonts w:ascii="Times New Roman" w:hAnsi="Times New Roman"/>
                <w:sz w:val="24"/>
              </w:rPr>
              <w:t xml:space="preserve"> eligible to </w:t>
            </w:r>
            <w:r w:rsidR="000B5E2E" w:rsidRPr="001562B3">
              <w:rPr>
                <w:rStyle w:val="FormatvorlageInstructionsTabelleText"/>
                <w:rFonts w:ascii="Times New Roman" w:hAnsi="Times New Roman"/>
                <w:sz w:val="24"/>
              </w:rPr>
              <w:t>fulfil</w:t>
            </w:r>
            <w:r w:rsidR="00A47334"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 xml:space="preserve">the requirement </w:t>
            </w:r>
            <w:r w:rsidR="006852D5"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w:t>
            </w:r>
            <w:r w:rsidR="00A47334" w:rsidRPr="001562B3">
              <w:rPr>
                <w:rStyle w:val="FormatvorlageInstructionsTabelleText"/>
                <w:rFonts w:ascii="Times New Roman" w:hAnsi="Times New Roman"/>
                <w:sz w:val="24"/>
              </w:rPr>
              <w:t xml:space="preserve">45 </w:t>
            </w:r>
            <w:r w:rsidR="006852D5" w:rsidRPr="001562B3">
              <w:rPr>
                <w:rStyle w:val="InstructionsTabelleberschrift"/>
                <w:rFonts w:ascii="Times New Roman" w:hAnsi="Times New Roman"/>
                <w:b w:val="0"/>
                <w:sz w:val="24"/>
                <w:u w:val="none"/>
              </w:rPr>
              <w:t>of Directive 2014/59/EU</w:t>
            </w:r>
            <w:r w:rsidR="00631A23" w:rsidRPr="001562B3">
              <w:rPr>
                <w:rStyle w:val="FormatvorlageInstructionsTabelleText"/>
                <w:rFonts w:ascii="Times New Roman" w:hAnsi="Times New Roman"/>
                <w:sz w:val="24"/>
              </w:rPr>
              <w:t xml:space="preserve"> in accordance with Article 45e </w:t>
            </w:r>
            <w:r w:rsidR="006852D5" w:rsidRPr="001562B3">
              <w:rPr>
                <w:rStyle w:val="FormatvorlageInstructionsTabelleText"/>
                <w:rFonts w:ascii="Times New Roman" w:hAnsi="Times New Roman"/>
                <w:sz w:val="24"/>
              </w:rPr>
              <w:t>of that Directive</w:t>
            </w:r>
            <w:r w:rsidRPr="001562B3">
              <w:rPr>
                <w:rStyle w:val="FormatvorlageInstructionsTabelleText"/>
                <w:rFonts w:ascii="Times New Roman" w:hAnsi="Times New Roman"/>
                <w:sz w:val="24"/>
              </w:rPr>
              <w:t xml:space="preserve"> and the amount of </w:t>
            </w:r>
            <w:r w:rsidR="00631A23" w:rsidRPr="001562B3">
              <w:rPr>
                <w:rStyle w:val="FormatvorlageInstructionsTabelleText"/>
                <w:rFonts w:ascii="Times New Roman" w:hAnsi="Times New Roman"/>
                <w:sz w:val="24"/>
              </w:rPr>
              <w:t xml:space="preserve">own funds and </w:t>
            </w:r>
            <w:r w:rsidRPr="001562B3">
              <w:rPr>
                <w:rStyle w:val="FormatvorlageInstructionsTabelleText"/>
                <w:rFonts w:ascii="Times New Roman" w:hAnsi="Times New Roman"/>
                <w:sz w:val="24"/>
              </w:rPr>
              <w:t xml:space="preserve">liabilities eligible to </w:t>
            </w:r>
            <w:r w:rsidR="000B5E2E" w:rsidRPr="001562B3">
              <w:rPr>
                <w:rStyle w:val="FormatvorlageInstructionsTabelleText"/>
                <w:rFonts w:ascii="Times New Roman" w:hAnsi="Times New Roman"/>
                <w:sz w:val="24"/>
              </w:rPr>
              <w:t>fulfil</w:t>
            </w:r>
            <w:r w:rsidRPr="001562B3">
              <w:rPr>
                <w:rStyle w:val="FormatvorlageInstructionsTabelleText"/>
                <w:rFonts w:ascii="Times New Roman" w:hAnsi="Times New Roman"/>
                <w:sz w:val="24"/>
              </w:rPr>
              <w:t xml:space="preserve"> the requirement </w:t>
            </w:r>
            <w:r w:rsidR="006852D5"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92a </w:t>
            </w:r>
            <w:r w:rsidR="006852D5" w:rsidRPr="001562B3">
              <w:t>of Regulation (EU) No 575/2013</w:t>
            </w:r>
            <w:r w:rsidRPr="001562B3">
              <w:rPr>
                <w:rStyle w:val="FormatvorlageInstructionsTabelleText"/>
                <w:rFonts w:ascii="Times New Roman" w:hAnsi="Times New Roman"/>
                <w:sz w:val="24"/>
              </w:rPr>
              <w:t>.</w:t>
            </w:r>
          </w:p>
        </w:tc>
      </w:tr>
    </w:tbl>
    <w:p w14:paraId="29964C1D" w14:textId="77777777" w:rsidR="00913681" w:rsidRPr="001562B3" w:rsidRDefault="00913681" w:rsidP="00E05895">
      <w:pPr>
        <w:pStyle w:val="InstructionsText"/>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F72178" w:rsidRPr="001562B3" w14:paraId="7163FE27" w14:textId="77777777" w:rsidTr="007674DE">
        <w:tc>
          <w:tcPr>
            <w:tcW w:w="1129" w:type="dxa"/>
            <w:shd w:val="clear" w:color="auto" w:fill="D9D9D9"/>
          </w:tcPr>
          <w:p w14:paraId="22DE3533" w14:textId="77777777" w:rsidR="00F72178" w:rsidRPr="001562B3" w:rsidRDefault="00F72178" w:rsidP="008E501F">
            <w:pPr>
              <w:pStyle w:val="InstructionsText"/>
              <w:rPr>
                <w:rStyle w:val="InstructionsTabelleText"/>
                <w:rFonts w:ascii="Times New Roman" w:hAnsi="Times New Roman"/>
                <w:bCs/>
                <w:sz w:val="24"/>
                <w:lang w:eastAsia="en-US"/>
              </w:rPr>
            </w:pPr>
            <w:r w:rsidRPr="001562B3">
              <w:rPr>
                <w:rStyle w:val="FormatvorlageInstructionsTabelleText"/>
                <w:rFonts w:ascii="Times New Roman" w:hAnsi="Times New Roman"/>
                <w:sz w:val="24"/>
              </w:rPr>
              <w:lastRenderedPageBreak/>
              <w:t>Row</w:t>
            </w:r>
          </w:p>
        </w:tc>
        <w:tc>
          <w:tcPr>
            <w:tcW w:w="7620" w:type="dxa"/>
            <w:shd w:val="clear" w:color="auto" w:fill="D9D9D9"/>
          </w:tcPr>
          <w:p w14:paraId="41ABA84A" w14:textId="77777777" w:rsidR="00F72178" w:rsidRPr="001562B3" w:rsidRDefault="00F72178">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Legal references and instructions</w:t>
            </w:r>
          </w:p>
        </w:tc>
      </w:tr>
      <w:tr w:rsidR="000A3889" w:rsidRPr="001562B3" w14:paraId="47BD65D4" w14:textId="77777777" w:rsidTr="001D28F3">
        <w:tc>
          <w:tcPr>
            <w:tcW w:w="1129" w:type="dxa"/>
            <w:vAlign w:val="center"/>
          </w:tcPr>
          <w:p w14:paraId="3AEE63B0" w14:textId="6FCE879C" w:rsidR="000A3889" w:rsidRPr="001562B3" w:rsidRDefault="000A3889" w:rsidP="00E05895">
            <w:pPr>
              <w:pStyle w:val="InstructionsText"/>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10</w:t>
            </w:r>
          </w:p>
        </w:tc>
        <w:tc>
          <w:tcPr>
            <w:tcW w:w="7620" w:type="dxa"/>
            <w:vAlign w:val="center"/>
          </w:tcPr>
          <w:p w14:paraId="3E6078FF" w14:textId="61357071" w:rsidR="00014A29" w:rsidRPr="001562B3" w:rsidRDefault="000A3889" w:rsidP="008E501F">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OWN FUNDS AND ELIGIBLE LIABILITIES</w:t>
            </w:r>
          </w:p>
          <w:p w14:paraId="158DD0F6" w14:textId="42467472" w:rsidR="00BE3EAB" w:rsidRPr="001562B3" w:rsidRDefault="000A3889">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Own funds and eligible liabilities for the purpose</w:t>
            </w:r>
            <w:r w:rsidR="00BE3EAB" w:rsidRPr="001562B3">
              <w:rPr>
                <w:rStyle w:val="FormatvorlageInstructionsTabelleText"/>
                <w:rFonts w:ascii="Times New Roman" w:hAnsi="Times New Roman"/>
                <w:sz w:val="24"/>
              </w:rPr>
              <w:t>s</w:t>
            </w:r>
            <w:r w:rsidRPr="001562B3">
              <w:rPr>
                <w:rStyle w:val="FormatvorlageInstructionsTabelleText"/>
                <w:rFonts w:ascii="Times New Roman" w:hAnsi="Times New Roman"/>
                <w:sz w:val="24"/>
              </w:rPr>
              <w:t xml:space="preserve"> of </w:t>
            </w:r>
            <w:r w:rsidR="001048C4" w:rsidRPr="001562B3">
              <w:rPr>
                <w:rStyle w:val="FormatvorlageInstructionsTabelleText"/>
                <w:rFonts w:ascii="Times New Roman" w:hAnsi="Times New Roman"/>
                <w:sz w:val="24"/>
              </w:rPr>
              <w:t xml:space="preserve">Article </w:t>
            </w:r>
            <w:r w:rsidR="005F608F" w:rsidRPr="001562B3">
              <w:rPr>
                <w:rStyle w:val="FormatvorlageInstructionsTabelleText"/>
                <w:rFonts w:ascii="Times New Roman" w:hAnsi="Times New Roman"/>
                <w:sz w:val="24"/>
              </w:rPr>
              <w:t>45</w:t>
            </w:r>
            <w:r w:rsidR="00631A23" w:rsidRPr="001562B3">
              <w:rPr>
                <w:rStyle w:val="FormatvorlageInstructionsTabelleText"/>
                <w:rFonts w:ascii="Times New Roman" w:hAnsi="Times New Roman"/>
                <w:sz w:val="24"/>
              </w:rPr>
              <w:t>e</w:t>
            </w:r>
            <w:r w:rsidR="005F608F" w:rsidRPr="001562B3">
              <w:rPr>
                <w:rStyle w:val="FormatvorlageInstructionsTabelleText"/>
                <w:rFonts w:ascii="Times New Roman" w:hAnsi="Times New Roman"/>
                <w:sz w:val="24"/>
              </w:rPr>
              <w:t xml:space="preserve"> </w:t>
            </w:r>
            <w:r w:rsidR="00FE656D" w:rsidRPr="001562B3">
              <w:rPr>
                <w:rStyle w:val="InstructionsTabelleberschrift"/>
                <w:rFonts w:ascii="Times New Roman" w:hAnsi="Times New Roman"/>
                <w:b w:val="0"/>
                <w:sz w:val="24"/>
                <w:u w:val="none"/>
              </w:rPr>
              <w:t>of Directive 2014/59/EU</w:t>
            </w:r>
            <w:r w:rsidR="005F608F" w:rsidRPr="001562B3">
              <w:rPr>
                <w:rStyle w:val="FormatvorlageInstructionsTabelleText"/>
                <w:rFonts w:ascii="Times New Roman" w:hAnsi="Times New Roman"/>
                <w:sz w:val="24"/>
              </w:rPr>
              <w:t xml:space="preserve"> and </w:t>
            </w:r>
            <w:r w:rsidR="00FE656D" w:rsidRPr="001562B3">
              <w:rPr>
                <w:rStyle w:val="FormatvorlageInstructionsTabelleText"/>
                <w:rFonts w:ascii="Times New Roman" w:hAnsi="Times New Roman"/>
                <w:sz w:val="24"/>
              </w:rPr>
              <w:t xml:space="preserve">Article </w:t>
            </w:r>
            <w:r w:rsidRPr="001562B3">
              <w:rPr>
                <w:rStyle w:val="FormatvorlageInstructionsTabelleText"/>
                <w:rFonts w:ascii="Times New Roman" w:hAnsi="Times New Roman"/>
                <w:sz w:val="24"/>
              </w:rPr>
              <w:t xml:space="preserve">92a </w:t>
            </w:r>
            <w:r w:rsidR="00FE656D" w:rsidRPr="001562B3">
              <w:t>of Regulation (EU) No 575/2013</w:t>
            </w:r>
          </w:p>
          <w:p w14:paraId="47315A58" w14:textId="3A637A51" w:rsidR="00014A29" w:rsidRPr="001562B3" w:rsidRDefault="00014A29">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3E6FE74F" w14:textId="77777777" w:rsidR="00BE3EAB" w:rsidRPr="001562B3" w:rsidRDefault="00BE3EAB" w:rsidP="00BE3EAB">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The amount of own funds and eligible liabilities counting towards MREL shall be reported as the sum of:</w:t>
            </w:r>
          </w:p>
          <w:p w14:paraId="66099F0F" w14:textId="7D8E0B7E" w:rsidR="00BE3EAB" w:rsidRPr="001562B3" w:rsidRDefault="00BE3EAB" w:rsidP="00FE656D">
            <w:pPr>
              <w:pStyle w:val="ListParagraph"/>
              <w:numPr>
                <w:ilvl w:val="0"/>
                <w:numId w:val="28"/>
              </w:num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own funds as </w:t>
            </w:r>
            <w:r w:rsidR="00FE656D" w:rsidRPr="001562B3">
              <w:rPr>
                <w:rStyle w:val="FormatvorlageInstructionsTabelleText"/>
                <w:rFonts w:ascii="Times New Roman" w:hAnsi="Times New Roman"/>
                <w:sz w:val="24"/>
                <w:lang w:eastAsia="de-DE"/>
              </w:rPr>
              <w:t>defined in</w:t>
            </w:r>
            <w:r w:rsidRPr="001562B3">
              <w:rPr>
                <w:rStyle w:val="FormatvorlageInstructionsTabelleText"/>
                <w:rFonts w:ascii="Times New Roman" w:hAnsi="Times New Roman"/>
                <w:sz w:val="24"/>
                <w:lang w:eastAsia="de-DE"/>
              </w:rPr>
              <w:t xml:space="preserve"> </w:t>
            </w:r>
            <w:r w:rsidR="00740250" w:rsidRPr="001562B3">
              <w:rPr>
                <w:rStyle w:val="FormatvorlageInstructionsTabelleText"/>
                <w:rFonts w:ascii="Times New Roman" w:hAnsi="Times New Roman"/>
                <w:sz w:val="24"/>
                <w:lang w:eastAsia="de-DE"/>
              </w:rPr>
              <w:t xml:space="preserve">point (118) of </w:t>
            </w:r>
            <w:r w:rsidRPr="001562B3">
              <w:rPr>
                <w:rStyle w:val="FormatvorlageInstructionsTabelleText"/>
                <w:rFonts w:ascii="Times New Roman" w:hAnsi="Times New Roman"/>
                <w:sz w:val="24"/>
                <w:lang w:eastAsia="de-DE"/>
              </w:rPr>
              <w:t xml:space="preserve">Article 4(1) and </w:t>
            </w:r>
            <w:r w:rsidR="00740250" w:rsidRPr="001562B3">
              <w:rPr>
                <w:rStyle w:val="FormatvorlageInstructionsTabelleText"/>
                <w:rFonts w:ascii="Times New Roman" w:hAnsi="Times New Roman"/>
                <w:sz w:val="24"/>
                <w:lang w:eastAsia="de-DE"/>
              </w:rPr>
              <w:t xml:space="preserve">Article </w:t>
            </w:r>
            <w:r w:rsidRPr="001562B3">
              <w:rPr>
                <w:rStyle w:val="FormatvorlageInstructionsTabelleText"/>
                <w:rFonts w:ascii="Times New Roman" w:hAnsi="Times New Roman"/>
                <w:sz w:val="24"/>
                <w:lang w:eastAsia="de-DE"/>
              </w:rPr>
              <w:t xml:space="preserve">72 </w:t>
            </w:r>
            <w:r w:rsidR="00FE656D"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xml:space="preserve"> </w:t>
            </w:r>
          </w:p>
          <w:p w14:paraId="1A27E8BB" w14:textId="568E02B1" w:rsidR="00BE3EAB" w:rsidRPr="001562B3" w:rsidRDefault="00BE3EAB" w:rsidP="00FE656D">
            <w:pPr>
              <w:pStyle w:val="ListParagraph"/>
              <w:numPr>
                <w:ilvl w:val="0"/>
                <w:numId w:val="28"/>
              </w:num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lang w:eastAsia="de-DE"/>
              </w:rPr>
              <w:t xml:space="preserve">eligible liabilities </w:t>
            </w:r>
            <w:r w:rsidR="00631A23" w:rsidRPr="001562B3">
              <w:rPr>
                <w:rStyle w:val="FormatvorlageInstructionsTabelleText"/>
                <w:rFonts w:ascii="Times New Roman" w:hAnsi="Times New Roman"/>
                <w:sz w:val="24"/>
                <w:lang w:eastAsia="de-DE"/>
              </w:rPr>
              <w:t>as defined in point (71a) of Article 2(1)</w:t>
            </w:r>
            <w:r w:rsidRPr="001562B3">
              <w:rPr>
                <w:rStyle w:val="FormatvorlageInstructionsTabelleText"/>
                <w:rFonts w:ascii="Times New Roman" w:hAnsi="Times New Roman"/>
                <w:sz w:val="24"/>
                <w:lang w:eastAsia="de-DE"/>
              </w:rPr>
              <w:t xml:space="preserve"> </w:t>
            </w:r>
            <w:r w:rsidR="00FE656D" w:rsidRPr="001562B3">
              <w:rPr>
                <w:rStyle w:val="FormatvorlageInstructionsTabelleText"/>
                <w:rFonts w:ascii="Times New Roman" w:hAnsi="Times New Roman"/>
                <w:sz w:val="24"/>
                <w:lang w:eastAsia="de-DE"/>
              </w:rPr>
              <w:t>of Directive 2014/59/EU</w:t>
            </w:r>
            <w:r w:rsidRPr="001562B3">
              <w:rPr>
                <w:rStyle w:val="FormatvorlageInstructionsTabelleText"/>
                <w:rFonts w:ascii="Times New Roman" w:hAnsi="Times New Roman"/>
                <w:sz w:val="24"/>
                <w:lang w:eastAsia="de-DE"/>
              </w:rPr>
              <w:t>.</w:t>
            </w:r>
          </w:p>
          <w:p w14:paraId="0A028721" w14:textId="1AD9116B" w:rsidR="00014A29" w:rsidRPr="001562B3" w:rsidRDefault="00014A29" w:rsidP="00BE3EAB">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FE656D"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55</w:t>
            </w:r>
            <w:r w:rsidR="00FE656D" w:rsidRPr="001562B3">
              <w:rPr>
                <w:rStyle w:val="FormatvorlageInstructionsTabelleText"/>
                <w:rFonts w:ascii="Times New Roman" w:hAnsi="Times New Roman"/>
                <w:sz w:val="24"/>
              </w:rPr>
              <w:t xml:space="preserve"> of Directive 2014/59/EU</w:t>
            </w:r>
            <w:r w:rsidRPr="001562B3">
              <w:rPr>
                <w:rStyle w:val="FormatvorlageInstructionsTabelleText"/>
                <w:rFonts w:ascii="Times New Roman" w:hAnsi="Times New Roman"/>
                <w:sz w:val="24"/>
              </w:rPr>
              <w:t>.</w:t>
            </w:r>
          </w:p>
          <w:p w14:paraId="21D33D83" w14:textId="26A4BEC2" w:rsidR="00014A29" w:rsidRPr="001562B3" w:rsidRDefault="00014A29" w:rsidP="00BE3EAB">
            <w:pPr>
              <w:rPr>
                <w:rStyle w:val="FormatvorlageInstructionsTabelleText"/>
                <w:rFonts w:ascii="Times New Roman" w:hAnsi="Times New Roman"/>
                <w:i/>
                <w:sz w:val="24"/>
                <w:lang w:eastAsia="de-DE"/>
              </w:rPr>
            </w:pPr>
            <w:r w:rsidRPr="001562B3">
              <w:rPr>
                <w:rStyle w:val="FormatvorlageInstructionsTabelleText"/>
                <w:rFonts w:ascii="Times New Roman" w:hAnsi="Times New Roman"/>
                <w:i/>
                <w:sz w:val="24"/>
                <w:lang w:eastAsia="de-DE"/>
              </w:rPr>
              <w:t>TLAC</w:t>
            </w:r>
          </w:p>
          <w:p w14:paraId="0817FF17" w14:textId="147DF078" w:rsidR="00BE3EAB" w:rsidRPr="001562B3" w:rsidRDefault="00BE3EAB" w:rsidP="00BE3EAB">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The amount of own funds and eligible liabilities counting towards the requirement for own funds and eligible liabilities </w:t>
            </w:r>
            <w:r w:rsidR="001048C4" w:rsidRPr="001562B3">
              <w:rPr>
                <w:rStyle w:val="FormatvorlageInstructionsTabelleText"/>
                <w:rFonts w:ascii="Times New Roman" w:hAnsi="Times New Roman"/>
                <w:sz w:val="24"/>
                <w:lang w:eastAsia="de-DE"/>
              </w:rPr>
              <w:t>for G-SIIs</w:t>
            </w:r>
            <w:r w:rsidR="00231C4F" w:rsidRPr="001562B3">
              <w:rPr>
                <w:rStyle w:val="FormatvorlageInstructionsTabelleText"/>
                <w:rFonts w:ascii="Times New Roman" w:hAnsi="Times New Roman"/>
                <w:sz w:val="24"/>
                <w:lang w:eastAsia="de-DE"/>
              </w:rPr>
              <w:t xml:space="preserve"> (TLAC)</w:t>
            </w:r>
            <w:r w:rsidR="001048C4" w:rsidRPr="001562B3">
              <w:rPr>
                <w:rStyle w:val="FormatvorlageInstructionsTabelleText"/>
                <w:rFonts w:ascii="Times New Roman" w:hAnsi="Times New Roman"/>
                <w:sz w:val="24"/>
                <w:lang w:eastAsia="de-DE"/>
              </w:rPr>
              <w:t xml:space="preserve"> </w:t>
            </w:r>
            <w:r w:rsidRPr="001562B3">
              <w:rPr>
                <w:rStyle w:val="FormatvorlageInstructionsTabelleText"/>
                <w:rFonts w:ascii="Times New Roman" w:hAnsi="Times New Roman"/>
                <w:sz w:val="24"/>
                <w:lang w:eastAsia="de-DE"/>
              </w:rPr>
              <w:t xml:space="preserve">shall be the amount referred to in Article 72l </w:t>
            </w:r>
            <w:r w:rsidR="00A65357"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consisting of:</w:t>
            </w:r>
          </w:p>
          <w:p w14:paraId="23B4F5AB" w14:textId="549D159A" w:rsidR="00D83C2E" w:rsidRPr="001562B3" w:rsidRDefault="00BE3EAB" w:rsidP="00A65357">
            <w:pPr>
              <w:pStyle w:val="ListParagraph"/>
              <w:numPr>
                <w:ilvl w:val="0"/>
                <w:numId w:val="27"/>
              </w:num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lang w:eastAsia="de-DE"/>
              </w:rPr>
              <w:t xml:space="preserve">own funds as </w:t>
            </w:r>
            <w:r w:rsidR="00A65357" w:rsidRPr="001562B3">
              <w:rPr>
                <w:rStyle w:val="FormatvorlageInstructionsTabelleText"/>
                <w:rFonts w:ascii="Times New Roman" w:hAnsi="Times New Roman"/>
                <w:sz w:val="24"/>
                <w:lang w:eastAsia="de-DE"/>
              </w:rPr>
              <w:t>defined</w:t>
            </w:r>
            <w:r w:rsidRPr="001562B3">
              <w:rPr>
                <w:rStyle w:val="FormatvorlageInstructionsTabelleText"/>
                <w:rFonts w:ascii="Times New Roman" w:hAnsi="Times New Roman"/>
                <w:sz w:val="24"/>
                <w:lang w:eastAsia="de-DE"/>
              </w:rPr>
              <w:t xml:space="preserve"> in </w:t>
            </w:r>
            <w:r w:rsidR="00740250" w:rsidRPr="001562B3">
              <w:rPr>
                <w:rStyle w:val="FormatvorlageInstructionsTabelleText"/>
                <w:rFonts w:ascii="Times New Roman" w:hAnsi="Times New Roman"/>
                <w:sz w:val="24"/>
                <w:lang w:eastAsia="de-DE"/>
              </w:rPr>
              <w:t xml:space="preserve">point (118) of </w:t>
            </w:r>
            <w:r w:rsidRPr="001562B3">
              <w:rPr>
                <w:rStyle w:val="FormatvorlageInstructionsTabelleText"/>
                <w:rFonts w:ascii="Times New Roman" w:hAnsi="Times New Roman"/>
                <w:sz w:val="24"/>
                <w:lang w:eastAsia="de-DE"/>
              </w:rPr>
              <w:t xml:space="preserve">Article 4(1) and </w:t>
            </w:r>
            <w:r w:rsidR="00740250" w:rsidRPr="001562B3">
              <w:rPr>
                <w:rStyle w:val="FormatvorlageInstructionsTabelleText"/>
                <w:rFonts w:ascii="Times New Roman" w:hAnsi="Times New Roman"/>
                <w:sz w:val="24"/>
                <w:lang w:eastAsia="de-DE"/>
              </w:rPr>
              <w:t xml:space="preserve">Article </w:t>
            </w:r>
            <w:r w:rsidRPr="001562B3">
              <w:rPr>
                <w:rStyle w:val="FormatvorlageInstructionsTabelleText"/>
                <w:rFonts w:ascii="Times New Roman" w:hAnsi="Times New Roman"/>
                <w:sz w:val="24"/>
                <w:lang w:eastAsia="de-DE"/>
              </w:rPr>
              <w:t xml:space="preserve">72 </w:t>
            </w:r>
            <w:r w:rsidR="00A65357" w:rsidRPr="001562B3">
              <w:rPr>
                <w:rStyle w:val="FormatvorlageInstructionsTabelleText"/>
                <w:rFonts w:ascii="Times New Roman" w:hAnsi="Times New Roman"/>
                <w:sz w:val="24"/>
                <w:lang w:eastAsia="de-DE"/>
              </w:rPr>
              <w:t>of Regulation (EU) No 575/2013;</w:t>
            </w:r>
          </w:p>
          <w:p w14:paraId="6DCF60B1" w14:textId="29528B6A" w:rsidR="00307CFC" w:rsidRPr="001562B3" w:rsidRDefault="00BE3EAB" w:rsidP="00A65357">
            <w:pPr>
              <w:pStyle w:val="ListParagraph"/>
              <w:numPr>
                <w:ilvl w:val="0"/>
                <w:numId w:val="27"/>
              </w:numPr>
              <w:rPr>
                <w:rStyle w:val="InstructionsTabelleberschrift"/>
                <w:rFonts w:ascii="Times New Roman" w:hAnsi="Times New Roman"/>
                <w:b w:val="0"/>
                <w:sz w:val="24"/>
              </w:rPr>
            </w:pPr>
            <w:r w:rsidRPr="001562B3">
              <w:rPr>
                <w:rStyle w:val="FormatvorlageInstructionsTabelleText"/>
                <w:rFonts w:ascii="Times New Roman" w:hAnsi="Times New Roman"/>
                <w:sz w:val="24"/>
                <w:lang w:eastAsia="de-DE"/>
              </w:rPr>
              <w:t xml:space="preserve">eligible liabilities </w:t>
            </w:r>
            <w:r w:rsidR="00AB6AB2" w:rsidRPr="001562B3">
              <w:rPr>
                <w:rStyle w:val="FormatvorlageInstructionsTabelleText"/>
                <w:rFonts w:ascii="Times New Roman" w:hAnsi="Times New Roman"/>
                <w:sz w:val="24"/>
                <w:lang w:eastAsia="de-DE"/>
              </w:rPr>
              <w:t xml:space="preserve">in accordance with Article 72k </w:t>
            </w:r>
            <w:r w:rsidR="00A65357"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w:t>
            </w:r>
          </w:p>
        </w:tc>
      </w:tr>
      <w:tr w:rsidR="00F72178" w:rsidRPr="001562B3" w14:paraId="45F49B4E" w14:textId="77777777" w:rsidTr="007674DE">
        <w:tc>
          <w:tcPr>
            <w:tcW w:w="1129" w:type="dxa"/>
          </w:tcPr>
          <w:p w14:paraId="241A0978" w14:textId="00F1C803" w:rsidR="00F72178" w:rsidRPr="001562B3" w:rsidRDefault="00F7217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tcPr>
          <w:p w14:paraId="15E9F845" w14:textId="5692C9FF" w:rsidR="00F72178" w:rsidRPr="001562B3" w:rsidRDefault="00880C0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Eligible</w:t>
            </w: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 xml:space="preserve"> o</w:t>
            </w:r>
            <w:r w:rsidR="00F72178" w:rsidRPr="001562B3">
              <w:rPr>
                <w:rStyle w:val="InstructionsTabelleberschrift"/>
                <w:rFonts w:ascii="Times New Roman" w:hAnsi="Times New Roman"/>
                <w:sz w:val="24"/>
              </w:rPr>
              <w:t>wn funds</w:t>
            </w:r>
          </w:p>
          <w:p w14:paraId="090BDA8C" w14:textId="5EBB2C82" w:rsidR="00F72178" w:rsidRPr="001562B3" w:rsidRDefault="00740250">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Point (118) of </w:t>
            </w:r>
            <w:r w:rsidR="006C308D" w:rsidRPr="001562B3">
              <w:rPr>
                <w:rStyle w:val="FormatvorlageInstructionsTabelleText"/>
                <w:rFonts w:ascii="Times New Roman" w:hAnsi="Times New Roman"/>
                <w:sz w:val="24"/>
              </w:rPr>
              <w:t xml:space="preserve">Article 4(1) and </w:t>
            </w:r>
            <w:r w:rsidR="00A65357" w:rsidRPr="001562B3">
              <w:rPr>
                <w:rStyle w:val="FormatvorlageInstructionsTabelleText"/>
                <w:rFonts w:ascii="Times New Roman" w:hAnsi="Times New Roman"/>
                <w:sz w:val="24"/>
              </w:rPr>
              <w:t xml:space="preserve">Article </w:t>
            </w:r>
            <w:r w:rsidR="006C308D" w:rsidRPr="001562B3">
              <w:rPr>
                <w:rStyle w:val="FormatvorlageInstructionsTabelleText"/>
                <w:rFonts w:ascii="Times New Roman" w:hAnsi="Times New Roman"/>
                <w:sz w:val="24"/>
              </w:rPr>
              <w:t xml:space="preserve">72 </w:t>
            </w:r>
            <w:r w:rsidR="00A65357" w:rsidRPr="001562B3">
              <w:rPr>
                <w:rStyle w:val="FormatvorlageInstructionsTabelleText"/>
                <w:rFonts w:ascii="Times New Roman" w:hAnsi="Times New Roman"/>
                <w:sz w:val="24"/>
              </w:rPr>
              <w:t>of Regulation (EU) No 575/2013</w:t>
            </w:r>
          </w:p>
          <w:p w14:paraId="568BA2E2" w14:textId="2B97F467" w:rsidR="00631A23" w:rsidRPr="001562B3" w:rsidRDefault="00DD50DC">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I</w:t>
            </w:r>
            <w:r w:rsidR="00014A29" w:rsidRPr="001562B3">
              <w:rPr>
                <w:rStyle w:val="FormatvorlageInstructionsTabelleText"/>
                <w:rFonts w:ascii="Times New Roman" w:hAnsi="Times New Roman"/>
                <w:sz w:val="24"/>
              </w:rPr>
              <w:t xml:space="preserve">n case of </w:t>
            </w:r>
            <w:r w:rsidRPr="001562B3">
              <w:rPr>
                <w:rStyle w:val="FormatvorlageInstructionsTabelleText"/>
                <w:rFonts w:ascii="Times New Roman" w:hAnsi="Times New Roman"/>
                <w:sz w:val="24"/>
              </w:rPr>
              <w:t xml:space="preserve">MREL, </w:t>
            </w:r>
            <w:r w:rsidR="00014A29" w:rsidRPr="001562B3">
              <w:rPr>
                <w:rStyle w:val="FormatvorlageInstructionsTabelleText"/>
                <w:rFonts w:ascii="Times New Roman" w:hAnsi="Times New Roman"/>
                <w:sz w:val="24"/>
              </w:rPr>
              <w:t xml:space="preserve">instruments governed by the law of a third country shall only be included </w:t>
            </w:r>
            <w:r w:rsidR="00631A23" w:rsidRPr="001562B3">
              <w:rPr>
                <w:rStyle w:val="InstructionsTabelleberschrift"/>
                <w:rFonts w:ascii="Times New Roman" w:hAnsi="Times New Roman"/>
                <w:b w:val="0"/>
                <w:sz w:val="24"/>
                <w:u w:val="none"/>
              </w:rPr>
              <w:t xml:space="preserve">in this row and </w:t>
            </w:r>
            <w:r w:rsidR="00A65357" w:rsidRPr="001562B3">
              <w:rPr>
                <w:rStyle w:val="InstructionsTabelleberschrift"/>
                <w:rFonts w:ascii="Times New Roman" w:hAnsi="Times New Roman"/>
                <w:b w:val="0"/>
                <w:sz w:val="24"/>
                <w:u w:val="none"/>
              </w:rPr>
              <w:t xml:space="preserve">in </w:t>
            </w:r>
            <w:r w:rsidR="00631A23" w:rsidRPr="001562B3">
              <w:rPr>
                <w:rStyle w:val="InstructionsTabelleberschrift"/>
                <w:rFonts w:ascii="Times New Roman" w:hAnsi="Times New Roman"/>
                <w:b w:val="0"/>
                <w:sz w:val="24"/>
                <w:u w:val="none"/>
              </w:rPr>
              <w:t>the rows 00</w:t>
            </w:r>
            <w:r w:rsidR="00014A29" w:rsidRPr="001562B3">
              <w:rPr>
                <w:rStyle w:val="InstructionsTabelleberschrift"/>
                <w:rFonts w:ascii="Times New Roman" w:hAnsi="Times New Roman"/>
                <w:b w:val="0"/>
                <w:sz w:val="24"/>
                <w:u w:val="none"/>
              </w:rPr>
              <w:t>4</w:t>
            </w:r>
            <w:r w:rsidR="00631A23" w:rsidRPr="001562B3">
              <w:rPr>
                <w:rStyle w:val="InstructionsTabelleberschrift"/>
                <w:rFonts w:ascii="Times New Roman" w:hAnsi="Times New Roman"/>
                <w:b w:val="0"/>
                <w:sz w:val="24"/>
                <w:u w:val="none"/>
              </w:rPr>
              <w:t>0</w:t>
            </w:r>
            <w:r w:rsidR="00014A29" w:rsidRPr="001562B3">
              <w:rPr>
                <w:rStyle w:val="InstructionsTabelleberschrift"/>
                <w:rFonts w:ascii="Times New Roman" w:hAnsi="Times New Roman"/>
                <w:b w:val="0"/>
                <w:sz w:val="24"/>
                <w:u w:val="none"/>
              </w:rPr>
              <w:t xml:space="preserve"> and</w:t>
            </w:r>
            <w:r w:rsidR="00631A23" w:rsidRPr="001562B3">
              <w:rPr>
                <w:rStyle w:val="InstructionsTabelleberschrift"/>
                <w:rFonts w:ascii="Times New Roman" w:hAnsi="Times New Roman"/>
                <w:b w:val="0"/>
                <w:sz w:val="24"/>
                <w:u w:val="none"/>
              </w:rPr>
              <w:t xml:space="preserve"> 00</w:t>
            </w:r>
            <w:r w:rsidR="00EF1BBD" w:rsidRPr="001562B3">
              <w:rPr>
                <w:rStyle w:val="InstructionsTabelleberschrift"/>
                <w:rFonts w:ascii="Times New Roman" w:hAnsi="Times New Roman"/>
                <w:b w:val="0"/>
                <w:sz w:val="24"/>
                <w:u w:val="none"/>
              </w:rPr>
              <w:t>5</w:t>
            </w:r>
            <w:r w:rsidR="00631A23" w:rsidRPr="001562B3">
              <w:rPr>
                <w:rStyle w:val="InstructionsTabelleberschrift"/>
                <w:rFonts w:ascii="Times New Roman" w:hAnsi="Times New Roman"/>
                <w:b w:val="0"/>
                <w:sz w:val="24"/>
                <w:u w:val="none"/>
              </w:rPr>
              <w:t>0</w:t>
            </w:r>
            <w:r w:rsidR="00014A29" w:rsidRPr="001562B3">
              <w:rPr>
                <w:rStyle w:val="InstructionsTabelleberschrift"/>
                <w:rFonts w:ascii="Times New Roman" w:hAnsi="Times New Roman"/>
                <w:b w:val="0"/>
                <w:sz w:val="24"/>
                <w:u w:val="none"/>
              </w:rPr>
              <w:t xml:space="preserve"> </w:t>
            </w:r>
            <w:r w:rsidR="00014A29" w:rsidRPr="001562B3">
              <w:rPr>
                <w:rStyle w:val="FormatvorlageInstructionsTabelleText"/>
                <w:rFonts w:ascii="Times New Roman" w:hAnsi="Times New Roman"/>
                <w:sz w:val="24"/>
              </w:rPr>
              <w:t xml:space="preserve">if </w:t>
            </w:r>
            <w:r w:rsidRPr="001562B3">
              <w:rPr>
                <w:rStyle w:val="FormatvorlageInstructionsTabelleText"/>
                <w:rFonts w:ascii="Times New Roman" w:hAnsi="Times New Roman"/>
                <w:sz w:val="24"/>
              </w:rPr>
              <w:t>they</w:t>
            </w:r>
            <w:r w:rsidR="00014A29" w:rsidRPr="001562B3">
              <w:rPr>
                <w:rStyle w:val="FormatvorlageInstructionsTabelleText"/>
                <w:rFonts w:ascii="Times New Roman" w:hAnsi="Times New Roman"/>
                <w:sz w:val="24"/>
              </w:rPr>
              <w:t xml:space="preserve"> meet the requirements </w:t>
            </w:r>
            <w:r w:rsidR="00A65357"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A65357" w:rsidRPr="001562B3">
              <w:rPr>
                <w:rStyle w:val="FormatvorlageInstructionsTabelleText"/>
                <w:rFonts w:ascii="Times New Roman" w:hAnsi="Times New Roman"/>
                <w:sz w:val="24"/>
              </w:rPr>
              <w:t>of Directive 2014/59/EU</w:t>
            </w:r>
            <w:r w:rsidR="00014A29" w:rsidRPr="001562B3">
              <w:rPr>
                <w:rStyle w:val="FormatvorlageInstructionsTabelleText"/>
                <w:rFonts w:ascii="Times New Roman" w:hAnsi="Times New Roman"/>
                <w:sz w:val="24"/>
              </w:rPr>
              <w:t>.</w:t>
            </w:r>
          </w:p>
        </w:tc>
      </w:tr>
      <w:tr w:rsidR="00F72178" w:rsidRPr="001562B3" w14:paraId="78B0B86B" w14:textId="77777777" w:rsidTr="007674DE">
        <w:tc>
          <w:tcPr>
            <w:tcW w:w="1129" w:type="dxa"/>
          </w:tcPr>
          <w:p w14:paraId="53F6EC0E" w14:textId="3294AFB1" w:rsidR="00F72178" w:rsidRPr="001562B3" w:rsidRDefault="00F7217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0</w:t>
            </w:r>
          </w:p>
        </w:tc>
        <w:tc>
          <w:tcPr>
            <w:tcW w:w="7620" w:type="dxa"/>
          </w:tcPr>
          <w:p w14:paraId="42CAC46E" w14:textId="697F38BE" w:rsidR="00F72178" w:rsidRPr="001562B3" w:rsidRDefault="00F7217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Common Equity Tier 1 capital</w:t>
            </w:r>
          </w:p>
          <w:p w14:paraId="2EE09494" w14:textId="7F87E430" w:rsidR="00F72178" w:rsidRPr="001562B3" w:rsidRDefault="00F72178">
            <w:pPr>
              <w:pStyle w:val="InstructionsText"/>
              <w:rPr>
                <w:rStyle w:val="InstructionsTabelleberschrift"/>
                <w:rFonts w:ascii="Times New Roman" w:hAnsi="Times New Roman"/>
                <w:sz w:val="24"/>
                <w:lang w:eastAsia="en-US"/>
              </w:rPr>
            </w:pPr>
            <w:r w:rsidRPr="001562B3">
              <w:rPr>
                <w:rStyle w:val="FormatvorlageInstructionsTabelleText"/>
                <w:rFonts w:ascii="Times New Roman" w:hAnsi="Times New Roman"/>
                <w:sz w:val="24"/>
              </w:rPr>
              <w:t xml:space="preserve">Article </w:t>
            </w:r>
            <w:r w:rsidR="006C308D" w:rsidRPr="001562B3">
              <w:rPr>
                <w:rStyle w:val="FormatvorlageInstructionsTabelleText"/>
                <w:rFonts w:ascii="Times New Roman" w:hAnsi="Times New Roman"/>
                <w:sz w:val="24"/>
              </w:rPr>
              <w:t>50</w:t>
            </w:r>
            <w:r w:rsidRPr="001562B3">
              <w:rPr>
                <w:rStyle w:val="FormatvorlageInstructionsTabelleText"/>
                <w:rFonts w:ascii="Times New Roman" w:hAnsi="Times New Roman"/>
                <w:sz w:val="24"/>
              </w:rPr>
              <w:t xml:space="preserve"> </w:t>
            </w:r>
            <w:r w:rsidR="00A65357" w:rsidRPr="001562B3">
              <w:rPr>
                <w:rStyle w:val="FormatvorlageInstructionsTabelleText"/>
                <w:rFonts w:ascii="Times New Roman" w:hAnsi="Times New Roman"/>
                <w:sz w:val="24"/>
              </w:rPr>
              <w:t>of Regulation (EU) No 575/2013.</w:t>
            </w:r>
          </w:p>
        </w:tc>
      </w:tr>
      <w:tr w:rsidR="00A63011" w:rsidRPr="001562B3" w14:paraId="4DB72D04" w14:textId="77777777" w:rsidTr="007674DE">
        <w:tc>
          <w:tcPr>
            <w:tcW w:w="1129" w:type="dxa"/>
          </w:tcPr>
          <w:p w14:paraId="4665A63A" w14:textId="0D24E4AF" w:rsidR="00A63011" w:rsidRPr="001562B3" w:rsidRDefault="00A63011"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4</w:t>
            </w:r>
            <w:r w:rsidRPr="001562B3">
              <w:rPr>
                <w:rStyle w:val="FormatvorlageInstructionsTabelleText"/>
                <w:rFonts w:ascii="Times New Roman" w:hAnsi="Times New Roman"/>
                <w:sz w:val="24"/>
              </w:rPr>
              <w:t>0</w:t>
            </w:r>
          </w:p>
        </w:tc>
        <w:tc>
          <w:tcPr>
            <w:tcW w:w="7620" w:type="dxa"/>
            <w:vAlign w:val="center"/>
          </w:tcPr>
          <w:p w14:paraId="376A736F" w14:textId="1C5D040D" w:rsidR="00A63011" w:rsidRPr="001562B3" w:rsidRDefault="00880C0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Eligible</w:t>
            </w: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Additional Tier 1 capital</w:t>
            </w:r>
          </w:p>
          <w:p w14:paraId="44A6CA99" w14:textId="1B49FE4D" w:rsidR="00A63011" w:rsidRPr="001562B3" w:rsidRDefault="00A63011">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61 </w:t>
            </w:r>
            <w:r w:rsidR="006C308D" w:rsidRPr="001562B3">
              <w:rPr>
                <w:rStyle w:val="FormatvorlageInstructionsTabelleText"/>
                <w:rFonts w:ascii="Times New Roman" w:hAnsi="Times New Roman"/>
                <w:sz w:val="24"/>
              </w:rPr>
              <w:t xml:space="preserve">of </w:t>
            </w:r>
            <w:r w:rsidR="00A65357" w:rsidRPr="001562B3">
              <w:rPr>
                <w:rStyle w:val="FormatvorlageInstructionsTabelleText"/>
                <w:rFonts w:ascii="Times New Roman" w:hAnsi="Times New Roman"/>
                <w:sz w:val="24"/>
              </w:rPr>
              <w:t>Regulation (EU) No 575/2013.</w:t>
            </w:r>
            <w:r w:rsidRPr="001562B3">
              <w:rPr>
                <w:noProof/>
              </w:rPr>
              <w:t xml:space="preserve"> </w:t>
            </w:r>
          </w:p>
        </w:tc>
      </w:tr>
      <w:tr w:rsidR="00A63011" w:rsidRPr="001562B3" w14:paraId="732204C7" w14:textId="77777777" w:rsidTr="007674DE">
        <w:tc>
          <w:tcPr>
            <w:tcW w:w="1129" w:type="dxa"/>
          </w:tcPr>
          <w:p w14:paraId="7547F104" w14:textId="5B65B6B5" w:rsidR="00A63011" w:rsidRPr="001562B3" w:rsidRDefault="00A63011"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0</w:t>
            </w:r>
          </w:p>
        </w:tc>
        <w:tc>
          <w:tcPr>
            <w:tcW w:w="7620" w:type="dxa"/>
            <w:vAlign w:val="center"/>
          </w:tcPr>
          <w:p w14:paraId="3ADA9D5F" w14:textId="2739B118" w:rsidR="00A63011" w:rsidRPr="001562B3" w:rsidRDefault="00880C00"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Eligible</w:t>
            </w: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T</w:t>
            </w:r>
            <w:r w:rsidR="00C82529">
              <w:rPr>
                <w:rStyle w:val="InstructionsTabelleberschrift"/>
                <w:rFonts w:ascii="Times New Roman" w:hAnsi="Times New Roman"/>
                <w:sz w:val="24"/>
              </w:rPr>
              <w:t xml:space="preserve">ier </w:t>
            </w:r>
            <w:r w:rsidR="00A63011" w:rsidRPr="001562B3">
              <w:rPr>
                <w:rStyle w:val="InstructionsTabelleberschrift"/>
                <w:rFonts w:ascii="Times New Roman" w:hAnsi="Times New Roman"/>
                <w:sz w:val="24"/>
              </w:rPr>
              <w:t>2 capital</w:t>
            </w:r>
          </w:p>
          <w:p w14:paraId="63F618CB" w14:textId="00AD8301" w:rsidR="00A63011" w:rsidRPr="001562B3" w:rsidRDefault="006C308D" w:rsidP="008E501F">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71 </w:t>
            </w:r>
            <w:r w:rsidR="00A65357" w:rsidRPr="001562B3">
              <w:rPr>
                <w:rStyle w:val="FormatvorlageInstructionsTabelleText"/>
                <w:rFonts w:ascii="Times New Roman" w:hAnsi="Times New Roman"/>
                <w:sz w:val="24"/>
              </w:rPr>
              <w:t>of Regulation (EU) No 575/2013.</w:t>
            </w:r>
          </w:p>
        </w:tc>
      </w:tr>
      <w:tr w:rsidR="00A63011" w:rsidRPr="001562B3" w14:paraId="5F8952C8" w14:textId="77777777" w:rsidTr="007674DE">
        <w:tc>
          <w:tcPr>
            <w:tcW w:w="1129" w:type="dxa"/>
            <w:vAlign w:val="center"/>
          </w:tcPr>
          <w:p w14:paraId="6363A10E" w14:textId="681F333D" w:rsidR="00A63011" w:rsidRPr="001562B3" w:rsidRDefault="0016365A" w:rsidP="00E05895">
            <w:pPr>
              <w:pStyle w:val="InstructionsText"/>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0</w:t>
            </w:r>
          </w:p>
        </w:tc>
        <w:tc>
          <w:tcPr>
            <w:tcW w:w="7620" w:type="dxa"/>
            <w:vAlign w:val="center"/>
          </w:tcPr>
          <w:p w14:paraId="4FEFDC5E" w14:textId="25C1A41E" w:rsidR="00A63011" w:rsidRPr="001562B3" w:rsidRDefault="00A63011"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w:t>
            </w:r>
          </w:p>
          <w:p w14:paraId="76BC8267" w14:textId="51AF0C24" w:rsidR="00685080" w:rsidRPr="001562B3" w:rsidRDefault="00685080">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4A43196B" w14:textId="47B41485" w:rsidR="0016365A" w:rsidRPr="001562B3" w:rsidRDefault="00685080">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t>
            </w:r>
            <w:r w:rsidR="00631A23" w:rsidRPr="001562B3">
              <w:rPr>
                <w:rStyle w:val="FormatvorlageInstructionsTabelleText"/>
                <w:rFonts w:ascii="Times New Roman" w:hAnsi="Times New Roman"/>
                <w:sz w:val="24"/>
              </w:rPr>
              <w:t xml:space="preserve">as defined in point (71a) of Article 2(1) </w:t>
            </w:r>
            <w:r w:rsidR="00A65357" w:rsidRPr="001562B3">
              <w:rPr>
                <w:rStyle w:val="FormatvorlageInstructionsTabelleText"/>
                <w:rFonts w:ascii="Times New Roman" w:hAnsi="Times New Roman"/>
                <w:sz w:val="24"/>
              </w:rPr>
              <w:t>of Directive 2014/59/EU</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w:t>
            </w:r>
            <w:r w:rsidR="00014A29" w:rsidRPr="001562B3">
              <w:rPr>
                <w:rStyle w:val="FormatvorlageInstructionsTabelleText"/>
                <w:rFonts w:ascii="Times New Roman" w:hAnsi="Times New Roman"/>
                <w:sz w:val="24"/>
              </w:rPr>
              <w:lastRenderedPageBreak/>
              <w:t xml:space="preserve">the instrument shall only be included in this row if it meets the requirements </w:t>
            </w:r>
            <w:r w:rsidR="00C86E5A"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C86E5A"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p>
          <w:p w14:paraId="1997E756" w14:textId="7BE311EA" w:rsidR="00685080" w:rsidRPr="001562B3" w:rsidRDefault="00685080">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00267CAB" w14:textId="6284073F" w:rsidR="00A63011" w:rsidRPr="001562B3" w:rsidRDefault="00685080">
            <w:pPr>
              <w:pStyle w:val="InstructionsText"/>
              <w:rPr>
                <w:b/>
                <w:szCs w:val="22"/>
              </w:rPr>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t>
            </w:r>
            <w:r w:rsidR="004579E8" w:rsidRPr="001562B3">
              <w:rPr>
                <w:rStyle w:val="FormatvorlageInstructionsTabelleText"/>
                <w:rFonts w:ascii="Times New Roman" w:hAnsi="Times New Roman"/>
                <w:sz w:val="24"/>
              </w:rPr>
              <w:t>in accordance with</w:t>
            </w:r>
            <w:r w:rsidR="00AB6AB2" w:rsidRPr="001562B3">
              <w:rPr>
                <w:rStyle w:val="FormatvorlageInstructionsTabelleText"/>
                <w:rFonts w:ascii="Times New Roman" w:hAnsi="Times New Roman"/>
                <w:sz w:val="24"/>
              </w:rPr>
              <w:t xml:space="preserve"> Article 72k </w:t>
            </w:r>
            <w:r w:rsidR="008A4E68" w:rsidRPr="001562B3">
              <w:rPr>
                <w:rStyle w:val="FormatvorlageInstructionsTabelleText"/>
                <w:rFonts w:ascii="Times New Roman" w:hAnsi="Times New Roman"/>
                <w:sz w:val="24"/>
              </w:rPr>
              <w:t>of Regulation (EU) No 575/2013</w:t>
            </w:r>
            <w:r w:rsidR="00D83C2E" w:rsidRPr="001562B3">
              <w:rPr>
                <w:rStyle w:val="FormatvorlageInstructionsTabelleText"/>
                <w:rFonts w:ascii="Times New Roman" w:hAnsi="Times New Roman"/>
                <w:sz w:val="24"/>
              </w:rPr>
              <w:t>.</w:t>
            </w:r>
          </w:p>
        </w:tc>
      </w:tr>
      <w:tr w:rsidR="00A63011" w:rsidRPr="001562B3" w14:paraId="1C6ED724" w14:textId="77777777" w:rsidTr="007674DE">
        <w:tc>
          <w:tcPr>
            <w:tcW w:w="1129" w:type="dxa"/>
            <w:vAlign w:val="center"/>
          </w:tcPr>
          <w:p w14:paraId="05D6280C" w14:textId="142EDD34" w:rsidR="00A63011" w:rsidRPr="001562B3" w:rsidRDefault="00A63011" w:rsidP="00E05895">
            <w:pPr>
              <w:pStyle w:val="InstructionsText"/>
            </w:pPr>
            <w:r w:rsidRPr="001562B3">
              <w:rPr>
                <w:rStyle w:val="FormatvorlageInstructionsTabelleText"/>
                <w:rFonts w:ascii="Times New Roman" w:hAnsi="Times New Roman"/>
                <w:sz w:val="24"/>
              </w:rPr>
              <w:lastRenderedPageBreak/>
              <w:t>00</w:t>
            </w:r>
            <w:r w:rsidR="004B26E4"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w:t>
            </w:r>
          </w:p>
        </w:tc>
        <w:tc>
          <w:tcPr>
            <w:tcW w:w="7620" w:type="dxa"/>
            <w:vAlign w:val="center"/>
          </w:tcPr>
          <w:p w14:paraId="3CACADFF" w14:textId="65107B69" w:rsidR="00A63011" w:rsidRPr="001562B3" w:rsidRDefault="00A63011"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 items</w:t>
            </w:r>
            <w:r w:rsidR="00D83C2E" w:rsidRPr="001562B3">
              <w:rPr>
                <w:rStyle w:val="InstructionsTabelleberschrift"/>
                <w:rFonts w:ascii="Times New Roman" w:hAnsi="Times New Roman"/>
                <w:sz w:val="24"/>
              </w:rPr>
              <w:t xml:space="preserve"> before adjustments</w:t>
            </w:r>
            <w:r w:rsidRPr="001562B3">
              <w:rPr>
                <w:rStyle w:val="InstructionsTabelleberschrift"/>
                <w:rFonts w:ascii="Times New Roman" w:hAnsi="Times New Roman"/>
                <w:sz w:val="24"/>
              </w:rPr>
              <w:t xml:space="preserve"> </w:t>
            </w:r>
          </w:p>
          <w:p w14:paraId="383F53A3" w14:textId="77777777" w:rsidR="00685080" w:rsidRPr="001562B3" w:rsidRDefault="00685080">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09BA6C55" w14:textId="143BF075" w:rsidR="008E420D" w:rsidRPr="001562B3" w:rsidRDefault="00685080">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t>
            </w:r>
            <w:r w:rsidR="00631A23" w:rsidRPr="001562B3">
              <w:rPr>
                <w:rStyle w:val="FormatvorlageInstructionsTabelleText"/>
                <w:rFonts w:ascii="Times New Roman" w:hAnsi="Times New Roman"/>
                <w:sz w:val="24"/>
              </w:rPr>
              <w:t>as defined in point (71a) of Article 2(1)</w:t>
            </w:r>
            <w:r w:rsidR="008E420D" w:rsidRPr="001562B3">
              <w:rPr>
                <w:rStyle w:val="FormatvorlageInstructionsTabelleText"/>
                <w:rFonts w:ascii="Times New Roman" w:hAnsi="Times New Roman"/>
                <w:sz w:val="24"/>
              </w:rPr>
              <w:t xml:space="preserve"> </w:t>
            </w:r>
            <w:r w:rsidR="008A4E68" w:rsidRPr="001562B3">
              <w:rPr>
                <w:rStyle w:val="FormatvorlageInstructionsTabelleText"/>
                <w:rFonts w:ascii="Times New Roman" w:hAnsi="Times New Roman"/>
                <w:sz w:val="24"/>
              </w:rPr>
              <w:t>of Directive 2014/59/EU</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776A1B"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776A1B"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p>
          <w:p w14:paraId="69F02168" w14:textId="455490F6" w:rsidR="00685080" w:rsidRPr="001562B3" w:rsidRDefault="00685080">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03CAF6E8" w14:textId="028BB5D1" w:rsidR="00A63011" w:rsidRPr="001562B3" w:rsidRDefault="00685080">
            <w:pPr>
              <w:pStyle w:val="InstructionsText"/>
              <w:rPr>
                <w:b/>
                <w:szCs w:val="22"/>
              </w:rPr>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which comply with all the requirements </w:t>
            </w:r>
            <w:r w:rsidR="00776A1B" w:rsidRPr="001562B3">
              <w:rPr>
                <w:rStyle w:val="FormatvorlageInstructionsTabelleText"/>
                <w:rFonts w:ascii="Times New Roman" w:hAnsi="Times New Roman"/>
                <w:sz w:val="24"/>
              </w:rPr>
              <w:t>laid down</w:t>
            </w:r>
            <w:r w:rsidR="00D83C2E" w:rsidRPr="001562B3">
              <w:rPr>
                <w:rStyle w:val="FormatvorlageInstructionsTabelleText"/>
                <w:rFonts w:ascii="Times New Roman" w:hAnsi="Times New Roman"/>
                <w:sz w:val="24"/>
              </w:rPr>
              <w:t xml:space="preserve"> in </w:t>
            </w:r>
            <w:r w:rsidR="00776A1B" w:rsidRPr="001562B3">
              <w:rPr>
                <w:rStyle w:val="FormatvorlageInstructionsTabelleText"/>
                <w:rFonts w:ascii="Times New Roman" w:hAnsi="Times New Roman"/>
                <w:sz w:val="24"/>
              </w:rPr>
              <w:t>A</w:t>
            </w:r>
            <w:r w:rsidR="00D83C2E" w:rsidRPr="001562B3">
              <w:rPr>
                <w:rStyle w:val="FormatvorlageInstructionsTabelleText"/>
                <w:rFonts w:ascii="Times New Roman" w:hAnsi="Times New Roman"/>
                <w:sz w:val="24"/>
              </w:rPr>
              <w:t>rticles 72a to 72</w:t>
            </w:r>
            <w:r w:rsidR="001E1CA1" w:rsidRPr="001562B3">
              <w:rPr>
                <w:rStyle w:val="FormatvorlageInstructionsTabelleText"/>
                <w:rFonts w:ascii="Times New Roman" w:hAnsi="Times New Roman"/>
                <w:sz w:val="24"/>
              </w:rPr>
              <w:t>d</w:t>
            </w:r>
            <w:r w:rsidR="008E420D" w:rsidRPr="001562B3">
              <w:rPr>
                <w:rStyle w:val="FormatvorlageInstructionsTabelleText"/>
                <w:rFonts w:ascii="Times New Roman" w:hAnsi="Times New Roman"/>
                <w:sz w:val="24"/>
              </w:rPr>
              <w:t xml:space="preserve"> </w:t>
            </w:r>
            <w:r w:rsidR="00776A1B" w:rsidRPr="001562B3">
              <w:rPr>
                <w:rStyle w:val="FormatvorlageInstructionsTabelleText"/>
                <w:rFonts w:ascii="Times New Roman" w:hAnsi="Times New Roman"/>
                <w:sz w:val="24"/>
              </w:rPr>
              <w:t>of Regulation (EU) No 575/2013.</w:t>
            </w:r>
            <w:r w:rsidR="008E420D" w:rsidRPr="001562B3" w:rsidDel="00E70D08">
              <w:rPr>
                <w:rStyle w:val="FormatvorlageInstructionsTabelleText"/>
                <w:rFonts w:ascii="Times New Roman" w:hAnsi="Times New Roman"/>
                <w:sz w:val="24"/>
              </w:rPr>
              <w:t xml:space="preserve"> </w:t>
            </w:r>
          </w:p>
        </w:tc>
      </w:tr>
      <w:tr w:rsidR="00EF1BBD" w:rsidRPr="001562B3" w14:paraId="03BE5FC7" w14:textId="77777777" w:rsidTr="00EF1BBD">
        <w:tc>
          <w:tcPr>
            <w:tcW w:w="1129" w:type="dxa"/>
            <w:vAlign w:val="center"/>
          </w:tcPr>
          <w:p w14:paraId="6BFA1E2F" w14:textId="3832115E" w:rsidR="00EF1BBD" w:rsidRPr="001562B3" w:rsidRDefault="00EF1BBD"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0080</w:t>
            </w:r>
          </w:p>
        </w:tc>
        <w:tc>
          <w:tcPr>
            <w:tcW w:w="7620" w:type="dxa"/>
            <w:vAlign w:val="center"/>
          </w:tcPr>
          <w:p w14:paraId="7564EC67" w14:textId="77777777" w:rsidR="00EF1BBD" w:rsidRPr="001562B3" w:rsidRDefault="00EF1BBD"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eligible liabilities considered as structurally subordinated </w:t>
            </w:r>
          </w:p>
          <w:p w14:paraId="3BCE2B05" w14:textId="77777777" w:rsidR="00EF1BBD" w:rsidRPr="001562B3" w:rsidRDefault="00EF1BBD">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i/>
                <w:sz w:val="24"/>
                <w:u w:val="none"/>
              </w:rPr>
              <w:t>MREL</w:t>
            </w:r>
          </w:p>
          <w:p w14:paraId="6F55458A" w14:textId="04AC4CB9" w:rsidR="00EF1BBD" w:rsidRPr="001562B3" w:rsidRDefault="00EF1BBD">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sz w:val="24"/>
                <w:u w:val="none"/>
              </w:rPr>
              <w:t xml:space="preserve">Liabilities that comply with the conditions </w:t>
            </w:r>
            <w:r w:rsidR="009A208E" w:rsidRPr="001562B3">
              <w:rPr>
                <w:rStyle w:val="InstructionsTabelleberschrift"/>
                <w:rFonts w:ascii="Times New Roman" w:hAnsi="Times New Roman"/>
                <w:b w:val="0"/>
                <w:sz w:val="24"/>
                <w:u w:val="none"/>
              </w:rPr>
              <w:t>laid down</w:t>
            </w:r>
            <w:r w:rsidRPr="001562B3">
              <w:rPr>
                <w:rStyle w:val="InstructionsTabelleberschrift"/>
                <w:rFonts w:ascii="Times New Roman" w:hAnsi="Times New Roman"/>
                <w:b w:val="0"/>
                <w:sz w:val="24"/>
                <w:u w:val="none"/>
              </w:rPr>
              <w:t xml:space="preserve"> in Article 45b </w:t>
            </w:r>
            <w:r w:rsidR="009A208E" w:rsidRPr="001562B3">
              <w:rPr>
                <w:rStyle w:val="FormatvorlageInstructionsTabelleText"/>
                <w:rFonts w:ascii="Times New Roman" w:hAnsi="Times New Roman"/>
                <w:sz w:val="24"/>
              </w:rPr>
              <w:t>of Directive 2014/59/EU</w:t>
            </w:r>
            <w:r w:rsidRPr="001562B3">
              <w:rPr>
                <w:rStyle w:val="InstructionsTabelleberschrift"/>
                <w:rFonts w:ascii="Times New Roman" w:hAnsi="Times New Roman"/>
                <w:b w:val="0"/>
                <w:sz w:val="24"/>
                <w:u w:val="none"/>
              </w:rPr>
              <w:t xml:space="preserve"> </w:t>
            </w:r>
            <w:r w:rsidR="0049555B" w:rsidRPr="001562B3">
              <w:rPr>
                <w:rStyle w:val="InstructionsTabelleberschrift"/>
                <w:rFonts w:ascii="Times New Roman" w:hAnsi="Times New Roman"/>
                <w:b w:val="0"/>
                <w:sz w:val="24"/>
                <w:u w:val="none"/>
              </w:rPr>
              <w:t xml:space="preserve">because they </w:t>
            </w:r>
            <w:r w:rsidRPr="001562B3">
              <w:rPr>
                <w:rStyle w:val="InstructionsTabelleberschrift"/>
                <w:rFonts w:ascii="Times New Roman" w:hAnsi="Times New Roman"/>
                <w:b w:val="0"/>
                <w:sz w:val="24"/>
                <w:u w:val="none"/>
              </w:rPr>
              <w:t xml:space="preserve">are issued by a resolution entity that is a holding company and </w:t>
            </w:r>
            <w:r w:rsidR="0049555B" w:rsidRPr="001562B3">
              <w:rPr>
                <w:rStyle w:val="InstructionsTabelleberschrift"/>
                <w:rFonts w:ascii="Times New Roman" w:hAnsi="Times New Roman"/>
                <w:b w:val="0"/>
                <w:sz w:val="24"/>
                <w:u w:val="none"/>
              </w:rPr>
              <w:t>because there are no excluded liabilities as referred to in</w:t>
            </w:r>
            <w:r w:rsidRPr="001562B3">
              <w:rPr>
                <w:rStyle w:val="InstructionsTabelleberschrift"/>
                <w:rFonts w:ascii="Times New Roman" w:hAnsi="Times New Roman"/>
                <w:b w:val="0"/>
                <w:sz w:val="24"/>
                <w:u w:val="none"/>
              </w:rPr>
              <w:t xml:space="preserve"> Article 72a(2) </w:t>
            </w:r>
            <w:r w:rsidR="006D0B3A" w:rsidRPr="001562B3">
              <w:rPr>
                <w:rStyle w:val="InstructionsTabelleberschrift"/>
                <w:rFonts w:ascii="Times New Roman" w:hAnsi="Times New Roman"/>
                <w:b w:val="0"/>
                <w:sz w:val="24"/>
                <w:u w:val="none"/>
              </w:rPr>
              <w:t>of Regulation (EU) No 575/2013</w:t>
            </w:r>
            <w:r w:rsidRPr="001562B3">
              <w:rPr>
                <w:rStyle w:val="InstructionsTabelleberschrift"/>
                <w:rFonts w:ascii="Times New Roman" w:hAnsi="Times New Roman"/>
                <w:b w:val="0"/>
                <w:sz w:val="24"/>
                <w:u w:val="none"/>
              </w:rPr>
              <w:t xml:space="preserve"> that rank </w:t>
            </w:r>
            <w:r w:rsidRPr="001562B3">
              <w:rPr>
                <w:rStyle w:val="InstructionsTabelleberschrift"/>
                <w:rFonts w:ascii="Times New Roman" w:hAnsi="Times New Roman"/>
                <w:b w:val="0"/>
                <w:i/>
                <w:sz w:val="24"/>
                <w:u w:val="none"/>
              </w:rPr>
              <w:t>pari passu</w:t>
            </w:r>
            <w:r w:rsidRPr="001562B3">
              <w:rPr>
                <w:rStyle w:val="InstructionsTabelleberschrift"/>
                <w:rFonts w:ascii="Times New Roman" w:hAnsi="Times New Roman"/>
                <w:b w:val="0"/>
                <w:sz w:val="24"/>
                <w:u w:val="none"/>
              </w:rPr>
              <w:t xml:space="preserve"> or junior to eligible liabilities instruments.</w:t>
            </w:r>
          </w:p>
          <w:p w14:paraId="1A629DBA" w14:textId="0DE8803D" w:rsidR="00014A29" w:rsidRPr="001562B3" w:rsidRDefault="00014A29">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6D0B3A"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55 </w:t>
            </w:r>
            <w:r w:rsidR="006D0B3A"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w:t>
            </w:r>
          </w:p>
          <w:p w14:paraId="57F8A551" w14:textId="371D79D0" w:rsidR="00EF1BBD" w:rsidRPr="001562B3" w:rsidRDefault="00EF1BBD">
            <w:pPr>
              <w:pStyle w:val="InstructionsText"/>
              <w:rPr>
                <w:rStyle w:val="InstructionsTabelleberschrift"/>
                <w:rFonts w:ascii="Times New Roman" w:hAnsi="Times New Roman"/>
                <w:sz w:val="24"/>
                <w:u w:val="none"/>
              </w:rPr>
            </w:pPr>
            <w:r w:rsidRPr="001562B3">
              <w:rPr>
                <w:rStyle w:val="FormatvorlageInstructionsTabelleText"/>
                <w:rFonts w:ascii="Times New Roman" w:hAnsi="Times New Roman"/>
                <w:sz w:val="24"/>
              </w:rPr>
              <w:t xml:space="preserve">This row shall also include eligible liabilities that qualify as a result of the grandfathering </w:t>
            </w:r>
            <w:r w:rsidR="006D0B3A" w:rsidRPr="001562B3">
              <w:rPr>
                <w:rStyle w:val="FormatvorlageInstructionsTabelleText"/>
                <w:rFonts w:ascii="Times New Roman" w:hAnsi="Times New Roman"/>
                <w:sz w:val="24"/>
              </w:rPr>
              <w:t>in accordance with</w:t>
            </w:r>
            <w:r w:rsidRPr="001562B3">
              <w:rPr>
                <w:rStyle w:val="FormatvorlageInstructionsTabelleText"/>
                <w:rFonts w:ascii="Times New Roman" w:hAnsi="Times New Roman"/>
                <w:sz w:val="24"/>
              </w:rPr>
              <w:t xml:space="preserve"> Article 494b(3) </w:t>
            </w:r>
            <w:r w:rsidR="006D0B3A"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w:t>
            </w:r>
          </w:p>
          <w:p w14:paraId="4F393620" w14:textId="77777777" w:rsidR="00EF1BBD" w:rsidRPr="001562B3" w:rsidRDefault="00EF1BBD">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i/>
                <w:sz w:val="24"/>
                <w:u w:val="none"/>
              </w:rPr>
              <w:t>TLAC</w:t>
            </w:r>
          </w:p>
          <w:p w14:paraId="60DE397F" w14:textId="6AEF8E6E" w:rsidR="00EF1BBD" w:rsidRPr="001562B3" w:rsidRDefault="00EF1BBD">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Liabilities </w:t>
            </w:r>
            <w:r w:rsidR="000D5E51" w:rsidRPr="001562B3">
              <w:rPr>
                <w:rStyle w:val="FormatvorlageInstructionsTabelleText"/>
                <w:rFonts w:ascii="Times New Roman" w:hAnsi="Times New Roman"/>
                <w:sz w:val="24"/>
              </w:rPr>
              <w:t>that</w:t>
            </w:r>
            <w:r w:rsidR="006921A5" w:rsidRPr="001562B3">
              <w:rPr>
                <w:rStyle w:val="FormatvorlageInstructionsTabelleText"/>
                <w:rFonts w:ascii="Times New Roman" w:hAnsi="Times New Roman"/>
                <w:sz w:val="24"/>
              </w:rPr>
              <w:t>:</w:t>
            </w:r>
          </w:p>
          <w:p w14:paraId="4850AF1A" w14:textId="028EB61C" w:rsidR="00EF1BBD" w:rsidRPr="001562B3" w:rsidRDefault="006921A5"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 </w:t>
            </w:r>
            <w:r w:rsidR="00EF1BBD" w:rsidRPr="001562B3">
              <w:rPr>
                <w:rStyle w:val="FormatvorlageInstructionsTabelleText"/>
                <w:rFonts w:ascii="Times New Roman" w:hAnsi="Times New Roman"/>
                <w:sz w:val="24"/>
              </w:rPr>
              <w:t xml:space="preserve">comply with the requirements </w:t>
            </w:r>
            <w:r w:rsidRPr="001562B3">
              <w:rPr>
                <w:rStyle w:val="FormatvorlageInstructionsTabelleText"/>
                <w:rFonts w:ascii="Times New Roman" w:hAnsi="Times New Roman"/>
                <w:sz w:val="24"/>
              </w:rPr>
              <w:t>laid down</w:t>
            </w:r>
            <w:r w:rsidR="00EF1BBD" w:rsidRPr="001562B3">
              <w:rPr>
                <w:rStyle w:val="FormatvorlageInstructionsTabelleText"/>
                <w:rFonts w:ascii="Times New Roman" w:hAnsi="Times New Roman"/>
                <w:sz w:val="24"/>
              </w:rPr>
              <w:t xml:space="preserve"> in Articles 72a to 72d </w:t>
            </w:r>
            <w:r w:rsidRPr="001562B3">
              <w:rPr>
                <w:rStyle w:val="FormatvorlageInstructionsTabelleText"/>
                <w:rFonts w:ascii="Times New Roman" w:hAnsi="Times New Roman"/>
                <w:sz w:val="24"/>
              </w:rPr>
              <w:t>of Regulation (EU) No 575/2013</w:t>
            </w:r>
            <w:r w:rsidR="00EF1BBD" w:rsidRPr="001562B3">
              <w:rPr>
                <w:rStyle w:val="FormatvorlageInstructionsTabelleText"/>
                <w:rFonts w:ascii="Times New Roman" w:hAnsi="Times New Roman"/>
                <w:sz w:val="24"/>
              </w:rPr>
              <w:t xml:space="preserve">, and in particular </w:t>
            </w:r>
            <w:r w:rsidRPr="001562B3">
              <w:rPr>
                <w:rStyle w:val="FormatvorlageInstructionsTabelleText"/>
                <w:rFonts w:ascii="Times New Roman" w:hAnsi="Times New Roman"/>
                <w:sz w:val="24"/>
              </w:rPr>
              <w:t>the requirement laid down in</w:t>
            </w:r>
            <w:r w:rsidR="00EF1BBD" w:rsidRPr="001562B3">
              <w:rPr>
                <w:rStyle w:val="FormatvorlageInstructionsTabelleText"/>
                <w:rFonts w:ascii="Times New Roman" w:hAnsi="Times New Roman"/>
                <w:sz w:val="24"/>
              </w:rPr>
              <w:t xml:space="preserve"> point (d) (iii) of Article 72b(2) </w:t>
            </w:r>
            <w:r w:rsidRPr="001562B3">
              <w:rPr>
                <w:rStyle w:val="FormatvorlageInstructionsTabelleText"/>
                <w:rFonts w:ascii="Times New Roman" w:hAnsi="Times New Roman"/>
                <w:sz w:val="24"/>
              </w:rPr>
              <w:t>of that Regulation</w:t>
            </w:r>
            <w:r w:rsidR="0049555B" w:rsidRPr="001562B3">
              <w:rPr>
                <w:rStyle w:val="FormatvorlageInstructionsTabelleText"/>
                <w:rFonts w:ascii="Times New Roman" w:hAnsi="Times New Roman"/>
                <w:sz w:val="24"/>
              </w:rPr>
              <w:t xml:space="preserve">, but not the </w:t>
            </w:r>
            <w:r w:rsidRPr="001562B3">
              <w:rPr>
                <w:rStyle w:val="FormatvorlageInstructionsTabelleText"/>
                <w:rFonts w:ascii="Times New Roman" w:hAnsi="Times New Roman"/>
                <w:sz w:val="24"/>
              </w:rPr>
              <w:t>requirements laid down in</w:t>
            </w:r>
            <w:r w:rsidR="0049555B" w:rsidRPr="001562B3">
              <w:rPr>
                <w:rStyle w:val="FormatvorlageInstructionsTabelleText"/>
                <w:rFonts w:ascii="Times New Roman" w:hAnsi="Times New Roman"/>
                <w:sz w:val="24"/>
              </w:rPr>
              <w:t xml:space="preserve"> points (d) (i) or (ii) of that paragraph,</w:t>
            </w:r>
            <w:r w:rsidR="00EF1BBD" w:rsidRPr="001562B3">
              <w:rPr>
                <w:rStyle w:val="FormatvorlageInstructionsTabelleText"/>
                <w:rFonts w:ascii="Times New Roman" w:hAnsi="Times New Roman"/>
                <w:sz w:val="24"/>
              </w:rPr>
              <w:t xml:space="preserve"> or</w:t>
            </w:r>
          </w:p>
          <w:p w14:paraId="5A5A5CD9" w14:textId="493DA8CB" w:rsidR="00EF1BBD" w:rsidRPr="001562B3" w:rsidRDefault="006921A5" w:rsidP="001562B3">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sz w:val="24"/>
              </w:rPr>
              <w:t>(b) that</w:t>
            </w:r>
            <w:r w:rsidR="00EF1BBD" w:rsidRPr="001562B3">
              <w:rPr>
                <w:rStyle w:val="FormatvorlageInstructionsTabelleText"/>
                <w:rFonts w:ascii="Times New Roman" w:hAnsi="Times New Roman"/>
                <w:sz w:val="24"/>
              </w:rPr>
              <w:t xml:space="preserve"> comply with the requirements </w:t>
            </w:r>
            <w:r w:rsidRPr="001562B3">
              <w:rPr>
                <w:rStyle w:val="FormatvorlageInstructionsTabelleText"/>
                <w:rFonts w:ascii="Times New Roman" w:hAnsi="Times New Roman"/>
                <w:sz w:val="24"/>
              </w:rPr>
              <w:t>laid down</w:t>
            </w:r>
            <w:r w:rsidR="00EF1BBD" w:rsidRPr="001562B3">
              <w:rPr>
                <w:rStyle w:val="FormatvorlageInstructionsTabelleText"/>
                <w:rFonts w:ascii="Times New Roman" w:hAnsi="Times New Roman"/>
                <w:sz w:val="24"/>
              </w:rPr>
              <w:t xml:space="preserve"> in Articles 72a to 72d</w:t>
            </w:r>
            <w:r w:rsidRPr="001562B3">
              <w:t xml:space="preserve"> </w:t>
            </w:r>
            <w:r w:rsidRPr="001562B3">
              <w:rPr>
                <w:rStyle w:val="FormatvorlageInstructionsTabelleText"/>
                <w:rFonts w:ascii="Times New Roman" w:hAnsi="Times New Roman"/>
                <w:sz w:val="24"/>
              </w:rPr>
              <w:t>of Regulation (EU) No 575/2013</w:t>
            </w:r>
            <w:r w:rsidR="00EF1BBD" w:rsidRPr="001562B3">
              <w:rPr>
                <w:rStyle w:val="FormatvorlageInstructionsTabelleText"/>
                <w:rFonts w:ascii="Times New Roman" w:hAnsi="Times New Roman"/>
                <w:sz w:val="24"/>
              </w:rPr>
              <w:t xml:space="preserve">, except for point (d) of Article 72b(2) </w:t>
            </w:r>
            <w:r w:rsidRPr="001562B3">
              <w:rPr>
                <w:rStyle w:val="FormatvorlageInstructionsTabelleText"/>
                <w:rFonts w:ascii="Times New Roman" w:hAnsi="Times New Roman"/>
                <w:sz w:val="24"/>
              </w:rPr>
              <w:t>of that Regulation</w:t>
            </w:r>
            <w:r w:rsidR="00EF1BBD" w:rsidRPr="001562B3">
              <w:rPr>
                <w:rStyle w:val="FormatvorlageInstructionsTabelleText"/>
                <w:rFonts w:ascii="Times New Roman" w:hAnsi="Times New Roman"/>
                <w:sz w:val="24"/>
              </w:rPr>
              <w:t xml:space="preserve">, and </w:t>
            </w:r>
            <w:r w:rsidRPr="001562B3">
              <w:rPr>
                <w:rStyle w:val="FormatvorlageInstructionsTabelleText"/>
                <w:rFonts w:ascii="Times New Roman" w:hAnsi="Times New Roman"/>
                <w:sz w:val="24"/>
              </w:rPr>
              <w:t>that</w:t>
            </w:r>
            <w:r w:rsidR="00EF1BBD" w:rsidRPr="001562B3">
              <w:rPr>
                <w:rStyle w:val="FormatvorlageInstructionsTabelleText"/>
                <w:rFonts w:ascii="Times New Roman" w:hAnsi="Times New Roman"/>
                <w:sz w:val="24"/>
              </w:rPr>
              <w:t xml:space="preserve"> are permitted to qualify as eligible liabilities instruments </w:t>
            </w:r>
            <w:r w:rsidR="000D5E51" w:rsidRPr="001562B3">
              <w:rPr>
                <w:rStyle w:val="FormatvorlageInstructionsTabelleText"/>
                <w:rFonts w:ascii="Times New Roman" w:hAnsi="Times New Roman"/>
                <w:sz w:val="24"/>
              </w:rPr>
              <w:t>by resolution authorities in accordance with</w:t>
            </w:r>
            <w:r w:rsidR="00EF1BBD" w:rsidRPr="001562B3">
              <w:rPr>
                <w:rStyle w:val="FormatvorlageInstructionsTabelleText"/>
                <w:rFonts w:ascii="Times New Roman" w:hAnsi="Times New Roman"/>
                <w:sz w:val="24"/>
              </w:rPr>
              <w:t xml:space="preserve"> Article 72b(4) </w:t>
            </w:r>
            <w:r w:rsidR="000D5E51" w:rsidRPr="001562B3">
              <w:rPr>
                <w:rStyle w:val="FormatvorlageInstructionsTabelleText"/>
                <w:rFonts w:ascii="Times New Roman" w:hAnsi="Times New Roman"/>
                <w:sz w:val="24"/>
              </w:rPr>
              <w:t>of that Regulation</w:t>
            </w:r>
            <w:r w:rsidR="00EF1BBD" w:rsidRPr="001562B3">
              <w:rPr>
                <w:rStyle w:val="FormatvorlageInstructionsTabelleText"/>
                <w:rFonts w:ascii="Times New Roman" w:hAnsi="Times New Roman"/>
                <w:sz w:val="24"/>
              </w:rPr>
              <w:t xml:space="preserve">. </w:t>
            </w:r>
          </w:p>
          <w:p w14:paraId="57A8D9F5" w14:textId="4722474A" w:rsidR="00EF1BBD" w:rsidRPr="001562B3" w:rsidRDefault="00EF1BBD" w:rsidP="00E05895">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This row shall also include eligible liabilities that qualify as a result of the grandfathering </w:t>
            </w:r>
            <w:r w:rsidR="009F6790" w:rsidRPr="001562B3">
              <w:rPr>
                <w:rStyle w:val="FormatvorlageInstructionsTabelleText"/>
                <w:rFonts w:ascii="Times New Roman" w:hAnsi="Times New Roman"/>
                <w:sz w:val="24"/>
              </w:rPr>
              <w:t>in accordance with</w:t>
            </w:r>
            <w:r w:rsidRPr="001562B3">
              <w:rPr>
                <w:rStyle w:val="FormatvorlageInstructionsTabelleText"/>
                <w:rFonts w:ascii="Times New Roman" w:hAnsi="Times New Roman"/>
                <w:sz w:val="24"/>
              </w:rPr>
              <w:t xml:space="preserve"> Article 494b(3) </w:t>
            </w:r>
            <w:r w:rsidR="009F6790"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w:t>
            </w:r>
          </w:p>
        </w:tc>
      </w:tr>
      <w:tr w:rsidR="003C1F98" w:rsidRPr="001562B3" w14:paraId="6A23855C" w14:textId="77777777" w:rsidTr="007674DE">
        <w:tc>
          <w:tcPr>
            <w:tcW w:w="1129" w:type="dxa"/>
            <w:vAlign w:val="center"/>
          </w:tcPr>
          <w:p w14:paraId="05433C19" w14:textId="400C8B72" w:rsidR="003C1F98" w:rsidRPr="001562B3" w:rsidRDefault="003C1F98" w:rsidP="00E05895">
            <w:pPr>
              <w:pStyle w:val="InstructionsText"/>
            </w:pPr>
            <w:r w:rsidRPr="001562B3">
              <w:rPr>
                <w:rStyle w:val="FormatvorlageInstructionsTabelleText"/>
                <w:rFonts w:ascii="Times New Roman" w:hAnsi="Times New Roman"/>
                <w:sz w:val="24"/>
              </w:rPr>
              <w:lastRenderedPageBreak/>
              <w:t>00</w:t>
            </w:r>
            <w:r w:rsidR="00EF1BBD" w:rsidRPr="001562B3">
              <w:rPr>
                <w:rStyle w:val="FormatvorlageInstructionsTabelleText"/>
                <w:rFonts w:ascii="Times New Roman" w:hAnsi="Times New Roman"/>
                <w:sz w:val="24"/>
              </w:rPr>
              <w:t>9</w:t>
            </w:r>
            <w:r w:rsidRPr="001562B3">
              <w:rPr>
                <w:rStyle w:val="FormatvorlageInstructionsTabelleText"/>
                <w:rFonts w:ascii="Times New Roman" w:hAnsi="Times New Roman"/>
                <w:sz w:val="24"/>
              </w:rPr>
              <w:t>0</w:t>
            </w:r>
          </w:p>
        </w:tc>
        <w:tc>
          <w:tcPr>
            <w:tcW w:w="7620" w:type="dxa"/>
            <w:vAlign w:val="center"/>
          </w:tcPr>
          <w:p w14:paraId="21FA960A" w14:textId="77777777" w:rsidR="003C1F98" w:rsidRPr="001562B3" w:rsidRDefault="003C1F9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 subordinated to excluded liabilities</w:t>
            </w:r>
          </w:p>
          <w:p w14:paraId="7423CFA6" w14:textId="5A9BD8DB" w:rsidR="00C80C5A" w:rsidRPr="001562B3" w:rsidRDefault="00D83C2E">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i/>
                <w:sz w:val="24"/>
              </w:rPr>
              <w:t>MREL</w:t>
            </w:r>
            <w:r w:rsidRPr="001562B3">
              <w:rPr>
                <w:rStyle w:val="InstructionsTabelleberschrift"/>
                <w:rFonts w:ascii="Times New Roman" w:hAnsi="Times New Roman"/>
                <w:sz w:val="24"/>
              </w:rPr>
              <w:t xml:space="preserve"> </w:t>
            </w:r>
          </w:p>
          <w:p w14:paraId="1C189CD3" w14:textId="6399C8E3" w:rsidR="00D83C2E" w:rsidRPr="001562B3" w:rsidRDefault="00C80C5A">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b w:val="0"/>
                <w:sz w:val="24"/>
                <w:u w:val="none"/>
              </w:rPr>
              <w:t>E</w:t>
            </w:r>
            <w:r w:rsidR="00D83C2E" w:rsidRPr="001562B3">
              <w:rPr>
                <w:rStyle w:val="InstructionsTabelleberschrift"/>
                <w:rFonts w:ascii="Times New Roman" w:hAnsi="Times New Roman"/>
                <w:b w:val="0"/>
                <w:sz w:val="24"/>
                <w:u w:val="none"/>
              </w:rPr>
              <w:t>ligible liabilities included in the</w:t>
            </w:r>
            <w:r w:rsidR="00D83C2E" w:rsidRPr="001562B3">
              <w:rPr>
                <w:rStyle w:val="FormatvorlageInstructionsTabelleText"/>
                <w:rFonts w:ascii="Times New Roman" w:hAnsi="Times New Roman"/>
                <w:sz w:val="24"/>
              </w:rPr>
              <w:t xml:space="preserve"> amount of own funds and eligible liabilities </w:t>
            </w:r>
            <w:r w:rsidR="00D05A24" w:rsidRPr="001562B3">
              <w:rPr>
                <w:rStyle w:val="FormatvorlageInstructionsTabelleText"/>
                <w:rFonts w:ascii="Times New Roman" w:hAnsi="Times New Roman"/>
                <w:sz w:val="24"/>
              </w:rPr>
              <w:t>in accordance with</w:t>
            </w:r>
            <w:r w:rsidR="00D83C2E" w:rsidRPr="001562B3">
              <w:rPr>
                <w:rStyle w:val="FormatvorlageInstructionsTabelleText"/>
                <w:rFonts w:ascii="Times New Roman" w:hAnsi="Times New Roman"/>
                <w:sz w:val="24"/>
              </w:rPr>
              <w:t xml:space="preserve"> Article 45b </w:t>
            </w:r>
            <w:r w:rsidR="00D05A24"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 xml:space="preserve"> </w:t>
            </w:r>
            <w:r w:rsidR="00D05A24" w:rsidRPr="001562B3">
              <w:rPr>
                <w:rStyle w:val="FormatvorlageInstructionsTabelleText"/>
                <w:rFonts w:ascii="Times New Roman" w:hAnsi="Times New Roman"/>
                <w:sz w:val="24"/>
              </w:rPr>
              <w:t>that</w:t>
            </w:r>
            <w:r w:rsidR="00D83C2E" w:rsidRPr="001562B3">
              <w:rPr>
                <w:rStyle w:val="FormatvorlageInstructionsTabelleText"/>
                <w:rFonts w:ascii="Times New Roman" w:hAnsi="Times New Roman"/>
                <w:sz w:val="24"/>
              </w:rPr>
              <w:t xml:space="preserve"> are subordinated eligible instruments as defined in </w:t>
            </w:r>
            <w:r w:rsidR="00EB7528" w:rsidRPr="001562B3">
              <w:rPr>
                <w:rStyle w:val="FormatvorlageInstructionsTabelleText"/>
                <w:rFonts w:ascii="Times New Roman" w:hAnsi="Times New Roman"/>
                <w:sz w:val="24"/>
              </w:rPr>
              <w:t xml:space="preserve">point (71b) of </w:t>
            </w:r>
            <w:r w:rsidR="00D83C2E" w:rsidRPr="001562B3">
              <w:rPr>
                <w:rStyle w:val="FormatvorlageInstructionsTabelleText"/>
                <w:rFonts w:ascii="Times New Roman" w:hAnsi="Times New Roman"/>
                <w:sz w:val="24"/>
              </w:rPr>
              <w:t xml:space="preserve">Article 2(1) </w:t>
            </w:r>
            <w:r w:rsidR="00D05A24" w:rsidRPr="001562B3">
              <w:rPr>
                <w:rStyle w:val="FormatvorlageInstructionsTabelleText"/>
                <w:rFonts w:ascii="Times New Roman" w:hAnsi="Times New Roman"/>
                <w:sz w:val="24"/>
              </w:rPr>
              <w:t>of that Directive</w:t>
            </w:r>
            <w:r w:rsidR="00612E23" w:rsidRPr="001562B3">
              <w:rPr>
                <w:rStyle w:val="FormatvorlageInstructionsTabelleText"/>
                <w:rFonts w:ascii="Times New Roman" w:hAnsi="Times New Roman"/>
                <w:sz w:val="24"/>
              </w:rPr>
              <w:t xml:space="preserve"> and liabilities included in the amount of own funds and eligible liabilities </w:t>
            </w:r>
            <w:r w:rsidR="00D05A24" w:rsidRPr="001562B3">
              <w:rPr>
                <w:rStyle w:val="FormatvorlageInstructionsTabelleText"/>
                <w:rFonts w:ascii="Times New Roman" w:hAnsi="Times New Roman"/>
                <w:sz w:val="24"/>
              </w:rPr>
              <w:t>in accordance with</w:t>
            </w:r>
            <w:r w:rsidR="00612E23" w:rsidRPr="001562B3">
              <w:rPr>
                <w:rStyle w:val="FormatvorlageInstructionsTabelleText"/>
                <w:rFonts w:ascii="Times New Roman" w:hAnsi="Times New Roman"/>
                <w:sz w:val="24"/>
              </w:rPr>
              <w:t xml:space="preserve"> Article 45b(3) </w:t>
            </w:r>
            <w:r w:rsidR="00D05A24" w:rsidRPr="001562B3">
              <w:rPr>
                <w:rStyle w:val="FormatvorlageInstructionsTabelleText"/>
                <w:rFonts w:ascii="Times New Roman" w:hAnsi="Times New Roman"/>
                <w:sz w:val="24"/>
              </w:rPr>
              <w:t>of that Directive</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8F14C3"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8F14C3"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p>
          <w:p w14:paraId="5C3837FC" w14:textId="25D3B279" w:rsidR="00C80C5A" w:rsidRPr="001562B3" w:rsidRDefault="00D83C2E">
            <w:pPr>
              <w:pStyle w:val="InstructionsText"/>
            </w:pPr>
            <w:r w:rsidRPr="001562B3">
              <w:rPr>
                <w:rStyle w:val="FormatvorlageInstructionsTabelleText"/>
                <w:rFonts w:ascii="Times New Roman" w:hAnsi="Times New Roman"/>
                <w:i/>
                <w:sz w:val="24"/>
              </w:rPr>
              <w:t>TLAC</w:t>
            </w:r>
          </w:p>
          <w:p w14:paraId="7F653EB4" w14:textId="37EFA823" w:rsidR="00D83C2E" w:rsidRPr="001562B3" w:rsidRDefault="00C80C5A">
            <w:pPr>
              <w:pStyle w:val="InstructionsText"/>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which comply with all the requirements </w:t>
            </w:r>
            <w:r w:rsidR="00D66F32" w:rsidRPr="001562B3">
              <w:rPr>
                <w:rStyle w:val="FormatvorlageInstructionsTabelleText"/>
                <w:rFonts w:ascii="Times New Roman" w:hAnsi="Times New Roman"/>
                <w:sz w:val="24"/>
              </w:rPr>
              <w:t>laid down</w:t>
            </w:r>
            <w:r w:rsidR="00D83C2E" w:rsidRPr="001562B3">
              <w:rPr>
                <w:rStyle w:val="FormatvorlageInstructionsTabelleText"/>
                <w:rFonts w:ascii="Times New Roman" w:hAnsi="Times New Roman"/>
                <w:sz w:val="24"/>
              </w:rPr>
              <w:t xml:space="preserve"> in </w:t>
            </w:r>
            <w:r w:rsidR="00D66F32" w:rsidRPr="001562B3">
              <w:rPr>
                <w:rStyle w:val="FormatvorlageInstructionsTabelleText"/>
                <w:rFonts w:ascii="Times New Roman" w:hAnsi="Times New Roman"/>
                <w:sz w:val="24"/>
              </w:rPr>
              <w:t>A</w:t>
            </w:r>
            <w:r w:rsidR="00D83C2E" w:rsidRPr="001562B3">
              <w:rPr>
                <w:rStyle w:val="FormatvorlageInstructionsTabelleText"/>
                <w:rFonts w:ascii="Times New Roman" w:hAnsi="Times New Roman"/>
                <w:sz w:val="24"/>
              </w:rPr>
              <w:t>rticles 72a to 72</w:t>
            </w:r>
            <w:r w:rsidR="009A4CD1" w:rsidRPr="001562B3">
              <w:rPr>
                <w:rStyle w:val="FormatvorlageInstructionsTabelleText"/>
                <w:rFonts w:ascii="Times New Roman" w:hAnsi="Times New Roman"/>
                <w:sz w:val="24"/>
              </w:rPr>
              <w:t>d</w:t>
            </w:r>
            <w:r w:rsidR="00D66F32" w:rsidRPr="001562B3">
              <w:t xml:space="preserve"> </w:t>
            </w:r>
            <w:r w:rsidR="00D66F32" w:rsidRPr="001562B3">
              <w:rPr>
                <w:rStyle w:val="FormatvorlageInstructionsTabelleText"/>
                <w:rFonts w:ascii="Times New Roman" w:hAnsi="Times New Roman"/>
                <w:sz w:val="24"/>
              </w:rPr>
              <w:t>of Regulation (EU) No 575/2013</w:t>
            </w:r>
            <w:r w:rsidR="00D83C2E" w:rsidRPr="001562B3">
              <w:rPr>
                <w:rStyle w:val="FormatvorlageInstructionsTabelleText"/>
                <w:rFonts w:ascii="Times New Roman" w:hAnsi="Times New Roman"/>
                <w:sz w:val="24"/>
              </w:rPr>
              <w:t xml:space="preserve">, at the exclusion of liabilities permitted to qualify as eligible liability instruments </w:t>
            </w:r>
            <w:r w:rsidR="00D66F32" w:rsidRPr="001562B3">
              <w:rPr>
                <w:rStyle w:val="FormatvorlageInstructionsTabelleText"/>
                <w:rFonts w:ascii="Times New Roman" w:hAnsi="Times New Roman"/>
                <w:sz w:val="24"/>
              </w:rPr>
              <w:t>in accordance with</w:t>
            </w:r>
            <w:r w:rsidR="00D83C2E" w:rsidRPr="001562B3">
              <w:rPr>
                <w:rStyle w:val="FormatvorlageInstructionsTabelleText"/>
                <w:rFonts w:ascii="Times New Roman" w:hAnsi="Times New Roman"/>
                <w:sz w:val="24"/>
              </w:rPr>
              <w:t xml:space="preserve"> Articles 72b(3) or (4)</w:t>
            </w:r>
            <w:r w:rsidRPr="001562B3">
              <w:rPr>
                <w:rStyle w:val="FormatvorlageInstructionsTabelleText"/>
                <w:rFonts w:ascii="Times New Roman" w:hAnsi="Times New Roman"/>
                <w:sz w:val="24"/>
              </w:rPr>
              <w:t xml:space="preserve"> </w:t>
            </w:r>
            <w:r w:rsidR="00D66F32" w:rsidRPr="001562B3">
              <w:rPr>
                <w:rStyle w:val="FormatvorlageInstructionsTabelleText"/>
                <w:rFonts w:ascii="Times New Roman" w:hAnsi="Times New Roman"/>
                <w:sz w:val="24"/>
              </w:rPr>
              <w:t>of that Regulation.</w:t>
            </w:r>
          </w:p>
        </w:tc>
      </w:tr>
      <w:tr w:rsidR="00A63011" w:rsidRPr="001562B3" w14:paraId="65D7B875" w14:textId="77777777" w:rsidTr="007674DE">
        <w:tc>
          <w:tcPr>
            <w:tcW w:w="1129" w:type="dxa"/>
            <w:vAlign w:val="center"/>
          </w:tcPr>
          <w:p w14:paraId="2E78853D" w14:textId="4BB5EBB8" w:rsidR="00A63011" w:rsidRPr="001562B3" w:rsidRDefault="00A63011" w:rsidP="00E05895">
            <w:pPr>
              <w:pStyle w:val="InstructionsText"/>
            </w:pPr>
            <w:r w:rsidRPr="001562B3">
              <w:rPr>
                <w:rStyle w:val="FormatvorlageInstructionsTabelleText"/>
                <w:rFonts w:ascii="Times New Roman" w:hAnsi="Times New Roman"/>
                <w:sz w:val="24"/>
              </w:rPr>
              <w:t>0</w:t>
            </w:r>
            <w:r w:rsidR="00EF1BBD" w:rsidRPr="001562B3">
              <w:rPr>
                <w:rStyle w:val="FormatvorlageInstructionsTabelleText"/>
                <w:rFonts w:ascii="Times New Roman" w:hAnsi="Times New Roman"/>
                <w:sz w:val="24"/>
              </w:rPr>
              <w:t>10</w:t>
            </w:r>
            <w:r w:rsidRPr="001562B3">
              <w:rPr>
                <w:rStyle w:val="FormatvorlageInstructionsTabelleText"/>
                <w:rFonts w:ascii="Times New Roman" w:hAnsi="Times New Roman"/>
                <w:sz w:val="24"/>
              </w:rPr>
              <w:t>0</w:t>
            </w:r>
          </w:p>
        </w:tc>
        <w:tc>
          <w:tcPr>
            <w:tcW w:w="7620" w:type="dxa"/>
            <w:vAlign w:val="center"/>
          </w:tcPr>
          <w:p w14:paraId="32ABAB10" w14:textId="5A2436B8" w:rsidR="00A63011" w:rsidRPr="001562B3" w:rsidRDefault="00A63011" w:rsidP="008E501F">
            <w:pPr>
              <w:pStyle w:val="InstructionsText"/>
              <w:rPr>
                <w:rStyle w:val="InstructionsTabelleberschrift"/>
                <w:rFonts w:ascii="Times New Roman" w:hAnsi="Times New Roman"/>
                <w:i/>
                <w:sz w:val="24"/>
              </w:rPr>
            </w:pPr>
            <w:r w:rsidRPr="001562B3">
              <w:rPr>
                <w:rStyle w:val="InstructionsTabelleberschrift"/>
                <w:rFonts w:ascii="Times New Roman" w:hAnsi="Times New Roman"/>
                <w:sz w:val="24"/>
              </w:rPr>
              <w:t>Eligible liabilities instruments issued directly by the resolution entity</w:t>
            </w:r>
            <w:r w:rsidR="00D83C2E" w:rsidRPr="001562B3">
              <w:rPr>
                <w:rStyle w:val="InstructionsTabelleberschrift"/>
                <w:rFonts w:ascii="Times New Roman" w:hAnsi="Times New Roman"/>
                <w:sz w:val="24"/>
              </w:rPr>
              <w:t xml:space="preserve"> </w:t>
            </w:r>
            <w:r w:rsidR="0012244E" w:rsidRPr="001562B3">
              <w:rPr>
                <w:rStyle w:val="InstructionsTabelleberschrift"/>
                <w:rFonts w:ascii="Times New Roman" w:hAnsi="Times New Roman"/>
                <w:sz w:val="24"/>
              </w:rPr>
              <w:t>(</w:t>
            </w:r>
            <w:r w:rsidR="00D83C2E" w:rsidRPr="001562B3">
              <w:rPr>
                <w:rStyle w:val="InstructionsTabelleberschrift"/>
                <w:rFonts w:ascii="Times New Roman" w:hAnsi="Times New Roman"/>
                <w:sz w:val="24"/>
              </w:rPr>
              <w:t>not grandfathered</w:t>
            </w:r>
            <w:r w:rsidR="0012244E" w:rsidRPr="001562B3">
              <w:rPr>
                <w:rStyle w:val="InstructionsTabelleberschrift"/>
                <w:rFonts w:ascii="Times New Roman" w:hAnsi="Times New Roman"/>
                <w:sz w:val="24"/>
              </w:rPr>
              <w:t>)</w:t>
            </w:r>
          </w:p>
          <w:p w14:paraId="4DBAA034" w14:textId="489D258B" w:rsidR="00C80C5A" w:rsidRPr="001562B3" w:rsidRDefault="00D83C2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MREL</w:t>
            </w:r>
          </w:p>
          <w:p w14:paraId="7ECE538F" w14:textId="64FEFE49" w:rsidR="00A63011" w:rsidRPr="001562B3" w:rsidRDefault="00C80C5A">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b w:val="0"/>
                <w:sz w:val="24"/>
                <w:u w:val="none"/>
              </w:rPr>
              <w:t>E</w:t>
            </w:r>
            <w:r w:rsidR="00D83C2E" w:rsidRPr="001562B3">
              <w:rPr>
                <w:rStyle w:val="InstructionsTabelleberschrift"/>
                <w:rFonts w:ascii="Times New Roman" w:hAnsi="Times New Roman"/>
                <w:b w:val="0"/>
                <w:sz w:val="24"/>
                <w:u w:val="none"/>
              </w:rPr>
              <w:t>ligible liabilities included in the</w:t>
            </w:r>
            <w:r w:rsidR="00D83C2E" w:rsidRPr="001562B3">
              <w:rPr>
                <w:rStyle w:val="FormatvorlageInstructionsTabelleText"/>
                <w:rFonts w:ascii="Times New Roman" w:hAnsi="Times New Roman"/>
                <w:sz w:val="24"/>
              </w:rPr>
              <w:t xml:space="preserve"> amount of own funds and eligible liabilities </w:t>
            </w:r>
            <w:r w:rsidR="00FB2B1A" w:rsidRPr="001562B3">
              <w:rPr>
                <w:rStyle w:val="FormatvorlageInstructionsTabelleText"/>
                <w:rFonts w:ascii="Times New Roman" w:hAnsi="Times New Roman"/>
                <w:sz w:val="24"/>
              </w:rPr>
              <w:t>in accordance with</w:t>
            </w:r>
            <w:r w:rsidR="00D83C2E" w:rsidRPr="001562B3">
              <w:rPr>
                <w:rStyle w:val="FormatvorlageInstructionsTabelleText"/>
                <w:rFonts w:ascii="Times New Roman" w:hAnsi="Times New Roman"/>
                <w:sz w:val="24"/>
              </w:rPr>
              <w:t xml:space="preserve"> Article 45b </w:t>
            </w:r>
            <w:r w:rsidR="00FB2B1A"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 xml:space="preserve"> </w:t>
            </w:r>
            <w:r w:rsidR="0051375E" w:rsidRPr="001562B3">
              <w:rPr>
                <w:rStyle w:val="FormatvorlageInstructionsTabelleText"/>
                <w:rFonts w:ascii="Times New Roman" w:hAnsi="Times New Roman"/>
                <w:sz w:val="24"/>
              </w:rPr>
              <w:t>that</w:t>
            </w:r>
            <w:r w:rsidR="00D83C2E" w:rsidRPr="001562B3">
              <w:rPr>
                <w:rStyle w:val="FormatvorlageInstructionsTabelleText"/>
                <w:rFonts w:ascii="Times New Roman" w:hAnsi="Times New Roman"/>
                <w:sz w:val="24"/>
              </w:rPr>
              <w:t xml:space="preserve"> are subordinated eligible instruments as defined in </w:t>
            </w:r>
            <w:r w:rsidR="00EB7528" w:rsidRPr="001562B3">
              <w:rPr>
                <w:rStyle w:val="FormatvorlageInstructionsTabelleText"/>
                <w:rFonts w:ascii="Times New Roman" w:hAnsi="Times New Roman"/>
                <w:sz w:val="24"/>
              </w:rPr>
              <w:t xml:space="preserve">point (71b) of </w:t>
            </w:r>
            <w:r w:rsidR="00D83C2E" w:rsidRPr="001562B3">
              <w:rPr>
                <w:rStyle w:val="FormatvorlageInstructionsTabelleText"/>
                <w:rFonts w:ascii="Times New Roman" w:hAnsi="Times New Roman"/>
                <w:sz w:val="24"/>
              </w:rPr>
              <w:t xml:space="preserve">Article 2(1) </w:t>
            </w:r>
            <w:r w:rsidR="0051375E" w:rsidRPr="001562B3">
              <w:rPr>
                <w:rStyle w:val="FormatvorlageInstructionsTabelleText"/>
                <w:rFonts w:ascii="Times New Roman" w:hAnsi="Times New Roman"/>
                <w:sz w:val="24"/>
              </w:rPr>
              <w:t>of that Directive</w:t>
            </w:r>
            <w:r w:rsidR="00D83C2E" w:rsidRPr="001562B3">
              <w:rPr>
                <w:rStyle w:val="FormatvorlageInstructionsTabelleText"/>
                <w:rFonts w:ascii="Times New Roman" w:hAnsi="Times New Roman"/>
                <w:sz w:val="24"/>
              </w:rPr>
              <w:t xml:space="preserve"> and </w:t>
            </w:r>
            <w:r w:rsidR="0051375E" w:rsidRPr="001562B3">
              <w:rPr>
                <w:rStyle w:val="FormatvorlageInstructionsTabelleText"/>
                <w:rFonts w:ascii="Times New Roman" w:hAnsi="Times New Roman"/>
                <w:sz w:val="24"/>
              </w:rPr>
              <w:t>that</w:t>
            </w:r>
            <w:r w:rsidR="00D83C2E" w:rsidRPr="001562B3">
              <w:rPr>
                <w:rStyle w:val="FormatvorlageInstructionsTabelleText"/>
                <w:rFonts w:ascii="Times New Roman" w:hAnsi="Times New Roman"/>
                <w:sz w:val="24"/>
              </w:rPr>
              <w:t xml:space="preserve"> are issued directly by the resolution entity</w:t>
            </w:r>
            <w:r w:rsidR="00A63011" w:rsidRPr="001562B3">
              <w:rPr>
                <w:rStyle w:val="FormatvorlageInstructionsTabelleText"/>
                <w:rFonts w:ascii="Times New Roman" w:hAnsi="Times New Roman"/>
                <w:sz w:val="24"/>
              </w:rPr>
              <w:t>.</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51375E"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51375E"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p>
          <w:p w14:paraId="055ECE85" w14:textId="77777777" w:rsidR="00C80C5A" w:rsidRPr="001562B3" w:rsidRDefault="00D83C2E">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i/>
                <w:sz w:val="24"/>
              </w:rPr>
              <w:t>TLAC</w:t>
            </w:r>
          </w:p>
          <w:p w14:paraId="51F95D97" w14:textId="511FB3F1" w:rsidR="00D83C2E" w:rsidRPr="001562B3" w:rsidRDefault="00C80C5A">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which comply with all the requirements </w:t>
            </w:r>
            <w:r w:rsidR="004D63AE" w:rsidRPr="001562B3">
              <w:rPr>
                <w:rStyle w:val="FormatvorlageInstructionsTabelleText"/>
                <w:rFonts w:ascii="Times New Roman" w:hAnsi="Times New Roman"/>
                <w:sz w:val="24"/>
              </w:rPr>
              <w:t>laid down</w:t>
            </w:r>
            <w:r w:rsidR="00D83C2E"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D83C2E" w:rsidRPr="001562B3">
              <w:rPr>
                <w:rStyle w:val="FormatvorlageInstructionsTabelleText"/>
                <w:rFonts w:ascii="Times New Roman" w:hAnsi="Times New Roman"/>
                <w:sz w:val="24"/>
              </w:rPr>
              <w:t>rticles 72a to 72</w:t>
            </w:r>
            <w:r w:rsidR="00D1229B" w:rsidRPr="001562B3">
              <w:rPr>
                <w:rStyle w:val="FormatvorlageInstructionsTabelleText"/>
                <w:rFonts w:ascii="Times New Roman" w:hAnsi="Times New Roman"/>
                <w:sz w:val="24"/>
              </w:rPr>
              <w:t>d</w:t>
            </w:r>
            <w:r w:rsidRPr="001562B3">
              <w:rPr>
                <w:rStyle w:val="FormatvorlageInstructionsTabelleText"/>
                <w:rFonts w:ascii="Times New Roman" w:hAnsi="Times New Roman"/>
                <w:sz w:val="24"/>
              </w:rPr>
              <w:t xml:space="preserve"> </w:t>
            </w:r>
            <w:r w:rsidR="004D63AE" w:rsidRPr="001562B3">
              <w:rPr>
                <w:rStyle w:val="FormatvorlageInstructionsTabelleText"/>
                <w:rFonts w:ascii="Times New Roman" w:hAnsi="Times New Roman"/>
                <w:sz w:val="24"/>
              </w:rPr>
              <w:t>of Regulation (EU) No 575/2013</w:t>
            </w:r>
            <w:r w:rsidR="00D83C2E" w:rsidRPr="001562B3">
              <w:rPr>
                <w:rStyle w:val="FormatvorlageInstructionsTabelleText"/>
                <w:rFonts w:ascii="Times New Roman" w:hAnsi="Times New Roman"/>
                <w:sz w:val="24"/>
              </w:rPr>
              <w:t xml:space="preserve">, at the exclusion of liabilities permitted to qualify as eligible liability instruments </w:t>
            </w:r>
            <w:r w:rsidR="00C904F7" w:rsidRPr="001562B3">
              <w:rPr>
                <w:rStyle w:val="FormatvorlageInstructionsTabelleText"/>
                <w:rFonts w:ascii="Times New Roman" w:hAnsi="Times New Roman"/>
                <w:sz w:val="24"/>
              </w:rPr>
              <w:t>in accordance with</w:t>
            </w:r>
            <w:r w:rsidR="00D83C2E" w:rsidRPr="001562B3">
              <w:rPr>
                <w:rStyle w:val="FormatvorlageInstructionsTabelleText"/>
                <w:rFonts w:ascii="Times New Roman" w:hAnsi="Times New Roman"/>
                <w:sz w:val="24"/>
              </w:rPr>
              <w:t xml:space="preserve"> Articles 72b(3) or (4)</w:t>
            </w:r>
            <w:r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that Regulation</w:t>
            </w:r>
            <w:r w:rsidR="00D83C2E" w:rsidRPr="001562B3">
              <w:rPr>
                <w:rStyle w:val="FormatvorlageInstructionsTabelleText"/>
                <w:rFonts w:ascii="Times New Roman" w:hAnsi="Times New Roman"/>
                <w:b/>
                <w:sz w:val="24"/>
              </w:rPr>
              <w:t xml:space="preserve">, </w:t>
            </w:r>
            <w:r w:rsidR="00D83C2E" w:rsidRPr="001562B3">
              <w:rPr>
                <w:rStyle w:val="FormatvorlageInstructionsTabelleText"/>
                <w:rFonts w:ascii="Times New Roman" w:hAnsi="Times New Roman"/>
                <w:sz w:val="24"/>
              </w:rPr>
              <w:t xml:space="preserve">and </w:t>
            </w:r>
            <w:r w:rsidRPr="001562B3">
              <w:rPr>
                <w:rStyle w:val="FormatvorlageInstructionsTabelleText"/>
                <w:rFonts w:ascii="Times New Roman" w:hAnsi="Times New Roman"/>
                <w:sz w:val="24"/>
              </w:rPr>
              <w:t xml:space="preserve">which </w:t>
            </w:r>
            <w:r w:rsidR="00D83C2E" w:rsidRPr="001562B3">
              <w:rPr>
                <w:rStyle w:val="FormatvorlageInstructionsTabelleText"/>
                <w:rFonts w:ascii="Times New Roman" w:hAnsi="Times New Roman"/>
                <w:sz w:val="24"/>
              </w:rPr>
              <w:t>are issued directly by the resolution entity</w:t>
            </w:r>
            <w:r w:rsidR="00D83C2E" w:rsidRPr="001562B3">
              <w:rPr>
                <w:rStyle w:val="FormatvorlageInstructionsTabelleText"/>
                <w:rFonts w:ascii="Times New Roman" w:hAnsi="Times New Roman"/>
                <w:b/>
                <w:sz w:val="24"/>
              </w:rPr>
              <w:t>.</w:t>
            </w:r>
          </w:p>
          <w:p w14:paraId="609C4389" w14:textId="6640F802" w:rsidR="00A63011" w:rsidRPr="001562B3" w:rsidRDefault="003C1F98">
            <w:pPr>
              <w:pStyle w:val="InstructionsText"/>
            </w:pPr>
            <w:r w:rsidRPr="001562B3">
              <w:rPr>
                <w:rStyle w:val="FormatvorlageInstructionsTabelleText"/>
                <w:rFonts w:ascii="Times New Roman" w:hAnsi="Times New Roman"/>
                <w:sz w:val="24"/>
              </w:rPr>
              <w:t>This row shall neither include the amortised portion of T</w:t>
            </w:r>
            <w:r w:rsidR="00C904F7" w:rsidRPr="001562B3">
              <w:rPr>
                <w:rStyle w:val="FormatvorlageInstructionsTabelleText"/>
                <w:rFonts w:ascii="Times New Roman" w:hAnsi="Times New Roman"/>
                <w:sz w:val="24"/>
              </w:rPr>
              <w:t xml:space="preserve">ier </w:t>
            </w:r>
            <w:r w:rsidRPr="001562B3">
              <w:rPr>
                <w:rStyle w:val="FormatvorlageInstructionsTabelleText"/>
                <w:rFonts w:ascii="Times New Roman" w:hAnsi="Times New Roman"/>
                <w:sz w:val="24"/>
              </w:rPr>
              <w:t>2 instruments where</w:t>
            </w:r>
            <w:r w:rsidR="00B51127" w:rsidRPr="001562B3">
              <w:rPr>
                <w:rStyle w:val="FormatvorlageInstructionsTabelleText"/>
                <w:rFonts w:ascii="Times New Roman" w:hAnsi="Times New Roman"/>
                <w:sz w:val="24"/>
              </w:rPr>
              <w:t xml:space="preserve"> the</w:t>
            </w:r>
            <w:r w:rsidRPr="001562B3">
              <w:rPr>
                <w:rStyle w:val="FormatvorlageInstructionsTabelleText"/>
                <w:rFonts w:ascii="Times New Roman" w:hAnsi="Times New Roman"/>
                <w:sz w:val="24"/>
              </w:rPr>
              <w:t xml:space="preserve"> remaining maturity is greater than one year (</w:t>
            </w:r>
            <w:r w:rsidR="00EB7528" w:rsidRPr="001562B3">
              <w:rPr>
                <w:rStyle w:val="FormatvorlageInstructionsTabelleText"/>
                <w:rFonts w:ascii="Times New Roman" w:hAnsi="Times New Roman"/>
                <w:sz w:val="24"/>
              </w:rPr>
              <w:t xml:space="preserve">point (b) of </w:t>
            </w:r>
            <w:r w:rsidRPr="001562B3">
              <w:rPr>
                <w:rStyle w:val="FormatvorlageInstructionsTabelleText"/>
                <w:rFonts w:ascii="Times New Roman" w:hAnsi="Times New Roman"/>
                <w:sz w:val="24"/>
              </w:rPr>
              <w:t>Article 72a(1)</w:t>
            </w:r>
            <w:r w:rsidR="00EB7528"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 xml:space="preserve">) nor </w:t>
            </w:r>
            <w:r w:rsidR="00D83C2E" w:rsidRPr="001562B3">
              <w:rPr>
                <w:rStyle w:val="FormatvorlageInstructionsTabelleText"/>
                <w:rFonts w:ascii="Times New Roman" w:hAnsi="Times New Roman"/>
                <w:sz w:val="24"/>
              </w:rPr>
              <w:t xml:space="preserve">eligible liabilities grandfathered under Article 494b </w:t>
            </w:r>
            <w:r w:rsidR="00C904F7" w:rsidRPr="001562B3">
              <w:rPr>
                <w:rStyle w:val="FormatvorlageInstructionsTabelleText"/>
                <w:rFonts w:ascii="Times New Roman" w:hAnsi="Times New Roman"/>
                <w:sz w:val="24"/>
              </w:rPr>
              <w:t>of that Regulation</w:t>
            </w:r>
            <w:r w:rsidR="00D83C2E" w:rsidRPr="001562B3">
              <w:rPr>
                <w:rStyle w:val="FormatvorlageInstructionsTabelleText"/>
                <w:rFonts w:ascii="Times New Roman" w:hAnsi="Times New Roman"/>
                <w:sz w:val="24"/>
              </w:rPr>
              <w:t>.</w:t>
            </w:r>
          </w:p>
        </w:tc>
      </w:tr>
      <w:tr w:rsidR="00A63011" w:rsidRPr="001562B3" w14:paraId="41FBFCDC" w14:textId="77777777" w:rsidTr="007674DE">
        <w:tc>
          <w:tcPr>
            <w:tcW w:w="1129" w:type="dxa"/>
            <w:vAlign w:val="center"/>
          </w:tcPr>
          <w:p w14:paraId="11EA5A62" w14:textId="26C75E8E" w:rsidR="00A63011" w:rsidRPr="001562B3" w:rsidRDefault="00A63011" w:rsidP="00E05895">
            <w:pPr>
              <w:pStyle w:val="InstructionsText"/>
            </w:pPr>
            <w:r w:rsidRPr="001562B3">
              <w:rPr>
                <w:rStyle w:val="FormatvorlageInstructionsTabelleText"/>
                <w:rFonts w:ascii="Times New Roman" w:hAnsi="Times New Roman"/>
                <w:sz w:val="24"/>
              </w:rPr>
              <w:t>0</w:t>
            </w:r>
            <w:r w:rsidR="004B26E4" w:rsidRPr="001562B3">
              <w:rPr>
                <w:rStyle w:val="FormatvorlageInstructionsTabelleText"/>
                <w:rFonts w:ascii="Times New Roman" w:hAnsi="Times New Roman"/>
                <w:sz w:val="24"/>
              </w:rPr>
              <w:t>1</w:t>
            </w:r>
            <w:r w:rsidR="00EF1BBD" w:rsidRPr="001562B3">
              <w:rPr>
                <w:rStyle w:val="FormatvorlageInstructionsTabelleText"/>
                <w:rFonts w:ascii="Times New Roman" w:hAnsi="Times New Roman"/>
                <w:sz w:val="24"/>
              </w:rPr>
              <w:t>1</w:t>
            </w:r>
            <w:r w:rsidRPr="001562B3">
              <w:rPr>
                <w:rStyle w:val="FormatvorlageInstructionsTabelleText"/>
                <w:rFonts w:ascii="Times New Roman" w:hAnsi="Times New Roman"/>
                <w:sz w:val="24"/>
              </w:rPr>
              <w:t>0</w:t>
            </w:r>
          </w:p>
        </w:tc>
        <w:tc>
          <w:tcPr>
            <w:tcW w:w="7620" w:type="dxa"/>
            <w:vAlign w:val="center"/>
          </w:tcPr>
          <w:p w14:paraId="79B3EE97" w14:textId="7FDAAA39" w:rsidR="00A63011" w:rsidRPr="001562B3" w:rsidRDefault="00A63011"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 instruments issued by other entities within the resolution group</w:t>
            </w:r>
            <w:r w:rsidR="00CD58AA" w:rsidRPr="001562B3">
              <w:rPr>
                <w:rStyle w:val="InstructionsTabelleberschrift"/>
                <w:rFonts w:ascii="Times New Roman" w:hAnsi="Times New Roman"/>
                <w:sz w:val="24"/>
              </w:rPr>
              <w:t xml:space="preserve"> </w:t>
            </w:r>
            <w:r w:rsidR="0012244E" w:rsidRPr="001562B3">
              <w:rPr>
                <w:rStyle w:val="InstructionsTabelleberschrift"/>
                <w:rFonts w:ascii="Times New Roman" w:hAnsi="Times New Roman"/>
                <w:sz w:val="24"/>
              </w:rPr>
              <w:t>(</w:t>
            </w:r>
            <w:r w:rsidR="00CD58AA" w:rsidRPr="001562B3">
              <w:rPr>
                <w:rStyle w:val="InstructionsTabelleberschrift"/>
                <w:rFonts w:ascii="Times New Roman" w:hAnsi="Times New Roman"/>
                <w:sz w:val="24"/>
              </w:rPr>
              <w:t>not grandfathered</w:t>
            </w:r>
            <w:r w:rsidR="0012244E" w:rsidRPr="001562B3">
              <w:rPr>
                <w:rStyle w:val="InstructionsTabelleberschrift"/>
                <w:rFonts w:ascii="Times New Roman" w:hAnsi="Times New Roman"/>
                <w:sz w:val="24"/>
              </w:rPr>
              <w:t>)</w:t>
            </w:r>
          </w:p>
          <w:p w14:paraId="6D1C85D0" w14:textId="02C1463F" w:rsidR="00C80C5A" w:rsidRPr="001562B3" w:rsidRDefault="00B775C4" w:rsidP="008E501F">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50B462B4" w14:textId="4F5DF724" w:rsidR="00B775C4" w:rsidRPr="001562B3" w:rsidRDefault="00C80C5A" w:rsidP="008E501F">
            <w:pPr>
              <w:pStyle w:val="InstructionsText"/>
              <w:rPr>
                <w:rStyle w:val="FormatvorlageInstructionsTabelleText"/>
                <w:rFonts w:ascii="Times New Roman" w:hAnsi="Times New Roman"/>
                <w:b/>
                <w:sz w:val="24"/>
              </w:rPr>
            </w:pPr>
            <w:r w:rsidRPr="001562B3">
              <w:rPr>
                <w:rStyle w:val="InstructionsTabelleberschrift"/>
                <w:rFonts w:ascii="Times New Roman" w:hAnsi="Times New Roman"/>
                <w:b w:val="0"/>
                <w:sz w:val="24"/>
                <w:u w:val="none"/>
              </w:rPr>
              <w:t>E</w:t>
            </w:r>
            <w:r w:rsidR="00B775C4" w:rsidRPr="001562B3">
              <w:rPr>
                <w:rStyle w:val="InstructionsTabelleberschrift"/>
                <w:rFonts w:ascii="Times New Roman" w:hAnsi="Times New Roman"/>
                <w:b w:val="0"/>
                <w:sz w:val="24"/>
                <w:u w:val="none"/>
              </w:rPr>
              <w:t>ligible liabilities included in the</w:t>
            </w:r>
            <w:r w:rsidR="00B775C4" w:rsidRPr="001562B3">
              <w:rPr>
                <w:rStyle w:val="FormatvorlageInstructionsTabelleText"/>
                <w:rFonts w:ascii="Times New Roman" w:hAnsi="Times New Roman"/>
                <w:sz w:val="24"/>
              </w:rPr>
              <w:t xml:space="preserve"> amount of own funds and eligible liabilities </w:t>
            </w:r>
            <w:r w:rsidR="00C904F7" w:rsidRPr="001562B3">
              <w:rPr>
                <w:rStyle w:val="FormatvorlageInstructionsTabelleText"/>
                <w:rFonts w:ascii="Times New Roman" w:hAnsi="Times New Roman"/>
                <w:sz w:val="24"/>
              </w:rPr>
              <w:t>in accordance with</w:t>
            </w:r>
            <w:r w:rsidR="00B775C4" w:rsidRPr="001562B3">
              <w:rPr>
                <w:rStyle w:val="FormatvorlageInstructionsTabelleText"/>
                <w:rFonts w:ascii="Times New Roman" w:hAnsi="Times New Roman"/>
                <w:sz w:val="24"/>
              </w:rPr>
              <w:t xml:space="preserve"> Article 45b</w:t>
            </w:r>
            <w:r w:rsidR="00CD51BC"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Directive 2014/59/EU</w:t>
            </w:r>
            <w:r w:rsidR="00B775C4" w:rsidRPr="001562B3">
              <w:rPr>
                <w:rStyle w:val="FormatvorlageInstructionsTabelleText"/>
                <w:rFonts w:ascii="Times New Roman" w:hAnsi="Times New Roman"/>
                <w:sz w:val="24"/>
              </w:rPr>
              <w:t xml:space="preserve"> that are issued by subsidiaries and included in MREL in compliance with Article 45b(3)</w:t>
            </w:r>
            <w:r w:rsidR="00CD51BC"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that Directive</w:t>
            </w:r>
            <w:r w:rsidR="00B775C4" w:rsidRPr="001562B3">
              <w:rPr>
                <w:rStyle w:val="FormatvorlageInstructionsTabelleText"/>
                <w:rFonts w:ascii="Times New Roman" w:hAnsi="Times New Roman"/>
                <w:sz w:val="24"/>
              </w:rPr>
              <w:t>.</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w:t>
            </w:r>
            <w:r w:rsidR="00014A29" w:rsidRPr="001562B3">
              <w:rPr>
                <w:rStyle w:val="FormatvorlageInstructionsTabelleText"/>
                <w:rFonts w:ascii="Times New Roman" w:hAnsi="Times New Roman"/>
                <w:sz w:val="24"/>
              </w:rPr>
              <w:lastRenderedPageBreak/>
              <w:t xml:space="preserve">the instrument shall only be included in this row if it meets the requirements </w:t>
            </w:r>
            <w:r w:rsidR="00C904F7"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C904F7"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p>
          <w:p w14:paraId="5240CE7F" w14:textId="4DC3E44A" w:rsidR="00CD51BC" w:rsidRPr="001562B3" w:rsidRDefault="00CD58AA">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371D0855" w14:textId="1FBDC847" w:rsidR="00B775C4" w:rsidRPr="001562B3" w:rsidRDefault="00CD51BC">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E</w:t>
            </w:r>
            <w:r w:rsidR="00CD58AA" w:rsidRPr="001562B3">
              <w:rPr>
                <w:rStyle w:val="FormatvorlageInstructionsTabelleText"/>
                <w:rFonts w:ascii="Times New Roman" w:hAnsi="Times New Roman"/>
                <w:sz w:val="24"/>
              </w:rPr>
              <w:t xml:space="preserve">ligible liabilities which comply with all the requirements </w:t>
            </w:r>
            <w:r w:rsidR="00C904F7" w:rsidRPr="001562B3">
              <w:rPr>
                <w:rStyle w:val="FormatvorlageInstructionsTabelleText"/>
                <w:rFonts w:ascii="Times New Roman" w:hAnsi="Times New Roman"/>
                <w:sz w:val="24"/>
              </w:rPr>
              <w:t>laid down</w:t>
            </w:r>
            <w:r w:rsidR="00CD58AA" w:rsidRPr="001562B3">
              <w:rPr>
                <w:rStyle w:val="FormatvorlageInstructionsTabelleText"/>
                <w:rFonts w:ascii="Times New Roman" w:hAnsi="Times New Roman"/>
                <w:sz w:val="24"/>
              </w:rPr>
              <w:t xml:space="preserve"> in </w:t>
            </w:r>
            <w:r w:rsidR="00C904F7" w:rsidRPr="001562B3">
              <w:rPr>
                <w:rStyle w:val="FormatvorlageInstructionsTabelleText"/>
                <w:rFonts w:ascii="Times New Roman" w:hAnsi="Times New Roman"/>
                <w:sz w:val="24"/>
              </w:rPr>
              <w:t>A</w:t>
            </w:r>
            <w:r w:rsidR="00CD58AA" w:rsidRPr="001562B3">
              <w:rPr>
                <w:rStyle w:val="FormatvorlageInstructionsTabelleText"/>
                <w:rFonts w:ascii="Times New Roman" w:hAnsi="Times New Roman"/>
                <w:sz w:val="24"/>
              </w:rPr>
              <w:t>rticles 72a to 72</w:t>
            </w:r>
            <w:r w:rsidR="006B5DEC" w:rsidRPr="001562B3">
              <w:rPr>
                <w:rStyle w:val="FormatvorlageInstructionsTabelleText"/>
                <w:rFonts w:ascii="Times New Roman" w:hAnsi="Times New Roman"/>
                <w:sz w:val="24"/>
              </w:rPr>
              <w:t>d</w:t>
            </w:r>
            <w:r w:rsidR="001048C4"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Regulation (EU) No 575/2013</w:t>
            </w:r>
            <w:r w:rsidR="00CD58AA" w:rsidRPr="001562B3">
              <w:rPr>
                <w:rStyle w:val="FormatvorlageInstructionsTabelleText"/>
                <w:rFonts w:ascii="Times New Roman" w:hAnsi="Times New Roman"/>
                <w:sz w:val="24"/>
              </w:rPr>
              <w:t>, at the exclusion of liabilities permitted to qualify as eligible liability instruments pursuant to Articles 72b(3) or (4)</w:t>
            </w:r>
            <w:r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that Regulation</w:t>
            </w:r>
            <w:r w:rsidR="00CD58AA" w:rsidRPr="001562B3">
              <w:rPr>
                <w:rStyle w:val="FormatvorlageInstructionsTabelleText"/>
                <w:rFonts w:ascii="Times New Roman" w:hAnsi="Times New Roman"/>
                <w:sz w:val="24"/>
              </w:rPr>
              <w:t xml:space="preserve">, that are issued by subsidiaries and qualify for inclusion in the consolidated eligible liabilities instruments of an </w:t>
            </w:r>
            <w:r w:rsidR="00E645F5" w:rsidRPr="001562B3">
              <w:rPr>
                <w:rStyle w:val="FormatvorlageInstructionsTabelleText"/>
                <w:rFonts w:ascii="Times New Roman" w:hAnsi="Times New Roman"/>
                <w:sz w:val="24"/>
              </w:rPr>
              <w:t xml:space="preserve">entity </w:t>
            </w:r>
            <w:r w:rsidR="00C904F7" w:rsidRPr="001562B3">
              <w:rPr>
                <w:rStyle w:val="FormatvorlageInstructionsTabelleText"/>
                <w:rFonts w:ascii="Times New Roman" w:hAnsi="Times New Roman"/>
                <w:sz w:val="24"/>
              </w:rPr>
              <w:t>in accordance with</w:t>
            </w:r>
            <w:r w:rsidR="00CD58AA" w:rsidRPr="001562B3">
              <w:rPr>
                <w:rStyle w:val="FormatvorlageInstructionsTabelleText"/>
                <w:rFonts w:ascii="Times New Roman" w:hAnsi="Times New Roman"/>
                <w:sz w:val="24"/>
              </w:rPr>
              <w:t xml:space="preserve"> Article 88a </w:t>
            </w:r>
            <w:r w:rsidR="00C904F7" w:rsidRPr="001562B3">
              <w:rPr>
                <w:rStyle w:val="FormatvorlageInstructionsTabelleText"/>
                <w:rFonts w:ascii="Times New Roman" w:hAnsi="Times New Roman"/>
                <w:sz w:val="24"/>
              </w:rPr>
              <w:t>of that Regulation</w:t>
            </w:r>
            <w:r w:rsidR="00CD58AA" w:rsidRPr="001562B3">
              <w:rPr>
                <w:rStyle w:val="FormatvorlageInstructionsTabelleText"/>
                <w:rFonts w:ascii="Times New Roman" w:hAnsi="Times New Roman"/>
                <w:sz w:val="24"/>
              </w:rPr>
              <w:t>.</w:t>
            </w:r>
          </w:p>
          <w:p w14:paraId="669A214A" w14:textId="5F8C09F6" w:rsidR="003C1F98" w:rsidRPr="001562B3" w:rsidRDefault="003C1F98">
            <w:pPr>
              <w:pStyle w:val="InstructionsText"/>
            </w:pPr>
            <w:r w:rsidRPr="001562B3">
              <w:rPr>
                <w:rStyle w:val="FormatvorlageInstructionsTabelleText"/>
                <w:rFonts w:ascii="Times New Roman" w:hAnsi="Times New Roman"/>
                <w:sz w:val="24"/>
              </w:rPr>
              <w:t>This row shall neither include the amortised portion of T</w:t>
            </w:r>
            <w:r w:rsidR="00C904F7" w:rsidRPr="001562B3">
              <w:rPr>
                <w:rStyle w:val="FormatvorlageInstructionsTabelleText"/>
                <w:rFonts w:ascii="Times New Roman" w:hAnsi="Times New Roman"/>
                <w:sz w:val="24"/>
              </w:rPr>
              <w:t xml:space="preserve">ier </w:t>
            </w:r>
            <w:r w:rsidRPr="001562B3">
              <w:rPr>
                <w:rStyle w:val="FormatvorlageInstructionsTabelleText"/>
                <w:rFonts w:ascii="Times New Roman" w:hAnsi="Times New Roman"/>
                <w:sz w:val="24"/>
              </w:rPr>
              <w:t xml:space="preserve">2 instruments where </w:t>
            </w:r>
            <w:r w:rsidR="00894CE9">
              <w:rPr>
                <w:rStyle w:val="FormatvorlageInstructionsTabelleText"/>
                <w:rFonts w:ascii="Times New Roman" w:hAnsi="Times New Roman"/>
                <w:sz w:val="24"/>
              </w:rPr>
              <w:t xml:space="preserve">the </w:t>
            </w:r>
            <w:r w:rsidRPr="001562B3">
              <w:rPr>
                <w:rStyle w:val="FormatvorlageInstructionsTabelleText"/>
                <w:rFonts w:ascii="Times New Roman" w:hAnsi="Times New Roman"/>
                <w:sz w:val="24"/>
              </w:rPr>
              <w:t>remaining maturity is greater than one year (</w:t>
            </w:r>
            <w:r w:rsidR="00EB7528" w:rsidRPr="001562B3">
              <w:rPr>
                <w:rStyle w:val="FormatvorlageInstructionsTabelleText"/>
                <w:rFonts w:ascii="Times New Roman" w:hAnsi="Times New Roman"/>
                <w:sz w:val="24"/>
              </w:rPr>
              <w:t xml:space="preserve">point (b) of </w:t>
            </w:r>
            <w:r w:rsidRPr="001562B3">
              <w:rPr>
                <w:rStyle w:val="FormatvorlageInstructionsTabelleText"/>
                <w:rFonts w:ascii="Times New Roman" w:hAnsi="Times New Roman"/>
                <w:sz w:val="24"/>
              </w:rPr>
              <w:t xml:space="preserve">Article 72a(1) </w:t>
            </w:r>
            <w:r w:rsidR="00C904F7"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 xml:space="preserve">) nor </w:t>
            </w:r>
            <w:r w:rsidR="00CD58AA" w:rsidRPr="001562B3">
              <w:rPr>
                <w:rStyle w:val="FormatvorlageInstructionsTabelleText"/>
                <w:rFonts w:ascii="Times New Roman" w:hAnsi="Times New Roman"/>
                <w:sz w:val="24"/>
              </w:rPr>
              <w:t xml:space="preserve">eligible liabilities grandfathered under Article 494b </w:t>
            </w:r>
            <w:r w:rsidR="00C904F7" w:rsidRPr="001562B3">
              <w:rPr>
                <w:rStyle w:val="FormatvorlageInstructionsTabelleText"/>
                <w:rFonts w:ascii="Times New Roman" w:hAnsi="Times New Roman"/>
                <w:sz w:val="24"/>
              </w:rPr>
              <w:t>of that Regulation</w:t>
            </w:r>
            <w:r w:rsidR="00CD58AA" w:rsidRPr="001562B3">
              <w:rPr>
                <w:rStyle w:val="FormatvorlageInstructionsTabelleText"/>
                <w:rFonts w:ascii="Times New Roman" w:hAnsi="Times New Roman"/>
                <w:sz w:val="24"/>
              </w:rPr>
              <w:t>.</w:t>
            </w:r>
          </w:p>
        </w:tc>
      </w:tr>
      <w:tr w:rsidR="003C1F98" w:rsidRPr="001562B3" w14:paraId="51864A69" w14:textId="77777777" w:rsidTr="007674DE">
        <w:tc>
          <w:tcPr>
            <w:tcW w:w="1129" w:type="dxa"/>
            <w:vAlign w:val="center"/>
          </w:tcPr>
          <w:p w14:paraId="47D16EC4" w14:textId="66D820CD" w:rsidR="003C1F98" w:rsidRPr="001562B3" w:rsidRDefault="003C1F98" w:rsidP="00E05895">
            <w:pPr>
              <w:pStyle w:val="InstructionsText"/>
            </w:pPr>
            <w:r w:rsidRPr="001562B3">
              <w:rPr>
                <w:rStyle w:val="FormatvorlageInstructionsTabelleText"/>
                <w:rFonts w:ascii="Times New Roman" w:hAnsi="Times New Roman"/>
                <w:sz w:val="24"/>
              </w:rPr>
              <w:lastRenderedPageBreak/>
              <w:t>01</w:t>
            </w:r>
            <w:r w:rsidR="00EF1BBD"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vAlign w:val="center"/>
          </w:tcPr>
          <w:p w14:paraId="6C0E7472" w14:textId="6E4EAD48" w:rsidR="003C1F98" w:rsidRPr="001562B3" w:rsidRDefault="003C1F9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Eligible liabilities items issued prior to </w:t>
            </w:r>
            <w:r w:rsidR="00C8643E" w:rsidRPr="001562B3">
              <w:rPr>
                <w:rStyle w:val="InstructionsTabelleberschrift"/>
                <w:rFonts w:ascii="Times New Roman" w:hAnsi="Times New Roman"/>
                <w:sz w:val="24"/>
              </w:rPr>
              <w:t>27 June 2019</w:t>
            </w:r>
            <w:r w:rsidRPr="001562B3">
              <w:rPr>
                <w:rStyle w:val="InstructionsTabelleberschrift"/>
                <w:rFonts w:ascii="Times New Roman" w:hAnsi="Times New Roman"/>
                <w:sz w:val="24"/>
              </w:rPr>
              <w:t xml:space="preserve"> </w:t>
            </w:r>
          </w:p>
          <w:p w14:paraId="45E921ED" w14:textId="5B5AA12F" w:rsidR="00CD51BC" w:rsidRPr="001562B3" w:rsidRDefault="003A0717">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77573479" w14:textId="4DEADB3A" w:rsidR="003A0717" w:rsidRPr="001562B3" w:rsidRDefault="003A0717">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Eligible liabilities </w:t>
            </w:r>
            <w:r w:rsidRPr="001562B3">
              <w:rPr>
                <w:rStyle w:val="FormatvorlageInstructionsTabelleText"/>
                <w:rFonts w:ascii="Times New Roman" w:hAnsi="Times New Roman"/>
                <w:sz w:val="24"/>
              </w:rPr>
              <w:t>that</w:t>
            </w:r>
            <w:r w:rsidRPr="001562B3">
              <w:rPr>
                <w:rStyle w:val="InstructionsTabelleberschrift"/>
                <w:rFonts w:ascii="Times New Roman" w:hAnsi="Times New Roman"/>
                <w:b w:val="0"/>
                <w:sz w:val="24"/>
                <w:u w:val="none"/>
              </w:rPr>
              <w:t xml:space="preserve"> meet the following conditions:</w:t>
            </w:r>
          </w:p>
          <w:p w14:paraId="27B0933B" w14:textId="12AD7DA6" w:rsidR="003A0717" w:rsidRPr="001562B3" w:rsidRDefault="00C904F7">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(a)</w:t>
            </w:r>
            <w:r w:rsidR="00CC301F" w:rsidRPr="001562B3">
              <w:rPr>
                <w:rStyle w:val="InstructionsTabelleberschrift"/>
                <w:rFonts w:ascii="Times New Roman" w:hAnsi="Times New Roman"/>
                <w:b w:val="0"/>
                <w:sz w:val="24"/>
                <w:u w:val="none"/>
              </w:rPr>
              <w:t xml:space="preserve"> </w:t>
            </w:r>
            <w:r w:rsidR="003A0717" w:rsidRPr="001562B3">
              <w:rPr>
                <w:rStyle w:val="InstructionsTabelleberschrift"/>
                <w:rFonts w:ascii="Times New Roman" w:hAnsi="Times New Roman"/>
                <w:b w:val="0"/>
                <w:sz w:val="24"/>
                <w:u w:val="none"/>
              </w:rPr>
              <w:t xml:space="preserve">they </w:t>
            </w:r>
            <w:r w:rsidR="00612E23" w:rsidRPr="001562B3">
              <w:rPr>
                <w:rStyle w:val="InstructionsTabelleberschrift"/>
                <w:rFonts w:ascii="Times New Roman" w:hAnsi="Times New Roman"/>
                <w:b w:val="0"/>
                <w:sz w:val="24"/>
                <w:u w:val="none"/>
              </w:rPr>
              <w:t>were</w:t>
            </w:r>
            <w:r w:rsidR="003A0717" w:rsidRPr="001562B3">
              <w:rPr>
                <w:rStyle w:val="InstructionsTabelleberschrift"/>
                <w:rFonts w:ascii="Times New Roman" w:hAnsi="Times New Roman"/>
                <w:b w:val="0"/>
                <w:sz w:val="24"/>
                <w:u w:val="none"/>
              </w:rPr>
              <w:t xml:space="preserve"> issued prior to 27 June 2019</w:t>
            </w:r>
            <w:r w:rsidRPr="001562B3">
              <w:rPr>
                <w:rStyle w:val="InstructionsTabelleberschrift"/>
                <w:rFonts w:ascii="Times New Roman" w:hAnsi="Times New Roman"/>
                <w:b w:val="0"/>
                <w:sz w:val="24"/>
                <w:u w:val="none"/>
              </w:rPr>
              <w:t>;</w:t>
            </w:r>
          </w:p>
          <w:p w14:paraId="784DD851" w14:textId="67F38D2D" w:rsidR="00CD51BC" w:rsidRPr="001562B3" w:rsidRDefault="00C904F7">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b w:val="0"/>
                <w:sz w:val="24"/>
                <w:u w:val="none"/>
              </w:rPr>
              <w:t>(b)</w:t>
            </w:r>
            <w:r w:rsidR="00CB71A7">
              <w:rPr>
                <w:rStyle w:val="InstructionsTabelleberschrift"/>
                <w:rFonts w:ascii="Times New Roman" w:hAnsi="Times New Roman"/>
                <w:b w:val="0"/>
                <w:sz w:val="24"/>
                <w:u w:val="none"/>
              </w:rPr>
              <w:t xml:space="preserve"> </w:t>
            </w:r>
            <w:r w:rsidR="003A0717" w:rsidRPr="001562B3">
              <w:rPr>
                <w:rStyle w:val="InstructionsTabelleberschrift"/>
                <w:rFonts w:ascii="Times New Roman" w:hAnsi="Times New Roman"/>
                <w:b w:val="0"/>
                <w:sz w:val="24"/>
                <w:u w:val="none"/>
              </w:rPr>
              <w:t xml:space="preserve">they are </w:t>
            </w:r>
            <w:r w:rsidR="003A0717" w:rsidRPr="001562B3">
              <w:rPr>
                <w:rStyle w:val="FormatvorlageInstructionsTabelleText"/>
                <w:rFonts w:ascii="Times New Roman" w:hAnsi="Times New Roman"/>
                <w:sz w:val="24"/>
              </w:rPr>
              <w:t xml:space="preserve">subordinated eligible instruments as defined in </w:t>
            </w:r>
            <w:r w:rsidR="00CC301F" w:rsidRPr="001562B3">
              <w:rPr>
                <w:rStyle w:val="FormatvorlageInstructionsTabelleText"/>
                <w:rFonts w:ascii="Times New Roman" w:hAnsi="Times New Roman"/>
                <w:sz w:val="24"/>
              </w:rPr>
              <w:t>point (71b) of</w:t>
            </w:r>
            <w:r w:rsidR="003A0717" w:rsidRPr="001562B3">
              <w:rPr>
                <w:rStyle w:val="FormatvorlageInstructionsTabelleText"/>
                <w:rFonts w:ascii="Times New Roman" w:hAnsi="Times New Roman"/>
                <w:sz w:val="24"/>
              </w:rPr>
              <w:t xml:space="preserve"> Article 2(1) </w:t>
            </w:r>
            <w:r w:rsidRPr="001562B3">
              <w:rPr>
                <w:rStyle w:val="FormatvorlageInstructionsTabelleText"/>
                <w:rFonts w:ascii="Times New Roman" w:hAnsi="Times New Roman"/>
                <w:sz w:val="24"/>
              </w:rPr>
              <w:t>of Directive 2014/59/EU;</w:t>
            </w:r>
            <w:r w:rsidR="003A0717" w:rsidRPr="001562B3">
              <w:rPr>
                <w:rStyle w:val="FormatvorlageInstructionsTabelleText"/>
                <w:rFonts w:ascii="Times New Roman" w:hAnsi="Times New Roman"/>
                <w:sz w:val="24"/>
              </w:rPr>
              <w:t xml:space="preserve"> </w:t>
            </w:r>
          </w:p>
          <w:p w14:paraId="1A9E4169" w14:textId="4C0E47C2" w:rsidR="003A0717" w:rsidRPr="001562B3" w:rsidRDefault="00C904F7">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(c)</w:t>
            </w:r>
            <w:r w:rsidR="00CB71A7">
              <w:rPr>
                <w:rStyle w:val="FormatvorlageInstructionsTabelleText"/>
                <w:rFonts w:ascii="Times New Roman" w:hAnsi="Times New Roman"/>
                <w:sz w:val="24"/>
              </w:rPr>
              <w:t xml:space="preserve"> </w:t>
            </w:r>
            <w:r w:rsidR="003A0717" w:rsidRPr="001562B3">
              <w:rPr>
                <w:rStyle w:val="FormatvorlageInstructionsTabelleText"/>
                <w:rFonts w:ascii="Times New Roman" w:hAnsi="Times New Roman"/>
                <w:sz w:val="24"/>
              </w:rPr>
              <w:t xml:space="preserve">they are included in own funds and eligible liabilities </w:t>
            </w:r>
            <w:r w:rsidR="00902941" w:rsidRPr="001562B3">
              <w:rPr>
                <w:rStyle w:val="FormatvorlageInstructionsTabelleText"/>
                <w:rFonts w:ascii="Times New Roman" w:hAnsi="Times New Roman"/>
                <w:sz w:val="24"/>
              </w:rPr>
              <w:t>in accordance with</w:t>
            </w:r>
            <w:r w:rsidR="003A0717" w:rsidRPr="001562B3">
              <w:rPr>
                <w:rStyle w:val="FormatvorlageInstructionsTabelleText"/>
                <w:rFonts w:ascii="Times New Roman" w:hAnsi="Times New Roman"/>
                <w:sz w:val="24"/>
              </w:rPr>
              <w:t xml:space="preserve"> Article 494b(3) </w:t>
            </w:r>
            <w:r w:rsidR="00902941" w:rsidRPr="001562B3">
              <w:rPr>
                <w:rStyle w:val="FormatvorlageInstructionsTabelleText"/>
                <w:rFonts w:ascii="Times New Roman" w:hAnsi="Times New Roman"/>
                <w:sz w:val="24"/>
              </w:rPr>
              <w:t>of Regulation (EU) No 575/2013</w:t>
            </w:r>
            <w:r w:rsidR="003A0717" w:rsidRPr="001562B3">
              <w:rPr>
                <w:rStyle w:val="FormatvorlageInstructionsTabelleText"/>
                <w:rFonts w:ascii="Times New Roman" w:hAnsi="Times New Roman"/>
                <w:sz w:val="24"/>
              </w:rPr>
              <w:t>.</w:t>
            </w:r>
          </w:p>
          <w:p w14:paraId="729FD97D" w14:textId="403F2FFA" w:rsidR="00612E23" w:rsidRPr="001562B3" w:rsidRDefault="00B51127">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(d)</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they meet the requirements </w:t>
            </w:r>
            <w:r w:rsidR="00902941"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902941" w:rsidRPr="001562B3">
              <w:rPr>
                <w:rStyle w:val="FormatvorlageInstructionsTabelleText"/>
                <w:rFonts w:ascii="Times New Roman" w:hAnsi="Times New Roman"/>
                <w:sz w:val="24"/>
              </w:rPr>
              <w:t>of Directive 2014/59/EU</w:t>
            </w:r>
            <w:r w:rsidR="00612E23" w:rsidRPr="001562B3">
              <w:rPr>
                <w:rStyle w:val="FormatvorlageInstructionsTabelleText"/>
                <w:rFonts w:ascii="Times New Roman" w:hAnsi="Times New Roman"/>
                <w:sz w:val="24"/>
              </w:rPr>
              <w:t>.</w:t>
            </w:r>
          </w:p>
          <w:p w14:paraId="101AB6AC" w14:textId="4E538F15" w:rsidR="00CD51BC" w:rsidRPr="001562B3" w:rsidRDefault="00CD51BC">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2C4CA631" w14:textId="53206BFA" w:rsidR="003A0717" w:rsidRPr="001562B3" w:rsidRDefault="00902941">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Eligible l</w:t>
            </w:r>
            <w:r w:rsidR="003C1F98" w:rsidRPr="001562B3">
              <w:rPr>
                <w:rStyle w:val="FormatvorlageInstructionsTabelleText"/>
                <w:rFonts w:ascii="Times New Roman" w:hAnsi="Times New Roman"/>
                <w:sz w:val="24"/>
              </w:rPr>
              <w:t xml:space="preserve">iabilities </w:t>
            </w:r>
            <w:r w:rsidR="003A0717" w:rsidRPr="001562B3">
              <w:rPr>
                <w:rStyle w:val="FormatvorlageInstructionsTabelleText"/>
                <w:rFonts w:ascii="Times New Roman" w:hAnsi="Times New Roman"/>
                <w:sz w:val="24"/>
              </w:rPr>
              <w:t>that meet the following conditions</w:t>
            </w:r>
            <w:r w:rsidR="001E1CA1" w:rsidRPr="001562B3">
              <w:rPr>
                <w:rStyle w:val="FormatvorlageInstructionsTabelleText"/>
                <w:rFonts w:ascii="Times New Roman" w:hAnsi="Times New Roman"/>
                <w:sz w:val="24"/>
              </w:rPr>
              <w:t>:</w:t>
            </w:r>
          </w:p>
          <w:p w14:paraId="06CB52C8" w14:textId="1DDB2DB7" w:rsidR="003A0717" w:rsidRPr="001562B3" w:rsidRDefault="00A01D02">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sz w:val="24"/>
              </w:rPr>
              <w:t>(a)</w:t>
            </w:r>
            <w:r w:rsidR="00CC301F" w:rsidRPr="001562B3">
              <w:rPr>
                <w:rStyle w:val="FormatvorlageInstructionsTabelleText"/>
                <w:rFonts w:ascii="Times New Roman" w:hAnsi="Times New Roman"/>
                <w:sz w:val="24"/>
              </w:rPr>
              <w:t xml:space="preserve"> </w:t>
            </w:r>
            <w:r w:rsidR="003A0717" w:rsidRPr="001562B3">
              <w:rPr>
                <w:rStyle w:val="FormatvorlageInstructionsTabelleText"/>
                <w:rFonts w:ascii="Times New Roman" w:hAnsi="Times New Roman"/>
                <w:sz w:val="24"/>
              </w:rPr>
              <w:t xml:space="preserve">they </w:t>
            </w:r>
            <w:r w:rsidR="00612E23" w:rsidRPr="001562B3">
              <w:rPr>
                <w:rStyle w:val="FormatvorlageInstructionsTabelleText"/>
                <w:rFonts w:ascii="Times New Roman" w:hAnsi="Times New Roman"/>
                <w:sz w:val="24"/>
              </w:rPr>
              <w:t>were</w:t>
            </w:r>
            <w:r w:rsidR="003A0717" w:rsidRPr="001562B3">
              <w:rPr>
                <w:rStyle w:val="FormatvorlageInstructionsTabelleText"/>
                <w:rFonts w:ascii="Times New Roman" w:hAnsi="Times New Roman"/>
                <w:sz w:val="24"/>
              </w:rPr>
              <w:t xml:space="preserve"> </w:t>
            </w:r>
            <w:r w:rsidR="003C1F98" w:rsidRPr="001562B3">
              <w:rPr>
                <w:rStyle w:val="FormatvorlageInstructionsTabelleText"/>
                <w:rFonts w:ascii="Times New Roman" w:hAnsi="Times New Roman"/>
                <w:sz w:val="24"/>
              </w:rPr>
              <w:t xml:space="preserve">issued prior to </w:t>
            </w:r>
            <w:r w:rsidR="00C8643E" w:rsidRPr="001562B3">
              <w:rPr>
                <w:rStyle w:val="FormatvorlageInstructionsTabelleText"/>
                <w:rFonts w:ascii="Times New Roman" w:hAnsi="Times New Roman"/>
                <w:sz w:val="24"/>
              </w:rPr>
              <w:t>27 June 2019</w:t>
            </w:r>
            <w:r w:rsidRPr="001562B3">
              <w:rPr>
                <w:rStyle w:val="FormatvorlageInstructionsTabelleText"/>
                <w:rFonts w:ascii="Times New Roman" w:hAnsi="Times New Roman"/>
                <w:sz w:val="24"/>
              </w:rPr>
              <w:t>;</w:t>
            </w:r>
          </w:p>
          <w:p w14:paraId="7D19D1F7" w14:textId="420CFC68" w:rsidR="003A0717" w:rsidRPr="001562B3" w:rsidRDefault="00A01D02">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sz w:val="24"/>
              </w:rPr>
              <w:t>(b)</w:t>
            </w:r>
            <w:r w:rsidR="00CC301F" w:rsidRPr="001562B3">
              <w:rPr>
                <w:rStyle w:val="FormatvorlageInstructionsTabelleText"/>
                <w:rFonts w:ascii="Times New Roman" w:hAnsi="Times New Roman"/>
                <w:sz w:val="24"/>
              </w:rPr>
              <w:t xml:space="preserve"> </w:t>
            </w:r>
            <w:r w:rsidR="003A0717" w:rsidRPr="001562B3">
              <w:rPr>
                <w:rStyle w:val="FormatvorlageInstructionsTabelleText"/>
                <w:rFonts w:ascii="Times New Roman" w:hAnsi="Times New Roman"/>
                <w:sz w:val="24"/>
              </w:rPr>
              <w:t xml:space="preserve">they comply with </w:t>
            </w:r>
            <w:r w:rsidR="00CC301F" w:rsidRPr="001562B3">
              <w:rPr>
                <w:rStyle w:val="FormatvorlageInstructionsTabelleText"/>
                <w:rFonts w:ascii="Times New Roman" w:hAnsi="Times New Roman"/>
                <w:sz w:val="24"/>
              </w:rPr>
              <w:t xml:space="preserve">point (d) of </w:t>
            </w:r>
            <w:r w:rsidR="003A0717" w:rsidRPr="001562B3">
              <w:rPr>
                <w:rStyle w:val="FormatvorlageInstructionsTabelleText"/>
                <w:rFonts w:ascii="Times New Roman" w:hAnsi="Times New Roman"/>
                <w:sz w:val="24"/>
              </w:rPr>
              <w:t>Article 72b(2)</w:t>
            </w:r>
            <w:r w:rsidR="00CC301F"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of Regulation (EU) No 575/2013;</w:t>
            </w:r>
          </w:p>
          <w:p w14:paraId="48932F31" w14:textId="5A08CEC9" w:rsidR="003C1F98" w:rsidRPr="001562B3" w:rsidRDefault="00A01D02">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(c)</w:t>
            </w:r>
            <w:r w:rsidR="00CC301F" w:rsidRPr="001562B3">
              <w:rPr>
                <w:rStyle w:val="FormatvorlageInstructionsTabelleText"/>
                <w:rFonts w:ascii="Times New Roman" w:hAnsi="Times New Roman"/>
                <w:sz w:val="24"/>
              </w:rPr>
              <w:t xml:space="preserve"> </w:t>
            </w:r>
            <w:r w:rsidR="003A0717" w:rsidRPr="001562B3">
              <w:rPr>
                <w:rStyle w:val="FormatvorlageInstructionsTabelleText"/>
                <w:rFonts w:ascii="Times New Roman" w:hAnsi="Times New Roman"/>
                <w:sz w:val="24"/>
              </w:rPr>
              <w:t xml:space="preserve">they </w:t>
            </w:r>
            <w:r w:rsidR="003C1F98" w:rsidRPr="001562B3">
              <w:rPr>
                <w:rStyle w:val="FormatvorlageInstructionsTabelleText"/>
                <w:rFonts w:ascii="Times New Roman" w:hAnsi="Times New Roman"/>
                <w:sz w:val="24"/>
              </w:rPr>
              <w:t xml:space="preserve">qualify as eligible liabilities </w:t>
            </w:r>
            <w:r w:rsidR="00C8643E" w:rsidRPr="001562B3">
              <w:rPr>
                <w:rStyle w:val="FormatvorlageInstructionsTabelleText"/>
                <w:rFonts w:ascii="Times New Roman" w:hAnsi="Times New Roman"/>
                <w:sz w:val="24"/>
              </w:rPr>
              <w:t xml:space="preserve">as a result of the grandfathering </w:t>
            </w:r>
            <w:r w:rsidRPr="001562B3">
              <w:rPr>
                <w:rStyle w:val="FormatvorlageInstructionsTabelleText"/>
                <w:rFonts w:ascii="Times New Roman" w:hAnsi="Times New Roman"/>
                <w:sz w:val="24"/>
              </w:rPr>
              <w:t>in accordance with</w:t>
            </w:r>
            <w:r w:rsidR="00C8643E" w:rsidRPr="001562B3">
              <w:rPr>
                <w:rStyle w:val="FormatvorlageInstructionsTabelleText"/>
                <w:rFonts w:ascii="Times New Roman" w:hAnsi="Times New Roman"/>
                <w:sz w:val="24"/>
              </w:rPr>
              <w:t xml:space="preserve"> </w:t>
            </w:r>
            <w:r w:rsidR="003C1F98" w:rsidRPr="001562B3">
              <w:rPr>
                <w:rStyle w:val="FormatvorlageInstructionsTabelleText"/>
                <w:rFonts w:ascii="Times New Roman" w:hAnsi="Times New Roman"/>
                <w:sz w:val="24"/>
              </w:rPr>
              <w:t>Article 494b(3)</w:t>
            </w:r>
            <w:r w:rsidRPr="001562B3">
              <w:t xml:space="preserve"> </w:t>
            </w:r>
            <w:r w:rsidRPr="001562B3">
              <w:rPr>
                <w:rStyle w:val="FormatvorlageInstructionsTabelleText"/>
                <w:rFonts w:ascii="Times New Roman" w:hAnsi="Times New Roman"/>
                <w:sz w:val="24"/>
              </w:rPr>
              <w:t>of Regulation (EU) No 575/2013</w:t>
            </w:r>
            <w:r w:rsidR="003C1F98" w:rsidRPr="001562B3">
              <w:rPr>
                <w:rStyle w:val="FormatvorlageInstructionsTabelleText"/>
                <w:rFonts w:ascii="Times New Roman" w:hAnsi="Times New Roman"/>
                <w:sz w:val="24"/>
              </w:rPr>
              <w:t>.</w:t>
            </w:r>
          </w:p>
        </w:tc>
      </w:tr>
      <w:tr w:rsidR="003C1F98" w:rsidRPr="001562B3" w14:paraId="6F3C5EAB" w14:textId="77777777" w:rsidTr="007674DE">
        <w:tc>
          <w:tcPr>
            <w:tcW w:w="1129" w:type="dxa"/>
            <w:vAlign w:val="center"/>
          </w:tcPr>
          <w:p w14:paraId="696B1E7F" w14:textId="030293FD" w:rsidR="003C1F98" w:rsidRPr="001562B3" w:rsidRDefault="003C1F98" w:rsidP="00E05895">
            <w:pPr>
              <w:pStyle w:val="InstructionsText"/>
            </w:pPr>
            <w:r w:rsidRPr="001562B3">
              <w:rPr>
                <w:rStyle w:val="FormatvorlageInstructionsTabelleText"/>
                <w:rFonts w:ascii="Times New Roman" w:hAnsi="Times New Roman"/>
                <w:sz w:val="24"/>
              </w:rPr>
              <w:t>01</w:t>
            </w:r>
            <w:r w:rsidR="00EF1BBD"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0</w:t>
            </w:r>
          </w:p>
        </w:tc>
        <w:tc>
          <w:tcPr>
            <w:tcW w:w="7620" w:type="dxa"/>
            <w:vAlign w:val="center"/>
          </w:tcPr>
          <w:p w14:paraId="46569A0F" w14:textId="17326458" w:rsidR="003C1F98" w:rsidRPr="001562B3" w:rsidRDefault="003C1F9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Tier 2 instruments with a residual maturity of at least one year</w:t>
            </w:r>
            <w:r w:rsidR="00BF4FD2" w:rsidRPr="001562B3">
              <w:rPr>
                <w:rStyle w:val="InstructionsTabelleberschrift"/>
                <w:rFonts w:ascii="Times New Roman" w:hAnsi="Times New Roman"/>
                <w:sz w:val="24"/>
              </w:rPr>
              <w:t xml:space="preserve"> to the extent they do not qualify as Tier 2 items</w:t>
            </w:r>
          </w:p>
          <w:p w14:paraId="7E53D3C8" w14:textId="1EF1CBF0" w:rsidR="003C1F98" w:rsidRPr="001562B3" w:rsidRDefault="00BF4FD2">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Point (b) of </w:t>
            </w:r>
            <w:r w:rsidR="003C1F98" w:rsidRPr="001562B3">
              <w:rPr>
                <w:rStyle w:val="FormatvorlageInstructionsTabelleText"/>
                <w:rFonts w:ascii="Times New Roman" w:hAnsi="Times New Roman"/>
                <w:sz w:val="24"/>
              </w:rPr>
              <w:t>Article 72</w:t>
            </w:r>
            <w:r w:rsidR="005F608F" w:rsidRPr="001562B3">
              <w:rPr>
                <w:rStyle w:val="FormatvorlageInstructionsTabelleText"/>
                <w:rFonts w:ascii="Times New Roman" w:hAnsi="Times New Roman"/>
                <w:sz w:val="24"/>
              </w:rPr>
              <w:t>a</w:t>
            </w:r>
            <w:r w:rsidR="003C1F98" w:rsidRPr="001562B3">
              <w:rPr>
                <w:rStyle w:val="FormatvorlageInstructionsTabelleText"/>
                <w:rFonts w:ascii="Times New Roman" w:hAnsi="Times New Roman"/>
                <w:sz w:val="24"/>
              </w:rPr>
              <w:t xml:space="preserve">(1) </w:t>
            </w:r>
            <w:r w:rsidR="00A01D02" w:rsidRPr="001562B3">
              <w:rPr>
                <w:rStyle w:val="FormatvorlageInstructionsTabelleText"/>
                <w:rFonts w:ascii="Times New Roman" w:hAnsi="Times New Roman"/>
                <w:sz w:val="24"/>
              </w:rPr>
              <w:t>of Regulation (EU) No 575/2013</w:t>
            </w:r>
          </w:p>
          <w:p w14:paraId="34EB2C71" w14:textId="7CD241DE" w:rsidR="003C1F98" w:rsidRPr="001562B3" w:rsidRDefault="003C1F98">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This row shall include the amortised portion of T</w:t>
            </w:r>
            <w:r w:rsidR="00A01D02" w:rsidRPr="001562B3">
              <w:rPr>
                <w:rStyle w:val="FormatvorlageInstructionsTabelleText"/>
                <w:rFonts w:ascii="Times New Roman" w:hAnsi="Times New Roman"/>
                <w:sz w:val="24"/>
              </w:rPr>
              <w:t xml:space="preserve">ier </w:t>
            </w:r>
            <w:r w:rsidRPr="001562B3">
              <w:rPr>
                <w:rStyle w:val="FormatvorlageInstructionsTabelleText"/>
                <w:rFonts w:ascii="Times New Roman" w:hAnsi="Times New Roman"/>
                <w:sz w:val="24"/>
              </w:rPr>
              <w:t xml:space="preserve">2 instruments, where the remaining maturity is greater than one year. Only the amount not recognised in own funds, but meeting all eligibility criteria </w:t>
            </w:r>
            <w:r w:rsidR="00A01D02"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72b </w:t>
            </w:r>
            <w:r w:rsidR="00A01D02"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 xml:space="preserve"> </w:t>
            </w:r>
            <w:r w:rsidR="00C13D76" w:rsidRPr="001562B3">
              <w:rPr>
                <w:rStyle w:val="FormatvorlageInstructionsTabelleText"/>
                <w:rFonts w:ascii="Times New Roman" w:hAnsi="Times New Roman"/>
                <w:sz w:val="24"/>
              </w:rPr>
              <w:t xml:space="preserve">shall </w:t>
            </w:r>
            <w:r w:rsidRPr="001562B3">
              <w:rPr>
                <w:rStyle w:val="FormatvorlageInstructionsTabelleText"/>
                <w:rFonts w:ascii="Times New Roman" w:hAnsi="Times New Roman"/>
                <w:sz w:val="24"/>
              </w:rPr>
              <w:t>be reported in this row.</w:t>
            </w:r>
          </w:p>
          <w:p w14:paraId="4D7DD40A" w14:textId="14F7E4FF" w:rsidR="00612E23" w:rsidRPr="001562B3" w:rsidRDefault="00DD50DC">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In</w:t>
            </w:r>
            <w:r w:rsidR="00014A29" w:rsidRPr="001562B3">
              <w:rPr>
                <w:rStyle w:val="FormatvorlageInstructionsTabelleText"/>
                <w:rFonts w:ascii="Times New Roman" w:hAnsi="Times New Roman"/>
                <w:sz w:val="24"/>
              </w:rPr>
              <w:t xml:space="preserve"> case of </w:t>
            </w:r>
            <w:r w:rsidRPr="001562B3">
              <w:rPr>
                <w:rStyle w:val="FormatvorlageInstructionsTabelleText"/>
                <w:rFonts w:ascii="Times New Roman" w:hAnsi="Times New Roman"/>
                <w:sz w:val="24"/>
              </w:rPr>
              <w:t xml:space="preserve">MREL, </w:t>
            </w:r>
            <w:r w:rsidR="00014A29" w:rsidRPr="001562B3">
              <w:rPr>
                <w:rStyle w:val="FormatvorlageInstructionsTabelleText"/>
                <w:rFonts w:ascii="Times New Roman" w:hAnsi="Times New Roman"/>
                <w:sz w:val="24"/>
              </w:rPr>
              <w:t xml:space="preserve">instruments governed by the law of a third country shall only be included in this row if </w:t>
            </w:r>
            <w:r w:rsidRPr="001562B3">
              <w:rPr>
                <w:rStyle w:val="FormatvorlageInstructionsTabelleText"/>
                <w:rFonts w:ascii="Times New Roman" w:hAnsi="Times New Roman"/>
                <w:sz w:val="24"/>
              </w:rPr>
              <w:t>they</w:t>
            </w:r>
            <w:r w:rsidR="00014A29" w:rsidRPr="001562B3">
              <w:rPr>
                <w:rStyle w:val="FormatvorlageInstructionsTabelleText"/>
                <w:rFonts w:ascii="Times New Roman" w:hAnsi="Times New Roman"/>
                <w:sz w:val="24"/>
              </w:rPr>
              <w:t xml:space="preserve"> meet the requirements </w:t>
            </w:r>
            <w:r w:rsidR="00A01D02"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A01D02" w:rsidRPr="001562B3">
              <w:rPr>
                <w:rStyle w:val="FormatvorlageInstructionsTabelleText"/>
                <w:rFonts w:ascii="Times New Roman" w:hAnsi="Times New Roman"/>
                <w:sz w:val="24"/>
              </w:rPr>
              <w:t>of Directive 2014/59/EU</w:t>
            </w:r>
            <w:r w:rsidR="00014A29" w:rsidRPr="001562B3">
              <w:rPr>
                <w:rStyle w:val="FormatvorlageInstructionsTabelleText"/>
                <w:rFonts w:ascii="Times New Roman" w:hAnsi="Times New Roman"/>
                <w:sz w:val="24"/>
              </w:rPr>
              <w:t>.</w:t>
            </w:r>
          </w:p>
        </w:tc>
      </w:tr>
      <w:tr w:rsidR="00305E50" w:rsidRPr="001562B3" w14:paraId="2A030C78" w14:textId="77777777" w:rsidTr="007674DE">
        <w:tc>
          <w:tcPr>
            <w:tcW w:w="1129" w:type="dxa"/>
            <w:vAlign w:val="center"/>
          </w:tcPr>
          <w:p w14:paraId="3F26CCDA" w14:textId="6FFA3FE7" w:rsidR="00305E50" w:rsidRPr="001562B3" w:rsidRDefault="00305E50" w:rsidP="00E05895">
            <w:pPr>
              <w:pStyle w:val="InstructionsText"/>
            </w:pPr>
            <w:r w:rsidRPr="001562B3">
              <w:rPr>
                <w:rStyle w:val="FormatvorlageInstructionsTabelleText"/>
                <w:rFonts w:ascii="Times New Roman" w:hAnsi="Times New Roman"/>
                <w:sz w:val="24"/>
              </w:rPr>
              <w:lastRenderedPageBreak/>
              <w:t>01</w:t>
            </w:r>
            <w:r w:rsidR="00EF1BBD" w:rsidRPr="001562B3">
              <w:rPr>
                <w:rStyle w:val="FormatvorlageInstructionsTabelleText"/>
                <w:rFonts w:ascii="Times New Roman" w:hAnsi="Times New Roman"/>
                <w:sz w:val="24"/>
              </w:rPr>
              <w:t>4</w:t>
            </w:r>
            <w:r w:rsidRPr="001562B3">
              <w:rPr>
                <w:rStyle w:val="FormatvorlageInstructionsTabelleText"/>
                <w:rFonts w:ascii="Times New Roman" w:hAnsi="Times New Roman"/>
                <w:sz w:val="24"/>
              </w:rPr>
              <w:t>0</w:t>
            </w:r>
          </w:p>
        </w:tc>
        <w:tc>
          <w:tcPr>
            <w:tcW w:w="7620" w:type="dxa"/>
            <w:vAlign w:val="center"/>
          </w:tcPr>
          <w:p w14:paraId="7E0332CD" w14:textId="77777777" w:rsidR="00305E50" w:rsidRPr="001562B3" w:rsidRDefault="00305E5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 not subordinated to excluded liabilities</w:t>
            </w:r>
          </w:p>
          <w:p w14:paraId="4CA285A7" w14:textId="77777777" w:rsidR="00982A9F" w:rsidRPr="001562B3" w:rsidRDefault="001E1CA1">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i/>
                <w:sz w:val="24"/>
                <w:u w:val="none"/>
              </w:rPr>
              <w:t>MREL</w:t>
            </w:r>
          </w:p>
          <w:p w14:paraId="1E4FE37F" w14:textId="36D956F0" w:rsidR="001E1CA1" w:rsidRPr="001562B3" w:rsidRDefault="001E1CA1">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Liabilities that comply with the conditions </w:t>
            </w:r>
            <w:r w:rsidR="00A01D02" w:rsidRPr="001562B3">
              <w:rPr>
                <w:rStyle w:val="InstructionsTabelleberschrift"/>
                <w:rFonts w:ascii="Times New Roman" w:hAnsi="Times New Roman"/>
                <w:b w:val="0"/>
                <w:sz w:val="24"/>
                <w:u w:val="none"/>
              </w:rPr>
              <w:t>laid down in</w:t>
            </w:r>
            <w:r w:rsidRPr="001562B3">
              <w:rPr>
                <w:rStyle w:val="InstructionsTabelleberschrift"/>
                <w:rFonts w:ascii="Times New Roman" w:hAnsi="Times New Roman"/>
                <w:b w:val="0"/>
                <w:sz w:val="24"/>
                <w:u w:val="none"/>
              </w:rPr>
              <w:t xml:space="preserve"> </w:t>
            </w:r>
            <w:r w:rsidR="00D37718" w:rsidRPr="001562B3">
              <w:rPr>
                <w:rStyle w:val="InstructionsTabelleberschrift"/>
                <w:rFonts w:ascii="Times New Roman" w:hAnsi="Times New Roman"/>
                <w:b w:val="0"/>
                <w:sz w:val="24"/>
                <w:u w:val="none"/>
              </w:rPr>
              <w:t>A</w:t>
            </w:r>
            <w:r w:rsidRPr="001562B3">
              <w:rPr>
                <w:rStyle w:val="InstructionsTabelleberschrift"/>
                <w:rFonts w:ascii="Times New Roman" w:hAnsi="Times New Roman"/>
                <w:b w:val="0"/>
                <w:sz w:val="24"/>
                <w:u w:val="none"/>
              </w:rPr>
              <w:t xml:space="preserve">rticle 45b </w:t>
            </w:r>
            <w:r w:rsidR="00A01D02" w:rsidRPr="001562B3">
              <w:rPr>
                <w:rStyle w:val="InstructionsTabelleberschrift"/>
                <w:rFonts w:ascii="Times New Roman" w:hAnsi="Times New Roman"/>
                <w:b w:val="0"/>
                <w:sz w:val="24"/>
                <w:u w:val="none"/>
              </w:rPr>
              <w:t>of Directive 2014/59/EU</w:t>
            </w:r>
            <w:r w:rsidRPr="001562B3">
              <w:rPr>
                <w:rStyle w:val="InstructionsTabelleberschrift"/>
                <w:rFonts w:ascii="Times New Roman" w:hAnsi="Times New Roman"/>
                <w:b w:val="0"/>
                <w:sz w:val="24"/>
                <w:u w:val="none"/>
              </w:rPr>
              <w:t xml:space="preserve"> and </w:t>
            </w:r>
            <w:r w:rsidR="00A01D02" w:rsidRPr="001562B3">
              <w:rPr>
                <w:rStyle w:val="InstructionsTabelleberschrift"/>
                <w:rFonts w:ascii="Times New Roman" w:hAnsi="Times New Roman"/>
                <w:b w:val="0"/>
                <w:sz w:val="24"/>
                <w:u w:val="none"/>
              </w:rPr>
              <w:t>that</w:t>
            </w:r>
            <w:r w:rsidRPr="001562B3">
              <w:rPr>
                <w:rStyle w:val="InstructionsTabelleberschrift"/>
                <w:rFonts w:ascii="Times New Roman" w:hAnsi="Times New Roman"/>
                <w:b w:val="0"/>
                <w:sz w:val="24"/>
                <w:u w:val="none"/>
              </w:rPr>
              <w:t xml:space="preserve"> are not wholly subordinated to claims arising from excluded liabilities referred to in Article 72a(2) </w:t>
            </w:r>
            <w:r w:rsidR="00A01D02" w:rsidRPr="001562B3">
              <w:rPr>
                <w:rStyle w:val="InstructionsTabelleberschrift"/>
                <w:rFonts w:ascii="Times New Roman" w:hAnsi="Times New Roman"/>
                <w:b w:val="0"/>
                <w:sz w:val="24"/>
                <w:u w:val="none"/>
              </w:rPr>
              <w:t>of Regulation (EU) No 575/2013</w:t>
            </w:r>
            <w:r w:rsidR="00612E23" w:rsidRPr="001562B3">
              <w:rPr>
                <w:rStyle w:val="InstructionsTabelleberschrift"/>
                <w:rFonts w:ascii="Times New Roman" w:hAnsi="Times New Roman"/>
                <w:b w:val="0"/>
                <w:sz w:val="24"/>
                <w:u w:val="none"/>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A01D02"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A01D02" w:rsidRPr="001562B3">
              <w:rPr>
                <w:rStyle w:val="FormatvorlageInstructionsTabelleText"/>
                <w:rFonts w:ascii="Times New Roman" w:hAnsi="Times New Roman"/>
                <w:sz w:val="24"/>
              </w:rPr>
              <w:t>of Directive 2014/59/EU</w:t>
            </w:r>
            <w:r w:rsidR="00014A29" w:rsidRPr="001562B3">
              <w:rPr>
                <w:rStyle w:val="FormatvorlageInstructionsTabelleText"/>
                <w:rFonts w:ascii="Times New Roman" w:hAnsi="Times New Roman"/>
                <w:sz w:val="24"/>
              </w:rPr>
              <w:t>.</w:t>
            </w:r>
          </w:p>
          <w:p w14:paraId="0B2AC759" w14:textId="604E0A4C" w:rsidR="00982A9F" w:rsidRPr="001562B3" w:rsidRDefault="001E1CA1">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i/>
                <w:sz w:val="24"/>
                <w:u w:val="none"/>
              </w:rPr>
              <w:t>TLAC</w:t>
            </w:r>
          </w:p>
          <w:p w14:paraId="4E8D9E69" w14:textId="6B8B8639" w:rsidR="00305E50" w:rsidRPr="001562B3" w:rsidRDefault="00982A9F">
            <w:pPr>
              <w:pStyle w:val="InstructionsText"/>
              <w:rPr>
                <w:rStyle w:val="InstructionsTabelleberschrift"/>
                <w:rFonts w:ascii="Times New Roman" w:hAnsi="Times New Roman"/>
                <w:b w:val="0"/>
                <w:sz w:val="24"/>
              </w:rPr>
            </w:pPr>
            <w:r w:rsidRPr="001562B3">
              <w:rPr>
                <w:rStyle w:val="FormatvorlageInstructionsTabelleText"/>
                <w:rFonts w:ascii="Times New Roman" w:hAnsi="Times New Roman"/>
                <w:sz w:val="24"/>
              </w:rPr>
              <w:t>E</w:t>
            </w:r>
            <w:r w:rsidR="00077DC8" w:rsidRPr="001562B3">
              <w:rPr>
                <w:rStyle w:val="FormatvorlageInstructionsTabelleText"/>
                <w:rFonts w:ascii="Times New Roman" w:hAnsi="Times New Roman"/>
                <w:sz w:val="24"/>
              </w:rPr>
              <w:t xml:space="preserve">ligible liabilities which comply with the requirements </w:t>
            </w:r>
            <w:r w:rsidR="00A01D02" w:rsidRPr="001562B3">
              <w:rPr>
                <w:rStyle w:val="FormatvorlageInstructionsTabelleText"/>
                <w:rFonts w:ascii="Times New Roman" w:hAnsi="Times New Roman"/>
                <w:sz w:val="24"/>
              </w:rPr>
              <w:t>laid down</w:t>
            </w:r>
            <w:r w:rsidR="00077DC8"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077DC8" w:rsidRPr="001562B3">
              <w:rPr>
                <w:rStyle w:val="FormatvorlageInstructionsTabelleText"/>
                <w:rFonts w:ascii="Times New Roman" w:hAnsi="Times New Roman"/>
                <w:sz w:val="24"/>
              </w:rPr>
              <w:t>rticles 72a to 72d</w:t>
            </w:r>
            <w:r w:rsidRPr="001562B3">
              <w:rPr>
                <w:rStyle w:val="FormatvorlageInstructionsTabelleText"/>
                <w:rFonts w:ascii="Times New Roman" w:hAnsi="Times New Roman"/>
                <w:sz w:val="24"/>
              </w:rPr>
              <w:t xml:space="preserve"> </w:t>
            </w:r>
            <w:r w:rsidR="00A01D02" w:rsidRPr="001562B3">
              <w:rPr>
                <w:rStyle w:val="FormatvorlageInstructionsTabelleText"/>
                <w:rFonts w:ascii="Times New Roman" w:hAnsi="Times New Roman"/>
                <w:sz w:val="24"/>
              </w:rPr>
              <w:t>of Regulation (EU) No 575/2013</w:t>
            </w:r>
            <w:r w:rsidR="00077DC8" w:rsidRPr="001562B3">
              <w:rPr>
                <w:rStyle w:val="FormatvorlageInstructionsTabelleText"/>
                <w:rFonts w:ascii="Times New Roman" w:hAnsi="Times New Roman"/>
                <w:sz w:val="24"/>
              </w:rPr>
              <w:t xml:space="preserve">, except for point (d) of Article 72b(2) </w:t>
            </w:r>
            <w:r w:rsidR="00A01D02" w:rsidRPr="001562B3">
              <w:rPr>
                <w:rStyle w:val="FormatvorlageInstructionsTabelleText"/>
                <w:rFonts w:ascii="Times New Roman" w:hAnsi="Times New Roman"/>
                <w:sz w:val="24"/>
              </w:rPr>
              <w:t>of that Regulation</w:t>
            </w:r>
            <w:r w:rsidR="00E45B9B" w:rsidRPr="001562B3">
              <w:rPr>
                <w:rStyle w:val="FormatvorlageInstructionsTabelleText"/>
                <w:rFonts w:ascii="Times New Roman" w:hAnsi="Times New Roman"/>
                <w:sz w:val="24"/>
              </w:rPr>
              <w:t xml:space="preserve">, and are recognised as eligible liabilities in accordance with </w:t>
            </w:r>
            <w:r w:rsidR="0018613E" w:rsidRPr="001562B3">
              <w:rPr>
                <w:rStyle w:val="FormatvorlageInstructionsTabelleText"/>
                <w:rFonts w:ascii="Times New Roman" w:hAnsi="Times New Roman"/>
                <w:sz w:val="24"/>
              </w:rPr>
              <w:t xml:space="preserve">Articles </w:t>
            </w:r>
            <w:r w:rsidR="00305E50" w:rsidRPr="001562B3">
              <w:rPr>
                <w:rStyle w:val="FormatvorlageInstructionsTabelleText"/>
                <w:rFonts w:ascii="Times New Roman" w:hAnsi="Times New Roman"/>
                <w:sz w:val="24"/>
              </w:rPr>
              <w:t xml:space="preserve">72b(3) or (4) </w:t>
            </w:r>
            <w:r w:rsidR="00A01D02" w:rsidRPr="001562B3">
              <w:rPr>
                <w:rStyle w:val="FormatvorlageInstructionsTabelleText"/>
                <w:rFonts w:ascii="Times New Roman" w:hAnsi="Times New Roman"/>
                <w:sz w:val="24"/>
              </w:rPr>
              <w:t>of that Regulation</w:t>
            </w:r>
            <w:r w:rsidR="00305E50" w:rsidRPr="001562B3">
              <w:rPr>
                <w:rStyle w:val="FormatvorlageInstructionsTabelleText"/>
                <w:rFonts w:ascii="Times New Roman" w:hAnsi="Times New Roman"/>
                <w:sz w:val="24"/>
              </w:rPr>
              <w:t>.</w:t>
            </w:r>
            <w:r w:rsidR="00E45B9B" w:rsidRPr="001562B3">
              <w:rPr>
                <w:rStyle w:val="FormatvorlageInstructionsTabelleText"/>
                <w:rFonts w:ascii="Times New Roman" w:hAnsi="Times New Roman"/>
                <w:sz w:val="24"/>
              </w:rPr>
              <w:t xml:space="preserve"> </w:t>
            </w:r>
            <w:r w:rsidR="00A01D02" w:rsidRPr="001562B3">
              <w:rPr>
                <w:rStyle w:val="FormatvorlageInstructionsTabelleText"/>
                <w:rFonts w:ascii="Times New Roman" w:hAnsi="Times New Roman"/>
                <w:sz w:val="24"/>
              </w:rPr>
              <w:t>Where</w:t>
            </w:r>
            <w:r w:rsidR="00E45B9B" w:rsidRPr="001562B3">
              <w:rPr>
                <w:rStyle w:val="FormatvorlageInstructionsTabelleText"/>
                <w:rFonts w:ascii="Times New Roman" w:hAnsi="Times New Roman"/>
                <w:sz w:val="24"/>
              </w:rPr>
              <w:t xml:space="preserve"> Article 72b(3) </w:t>
            </w:r>
            <w:r w:rsidR="00A01D02" w:rsidRPr="001562B3">
              <w:rPr>
                <w:rStyle w:val="FormatvorlageInstructionsTabelleText"/>
                <w:rFonts w:ascii="Times New Roman" w:hAnsi="Times New Roman"/>
                <w:sz w:val="24"/>
              </w:rPr>
              <w:t>of Regulation (EU) No 575/2013 applies</w:t>
            </w:r>
            <w:r w:rsidR="00E45B9B" w:rsidRPr="001562B3">
              <w:rPr>
                <w:rStyle w:val="FormatvorlageInstructionsTabelleText"/>
                <w:rFonts w:ascii="Times New Roman" w:hAnsi="Times New Roman"/>
                <w:sz w:val="24"/>
              </w:rPr>
              <w:t xml:space="preserve">, the amount reported shall be the </w:t>
            </w:r>
            <w:r w:rsidR="00E45B9B" w:rsidRPr="001562B3">
              <w:rPr>
                <w:rStyle w:val="InstructionsTabelleberschrift"/>
                <w:rFonts w:ascii="Times New Roman" w:hAnsi="Times New Roman"/>
                <w:b w:val="0"/>
                <w:sz w:val="24"/>
                <w:u w:val="none"/>
              </w:rPr>
              <w:t xml:space="preserve">amount after </w:t>
            </w:r>
            <w:r w:rsidR="00E45B9B" w:rsidRPr="001562B3">
              <w:rPr>
                <w:rStyle w:val="FormatvorlageInstructionsTabelleText"/>
                <w:rFonts w:ascii="Times New Roman" w:hAnsi="Times New Roman"/>
                <w:sz w:val="24"/>
              </w:rPr>
              <w:t>the application of the cap</w:t>
            </w:r>
            <w:r w:rsidR="001D10FC" w:rsidRPr="001562B3">
              <w:rPr>
                <w:rStyle w:val="FormatvorlageInstructionsTabelleText"/>
                <w:rFonts w:ascii="Times New Roman" w:hAnsi="Times New Roman"/>
                <w:sz w:val="24"/>
              </w:rPr>
              <w:t xml:space="preserve"> laid down in that Article</w:t>
            </w:r>
            <w:r w:rsidR="00E45B9B" w:rsidRPr="001562B3">
              <w:rPr>
                <w:rStyle w:val="FormatvorlageInstructionsTabelleText"/>
                <w:rFonts w:ascii="Times New Roman" w:hAnsi="Times New Roman"/>
                <w:sz w:val="24"/>
              </w:rPr>
              <w:t>.</w:t>
            </w:r>
          </w:p>
        </w:tc>
      </w:tr>
      <w:tr w:rsidR="00A63011" w:rsidRPr="001562B3" w14:paraId="47FEB869" w14:textId="77777777" w:rsidTr="007674DE">
        <w:tc>
          <w:tcPr>
            <w:tcW w:w="1129" w:type="dxa"/>
            <w:vAlign w:val="center"/>
          </w:tcPr>
          <w:p w14:paraId="6C338E15" w14:textId="266651BF" w:rsidR="00A63011" w:rsidRPr="001562B3" w:rsidRDefault="00A63011" w:rsidP="00E05895">
            <w:pPr>
              <w:pStyle w:val="InstructionsText"/>
            </w:pPr>
            <w:r w:rsidRPr="001562B3">
              <w:rPr>
                <w:rStyle w:val="FormatvorlageInstructionsTabelleText"/>
                <w:rFonts w:ascii="Times New Roman" w:hAnsi="Times New Roman"/>
                <w:sz w:val="24"/>
              </w:rPr>
              <w:t>01</w:t>
            </w:r>
            <w:r w:rsidR="004B26E4"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0</w:t>
            </w:r>
          </w:p>
        </w:tc>
        <w:tc>
          <w:tcPr>
            <w:tcW w:w="7620" w:type="dxa"/>
            <w:vAlign w:val="center"/>
          </w:tcPr>
          <w:p w14:paraId="2B3CCCA3" w14:textId="49C67F64" w:rsidR="00A63011" w:rsidRPr="001562B3" w:rsidRDefault="00A63011"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xml:space="preserve">Eligible liabilities that </w:t>
            </w:r>
            <w:r w:rsidR="00EA28E5" w:rsidRPr="001562B3">
              <w:rPr>
                <w:rStyle w:val="InstructionsTabelleberschrift"/>
                <w:rFonts w:ascii="Times New Roman" w:hAnsi="Times New Roman"/>
                <w:sz w:val="24"/>
              </w:rPr>
              <w:t xml:space="preserve">are not </w:t>
            </w:r>
            <w:r w:rsidRPr="001562B3">
              <w:rPr>
                <w:rStyle w:val="InstructionsTabelleberschrift"/>
                <w:rFonts w:ascii="Times New Roman" w:hAnsi="Times New Roman"/>
                <w:sz w:val="24"/>
              </w:rPr>
              <w:t xml:space="preserve">subordinated </w:t>
            </w:r>
            <w:r w:rsidR="00EA28E5" w:rsidRPr="001562B3">
              <w:rPr>
                <w:rStyle w:val="InstructionsTabelleberschrift"/>
                <w:rFonts w:ascii="Times New Roman" w:hAnsi="Times New Roman"/>
                <w:sz w:val="24"/>
              </w:rPr>
              <w:t xml:space="preserve">to excluded </w:t>
            </w:r>
            <w:r w:rsidRPr="001562B3">
              <w:rPr>
                <w:rStyle w:val="InstructionsTabelleberschrift"/>
                <w:rFonts w:ascii="Times New Roman" w:hAnsi="Times New Roman"/>
                <w:sz w:val="24"/>
              </w:rPr>
              <w:t>liabilities</w:t>
            </w:r>
            <w:r w:rsidR="00EA28E5" w:rsidRPr="001562B3">
              <w:rPr>
                <w:rStyle w:val="InstructionsTabelleberschrift"/>
                <w:rFonts w:ascii="Times New Roman" w:hAnsi="Times New Roman"/>
                <w:sz w:val="24"/>
              </w:rPr>
              <w:t xml:space="preserve"> (</w:t>
            </w:r>
            <w:r w:rsidR="00A11445" w:rsidRPr="001562B3">
              <w:rPr>
                <w:rStyle w:val="InstructionsTabelleberschrift"/>
                <w:rFonts w:ascii="Times New Roman" w:hAnsi="Times New Roman"/>
                <w:sz w:val="24"/>
              </w:rPr>
              <w:t xml:space="preserve">not grandfathered </w:t>
            </w:r>
            <w:r w:rsidR="00EA28E5" w:rsidRPr="001562B3">
              <w:rPr>
                <w:rStyle w:val="InstructionsTabelleberschrift"/>
                <w:rFonts w:ascii="Times New Roman" w:hAnsi="Times New Roman"/>
                <w:sz w:val="24"/>
              </w:rPr>
              <w:t>pre</w:t>
            </w:r>
            <w:r w:rsidR="00CB71A7">
              <w:rPr>
                <w:rStyle w:val="InstructionsTabelleberschrift"/>
                <w:rFonts w:ascii="Times New Roman" w:hAnsi="Times New Roman"/>
                <w:sz w:val="24"/>
              </w:rPr>
              <w:t>-</w:t>
            </w:r>
            <w:r w:rsidR="00EA28E5" w:rsidRPr="001562B3">
              <w:rPr>
                <w:rStyle w:val="InstructionsTabelleberschrift"/>
                <w:rFonts w:ascii="Times New Roman" w:hAnsi="Times New Roman"/>
                <w:sz w:val="24"/>
              </w:rPr>
              <w:t>cap)</w:t>
            </w:r>
          </w:p>
          <w:p w14:paraId="394955FE" w14:textId="77777777" w:rsidR="00982A9F" w:rsidRPr="001562B3" w:rsidRDefault="00604AF7">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i/>
                <w:sz w:val="24"/>
              </w:rPr>
              <w:t>MREL</w:t>
            </w:r>
          </w:p>
          <w:p w14:paraId="1AA7EA4A" w14:textId="271A55EF" w:rsidR="00604AF7" w:rsidRPr="001562B3" w:rsidRDefault="003A0717">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 xml:space="preserve">Liabilities that comply with the conditions </w:t>
            </w:r>
            <w:r w:rsidR="00855A44" w:rsidRPr="001562B3">
              <w:rPr>
                <w:rStyle w:val="FormatvorlageInstructionsTabelleText"/>
                <w:rFonts w:ascii="Times New Roman" w:hAnsi="Times New Roman"/>
                <w:sz w:val="24"/>
              </w:rPr>
              <w:t>laid down</w:t>
            </w:r>
            <w:r w:rsidRPr="001562B3">
              <w:rPr>
                <w:rStyle w:val="FormatvorlageInstructionsTabelleText"/>
                <w:rFonts w:ascii="Times New Roman" w:hAnsi="Times New Roman"/>
                <w:sz w:val="24"/>
              </w:rPr>
              <w:t xml:space="preserve"> in </w:t>
            </w:r>
            <w:r w:rsidR="00982A9F" w:rsidRPr="001562B3">
              <w:rPr>
                <w:rStyle w:val="FormatvorlageInstructionsTabelleText"/>
                <w:rFonts w:ascii="Times New Roman" w:hAnsi="Times New Roman"/>
                <w:sz w:val="24"/>
              </w:rPr>
              <w:t>A</w:t>
            </w:r>
            <w:r w:rsidRPr="001562B3">
              <w:rPr>
                <w:rStyle w:val="FormatvorlageInstructionsTabelleText"/>
                <w:rFonts w:ascii="Times New Roman" w:hAnsi="Times New Roman"/>
                <w:sz w:val="24"/>
              </w:rPr>
              <w:t>rticle 45b</w:t>
            </w:r>
            <w:r w:rsidR="002370CD" w:rsidRPr="001562B3">
              <w:rPr>
                <w:rStyle w:val="FormatvorlageInstructionsTabelleText"/>
                <w:rFonts w:ascii="Times New Roman" w:hAnsi="Times New Roman"/>
                <w:sz w:val="24"/>
              </w:rPr>
              <w:t xml:space="preserve"> (1) to (3)</w:t>
            </w:r>
            <w:r w:rsidRPr="001562B3">
              <w:rPr>
                <w:rStyle w:val="FormatvorlageInstructionsTabelleText"/>
                <w:rFonts w:ascii="Times New Roman" w:hAnsi="Times New Roman"/>
                <w:sz w:val="24"/>
              </w:rPr>
              <w:t xml:space="preserve"> </w:t>
            </w:r>
            <w:r w:rsidR="00855A44"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 xml:space="preserve"> and </w:t>
            </w:r>
            <w:r w:rsidR="00982A9F" w:rsidRPr="001562B3">
              <w:rPr>
                <w:rStyle w:val="FormatvorlageInstructionsTabelleText"/>
                <w:rFonts w:ascii="Times New Roman" w:hAnsi="Times New Roman"/>
                <w:sz w:val="24"/>
              </w:rPr>
              <w:t xml:space="preserve">that </w:t>
            </w:r>
            <w:r w:rsidRPr="001562B3">
              <w:rPr>
                <w:rStyle w:val="FormatvorlageInstructionsTabelleText"/>
                <w:rFonts w:ascii="Times New Roman" w:hAnsi="Times New Roman"/>
                <w:sz w:val="24"/>
              </w:rPr>
              <w:t xml:space="preserve">are not wholly subordinated to claims arising from excluded liabilities referred to in Article 72a(2) </w:t>
            </w:r>
            <w:r w:rsidR="00855A44" w:rsidRPr="001562B3">
              <w:rPr>
                <w:rStyle w:val="FormatvorlageInstructionsTabelleText"/>
                <w:rFonts w:ascii="Times New Roman" w:hAnsi="Times New Roman"/>
                <w:sz w:val="24"/>
              </w:rPr>
              <w:t>of Regulation (EU) No 575/2013</w:t>
            </w:r>
            <w:r w:rsidR="00B1149D" w:rsidRPr="001562B3">
              <w:rPr>
                <w:rStyle w:val="FormatvorlageInstructionsTabelleText"/>
                <w:rFonts w:ascii="Times New Roman" w:hAnsi="Times New Roman"/>
                <w:b/>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855A44" w:rsidRPr="001562B3">
              <w:rPr>
                <w:rStyle w:val="FormatvorlageInstructionsTabelleText"/>
                <w:rFonts w:ascii="Times New Roman" w:hAnsi="Times New Roman"/>
                <w:sz w:val="24"/>
              </w:rPr>
              <w:t>of Directive 2014/59/EU</w:t>
            </w:r>
            <w:r w:rsidR="00014A29" w:rsidRPr="001562B3">
              <w:rPr>
                <w:rStyle w:val="FormatvorlageInstructionsTabelleText"/>
                <w:rFonts w:ascii="Times New Roman" w:hAnsi="Times New Roman"/>
                <w:sz w:val="24"/>
              </w:rPr>
              <w:t>.</w:t>
            </w:r>
          </w:p>
          <w:p w14:paraId="388C46BA" w14:textId="3360303E" w:rsidR="00982A9F" w:rsidRPr="001562B3" w:rsidRDefault="00604AF7">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0B4467BB" w14:textId="28FBA14B" w:rsidR="00D37718" w:rsidRPr="001562B3" w:rsidRDefault="00982A9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6B5DEC" w:rsidRPr="001562B3">
              <w:rPr>
                <w:rStyle w:val="FormatvorlageInstructionsTabelleText"/>
                <w:rFonts w:ascii="Times New Roman" w:hAnsi="Times New Roman"/>
                <w:sz w:val="24"/>
              </w:rPr>
              <w:t xml:space="preserve">ligible liabilities which comply with the requirements </w:t>
            </w:r>
            <w:r w:rsidR="00855A44" w:rsidRPr="001562B3">
              <w:rPr>
                <w:rStyle w:val="FormatvorlageInstructionsTabelleText"/>
                <w:rFonts w:ascii="Times New Roman" w:hAnsi="Times New Roman"/>
                <w:sz w:val="24"/>
              </w:rPr>
              <w:t xml:space="preserve">laid down </w:t>
            </w:r>
            <w:r w:rsidR="006B5DEC" w:rsidRPr="001562B3">
              <w:rPr>
                <w:rStyle w:val="FormatvorlageInstructionsTabelleText"/>
                <w:rFonts w:ascii="Times New Roman" w:hAnsi="Times New Roman"/>
                <w:sz w:val="24"/>
              </w:rPr>
              <w:t xml:space="preserve">in </w:t>
            </w:r>
            <w:r w:rsidRPr="001562B3">
              <w:rPr>
                <w:rStyle w:val="FormatvorlageInstructionsTabelleText"/>
                <w:rFonts w:ascii="Times New Roman" w:hAnsi="Times New Roman"/>
                <w:sz w:val="24"/>
              </w:rPr>
              <w:t>A</w:t>
            </w:r>
            <w:r w:rsidR="006B5DEC" w:rsidRPr="001562B3">
              <w:rPr>
                <w:rStyle w:val="FormatvorlageInstructionsTabelleText"/>
                <w:rFonts w:ascii="Times New Roman" w:hAnsi="Times New Roman"/>
                <w:sz w:val="24"/>
              </w:rPr>
              <w:t>rticles 72a to 72d</w:t>
            </w:r>
            <w:r w:rsidR="002370CD" w:rsidRPr="001562B3">
              <w:rPr>
                <w:rStyle w:val="FormatvorlageInstructionsTabelleText"/>
                <w:rFonts w:ascii="Times New Roman" w:hAnsi="Times New Roman"/>
                <w:sz w:val="24"/>
              </w:rPr>
              <w:t xml:space="preserve"> </w:t>
            </w:r>
            <w:r w:rsidR="00855A44" w:rsidRPr="001562B3">
              <w:rPr>
                <w:rStyle w:val="FormatvorlageInstructionsTabelleText"/>
                <w:rFonts w:ascii="Times New Roman" w:hAnsi="Times New Roman"/>
                <w:sz w:val="24"/>
              </w:rPr>
              <w:t>of Regulation (EU) No 575/2013</w:t>
            </w:r>
            <w:r w:rsidR="003B60E3" w:rsidRPr="001562B3">
              <w:rPr>
                <w:rStyle w:val="FormatvorlageInstructionsTabelleText"/>
                <w:rFonts w:ascii="Times New Roman" w:hAnsi="Times New Roman"/>
                <w:sz w:val="24"/>
              </w:rPr>
              <w:t xml:space="preserve">, </w:t>
            </w:r>
            <w:r w:rsidR="00A63011" w:rsidRPr="001562B3">
              <w:rPr>
                <w:rStyle w:val="FormatvorlageInstructionsTabelleText"/>
                <w:rFonts w:ascii="Times New Roman" w:hAnsi="Times New Roman"/>
                <w:sz w:val="24"/>
              </w:rPr>
              <w:t xml:space="preserve">except for point (d) of Article 72b(2) </w:t>
            </w:r>
            <w:r w:rsidR="00855A44" w:rsidRPr="001562B3">
              <w:rPr>
                <w:rStyle w:val="FormatvorlageInstructionsTabelleText"/>
                <w:rFonts w:ascii="Times New Roman" w:hAnsi="Times New Roman"/>
                <w:sz w:val="24"/>
              </w:rPr>
              <w:t>of that Regulation</w:t>
            </w:r>
            <w:r w:rsidR="0020559A" w:rsidRPr="001562B3">
              <w:rPr>
                <w:rStyle w:val="FormatvorlageInstructionsTabelleText"/>
                <w:rFonts w:ascii="Times New Roman" w:hAnsi="Times New Roman"/>
                <w:sz w:val="24"/>
              </w:rPr>
              <w:t>, and which could be</w:t>
            </w:r>
            <w:r w:rsidR="0020559A" w:rsidRPr="001562B3">
              <w:t xml:space="preserve"> </w:t>
            </w:r>
            <w:r w:rsidR="0020559A" w:rsidRPr="001562B3">
              <w:rPr>
                <w:rStyle w:val="FormatvorlageInstructionsTabelleText"/>
                <w:rFonts w:ascii="Times New Roman" w:hAnsi="Times New Roman"/>
                <w:sz w:val="24"/>
              </w:rPr>
              <w:t>permitted to qualify as eligible liabilit</w:t>
            </w:r>
            <w:r w:rsidR="00894CE9">
              <w:rPr>
                <w:rStyle w:val="FormatvorlageInstructionsTabelleText"/>
                <w:rFonts w:ascii="Times New Roman" w:hAnsi="Times New Roman"/>
                <w:sz w:val="24"/>
              </w:rPr>
              <w:t>ies</w:t>
            </w:r>
            <w:r w:rsidR="0020559A" w:rsidRPr="001562B3">
              <w:rPr>
                <w:rStyle w:val="FormatvorlageInstructionsTabelleText"/>
                <w:rFonts w:ascii="Times New Roman" w:hAnsi="Times New Roman"/>
                <w:sz w:val="24"/>
              </w:rPr>
              <w:t xml:space="preserve"> instruments </w:t>
            </w:r>
            <w:r w:rsidR="00855A44" w:rsidRPr="001562B3">
              <w:rPr>
                <w:rStyle w:val="FormatvorlageInstructionsTabelleText"/>
                <w:rFonts w:ascii="Times New Roman" w:hAnsi="Times New Roman"/>
                <w:sz w:val="24"/>
              </w:rPr>
              <w:t>in accordance with</w:t>
            </w:r>
            <w:r w:rsidR="0020559A" w:rsidRPr="001562B3">
              <w:rPr>
                <w:rStyle w:val="FormatvorlageInstructionsTabelleText"/>
                <w:rFonts w:ascii="Times New Roman" w:hAnsi="Times New Roman"/>
                <w:sz w:val="24"/>
              </w:rPr>
              <w:t xml:space="preserve"> Article 72b(3) </w:t>
            </w:r>
            <w:r w:rsidR="00855A44" w:rsidRPr="001562B3">
              <w:rPr>
                <w:rStyle w:val="FormatvorlageInstructionsTabelleText"/>
                <w:rFonts w:ascii="Times New Roman" w:hAnsi="Times New Roman"/>
                <w:sz w:val="24"/>
              </w:rPr>
              <w:t xml:space="preserve">of that Regulation </w:t>
            </w:r>
            <w:r w:rsidR="0020559A" w:rsidRPr="001562B3">
              <w:rPr>
                <w:rStyle w:val="FormatvorlageInstructionsTabelleText"/>
                <w:rFonts w:ascii="Times New Roman" w:hAnsi="Times New Roman"/>
                <w:sz w:val="24"/>
              </w:rPr>
              <w:t xml:space="preserve">or are permitted to qualify as eligible liabilities instruments </w:t>
            </w:r>
            <w:r w:rsidR="00855A44" w:rsidRPr="001562B3">
              <w:rPr>
                <w:rStyle w:val="FormatvorlageInstructionsTabelleText"/>
                <w:rFonts w:ascii="Times New Roman" w:hAnsi="Times New Roman"/>
                <w:sz w:val="24"/>
              </w:rPr>
              <w:t>in accordance with</w:t>
            </w:r>
            <w:r w:rsidR="0020559A" w:rsidRPr="001562B3">
              <w:rPr>
                <w:rStyle w:val="FormatvorlageInstructionsTabelleText"/>
                <w:rFonts w:ascii="Times New Roman" w:hAnsi="Times New Roman"/>
                <w:sz w:val="24"/>
              </w:rPr>
              <w:t xml:space="preserve"> Article 72b(4) </w:t>
            </w:r>
            <w:r w:rsidR="00855A44" w:rsidRPr="001562B3">
              <w:rPr>
                <w:rStyle w:val="FormatvorlageInstructionsTabelleText"/>
                <w:rFonts w:ascii="Times New Roman" w:hAnsi="Times New Roman"/>
                <w:sz w:val="24"/>
              </w:rPr>
              <w:t>of that Regulation</w:t>
            </w:r>
            <w:r w:rsidR="0020559A" w:rsidRPr="001562B3">
              <w:rPr>
                <w:rStyle w:val="FormatvorlageInstructionsTabelleText"/>
                <w:rFonts w:ascii="Times New Roman" w:hAnsi="Times New Roman"/>
                <w:sz w:val="24"/>
              </w:rPr>
              <w:t>.</w:t>
            </w:r>
          </w:p>
          <w:p w14:paraId="0909459E" w14:textId="187AE3BC" w:rsidR="00EA28E5" w:rsidRPr="001562B3" w:rsidRDefault="00855A44">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Where</w:t>
            </w:r>
            <w:r w:rsidR="0020559A" w:rsidRPr="001562B3">
              <w:rPr>
                <w:rStyle w:val="FormatvorlageInstructionsTabelleText"/>
                <w:rFonts w:ascii="Times New Roman" w:hAnsi="Times New Roman"/>
                <w:sz w:val="24"/>
              </w:rPr>
              <w:t xml:space="preserve"> Article 72b(3) </w:t>
            </w:r>
            <w:r w:rsidRPr="001562B3">
              <w:rPr>
                <w:rStyle w:val="FormatvorlageInstructionsTabelleText"/>
                <w:rFonts w:ascii="Times New Roman" w:hAnsi="Times New Roman"/>
                <w:sz w:val="24"/>
              </w:rPr>
              <w:t>or Article 494(2) of Regulation (EU) No 575/2013 applies</w:t>
            </w:r>
            <w:r w:rsidR="0020559A" w:rsidRPr="001562B3">
              <w:rPr>
                <w:rStyle w:val="FormatvorlageInstructionsTabelleText"/>
                <w:rFonts w:ascii="Times New Roman" w:hAnsi="Times New Roman"/>
                <w:sz w:val="24"/>
              </w:rPr>
              <w:t>, t</w:t>
            </w:r>
            <w:r w:rsidR="00D37718" w:rsidRPr="001562B3">
              <w:rPr>
                <w:rStyle w:val="FormatvorlageInstructionsTabelleText"/>
                <w:rFonts w:ascii="Times New Roman" w:hAnsi="Times New Roman"/>
                <w:sz w:val="24"/>
              </w:rPr>
              <w:t xml:space="preserve">he </w:t>
            </w:r>
            <w:r w:rsidR="003619EE" w:rsidRPr="001562B3">
              <w:rPr>
                <w:rStyle w:val="FormatvorlageInstructionsTabelleText"/>
                <w:rFonts w:ascii="Times New Roman" w:hAnsi="Times New Roman"/>
                <w:sz w:val="24"/>
              </w:rPr>
              <w:t>full</w:t>
            </w:r>
            <w:r w:rsidR="00D37718" w:rsidRPr="001562B3">
              <w:rPr>
                <w:rStyle w:val="FormatvorlageInstructionsTabelleText"/>
                <w:rFonts w:ascii="Times New Roman" w:hAnsi="Times New Roman"/>
                <w:sz w:val="24"/>
              </w:rPr>
              <w:t xml:space="preserve"> amount</w:t>
            </w:r>
            <w:r w:rsidR="00077DC8" w:rsidRPr="001562B3">
              <w:rPr>
                <w:rStyle w:val="FormatvorlageInstructionsTabelleText"/>
                <w:rFonts w:ascii="Times New Roman" w:hAnsi="Times New Roman"/>
                <w:sz w:val="24"/>
              </w:rPr>
              <w:t xml:space="preserve"> </w:t>
            </w:r>
            <w:r w:rsidR="00305E50" w:rsidRPr="001562B3">
              <w:rPr>
                <w:rStyle w:val="FormatvorlageInstructionsTabelleText"/>
                <w:rFonts w:ascii="Times New Roman" w:hAnsi="Times New Roman"/>
                <w:sz w:val="24"/>
              </w:rPr>
              <w:t xml:space="preserve">without </w:t>
            </w:r>
            <w:r w:rsidR="003619EE" w:rsidRPr="001562B3">
              <w:rPr>
                <w:rStyle w:val="FormatvorlageInstructionsTabelleText"/>
                <w:rFonts w:ascii="Times New Roman" w:hAnsi="Times New Roman"/>
                <w:sz w:val="24"/>
              </w:rPr>
              <w:t xml:space="preserve">the </w:t>
            </w:r>
            <w:r w:rsidR="00305E50" w:rsidRPr="001562B3">
              <w:rPr>
                <w:rStyle w:val="FormatvorlageInstructionsTabelleText"/>
                <w:rFonts w:ascii="Times New Roman" w:hAnsi="Times New Roman"/>
                <w:sz w:val="24"/>
              </w:rPr>
              <w:t>application of the</w:t>
            </w:r>
            <w:r w:rsidR="0018613E" w:rsidRPr="001562B3">
              <w:rPr>
                <w:rStyle w:val="FormatvorlageInstructionsTabelleText"/>
                <w:rFonts w:ascii="Times New Roman" w:hAnsi="Times New Roman"/>
                <w:sz w:val="24"/>
              </w:rPr>
              <w:t xml:space="preserve"> </w:t>
            </w:r>
            <w:r w:rsidR="003619EE"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w:t>
            </w:r>
            <w:r w:rsidR="0018613E" w:rsidRPr="001562B3">
              <w:rPr>
                <w:rStyle w:val="FormatvorlageInstructionsTabelleText"/>
                <w:rFonts w:ascii="Times New Roman" w:hAnsi="Times New Roman"/>
                <w:sz w:val="24"/>
              </w:rPr>
              <w:t xml:space="preserve">5% </w:t>
            </w:r>
            <w:r w:rsidR="00CB71A7">
              <w:rPr>
                <w:rStyle w:val="FormatvorlageInstructionsTabelleText"/>
                <w:rFonts w:ascii="Times New Roman" w:hAnsi="Times New Roman"/>
                <w:sz w:val="24"/>
              </w:rPr>
              <w:t xml:space="preserve">and </w:t>
            </w:r>
            <w:r w:rsidR="003619EE"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w:t>
            </w:r>
            <w:r w:rsidR="003619EE" w:rsidRPr="001562B3">
              <w:rPr>
                <w:rStyle w:val="FormatvorlageInstructionsTabelleText"/>
                <w:rFonts w:ascii="Times New Roman" w:hAnsi="Times New Roman"/>
                <w:sz w:val="24"/>
              </w:rPr>
              <w:t>5% cap</w:t>
            </w:r>
            <w:r w:rsidR="00CB71A7">
              <w:rPr>
                <w:rStyle w:val="FormatvorlageInstructionsTabelleText"/>
                <w:rFonts w:ascii="Times New Roman" w:hAnsi="Times New Roman"/>
                <w:sz w:val="24"/>
              </w:rPr>
              <w:t xml:space="preserve"> </w:t>
            </w:r>
            <w:r w:rsidR="00CB71A7" w:rsidRPr="001562B3">
              <w:rPr>
                <w:rStyle w:val="FormatvorlageInstructionsTabelleText"/>
                <w:rFonts w:ascii="Times New Roman" w:hAnsi="Times New Roman"/>
                <w:sz w:val="24"/>
              </w:rPr>
              <w:t>respectively</w:t>
            </w:r>
            <w:r w:rsidR="003619EE" w:rsidRPr="001562B3">
              <w:rPr>
                <w:rStyle w:val="FormatvorlageInstructionsTabelleText"/>
                <w:rFonts w:ascii="Times New Roman" w:hAnsi="Times New Roman"/>
                <w:sz w:val="24"/>
              </w:rPr>
              <w:t xml:space="preserve"> </w:t>
            </w:r>
            <w:r w:rsidR="00305E50" w:rsidRPr="001562B3">
              <w:rPr>
                <w:rStyle w:val="FormatvorlageInstructionsTabelleText"/>
                <w:rFonts w:ascii="Times New Roman" w:hAnsi="Times New Roman"/>
                <w:sz w:val="24"/>
              </w:rPr>
              <w:t xml:space="preserve">shall </w:t>
            </w:r>
            <w:r w:rsidR="00A63011" w:rsidRPr="001562B3">
              <w:rPr>
                <w:rStyle w:val="FormatvorlageInstructionsTabelleText"/>
                <w:rFonts w:ascii="Times New Roman" w:hAnsi="Times New Roman"/>
                <w:sz w:val="24"/>
              </w:rPr>
              <w:t>be reported in this row</w:t>
            </w:r>
            <w:r w:rsidR="00EA28E5" w:rsidRPr="001562B3">
              <w:rPr>
                <w:rStyle w:val="FormatvorlageInstructionsTabelleText"/>
                <w:rFonts w:ascii="Times New Roman" w:hAnsi="Times New Roman"/>
                <w:sz w:val="24"/>
              </w:rPr>
              <w:t>.</w:t>
            </w:r>
          </w:p>
          <w:p w14:paraId="10DEA222" w14:textId="0F79DC02" w:rsidR="00A63011" w:rsidRPr="001562B3" w:rsidRDefault="00EA28E5">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This row shall not include any amount recognisable on a transitional basis in accordance with</w:t>
            </w:r>
            <w:r w:rsidR="003B60E3" w:rsidRPr="001562B3">
              <w:rPr>
                <w:rStyle w:val="FormatvorlageInstructionsTabelleText"/>
                <w:rFonts w:ascii="Times New Roman" w:hAnsi="Times New Roman"/>
                <w:sz w:val="24"/>
              </w:rPr>
              <w:t xml:space="preserve"> Article 494b(3)</w:t>
            </w:r>
            <w:r w:rsidR="00982A9F" w:rsidRPr="001562B3">
              <w:rPr>
                <w:rStyle w:val="FormatvorlageInstructionsTabelleText"/>
                <w:rFonts w:ascii="Times New Roman" w:hAnsi="Times New Roman"/>
                <w:sz w:val="24"/>
              </w:rPr>
              <w:t xml:space="preserve"> </w:t>
            </w:r>
            <w:r w:rsidR="00855A44" w:rsidRPr="001562B3">
              <w:rPr>
                <w:rStyle w:val="FormatvorlageInstructionsTabelleText"/>
                <w:rFonts w:ascii="Times New Roman" w:hAnsi="Times New Roman"/>
                <w:sz w:val="24"/>
              </w:rPr>
              <w:t>of Regulation (EU) No 575/2013</w:t>
            </w:r>
            <w:r w:rsidR="00982A9F" w:rsidRPr="001562B3">
              <w:rPr>
                <w:rStyle w:val="FormatvorlageInstructionsTabelleText"/>
                <w:rFonts w:ascii="Times New Roman" w:hAnsi="Times New Roman"/>
                <w:sz w:val="24"/>
              </w:rPr>
              <w:t>.</w:t>
            </w:r>
          </w:p>
        </w:tc>
      </w:tr>
      <w:tr w:rsidR="00A63011" w:rsidRPr="001562B3" w14:paraId="10AF45A5" w14:textId="77777777" w:rsidTr="007674DE">
        <w:tc>
          <w:tcPr>
            <w:tcW w:w="1129" w:type="dxa"/>
            <w:vAlign w:val="center"/>
          </w:tcPr>
          <w:p w14:paraId="7372F449" w14:textId="2D516431" w:rsidR="00A63011" w:rsidRPr="001562B3" w:rsidRDefault="00A63011" w:rsidP="00E05895">
            <w:pPr>
              <w:pStyle w:val="InstructionsText"/>
            </w:pPr>
            <w:r w:rsidRPr="001562B3">
              <w:rPr>
                <w:rStyle w:val="FormatvorlageInstructionsTabelleText"/>
                <w:rFonts w:ascii="Times New Roman" w:hAnsi="Times New Roman"/>
                <w:sz w:val="24"/>
              </w:rPr>
              <w:t>01</w:t>
            </w:r>
            <w:r w:rsidR="004B26E4"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0</w:t>
            </w:r>
          </w:p>
        </w:tc>
        <w:tc>
          <w:tcPr>
            <w:tcW w:w="7620" w:type="dxa"/>
            <w:vAlign w:val="center"/>
          </w:tcPr>
          <w:p w14:paraId="5F838AA0" w14:textId="3D7F71E6" w:rsidR="00EA28E5" w:rsidRPr="001562B3" w:rsidRDefault="00EA28E5"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Eligible liabilities that are not subordinated to excluded liabilities issued prior to </w:t>
            </w:r>
            <w:r w:rsidR="00A11445" w:rsidRPr="001562B3">
              <w:rPr>
                <w:rStyle w:val="InstructionsTabelleberschrift"/>
                <w:rFonts w:ascii="Times New Roman" w:hAnsi="Times New Roman"/>
                <w:sz w:val="24"/>
              </w:rPr>
              <w:t>27 June 2019</w:t>
            </w:r>
            <w:r w:rsidR="00982A9F" w:rsidRPr="001562B3">
              <w:rPr>
                <w:rStyle w:val="InstructionsTabelleberschrift"/>
                <w:rFonts w:ascii="Times New Roman" w:hAnsi="Times New Roman"/>
                <w:sz w:val="24"/>
              </w:rPr>
              <w:t xml:space="preserve"> (pre</w:t>
            </w:r>
            <w:r w:rsidR="009B0942">
              <w:rPr>
                <w:rStyle w:val="InstructionsTabelleberschrift"/>
                <w:rFonts w:ascii="Times New Roman" w:hAnsi="Times New Roman"/>
                <w:sz w:val="24"/>
              </w:rPr>
              <w:t>-</w:t>
            </w:r>
            <w:r w:rsidR="00982A9F" w:rsidRPr="001562B3">
              <w:rPr>
                <w:rStyle w:val="InstructionsTabelleberschrift"/>
                <w:rFonts w:ascii="Times New Roman" w:hAnsi="Times New Roman"/>
                <w:sz w:val="24"/>
              </w:rPr>
              <w:t>cap)</w:t>
            </w:r>
          </w:p>
          <w:p w14:paraId="2510BB3A" w14:textId="1AF410B0" w:rsidR="00982A9F" w:rsidRPr="001562B3" w:rsidRDefault="00C11CA5">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i/>
                <w:sz w:val="24"/>
              </w:rPr>
              <w:t>MREL</w:t>
            </w:r>
          </w:p>
          <w:p w14:paraId="18163CEC" w14:textId="2030FFF7" w:rsidR="001C6D0D" w:rsidRPr="001562B3" w:rsidRDefault="00982A9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Eligible l</w:t>
            </w:r>
            <w:r w:rsidR="00C11CA5" w:rsidRPr="001562B3">
              <w:rPr>
                <w:rStyle w:val="FormatvorlageInstructionsTabelleText"/>
                <w:rFonts w:ascii="Times New Roman" w:hAnsi="Times New Roman"/>
                <w:sz w:val="24"/>
              </w:rPr>
              <w:t xml:space="preserve">iabilities that </w:t>
            </w:r>
            <w:r w:rsidR="001C6D0D" w:rsidRPr="001562B3">
              <w:rPr>
                <w:rStyle w:val="FormatvorlageInstructionsTabelleText"/>
                <w:rFonts w:ascii="Times New Roman" w:hAnsi="Times New Roman"/>
                <w:sz w:val="24"/>
              </w:rPr>
              <w:t>meet the following conditions:</w:t>
            </w:r>
          </w:p>
          <w:p w14:paraId="5FFD2677" w14:textId="50F9F4F8" w:rsidR="001C6D0D" w:rsidRPr="001562B3" w:rsidRDefault="00D16489"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 </w:t>
            </w:r>
            <w:r w:rsidR="001C6D0D" w:rsidRPr="001562B3">
              <w:rPr>
                <w:rStyle w:val="FormatvorlageInstructionsTabelleText"/>
                <w:rFonts w:ascii="Times New Roman" w:hAnsi="Times New Roman"/>
                <w:sz w:val="24"/>
              </w:rPr>
              <w:t xml:space="preserve">they </w:t>
            </w:r>
            <w:r w:rsidR="0020559A" w:rsidRPr="001562B3">
              <w:rPr>
                <w:rStyle w:val="FormatvorlageInstructionsTabelleText"/>
                <w:rFonts w:ascii="Times New Roman" w:hAnsi="Times New Roman"/>
                <w:sz w:val="24"/>
              </w:rPr>
              <w:t>were</w:t>
            </w:r>
            <w:r w:rsidR="001C6D0D" w:rsidRPr="001562B3">
              <w:rPr>
                <w:rStyle w:val="FormatvorlageInstructionsTabelleText"/>
                <w:rFonts w:ascii="Times New Roman" w:hAnsi="Times New Roman"/>
                <w:sz w:val="24"/>
              </w:rPr>
              <w:t xml:space="preserve"> issued prior to 27 June </w:t>
            </w:r>
            <w:r w:rsidR="00AD3F9D" w:rsidRPr="001562B3">
              <w:rPr>
                <w:rStyle w:val="FormatvorlageInstructionsTabelleText"/>
                <w:rFonts w:ascii="Times New Roman" w:hAnsi="Times New Roman"/>
                <w:sz w:val="24"/>
              </w:rPr>
              <w:t>2019</w:t>
            </w:r>
            <w:r w:rsidRPr="001562B3">
              <w:rPr>
                <w:rStyle w:val="FormatvorlageInstructionsTabelleText"/>
                <w:rFonts w:ascii="Times New Roman" w:hAnsi="Times New Roman"/>
                <w:sz w:val="24"/>
              </w:rPr>
              <w:t>;</w:t>
            </w:r>
          </w:p>
          <w:p w14:paraId="07403C05" w14:textId="77777777" w:rsidR="009B0942" w:rsidRDefault="00D16489"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(b) </w:t>
            </w:r>
            <w:r w:rsidR="001C6D0D" w:rsidRPr="001562B3">
              <w:rPr>
                <w:rStyle w:val="FormatvorlageInstructionsTabelleText"/>
                <w:rFonts w:ascii="Times New Roman" w:hAnsi="Times New Roman"/>
                <w:sz w:val="24"/>
              </w:rPr>
              <w:t xml:space="preserve">they </w:t>
            </w:r>
            <w:r w:rsidR="00C11CA5" w:rsidRPr="001562B3">
              <w:rPr>
                <w:rStyle w:val="FormatvorlageInstructionsTabelleText"/>
                <w:rFonts w:ascii="Times New Roman" w:hAnsi="Times New Roman"/>
                <w:sz w:val="24"/>
              </w:rPr>
              <w:t xml:space="preserve">comply with the conditions </w:t>
            </w:r>
            <w:r w:rsidRPr="001562B3">
              <w:rPr>
                <w:rStyle w:val="FormatvorlageInstructionsTabelleText"/>
                <w:rFonts w:ascii="Times New Roman" w:hAnsi="Times New Roman"/>
                <w:sz w:val="24"/>
              </w:rPr>
              <w:t>laid down</w:t>
            </w:r>
            <w:r w:rsidR="00C11CA5"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C11CA5" w:rsidRPr="001562B3">
              <w:rPr>
                <w:rStyle w:val="FormatvorlageInstructionsTabelleText"/>
                <w:rFonts w:ascii="Times New Roman" w:hAnsi="Times New Roman"/>
                <w:sz w:val="24"/>
              </w:rPr>
              <w:t xml:space="preserve">rticle 45b </w:t>
            </w:r>
            <w:r w:rsidR="002370CD" w:rsidRPr="001562B3">
              <w:rPr>
                <w:rStyle w:val="FormatvorlageInstructionsTabelleText"/>
                <w:rFonts w:ascii="Times New Roman" w:hAnsi="Times New Roman"/>
                <w:sz w:val="24"/>
              </w:rPr>
              <w:t xml:space="preserve">(1) to (3) </w:t>
            </w:r>
            <w:r w:rsidRPr="001562B3">
              <w:rPr>
                <w:rStyle w:val="FormatvorlageInstructionsTabelleText"/>
                <w:rFonts w:ascii="Times New Roman" w:hAnsi="Times New Roman"/>
                <w:sz w:val="24"/>
              </w:rPr>
              <w:t>of Directive 2014/59/EU</w:t>
            </w:r>
            <w:r w:rsidR="00C11CA5" w:rsidRPr="001562B3">
              <w:rPr>
                <w:rStyle w:val="FormatvorlageInstructionsTabelleText"/>
                <w:rFonts w:ascii="Times New Roman" w:hAnsi="Times New Roman"/>
                <w:sz w:val="24"/>
              </w:rPr>
              <w:t xml:space="preserve"> and are not wholly subordinated to claims arising </w:t>
            </w:r>
            <w:r w:rsidR="00C11CA5" w:rsidRPr="001562B3">
              <w:rPr>
                <w:rStyle w:val="FormatvorlageInstructionsTabelleText"/>
                <w:rFonts w:ascii="Times New Roman" w:hAnsi="Times New Roman"/>
                <w:sz w:val="24"/>
              </w:rPr>
              <w:lastRenderedPageBreak/>
              <w:t xml:space="preserve">from excluded liabilities referred to in Article 72a(2) </w:t>
            </w:r>
            <w:r w:rsidRPr="001562B3">
              <w:rPr>
                <w:rStyle w:val="FormatvorlageInstructionsTabelleText"/>
                <w:rFonts w:ascii="Times New Roman" w:hAnsi="Times New Roman"/>
                <w:sz w:val="24"/>
              </w:rPr>
              <w:t>of Regulation (EU) No 575/2013;</w:t>
            </w:r>
          </w:p>
          <w:p w14:paraId="71564EA2" w14:textId="74C6BCA7" w:rsidR="001C6D0D" w:rsidRPr="001562B3" w:rsidRDefault="00D16489" w:rsidP="001562B3">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(c) </w:t>
            </w:r>
            <w:r w:rsidR="001C6D0D" w:rsidRPr="001562B3">
              <w:rPr>
                <w:rStyle w:val="FormatvorlageInstructionsTabelleText"/>
                <w:rFonts w:ascii="Times New Roman" w:hAnsi="Times New Roman"/>
                <w:sz w:val="24"/>
              </w:rPr>
              <w:t xml:space="preserve">they qualify as eligible liabilities as a result of the grandfathering </w:t>
            </w:r>
            <w:r w:rsidRPr="001562B3">
              <w:rPr>
                <w:rStyle w:val="FormatvorlageInstructionsTabelleText"/>
                <w:rFonts w:ascii="Times New Roman" w:hAnsi="Times New Roman"/>
                <w:sz w:val="24"/>
              </w:rPr>
              <w:t>in accordance with</w:t>
            </w:r>
            <w:r w:rsidR="001C6D0D" w:rsidRPr="001562B3">
              <w:rPr>
                <w:rStyle w:val="FormatvorlageInstructionsTabelleText"/>
                <w:rFonts w:ascii="Times New Roman" w:hAnsi="Times New Roman"/>
                <w:sz w:val="24"/>
              </w:rPr>
              <w:t xml:space="preserve"> Article 494b(3) </w:t>
            </w:r>
            <w:r w:rsidRPr="001562B3">
              <w:rPr>
                <w:rStyle w:val="FormatvorlageInstructionsTabelleText"/>
                <w:rFonts w:ascii="Times New Roman" w:hAnsi="Times New Roman"/>
                <w:sz w:val="24"/>
              </w:rPr>
              <w:t>of Regulation (EU) No 575/2013</w:t>
            </w:r>
            <w:r w:rsidR="001C6D0D" w:rsidRPr="001562B3">
              <w:rPr>
                <w:rStyle w:val="FormatvorlageInstructionsTabelleText"/>
                <w:rFonts w:ascii="Times New Roman" w:hAnsi="Times New Roman"/>
                <w:sz w:val="24"/>
              </w:rPr>
              <w:t>.</w:t>
            </w:r>
          </w:p>
          <w:p w14:paraId="7503510D" w14:textId="23B235E3" w:rsidR="00B1149D" w:rsidRPr="001562B3" w:rsidRDefault="00014A2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D16489"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w:t>
            </w:r>
          </w:p>
          <w:p w14:paraId="7EAB8752" w14:textId="12D859E9" w:rsidR="00982A9F" w:rsidRPr="001562B3" w:rsidRDefault="00C11CA5" w:rsidP="008E501F">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4F8A7696" w14:textId="38C1B326" w:rsidR="000A5224" w:rsidRPr="001562B3" w:rsidRDefault="0020559A">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C11CA5" w:rsidRPr="001562B3">
              <w:rPr>
                <w:rStyle w:val="FormatvorlageInstructionsTabelleText"/>
                <w:rFonts w:ascii="Times New Roman" w:hAnsi="Times New Roman"/>
                <w:sz w:val="24"/>
              </w:rPr>
              <w:t xml:space="preserve">ligible liabilities which </w:t>
            </w:r>
            <w:r w:rsidR="000A5224" w:rsidRPr="001562B3">
              <w:rPr>
                <w:rStyle w:val="FormatvorlageInstructionsTabelleText"/>
                <w:rFonts w:ascii="Times New Roman" w:hAnsi="Times New Roman"/>
                <w:sz w:val="24"/>
              </w:rPr>
              <w:t>meet the following conditions:</w:t>
            </w:r>
          </w:p>
          <w:p w14:paraId="2927D076" w14:textId="4B7CFD54" w:rsidR="000A5224" w:rsidRPr="001562B3" w:rsidRDefault="00D16489"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 </w:t>
            </w:r>
            <w:r w:rsidR="000A5224" w:rsidRPr="001562B3">
              <w:rPr>
                <w:rStyle w:val="FormatvorlageInstructionsTabelleText"/>
                <w:rFonts w:ascii="Times New Roman" w:hAnsi="Times New Roman"/>
                <w:sz w:val="24"/>
              </w:rPr>
              <w:t xml:space="preserve">they </w:t>
            </w:r>
            <w:r w:rsidR="0020559A" w:rsidRPr="001562B3">
              <w:rPr>
                <w:rStyle w:val="FormatvorlageInstructionsTabelleText"/>
                <w:rFonts w:ascii="Times New Roman" w:hAnsi="Times New Roman"/>
                <w:sz w:val="24"/>
              </w:rPr>
              <w:t>were</w:t>
            </w:r>
            <w:r w:rsidR="000A5224" w:rsidRPr="001562B3">
              <w:rPr>
                <w:rStyle w:val="FormatvorlageInstructionsTabelleText"/>
                <w:rFonts w:ascii="Times New Roman" w:hAnsi="Times New Roman"/>
                <w:sz w:val="24"/>
              </w:rPr>
              <w:t xml:space="preserve"> issued prior to 27 June 2</w:t>
            </w:r>
            <w:r w:rsidR="008751EA" w:rsidRPr="001562B3">
              <w:rPr>
                <w:rStyle w:val="FormatvorlageInstructionsTabelleText"/>
                <w:rFonts w:ascii="Times New Roman" w:hAnsi="Times New Roman"/>
                <w:sz w:val="24"/>
              </w:rPr>
              <w:t>0</w:t>
            </w:r>
            <w:r w:rsidR="000A5224" w:rsidRPr="001562B3">
              <w:rPr>
                <w:rStyle w:val="FormatvorlageInstructionsTabelleText"/>
                <w:rFonts w:ascii="Times New Roman" w:hAnsi="Times New Roman"/>
                <w:sz w:val="24"/>
              </w:rPr>
              <w:t>19</w:t>
            </w:r>
            <w:r w:rsidRPr="001562B3">
              <w:rPr>
                <w:rStyle w:val="FormatvorlageInstructionsTabelleText"/>
                <w:rFonts w:ascii="Times New Roman" w:hAnsi="Times New Roman"/>
                <w:sz w:val="24"/>
              </w:rPr>
              <w:t>;</w:t>
            </w:r>
          </w:p>
          <w:p w14:paraId="25193AE0" w14:textId="5D414CC9" w:rsidR="000A5224" w:rsidRPr="001562B3" w:rsidRDefault="00D16489"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(b) </w:t>
            </w:r>
            <w:r w:rsidR="000A5224" w:rsidRPr="001562B3">
              <w:rPr>
                <w:rStyle w:val="FormatvorlageInstructionsTabelleText"/>
                <w:rFonts w:ascii="Times New Roman" w:hAnsi="Times New Roman"/>
                <w:sz w:val="24"/>
              </w:rPr>
              <w:t xml:space="preserve">they </w:t>
            </w:r>
            <w:r w:rsidR="00C11CA5" w:rsidRPr="001562B3">
              <w:rPr>
                <w:rStyle w:val="FormatvorlageInstructionsTabelleText"/>
                <w:rFonts w:ascii="Times New Roman" w:hAnsi="Times New Roman"/>
                <w:sz w:val="24"/>
              </w:rPr>
              <w:t xml:space="preserve">comply with the requirements </w:t>
            </w:r>
            <w:r w:rsidRPr="001562B3">
              <w:rPr>
                <w:rStyle w:val="FormatvorlageInstructionsTabelleText"/>
                <w:rFonts w:ascii="Times New Roman" w:hAnsi="Times New Roman"/>
                <w:sz w:val="24"/>
              </w:rPr>
              <w:t>laid down</w:t>
            </w:r>
            <w:r w:rsidR="00C11CA5"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C11CA5" w:rsidRPr="001562B3">
              <w:rPr>
                <w:rStyle w:val="FormatvorlageInstructionsTabelleText"/>
                <w:rFonts w:ascii="Times New Roman" w:hAnsi="Times New Roman"/>
                <w:sz w:val="24"/>
              </w:rPr>
              <w:t>rticles 72a to 72d</w:t>
            </w:r>
            <w:r w:rsidRPr="001562B3">
              <w:rPr>
                <w:rStyle w:val="FormatvorlageInstructionsTabelleText"/>
                <w:rFonts w:ascii="Times New Roman" w:hAnsi="Times New Roman"/>
                <w:sz w:val="24"/>
              </w:rPr>
              <w:t xml:space="preserve"> of Regulation (EU) No 575/2013</w:t>
            </w:r>
            <w:r w:rsidR="00C11CA5" w:rsidRPr="001562B3">
              <w:rPr>
                <w:rStyle w:val="FormatvorlageInstructionsTabelleText"/>
                <w:rFonts w:ascii="Times New Roman" w:hAnsi="Times New Roman"/>
                <w:sz w:val="24"/>
              </w:rPr>
              <w:t xml:space="preserve">, except for point (d) of Article 72b(2) </w:t>
            </w:r>
            <w:r w:rsidRPr="001562B3">
              <w:rPr>
                <w:rStyle w:val="FormatvorlageInstructionsTabelleText"/>
                <w:rFonts w:ascii="Times New Roman" w:hAnsi="Times New Roman"/>
                <w:sz w:val="24"/>
              </w:rPr>
              <w:t>of that Regulation</w:t>
            </w:r>
            <w:r w:rsidR="0020559A" w:rsidRPr="001562B3">
              <w:rPr>
                <w:rStyle w:val="FormatvorlageInstructionsTabelleText"/>
                <w:rFonts w:ascii="Times New Roman" w:hAnsi="Times New Roman"/>
                <w:sz w:val="24"/>
              </w:rPr>
              <w:t>, and could be permitted to qualify as eligible liabilit</w:t>
            </w:r>
            <w:r w:rsidR="00894CE9">
              <w:rPr>
                <w:rStyle w:val="FormatvorlageInstructionsTabelleText"/>
                <w:rFonts w:ascii="Times New Roman" w:hAnsi="Times New Roman"/>
                <w:sz w:val="24"/>
              </w:rPr>
              <w:t>ies</w:t>
            </w:r>
            <w:r w:rsidR="0020559A" w:rsidRPr="001562B3">
              <w:rPr>
                <w:rStyle w:val="FormatvorlageInstructionsTabelleText"/>
                <w:rFonts w:ascii="Times New Roman" w:hAnsi="Times New Roman"/>
                <w:sz w:val="24"/>
              </w:rPr>
              <w:t xml:space="preserve"> instruments </w:t>
            </w:r>
            <w:r w:rsidRPr="001562B3">
              <w:rPr>
                <w:rStyle w:val="FormatvorlageInstructionsTabelleText"/>
                <w:rFonts w:ascii="Times New Roman" w:hAnsi="Times New Roman"/>
                <w:sz w:val="24"/>
              </w:rPr>
              <w:t>in accordance with</w:t>
            </w:r>
            <w:r w:rsidR="0020559A" w:rsidRPr="001562B3">
              <w:rPr>
                <w:rStyle w:val="FormatvorlageInstructionsTabelleText"/>
                <w:rFonts w:ascii="Times New Roman" w:hAnsi="Times New Roman"/>
                <w:sz w:val="24"/>
              </w:rPr>
              <w:t xml:space="preserve"> Article 72b(3)</w:t>
            </w:r>
            <w:r w:rsidRPr="001562B3">
              <w:rPr>
                <w:rStyle w:val="FormatvorlageInstructionsTabelleText"/>
                <w:rFonts w:ascii="Times New Roman" w:hAnsi="Times New Roman"/>
                <w:sz w:val="24"/>
              </w:rPr>
              <w:t xml:space="preserve"> of that Regulation</w:t>
            </w:r>
            <w:r w:rsidR="0020559A" w:rsidRPr="001562B3">
              <w:rPr>
                <w:rStyle w:val="FormatvorlageInstructionsTabelleText"/>
                <w:rFonts w:ascii="Times New Roman" w:hAnsi="Times New Roman"/>
                <w:sz w:val="24"/>
              </w:rPr>
              <w:t xml:space="preserve"> or are permitted to qualify as eligible liabilities instruments </w:t>
            </w:r>
            <w:r w:rsidRPr="001562B3">
              <w:rPr>
                <w:rStyle w:val="FormatvorlageInstructionsTabelleText"/>
                <w:rFonts w:ascii="Times New Roman" w:hAnsi="Times New Roman"/>
                <w:sz w:val="24"/>
              </w:rPr>
              <w:t>in accordance with</w:t>
            </w:r>
            <w:r w:rsidR="0020559A" w:rsidRPr="001562B3">
              <w:rPr>
                <w:rStyle w:val="FormatvorlageInstructionsTabelleText"/>
                <w:rFonts w:ascii="Times New Roman" w:hAnsi="Times New Roman"/>
                <w:sz w:val="24"/>
              </w:rPr>
              <w:t xml:space="preserve"> Article 72b(4) </w:t>
            </w:r>
            <w:r w:rsidRPr="001562B3">
              <w:rPr>
                <w:rStyle w:val="FormatvorlageInstructionsTabelleText"/>
                <w:rFonts w:ascii="Times New Roman" w:hAnsi="Times New Roman"/>
                <w:sz w:val="24"/>
              </w:rPr>
              <w:t>of that Regulation</w:t>
            </w:r>
            <w:r w:rsidR="0020559A" w:rsidRPr="001562B3">
              <w:rPr>
                <w:rStyle w:val="FormatvorlageInstructionsTabelleText"/>
                <w:rFonts w:ascii="Times New Roman" w:hAnsi="Times New Roman"/>
                <w:sz w:val="24"/>
              </w:rPr>
              <w:t>;</w:t>
            </w:r>
          </w:p>
          <w:p w14:paraId="406887A9" w14:textId="60E275A3" w:rsidR="00C11CA5" w:rsidRPr="001562B3" w:rsidRDefault="00D16489"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(c) </w:t>
            </w:r>
            <w:r w:rsidR="000A5224" w:rsidRPr="001562B3">
              <w:rPr>
                <w:rStyle w:val="FormatvorlageInstructionsTabelleText"/>
                <w:rFonts w:ascii="Times New Roman" w:hAnsi="Times New Roman"/>
                <w:sz w:val="24"/>
              </w:rPr>
              <w:t xml:space="preserve">they qualify as eligible liabilities as a result of the grandfathering </w:t>
            </w:r>
            <w:r w:rsidRPr="001562B3">
              <w:rPr>
                <w:rStyle w:val="FormatvorlageInstructionsTabelleText"/>
                <w:rFonts w:ascii="Times New Roman" w:hAnsi="Times New Roman"/>
                <w:sz w:val="24"/>
              </w:rPr>
              <w:t>in accordance with</w:t>
            </w:r>
            <w:r w:rsidR="000A5224" w:rsidRPr="001562B3">
              <w:rPr>
                <w:rStyle w:val="FormatvorlageInstructionsTabelleText"/>
                <w:rFonts w:ascii="Times New Roman" w:hAnsi="Times New Roman"/>
                <w:sz w:val="24"/>
              </w:rPr>
              <w:t xml:space="preserve"> Article 494b(3) </w:t>
            </w:r>
            <w:r w:rsidRPr="001562B3">
              <w:rPr>
                <w:rStyle w:val="FormatvorlageInstructionsTabelleText"/>
                <w:rFonts w:ascii="Times New Roman" w:hAnsi="Times New Roman"/>
                <w:sz w:val="24"/>
              </w:rPr>
              <w:t>of Regulation (EU) No 575/2013</w:t>
            </w:r>
            <w:r w:rsidR="001C6D0D" w:rsidRPr="001562B3">
              <w:rPr>
                <w:rStyle w:val="FormatvorlageInstructionsTabelleText"/>
                <w:rFonts w:ascii="Times New Roman" w:hAnsi="Times New Roman"/>
                <w:sz w:val="24"/>
              </w:rPr>
              <w:t>.</w:t>
            </w:r>
          </w:p>
          <w:p w14:paraId="1C129A1F" w14:textId="71274E83" w:rsidR="00A63011" w:rsidRPr="001562B3" w:rsidRDefault="00D16489" w:rsidP="005C5625">
            <w:pPr>
              <w:pStyle w:val="InstructionsText"/>
              <w:rPr>
                <w:rStyle w:val="InstructionsTabelleberschrift"/>
                <w:rFonts w:ascii="Times New Roman" w:hAnsi="Times New Roman"/>
                <w:b w:val="0"/>
                <w:sz w:val="24"/>
                <w:u w:val="none"/>
                <w:lang w:eastAsia="en-US"/>
              </w:rPr>
            </w:pPr>
            <w:r w:rsidRPr="001562B3">
              <w:rPr>
                <w:rStyle w:val="FormatvorlageInstructionsTabelleText"/>
                <w:rFonts w:ascii="Times New Roman" w:hAnsi="Times New Roman"/>
                <w:sz w:val="24"/>
              </w:rPr>
              <w:t>Where</w:t>
            </w:r>
            <w:r w:rsidR="0020559A" w:rsidRPr="001562B3">
              <w:rPr>
                <w:rStyle w:val="FormatvorlageInstructionsTabelleText"/>
                <w:rFonts w:ascii="Times New Roman" w:hAnsi="Times New Roman"/>
                <w:sz w:val="24"/>
              </w:rPr>
              <w:t xml:space="preserve"> Article 72b(3) </w:t>
            </w:r>
            <w:r w:rsidRPr="001562B3">
              <w:rPr>
                <w:rStyle w:val="FormatvorlageInstructionsTabelleText"/>
                <w:rFonts w:ascii="Times New Roman" w:hAnsi="Times New Roman"/>
                <w:sz w:val="24"/>
              </w:rPr>
              <w:t>or Article 494(2) of Regulation (EU) No 575/2013 applies,</w:t>
            </w:r>
            <w:r w:rsidR="0020559A" w:rsidRPr="001562B3">
              <w:rPr>
                <w:rStyle w:val="FormatvorlageInstructionsTabelleText"/>
                <w:rFonts w:ascii="Times New Roman" w:hAnsi="Times New Roman"/>
                <w:sz w:val="24"/>
              </w:rPr>
              <w:t xml:space="preserve"> t</w:t>
            </w:r>
            <w:r w:rsidR="002C6076" w:rsidRPr="001562B3">
              <w:rPr>
                <w:rStyle w:val="FormatvorlageInstructionsTabelleText"/>
                <w:rFonts w:ascii="Times New Roman" w:hAnsi="Times New Roman"/>
                <w:sz w:val="24"/>
              </w:rPr>
              <w:t>he full amount without application of the</w:t>
            </w:r>
            <w:r w:rsidR="0018613E" w:rsidRPr="001562B3">
              <w:rPr>
                <w:rStyle w:val="FormatvorlageInstructionsTabelleText"/>
                <w:rFonts w:ascii="Times New Roman" w:hAnsi="Times New Roman"/>
                <w:sz w:val="24"/>
              </w:rPr>
              <w:t xml:space="preserve"> </w:t>
            </w:r>
            <w:r w:rsidR="0020559A" w:rsidRPr="001562B3">
              <w:rPr>
                <w:rStyle w:val="FormatvorlageInstructionsTabelleText"/>
                <w:rFonts w:ascii="Times New Roman" w:hAnsi="Times New Roman"/>
                <w:sz w:val="24"/>
              </w:rPr>
              <w:t>3</w:t>
            </w:r>
            <w:r w:rsidR="00A45607" w:rsidRPr="001562B3">
              <w:rPr>
                <w:rStyle w:val="FormatvorlageInstructionsTabelleText"/>
                <w:rFonts w:ascii="Times New Roman" w:hAnsi="Times New Roman"/>
                <w:sz w:val="24"/>
              </w:rPr>
              <w:t>,</w:t>
            </w:r>
            <w:r w:rsidR="0018613E" w:rsidRPr="001562B3">
              <w:rPr>
                <w:rStyle w:val="FormatvorlageInstructionsTabelleText"/>
                <w:rFonts w:ascii="Times New Roman" w:hAnsi="Times New Roman"/>
                <w:sz w:val="24"/>
              </w:rPr>
              <w:t xml:space="preserve">5% </w:t>
            </w:r>
            <w:r w:rsidR="005C5625">
              <w:rPr>
                <w:rStyle w:val="FormatvorlageInstructionsTabelleText"/>
                <w:rFonts w:ascii="Times New Roman" w:hAnsi="Times New Roman"/>
                <w:sz w:val="24"/>
              </w:rPr>
              <w:t xml:space="preserve">and 2,5% </w:t>
            </w:r>
            <w:r w:rsidR="0018613E" w:rsidRPr="001562B3">
              <w:rPr>
                <w:rStyle w:val="FormatvorlageInstructionsTabelleText"/>
                <w:rFonts w:ascii="Times New Roman" w:hAnsi="Times New Roman"/>
                <w:sz w:val="24"/>
              </w:rPr>
              <w:t xml:space="preserve">cap </w:t>
            </w:r>
            <w:r w:rsidR="0020559A" w:rsidRPr="001562B3">
              <w:rPr>
                <w:rStyle w:val="FormatvorlageInstructionsTabelleText"/>
                <w:rFonts w:ascii="Times New Roman" w:hAnsi="Times New Roman"/>
                <w:sz w:val="24"/>
              </w:rPr>
              <w:t>r</w:t>
            </w:r>
            <w:r w:rsidR="0018613E" w:rsidRPr="001562B3">
              <w:rPr>
                <w:rStyle w:val="FormatvorlageInstructionsTabelleText"/>
                <w:rFonts w:ascii="Times New Roman" w:hAnsi="Times New Roman"/>
                <w:sz w:val="24"/>
              </w:rPr>
              <w:t>espectively</w:t>
            </w:r>
            <w:r w:rsidR="002C6076" w:rsidRPr="001562B3">
              <w:rPr>
                <w:rStyle w:val="FormatvorlageInstructionsTabelleText"/>
                <w:rFonts w:ascii="Times New Roman" w:hAnsi="Times New Roman"/>
                <w:sz w:val="24"/>
              </w:rPr>
              <w:t xml:space="preserve"> shall be reported in this row.</w:t>
            </w:r>
          </w:p>
        </w:tc>
      </w:tr>
      <w:tr w:rsidR="00EA28E5" w:rsidRPr="001562B3" w14:paraId="11F3B154" w14:textId="77777777" w:rsidTr="007674DE">
        <w:tc>
          <w:tcPr>
            <w:tcW w:w="1129" w:type="dxa"/>
            <w:vAlign w:val="center"/>
          </w:tcPr>
          <w:p w14:paraId="0A3863D3" w14:textId="12D058F9" w:rsidR="00EA28E5" w:rsidRPr="001562B3" w:rsidRDefault="00EA28E5" w:rsidP="00E05895">
            <w:pPr>
              <w:pStyle w:val="InstructionsText"/>
            </w:pPr>
            <w:r w:rsidRPr="001562B3">
              <w:rPr>
                <w:rStyle w:val="FormatvorlageInstructionsTabelleText"/>
                <w:rFonts w:ascii="Times New Roman" w:hAnsi="Times New Roman"/>
                <w:sz w:val="24"/>
              </w:rPr>
              <w:lastRenderedPageBreak/>
              <w:t>01</w:t>
            </w:r>
            <w:r w:rsidR="004B26E4"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w:t>
            </w:r>
          </w:p>
        </w:tc>
        <w:tc>
          <w:tcPr>
            <w:tcW w:w="7620" w:type="dxa"/>
            <w:vAlign w:val="center"/>
          </w:tcPr>
          <w:p w14:paraId="616148D5" w14:textId="5B73B67F" w:rsidR="00EA28E5" w:rsidRPr="001562B3" w:rsidRDefault="00EA28E5"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Amounts eligible</w:t>
            </w:r>
            <w:r w:rsidR="00F36F98" w:rsidRPr="001562B3">
              <w:rPr>
                <w:rStyle w:val="InstructionsTabelleberschrift"/>
                <w:rFonts w:ascii="Times New Roman" w:hAnsi="Times New Roman"/>
                <w:sz w:val="24"/>
              </w:rPr>
              <w:t xml:space="preserve"> after application of </w:t>
            </w:r>
            <w:r w:rsidR="00BD191F" w:rsidRPr="001562B3">
              <w:rPr>
                <w:rStyle w:val="InstructionsTabelleberschrift"/>
                <w:rFonts w:ascii="Times New Roman" w:hAnsi="Times New Roman"/>
                <w:sz w:val="24"/>
              </w:rPr>
              <w:t xml:space="preserve">the cap of </w:t>
            </w:r>
            <w:r w:rsidRPr="001562B3">
              <w:rPr>
                <w:rStyle w:val="InstructionsTabelleberschrift"/>
                <w:rFonts w:ascii="Times New Roman" w:hAnsi="Times New Roman"/>
                <w:sz w:val="24"/>
              </w:rPr>
              <w:t xml:space="preserve">Article 72b(3) </w:t>
            </w:r>
            <w:r w:rsidR="00D16489" w:rsidRPr="001562B3">
              <w:rPr>
                <w:rStyle w:val="InstructionsTabelleberschrift"/>
                <w:rFonts w:ascii="Times New Roman" w:hAnsi="Times New Roman"/>
                <w:sz w:val="24"/>
              </w:rPr>
              <w:t>of Regulation (EU) No 575/2013</w:t>
            </w:r>
            <w:r w:rsidR="00972CE2" w:rsidRPr="001562B3">
              <w:rPr>
                <w:rStyle w:val="InstructionsTabelleberschrift"/>
                <w:rFonts w:ascii="Times New Roman" w:hAnsi="Times New Roman"/>
                <w:sz w:val="24"/>
              </w:rPr>
              <w:t xml:space="preserve"> (not grandfathered)</w:t>
            </w:r>
          </w:p>
          <w:p w14:paraId="13F2D135" w14:textId="77777777" w:rsidR="00FC063F" w:rsidRPr="001562B3" w:rsidRDefault="00F36F98" w:rsidP="008E501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6B93C9D6" w14:textId="55B86D85" w:rsidR="00EA28E5" w:rsidRPr="001562B3" w:rsidRDefault="00FC06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1404DC" w:rsidRPr="001562B3">
              <w:rPr>
                <w:rStyle w:val="FormatvorlageInstructionsTabelleText"/>
                <w:rFonts w:ascii="Times New Roman" w:hAnsi="Times New Roman"/>
                <w:sz w:val="24"/>
              </w:rPr>
              <w:t xml:space="preserve">ligible liabilities </w:t>
            </w:r>
            <w:r w:rsidR="00D16489" w:rsidRPr="001562B3">
              <w:rPr>
                <w:rStyle w:val="FormatvorlageInstructionsTabelleText"/>
                <w:rFonts w:ascii="Times New Roman" w:hAnsi="Times New Roman"/>
                <w:sz w:val="24"/>
              </w:rPr>
              <w:t>that</w:t>
            </w:r>
            <w:r w:rsidR="001404DC" w:rsidRPr="001562B3">
              <w:rPr>
                <w:rStyle w:val="FormatvorlageInstructionsTabelleText"/>
                <w:rFonts w:ascii="Times New Roman" w:hAnsi="Times New Roman"/>
                <w:sz w:val="24"/>
              </w:rPr>
              <w:t xml:space="preserve"> comply with the requirements </w:t>
            </w:r>
            <w:r w:rsidR="00D16489" w:rsidRPr="001562B3">
              <w:rPr>
                <w:rStyle w:val="FormatvorlageInstructionsTabelleText"/>
                <w:rFonts w:ascii="Times New Roman" w:hAnsi="Times New Roman"/>
                <w:sz w:val="24"/>
              </w:rPr>
              <w:t>laid down</w:t>
            </w:r>
            <w:r w:rsidR="001404DC" w:rsidRPr="001562B3">
              <w:rPr>
                <w:rStyle w:val="FormatvorlageInstructionsTabelleText"/>
                <w:rFonts w:ascii="Times New Roman" w:hAnsi="Times New Roman"/>
                <w:sz w:val="24"/>
              </w:rPr>
              <w:t xml:space="preserve"> in </w:t>
            </w:r>
            <w:r w:rsidR="00D16489" w:rsidRPr="001562B3">
              <w:rPr>
                <w:rStyle w:val="FormatvorlageInstructionsTabelleText"/>
                <w:rFonts w:ascii="Times New Roman" w:hAnsi="Times New Roman"/>
                <w:sz w:val="24"/>
              </w:rPr>
              <w:t>A</w:t>
            </w:r>
            <w:r w:rsidR="001404DC" w:rsidRPr="001562B3">
              <w:rPr>
                <w:rStyle w:val="FormatvorlageInstructionsTabelleText"/>
                <w:rFonts w:ascii="Times New Roman" w:hAnsi="Times New Roman"/>
                <w:sz w:val="24"/>
              </w:rPr>
              <w:t>rticles 72a to 72d</w:t>
            </w:r>
            <w:r w:rsidRPr="001562B3">
              <w:rPr>
                <w:rStyle w:val="FormatvorlageInstructionsTabelleText"/>
                <w:rFonts w:ascii="Times New Roman" w:hAnsi="Times New Roman"/>
                <w:sz w:val="24"/>
              </w:rPr>
              <w:t xml:space="preserve"> </w:t>
            </w:r>
            <w:r w:rsidR="00D16489" w:rsidRPr="001562B3">
              <w:rPr>
                <w:rStyle w:val="FormatvorlageInstructionsTabelleText"/>
                <w:rFonts w:ascii="Times New Roman" w:hAnsi="Times New Roman"/>
                <w:sz w:val="24"/>
              </w:rPr>
              <w:t>of Regulation (EU) No 575/2013</w:t>
            </w:r>
            <w:r w:rsidR="001404DC" w:rsidRPr="001562B3">
              <w:rPr>
                <w:rStyle w:val="FormatvorlageInstructionsTabelleText"/>
                <w:rFonts w:ascii="Times New Roman" w:hAnsi="Times New Roman"/>
                <w:sz w:val="24"/>
              </w:rPr>
              <w:t xml:space="preserve">, except for point (d) of Article 72b(2) </w:t>
            </w:r>
            <w:r w:rsidR="00D16489" w:rsidRPr="001562B3">
              <w:rPr>
                <w:rStyle w:val="FormatvorlageInstructionsTabelleText"/>
                <w:rFonts w:ascii="Times New Roman" w:hAnsi="Times New Roman"/>
                <w:sz w:val="24"/>
              </w:rPr>
              <w:t>of that Regulation</w:t>
            </w:r>
            <w:r w:rsidR="0030442B" w:rsidRPr="001562B3">
              <w:rPr>
                <w:rStyle w:val="FormatvorlageInstructionsTabelleText"/>
                <w:rFonts w:ascii="Times New Roman" w:hAnsi="Times New Roman"/>
                <w:sz w:val="24"/>
              </w:rPr>
              <w:t>, after</w:t>
            </w:r>
            <w:r w:rsidR="001404DC" w:rsidRPr="001562B3">
              <w:rPr>
                <w:rStyle w:val="FormatvorlageInstructionsTabelleText"/>
                <w:rFonts w:ascii="Times New Roman" w:hAnsi="Times New Roman"/>
                <w:sz w:val="24"/>
              </w:rPr>
              <w:t xml:space="preserve"> applying paragraph</w:t>
            </w:r>
            <w:r w:rsidR="005C5625">
              <w:rPr>
                <w:rStyle w:val="FormatvorlageInstructionsTabelleText"/>
                <w:rFonts w:ascii="Times New Roman" w:hAnsi="Times New Roman"/>
                <w:sz w:val="24"/>
              </w:rPr>
              <w:t>s</w:t>
            </w:r>
            <w:r w:rsidR="001404DC" w:rsidRPr="001562B3">
              <w:rPr>
                <w:rStyle w:val="FormatvorlageInstructionsTabelleText"/>
                <w:rFonts w:ascii="Times New Roman" w:hAnsi="Times New Roman"/>
                <w:sz w:val="24"/>
              </w:rPr>
              <w:t xml:space="preserve"> (3) to (5) of Article 72b </w:t>
            </w:r>
            <w:r w:rsidR="00D16489" w:rsidRPr="001562B3">
              <w:rPr>
                <w:rStyle w:val="FormatvorlageInstructionsTabelleText"/>
                <w:rFonts w:ascii="Times New Roman" w:hAnsi="Times New Roman"/>
                <w:sz w:val="24"/>
              </w:rPr>
              <w:t>of that Regulation</w:t>
            </w:r>
            <w:r w:rsidR="00972CE2" w:rsidRPr="001562B3">
              <w:rPr>
                <w:rStyle w:val="FormatvorlageInstructionsTabelleText"/>
                <w:rFonts w:ascii="Times New Roman" w:hAnsi="Times New Roman"/>
                <w:sz w:val="24"/>
              </w:rPr>
              <w:t xml:space="preserve">, at the exclusion of liabilities recognised pursuant to the grandfathering set out in Article 494b(3) </w:t>
            </w:r>
            <w:r w:rsidR="00D301E1" w:rsidRPr="001562B3">
              <w:rPr>
                <w:rStyle w:val="FormatvorlageInstructionsTabelleText"/>
                <w:rFonts w:ascii="Times New Roman" w:hAnsi="Times New Roman"/>
                <w:sz w:val="24"/>
              </w:rPr>
              <w:t>of that Regulation</w:t>
            </w:r>
            <w:r w:rsidR="00972CE2" w:rsidRPr="001562B3">
              <w:rPr>
                <w:rStyle w:val="FormatvorlageInstructionsTabelleText"/>
                <w:rFonts w:ascii="Times New Roman" w:hAnsi="Times New Roman"/>
                <w:sz w:val="24"/>
              </w:rPr>
              <w:t>.</w:t>
            </w:r>
          </w:p>
          <w:p w14:paraId="305A441C" w14:textId="01F58D68" w:rsidR="00E45961" w:rsidRPr="001562B3" w:rsidRDefault="00D301E1">
            <w:pPr>
              <w:pStyle w:val="InstructionsText"/>
              <w:rPr>
                <w:rStyle w:val="InstructionsTabelleberschrift"/>
                <w:rFonts w:ascii="Times New Roman" w:hAnsi="Times New Roman"/>
                <w:b w:val="0"/>
                <w:sz w:val="24"/>
              </w:rPr>
            </w:pPr>
            <w:r w:rsidRPr="001562B3">
              <w:rPr>
                <w:rStyle w:val="FormatvorlageInstructionsTabelleText"/>
                <w:rFonts w:ascii="Times New Roman" w:hAnsi="Times New Roman"/>
                <w:sz w:val="24"/>
              </w:rPr>
              <w:t>Where</w:t>
            </w:r>
            <w:r w:rsidR="0020559A" w:rsidRPr="001562B3">
              <w:rPr>
                <w:rStyle w:val="FormatvorlageInstructionsTabelleText"/>
                <w:rFonts w:ascii="Times New Roman" w:hAnsi="Times New Roman"/>
                <w:sz w:val="24"/>
              </w:rPr>
              <w:t xml:space="preserve"> Article 72b(3) </w:t>
            </w:r>
            <w:r w:rsidRPr="001562B3">
              <w:t xml:space="preserve">of </w:t>
            </w:r>
            <w:r w:rsidR="00C47ED5" w:rsidRPr="001562B3">
              <w:t>Regulation (EU) No 575/2013</w:t>
            </w:r>
            <w:r w:rsidRPr="001562B3">
              <w:rPr>
                <w:rStyle w:val="FormatvorlageInstructionsTabelleText"/>
                <w:rFonts w:ascii="Times New Roman" w:hAnsi="Times New Roman"/>
                <w:sz w:val="24"/>
              </w:rPr>
              <w:t xml:space="preserve"> applies</w:t>
            </w:r>
            <w:r w:rsidR="0020559A" w:rsidRPr="001562B3">
              <w:rPr>
                <w:rStyle w:val="FormatvorlageInstructionsTabelleText"/>
                <w:rFonts w:ascii="Times New Roman" w:hAnsi="Times New Roman"/>
                <w:sz w:val="24"/>
              </w:rPr>
              <w:t xml:space="preserve"> and until 31 December 2021, </w:t>
            </w:r>
            <w:r w:rsidR="00E45961" w:rsidRPr="001562B3">
              <w:rPr>
                <w:rStyle w:val="FormatvorlageInstructionsTabelleText"/>
                <w:rFonts w:ascii="Times New Roman" w:hAnsi="Times New Roman"/>
                <w:sz w:val="24"/>
              </w:rPr>
              <w:t xml:space="preserve">the amount reported in this row shall be the amount after application of Article 494(2) </w:t>
            </w:r>
            <w:r w:rsidRPr="001562B3">
              <w:rPr>
                <w:rStyle w:val="FormatvorlageInstructionsTabelleText"/>
                <w:rFonts w:ascii="Times New Roman" w:hAnsi="Times New Roman"/>
                <w:sz w:val="24"/>
              </w:rPr>
              <w:t>of that Regulation</w:t>
            </w:r>
            <w:r w:rsidR="00E45961" w:rsidRPr="001562B3">
              <w:rPr>
                <w:rStyle w:val="FormatvorlageInstructionsTabelleText"/>
                <w:rFonts w:ascii="Times New Roman" w:hAnsi="Times New Roman"/>
                <w:sz w:val="24"/>
              </w:rPr>
              <w:t xml:space="preserve"> (2</w:t>
            </w:r>
            <w:r w:rsidR="00A45607" w:rsidRPr="001562B3">
              <w:rPr>
                <w:rStyle w:val="FormatvorlageInstructionsTabelleText"/>
                <w:rFonts w:ascii="Times New Roman" w:hAnsi="Times New Roman"/>
                <w:sz w:val="24"/>
              </w:rPr>
              <w:t>,</w:t>
            </w:r>
            <w:r w:rsidR="00E45961" w:rsidRPr="001562B3">
              <w:rPr>
                <w:rStyle w:val="FormatvorlageInstructionsTabelleText"/>
                <w:rFonts w:ascii="Times New Roman" w:hAnsi="Times New Roman"/>
                <w:sz w:val="24"/>
              </w:rPr>
              <w:t>5% cap)</w:t>
            </w:r>
            <w:r w:rsidR="0020559A" w:rsidRPr="001562B3">
              <w:rPr>
                <w:rStyle w:val="FormatvorlageInstructionsTabelleText"/>
                <w:rFonts w:ascii="Times New Roman" w:hAnsi="Times New Roman"/>
                <w:sz w:val="24"/>
              </w:rPr>
              <w:t>.</w:t>
            </w:r>
          </w:p>
        </w:tc>
      </w:tr>
      <w:tr w:rsidR="00EA28E5" w:rsidRPr="001562B3" w14:paraId="4BB935B5" w14:textId="77777777" w:rsidTr="007674DE">
        <w:tc>
          <w:tcPr>
            <w:tcW w:w="1129" w:type="dxa"/>
            <w:vAlign w:val="center"/>
          </w:tcPr>
          <w:p w14:paraId="61DA2F84" w14:textId="4BFF468A" w:rsidR="00EA28E5" w:rsidRPr="001562B3" w:rsidRDefault="00EA28E5" w:rsidP="00E05895">
            <w:pPr>
              <w:pStyle w:val="InstructionsText"/>
            </w:pPr>
            <w:r w:rsidRPr="001562B3">
              <w:rPr>
                <w:rStyle w:val="FormatvorlageInstructionsTabelleText"/>
                <w:rFonts w:ascii="Times New Roman" w:hAnsi="Times New Roman"/>
                <w:sz w:val="24"/>
              </w:rPr>
              <w:t>01</w:t>
            </w:r>
            <w:r w:rsidR="004B26E4" w:rsidRPr="001562B3">
              <w:rPr>
                <w:rStyle w:val="FormatvorlageInstructionsTabelleText"/>
                <w:rFonts w:ascii="Times New Roman" w:hAnsi="Times New Roman"/>
                <w:sz w:val="24"/>
              </w:rPr>
              <w:t>8</w:t>
            </w:r>
            <w:r w:rsidRPr="001562B3">
              <w:rPr>
                <w:rStyle w:val="FormatvorlageInstructionsTabelleText"/>
                <w:rFonts w:ascii="Times New Roman" w:hAnsi="Times New Roman"/>
                <w:sz w:val="24"/>
              </w:rPr>
              <w:t>0</w:t>
            </w:r>
          </w:p>
        </w:tc>
        <w:tc>
          <w:tcPr>
            <w:tcW w:w="7620" w:type="dxa"/>
            <w:vAlign w:val="center"/>
          </w:tcPr>
          <w:p w14:paraId="17E7C796" w14:textId="1A628FF6" w:rsidR="00EA28E5" w:rsidRPr="001562B3" w:rsidRDefault="00EA28E5"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Amounts eligible </w:t>
            </w:r>
            <w:r w:rsidR="0018613E" w:rsidRPr="001562B3">
              <w:rPr>
                <w:rStyle w:val="InstructionsTabelleberschrift"/>
                <w:rFonts w:ascii="Times New Roman" w:hAnsi="Times New Roman"/>
                <w:sz w:val="24"/>
              </w:rPr>
              <w:t>after application of</w:t>
            </w:r>
            <w:r w:rsidRPr="001562B3">
              <w:rPr>
                <w:rStyle w:val="InstructionsTabelleberschrift"/>
                <w:rFonts w:ascii="Times New Roman" w:hAnsi="Times New Roman"/>
                <w:sz w:val="24"/>
              </w:rPr>
              <w:t xml:space="preserve"> </w:t>
            </w:r>
            <w:r w:rsidR="00BD191F" w:rsidRPr="001562B3">
              <w:rPr>
                <w:rStyle w:val="InstructionsTabelleberschrift"/>
                <w:rFonts w:ascii="Times New Roman" w:hAnsi="Times New Roman"/>
                <w:sz w:val="24"/>
              </w:rPr>
              <w:t xml:space="preserve">the cap of </w:t>
            </w:r>
            <w:r w:rsidRPr="001562B3">
              <w:rPr>
                <w:rStyle w:val="InstructionsTabelleberschrift"/>
                <w:rFonts w:ascii="Times New Roman" w:hAnsi="Times New Roman"/>
                <w:sz w:val="24"/>
              </w:rPr>
              <w:t xml:space="preserve">Article 72b(3) </w:t>
            </w:r>
            <w:r w:rsidR="00D301E1" w:rsidRPr="001562B3">
              <w:rPr>
                <w:rStyle w:val="InstructionsTabelleberschrift"/>
                <w:rFonts w:ascii="Times New Roman" w:hAnsi="Times New Roman"/>
                <w:sz w:val="24"/>
              </w:rPr>
              <w:t xml:space="preserve">of </w:t>
            </w:r>
            <w:r w:rsidR="00C47ED5" w:rsidRPr="001562B3">
              <w:rPr>
                <w:rStyle w:val="InstructionsTabelleberschrift"/>
                <w:rFonts w:ascii="Times New Roman" w:hAnsi="Times New Roman"/>
                <w:sz w:val="24"/>
              </w:rPr>
              <w:t>Regulation (EU) No 575/2013</w:t>
            </w:r>
            <w:r w:rsidRPr="001562B3">
              <w:rPr>
                <w:rStyle w:val="InstructionsTabelleberschrift"/>
                <w:rFonts w:ascii="Times New Roman" w:hAnsi="Times New Roman"/>
                <w:sz w:val="24"/>
              </w:rPr>
              <w:t xml:space="preserve"> consisting of items issued prior to </w:t>
            </w:r>
            <w:r w:rsidR="000B1772" w:rsidRPr="001562B3">
              <w:rPr>
                <w:rStyle w:val="InstructionsTabelleberschrift"/>
                <w:rFonts w:ascii="Times New Roman" w:hAnsi="Times New Roman"/>
                <w:sz w:val="24"/>
              </w:rPr>
              <w:t xml:space="preserve">27 June 2019 </w:t>
            </w:r>
          </w:p>
          <w:p w14:paraId="53A05F4F" w14:textId="77777777" w:rsidR="00FC063F" w:rsidRPr="001562B3" w:rsidRDefault="000B1772" w:rsidP="008E501F">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406D6DBE" w14:textId="7F7CC175" w:rsidR="000B1772" w:rsidRPr="001562B3" w:rsidRDefault="00FC06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0B1772" w:rsidRPr="001562B3">
              <w:rPr>
                <w:rStyle w:val="FormatvorlageInstructionsTabelleText"/>
                <w:rFonts w:ascii="Times New Roman" w:hAnsi="Times New Roman"/>
                <w:sz w:val="24"/>
              </w:rPr>
              <w:t>ligible liabilities that meet the following conditions:</w:t>
            </w:r>
          </w:p>
          <w:p w14:paraId="3AE4F260" w14:textId="31F4952D" w:rsidR="000B1772" w:rsidRPr="001562B3" w:rsidRDefault="00D301E1"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 </w:t>
            </w:r>
            <w:r w:rsidR="000B1772" w:rsidRPr="001562B3">
              <w:rPr>
                <w:rStyle w:val="FormatvorlageInstructionsTabelleText"/>
                <w:rFonts w:ascii="Times New Roman" w:hAnsi="Times New Roman"/>
                <w:sz w:val="24"/>
              </w:rPr>
              <w:t xml:space="preserve">they </w:t>
            </w:r>
            <w:r w:rsidR="0020559A" w:rsidRPr="001562B3">
              <w:rPr>
                <w:rStyle w:val="FormatvorlageInstructionsTabelleText"/>
                <w:rFonts w:ascii="Times New Roman" w:hAnsi="Times New Roman"/>
                <w:sz w:val="24"/>
              </w:rPr>
              <w:t>were</w:t>
            </w:r>
            <w:r w:rsidR="000B1772" w:rsidRPr="001562B3">
              <w:rPr>
                <w:rStyle w:val="FormatvorlageInstructionsTabelleText"/>
                <w:rFonts w:ascii="Times New Roman" w:hAnsi="Times New Roman"/>
                <w:sz w:val="24"/>
              </w:rPr>
              <w:t xml:space="preserve"> issued prior to 27 June 2019;</w:t>
            </w:r>
          </w:p>
          <w:p w14:paraId="59FE9F26" w14:textId="4A24AE48" w:rsidR="000B1772" w:rsidRPr="001562B3" w:rsidRDefault="00D301E1"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(b) </w:t>
            </w:r>
            <w:r w:rsidR="000B1772" w:rsidRPr="001562B3">
              <w:rPr>
                <w:rStyle w:val="FormatvorlageInstructionsTabelleText"/>
                <w:rFonts w:ascii="Times New Roman" w:hAnsi="Times New Roman"/>
                <w:sz w:val="24"/>
              </w:rPr>
              <w:t xml:space="preserve">they comply with the requirements </w:t>
            </w:r>
            <w:r w:rsidR="00A45607" w:rsidRPr="001562B3">
              <w:rPr>
                <w:rStyle w:val="FormatvorlageInstructionsTabelleText"/>
                <w:rFonts w:ascii="Times New Roman" w:hAnsi="Times New Roman"/>
                <w:sz w:val="24"/>
              </w:rPr>
              <w:t>laid down</w:t>
            </w:r>
            <w:r w:rsidR="000B1772"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0B1772" w:rsidRPr="001562B3">
              <w:rPr>
                <w:rStyle w:val="FormatvorlageInstructionsTabelleText"/>
                <w:rFonts w:ascii="Times New Roman" w:hAnsi="Times New Roman"/>
                <w:sz w:val="24"/>
              </w:rPr>
              <w:t>rticles 72a to 72d</w:t>
            </w:r>
            <w:r w:rsidR="00FC063F"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0B1772" w:rsidRPr="001562B3">
              <w:rPr>
                <w:rStyle w:val="FormatvorlageInstructionsTabelleText"/>
                <w:rFonts w:ascii="Times New Roman" w:hAnsi="Times New Roman"/>
                <w:sz w:val="24"/>
              </w:rPr>
              <w:t xml:space="preserve">, except for point (d) of Article 72b(2) </w:t>
            </w:r>
            <w:r w:rsidRPr="001562B3">
              <w:rPr>
                <w:rStyle w:val="FormatvorlageInstructionsTabelleText"/>
                <w:rFonts w:ascii="Times New Roman" w:hAnsi="Times New Roman"/>
                <w:sz w:val="24"/>
              </w:rPr>
              <w:t>of that Regulation</w:t>
            </w:r>
            <w:r w:rsidR="003F221D" w:rsidRPr="001562B3">
              <w:rPr>
                <w:rStyle w:val="FormatvorlageInstructionsTabelleText"/>
                <w:rFonts w:ascii="Times New Roman" w:hAnsi="Times New Roman"/>
                <w:sz w:val="24"/>
              </w:rPr>
              <w:t>, after applying paragraph</w:t>
            </w:r>
            <w:r w:rsidR="005C5625">
              <w:rPr>
                <w:rStyle w:val="FormatvorlageInstructionsTabelleText"/>
                <w:rFonts w:ascii="Times New Roman" w:hAnsi="Times New Roman"/>
                <w:sz w:val="24"/>
              </w:rPr>
              <w:t>s</w:t>
            </w:r>
            <w:r w:rsidR="003F221D" w:rsidRPr="001562B3">
              <w:rPr>
                <w:rStyle w:val="FormatvorlageInstructionsTabelleText"/>
                <w:rFonts w:ascii="Times New Roman" w:hAnsi="Times New Roman"/>
                <w:sz w:val="24"/>
              </w:rPr>
              <w:t xml:space="preserve"> (3) to (5) of Article 72b </w:t>
            </w:r>
            <w:r w:rsidRPr="001562B3">
              <w:rPr>
                <w:rStyle w:val="FormatvorlageInstructionsTabelleText"/>
                <w:rFonts w:ascii="Times New Roman" w:hAnsi="Times New Roman"/>
                <w:sz w:val="24"/>
              </w:rPr>
              <w:t>of that Regulation</w:t>
            </w:r>
            <w:r w:rsidR="003F221D" w:rsidRPr="001562B3">
              <w:rPr>
                <w:rStyle w:val="FormatvorlageInstructionsTabelleText"/>
                <w:rFonts w:ascii="Times New Roman" w:hAnsi="Times New Roman"/>
                <w:sz w:val="24"/>
              </w:rPr>
              <w:t>;</w:t>
            </w:r>
          </w:p>
          <w:p w14:paraId="114EE1F8" w14:textId="260F9651" w:rsidR="000B1772" w:rsidRPr="001562B3" w:rsidRDefault="00D301E1"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 xml:space="preserve">(c) </w:t>
            </w:r>
            <w:r w:rsidR="000B1772" w:rsidRPr="001562B3">
              <w:rPr>
                <w:rStyle w:val="FormatvorlageInstructionsTabelleText"/>
                <w:rFonts w:ascii="Times New Roman" w:hAnsi="Times New Roman"/>
                <w:sz w:val="24"/>
              </w:rPr>
              <w:t xml:space="preserve">they qualify as eligible liabilities as a result of the grandfathering </w:t>
            </w:r>
            <w:r w:rsidR="00CA04FD" w:rsidRPr="001562B3">
              <w:rPr>
                <w:rStyle w:val="FormatvorlageInstructionsTabelleText"/>
                <w:rFonts w:ascii="Times New Roman" w:hAnsi="Times New Roman"/>
                <w:sz w:val="24"/>
              </w:rPr>
              <w:t>in accordance with</w:t>
            </w:r>
            <w:r w:rsidR="000B1772" w:rsidRPr="001562B3">
              <w:rPr>
                <w:rStyle w:val="FormatvorlageInstructionsTabelleText"/>
                <w:rFonts w:ascii="Times New Roman" w:hAnsi="Times New Roman"/>
                <w:sz w:val="24"/>
              </w:rPr>
              <w:t xml:space="preserve"> Article 494b(3) </w:t>
            </w:r>
            <w:r w:rsidRPr="001562B3">
              <w:t xml:space="preserve">of </w:t>
            </w:r>
            <w:r w:rsidR="00C47ED5" w:rsidRPr="001562B3">
              <w:t>Regulation (EU) No 575/2013</w:t>
            </w:r>
            <w:r w:rsidR="000B1772" w:rsidRPr="001562B3">
              <w:rPr>
                <w:rStyle w:val="FormatvorlageInstructionsTabelleText"/>
                <w:rFonts w:ascii="Times New Roman" w:hAnsi="Times New Roman"/>
                <w:sz w:val="24"/>
              </w:rPr>
              <w:t>.</w:t>
            </w:r>
          </w:p>
          <w:p w14:paraId="0A5DCE1F" w14:textId="34EB8733" w:rsidR="00E45961" w:rsidRPr="001562B3" w:rsidRDefault="00D301E1" w:rsidP="00E05895">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Where</w:t>
            </w:r>
            <w:r w:rsidR="003F221D" w:rsidRPr="001562B3">
              <w:rPr>
                <w:rStyle w:val="FormatvorlageInstructionsTabelleText"/>
                <w:rFonts w:ascii="Times New Roman" w:hAnsi="Times New Roman"/>
                <w:sz w:val="24"/>
              </w:rPr>
              <w:t xml:space="preserve"> Article 72b(3) </w:t>
            </w:r>
            <w:r w:rsidRPr="001562B3">
              <w:t xml:space="preserve">of </w:t>
            </w:r>
            <w:r w:rsidR="00C47ED5" w:rsidRPr="001562B3">
              <w:t>Regulation (EU) No 575/2013</w:t>
            </w:r>
            <w:r w:rsidRPr="001562B3">
              <w:rPr>
                <w:rStyle w:val="FormatvorlageInstructionsTabelleText"/>
                <w:rFonts w:ascii="Times New Roman" w:hAnsi="Times New Roman"/>
                <w:sz w:val="24"/>
              </w:rPr>
              <w:t xml:space="preserve"> applies</w:t>
            </w:r>
            <w:r w:rsidR="003F221D" w:rsidRPr="001562B3">
              <w:rPr>
                <w:rStyle w:val="FormatvorlageInstructionsTabelleText"/>
                <w:rFonts w:ascii="Times New Roman" w:hAnsi="Times New Roman"/>
                <w:sz w:val="24"/>
              </w:rPr>
              <w:t xml:space="preserve"> and until 31 December 2021, the amount reported in this row shall be the amount after application of Article 494(2) </w:t>
            </w:r>
            <w:r w:rsidRPr="001562B3">
              <w:rPr>
                <w:rStyle w:val="FormatvorlageInstructionsTabelleText"/>
                <w:rFonts w:ascii="Times New Roman" w:hAnsi="Times New Roman"/>
                <w:sz w:val="24"/>
              </w:rPr>
              <w:t>of that Regulation</w:t>
            </w:r>
            <w:r w:rsidR="003F221D" w:rsidRPr="001562B3">
              <w:rPr>
                <w:rStyle w:val="FormatvorlageInstructionsTabelleText"/>
                <w:rFonts w:ascii="Times New Roman" w:hAnsi="Times New Roman"/>
                <w:sz w:val="24"/>
              </w:rPr>
              <w:t xml:space="preserve"> (2</w:t>
            </w:r>
            <w:r w:rsidR="00A45607" w:rsidRPr="001562B3">
              <w:rPr>
                <w:rStyle w:val="FormatvorlageInstructionsTabelleText"/>
                <w:rFonts w:ascii="Times New Roman" w:hAnsi="Times New Roman"/>
                <w:sz w:val="24"/>
              </w:rPr>
              <w:t>,</w:t>
            </w:r>
            <w:r w:rsidR="003F221D" w:rsidRPr="001562B3">
              <w:rPr>
                <w:rStyle w:val="FormatvorlageInstructionsTabelleText"/>
                <w:rFonts w:ascii="Times New Roman" w:hAnsi="Times New Roman"/>
                <w:sz w:val="24"/>
              </w:rPr>
              <w:t>5% cap).</w:t>
            </w:r>
          </w:p>
        </w:tc>
      </w:tr>
      <w:tr w:rsidR="00A63011" w:rsidRPr="001562B3" w14:paraId="692AEFC6" w14:textId="77777777" w:rsidTr="007674DE">
        <w:tc>
          <w:tcPr>
            <w:tcW w:w="1129" w:type="dxa"/>
            <w:vAlign w:val="center"/>
          </w:tcPr>
          <w:p w14:paraId="3D783C0C" w14:textId="6DDA4312" w:rsidR="00A63011" w:rsidRPr="001562B3" w:rsidRDefault="00A63011" w:rsidP="00E05895">
            <w:pPr>
              <w:pStyle w:val="InstructionsText"/>
            </w:pPr>
            <w:r w:rsidRPr="001562B3">
              <w:rPr>
                <w:rStyle w:val="FormatvorlageInstructionsTabelleText"/>
                <w:rFonts w:ascii="Times New Roman" w:hAnsi="Times New Roman"/>
                <w:sz w:val="24"/>
              </w:rPr>
              <w:lastRenderedPageBreak/>
              <w:t>01</w:t>
            </w:r>
            <w:r w:rsidR="004B26E4" w:rsidRPr="001562B3">
              <w:rPr>
                <w:rStyle w:val="FormatvorlageInstructionsTabelleText"/>
                <w:rFonts w:ascii="Times New Roman" w:hAnsi="Times New Roman"/>
                <w:sz w:val="24"/>
              </w:rPr>
              <w:t>9</w:t>
            </w:r>
            <w:r w:rsidRPr="001562B3">
              <w:rPr>
                <w:rStyle w:val="FormatvorlageInstructionsTabelleText"/>
                <w:rFonts w:ascii="Times New Roman" w:hAnsi="Times New Roman"/>
                <w:sz w:val="24"/>
              </w:rPr>
              <w:t>0</w:t>
            </w:r>
          </w:p>
        </w:tc>
        <w:tc>
          <w:tcPr>
            <w:tcW w:w="7620" w:type="dxa"/>
            <w:vAlign w:val="center"/>
          </w:tcPr>
          <w:p w14:paraId="48A47BB7" w14:textId="58C2F8F9" w:rsidR="00A63011" w:rsidRPr="001562B3" w:rsidRDefault="00EA28E5"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Deductions</w:t>
            </w:r>
          </w:p>
        </w:tc>
      </w:tr>
      <w:tr w:rsidR="00A63011" w:rsidRPr="001562B3" w14:paraId="5F32D0E3" w14:textId="77777777" w:rsidTr="007674DE">
        <w:tc>
          <w:tcPr>
            <w:tcW w:w="1129" w:type="dxa"/>
            <w:vAlign w:val="center"/>
          </w:tcPr>
          <w:p w14:paraId="3E47080A" w14:textId="2297CCF2" w:rsidR="00A63011" w:rsidRPr="001562B3" w:rsidRDefault="00A63011" w:rsidP="00E05895">
            <w:pPr>
              <w:pStyle w:val="InstructionsText"/>
            </w:pPr>
            <w:r w:rsidRPr="001562B3">
              <w:rPr>
                <w:rStyle w:val="FormatvorlageInstructionsTabelleText"/>
                <w:rFonts w:ascii="Times New Roman" w:hAnsi="Times New Roman"/>
                <w:sz w:val="24"/>
              </w:rPr>
              <w:t>0</w:t>
            </w:r>
            <w:r w:rsidR="004B26E4" w:rsidRPr="001562B3">
              <w:rPr>
                <w:rStyle w:val="FormatvorlageInstructionsTabelleText"/>
                <w:rFonts w:ascii="Times New Roman" w:hAnsi="Times New Roman"/>
                <w:sz w:val="24"/>
              </w:rPr>
              <w:t>20</w:t>
            </w:r>
            <w:r w:rsidRPr="001562B3">
              <w:rPr>
                <w:rStyle w:val="FormatvorlageInstructionsTabelleText"/>
                <w:rFonts w:ascii="Times New Roman" w:hAnsi="Times New Roman"/>
                <w:sz w:val="24"/>
              </w:rPr>
              <w:t>0</w:t>
            </w:r>
          </w:p>
        </w:tc>
        <w:tc>
          <w:tcPr>
            <w:tcW w:w="7620" w:type="dxa"/>
            <w:vAlign w:val="center"/>
          </w:tcPr>
          <w:p w14:paraId="5A2E902B" w14:textId="2920CF5C" w:rsidR="00A63011" w:rsidRPr="001562B3" w:rsidRDefault="00EA28E5"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 xml:space="preserve">Exposures between </w:t>
            </w:r>
            <w:r w:rsidR="008661DA">
              <w:rPr>
                <w:rStyle w:val="InstructionsTabelleberschrift"/>
                <w:rFonts w:ascii="Times New Roman" w:hAnsi="Times New Roman"/>
                <w:sz w:val="24"/>
              </w:rPr>
              <w:t>multiple point of entry (</w:t>
            </w:r>
            <w:r w:rsidR="00A63011" w:rsidRPr="001562B3">
              <w:rPr>
                <w:rStyle w:val="InstructionsTabelleberschrift"/>
                <w:rFonts w:ascii="Times New Roman" w:hAnsi="Times New Roman"/>
                <w:sz w:val="24"/>
              </w:rPr>
              <w:t>MPE</w:t>
            </w:r>
            <w:r w:rsidR="008661DA">
              <w:rPr>
                <w:rStyle w:val="InstructionsTabelleberschrift"/>
                <w:rFonts w:ascii="Times New Roman" w:hAnsi="Times New Roman"/>
                <w:sz w:val="24"/>
              </w:rPr>
              <w:t>)</w:t>
            </w:r>
            <w:r w:rsidR="00A63011" w:rsidRPr="001562B3">
              <w:rPr>
                <w:rStyle w:val="InstructionsTabelleberschrift"/>
                <w:rFonts w:ascii="Times New Roman" w:hAnsi="Times New Roman"/>
                <w:sz w:val="24"/>
              </w:rPr>
              <w:t xml:space="preserve"> resolution groups </w:t>
            </w:r>
          </w:p>
          <w:p w14:paraId="750816D8" w14:textId="45220EA8" w:rsidR="0052529D" w:rsidRPr="001562B3" w:rsidRDefault="00FC06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460C4152" w14:textId="0BFBF95F" w:rsidR="00A63011" w:rsidRPr="001562B3" w:rsidRDefault="0052529D">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T</w:t>
            </w:r>
            <w:r w:rsidR="00EA28E5" w:rsidRPr="001562B3">
              <w:rPr>
                <w:rStyle w:val="FormatvorlageInstructionsTabelleText"/>
                <w:rFonts w:ascii="Times New Roman" w:hAnsi="Times New Roman"/>
                <w:sz w:val="24"/>
              </w:rPr>
              <w:t xml:space="preserve">his row shall reflect the deductions </w:t>
            </w:r>
            <w:r w:rsidR="00A63011" w:rsidRPr="001562B3">
              <w:rPr>
                <w:rStyle w:val="FormatvorlageInstructionsTabelleText"/>
                <w:rFonts w:ascii="Times New Roman" w:hAnsi="Times New Roman"/>
                <w:sz w:val="24"/>
              </w:rPr>
              <w:t>of exposures between MPE G-SI</w:t>
            </w:r>
            <w:r w:rsidR="008661DA">
              <w:rPr>
                <w:rStyle w:val="FormatvorlageInstructionsTabelleText"/>
                <w:rFonts w:ascii="Times New Roman" w:hAnsi="Times New Roman"/>
                <w:sz w:val="24"/>
              </w:rPr>
              <w:t>I</w:t>
            </w:r>
            <w:r w:rsidR="00A63011" w:rsidRPr="001562B3">
              <w:rPr>
                <w:rStyle w:val="FormatvorlageInstructionsTabelleText"/>
                <w:rFonts w:ascii="Times New Roman" w:hAnsi="Times New Roman"/>
                <w:sz w:val="24"/>
              </w:rPr>
              <w:t xml:space="preserve"> resolution groups, that correspond to direct, indirect or synthetic holdings of own funds instruments or eligible liabilities instruments of one or more subsidiaries which do not belong to the same resolution group as the resolution entity, in accordance with article 72e(4) </w:t>
            </w:r>
            <w:r w:rsidR="006741F4"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A63011" w:rsidRPr="001562B3">
              <w:rPr>
                <w:rStyle w:val="FormatvorlageInstructionsTabelleText"/>
                <w:rFonts w:ascii="Times New Roman" w:hAnsi="Times New Roman"/>
                <w:sz w:val="24"/>
              </w:rPr>
              <w:t>.</w:t>
            </w:r>
          </w:p>
        </w:tc>
      </w:tr>
      <w:tr w:rsidR="00A63011" w:rsidRPr="001562B3" w14:paraId="5835F98E" w14:textId="77777777" w:rsidTr="007674DE">
        <w:tc>
          <w:tcPr>
            <w:tcW w:w="1129" w:type="dxa"/>
            <w:vAlign w:val="center"/>
          </w:tcPr>
          <w:p w14:paraId="32F5C825" w14:textId="325A3279" w:rsidR="00A63011" w:rsidRPr="001562B3" w:rsidRDefault="00327CA4" w:rsidP="00E05895">
            <w:pPr>
              <w:pStyle w:val="InstructionsText"/>
            </w:pPr>
            <w:r w:rsidRPr="001562B3">
              <w:rPr>
                <w:rStyle w:val="FormatvorlageInstructionsTabelleText"/>
                <w:rFonts w:ascii="Times New Roman" w:hAnsi="Times New Roman"/>
                <w:sz w:val="24"/>
              </w:rPr>
              <w:t>0</w:t>
            </w:r>
            <w:r w:rsidR="004B26E4" w:rsidRPr="001562B3">
              <w:rPr>
                <w:rStyle w:val="FormatvorlageInstructionsTabelleText"/>
                <w:rFonts w:ascii="Times New Roman" w:hAnsi="Times New Roman"/>
                <w:sz w:val="24"/>
              </w:rPr>
              <w:t>21</w:t>
            </w:r>
            <w:r w:rsidRPr="001562B3">
              <w:rPr>
                <w:rStyle w:val="FormatvorlageInstructionsTabelleText"/>
                <w:rFonts w:ascii="Times New Roman" w:hAnsi="Times New Roman"/>
                <w:sz w:val="24"/>
              </w:rPr>
              <w:t>0</w:t>
            </w:r>
          </w:p>
        </w:tc>
        <w:tc>
          <w:tcPr>
            <w:tcW w:w="7620" w:type="dxa"/>
            <w:vAlign w:val="center"/>
          </w:tcPr>
          <w:p w14:paraId="70CDC53F" w14:textId="6AA8C423" w:rsidR="00A63011" w:rsidRPr="001562B3" w:rsidRDefault="00EA28E5"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Investments in other eligible liabilities instruments</w:t>
            </w:r>
          </w:p>
          <w:p w14:paraId="6D6E0AE5" w14:textId="7C627841" w:rsidR="00FC063F" w:rsidRPr="001562B3" w:rsidRDefault="00FC06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1A0BF801" w14:textId="27D6A9F7" w:rsidR="00A63011" w:rsidRPr="001562B3" w:rsidRDefault="00E645F5">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Entities </w:t>
            </w:r>
            <w:r w:rsidR="00EA28E5" w:rsidRPr="001562B3">
              <w:rPr>
                <w:rStyle w:val="FormatvorlageInstructionsTabelleText"/>
                <w:rFonts w:ascii="Times New Roman" w:hAnsi="Times New Roman"/>
                <w:sz w:val="24"/>
              </w:rPr>
              <w:t>shall report the d</w:t>
            </w:r>
            <w:r w:rsidR="00A63011" w:rsidRPr="001562B3">
              <w:rPr>
                <w:rStyle w:val="FormatvorlageInstructionsTabelleText"/>
                <w:rFonts w:ascii="Times New Roman" w:hAnsi="Times New Roman"/>
                <w:sz w:val="24"/>
              </w:rPr>
              <w:t xml:space="preserve">eduction of investments in other eligible liabilities instruments, </w:t>
            </w:r>
            <w:r w:rsidR="00CA04FD" w:rsidRPr="001562B3">
              <w:rPr>
                <w:rStyle w:val="FormatvorlageInstructionsTabelleText"/>
                <w:rFonts w:ascii="Times New Roman" w:hAnsi="Times New Roman"/>
                <w:sz w:val="24"/>
              </w:rPr>
              <w:t>as referred to in</w:t>
            </w:r>
            <w:r w:rsidR="00A63011" w:rsidRPr="001562B3">
              <w:rPr>
                <w:rStyle w:val="FormatvorlageInstructionsTabelleText"/>
                <w:rFonts w:ascii="Times New Roman" w:hAnsi="Times New Roman"/>
                <w:sz w:val="24"/>
              </w:rPr>
              <w:t xml:space="preserve"> </w:t>
            </w:r>
            <w:r w:rsidR="009744C1" w:rsidRPr="001562B3">
              <w:rPr>
                <w:rStyle w:val="FormatvorlageInstructionsTabelleText"/>
                <w:rFonts w:ascii="Times New Roman" w:hAnsi="Times New Roman"/>
                <w:sz w:val="24"/>
              </w:rPr>
              <w:t>A</w:t>
            </w:r>
            <w:r w:rsidR="00A63011" w:rsidRPr="001562B3">
              <w:rPr>
                <w:rStyle w:val="FormatvorlageInstructionsTabelleText"/>
                <w:rFonts w:ascii="Times New Roman" w:hAnsi="Times New Roman"/>
                <w:sz w:val="24"/>
              </w:rPr>
              <w:t xml:space="preserve">rticle 72e(1) to (3) </w:t>
            </w:r>
            <w:r w:rsidR="00894CE9">
              <w:rPr>
                <w:rStyle w:val="FormatvorlageInstructionsTabelleText"/>
                <w:rFonts w:ascii="Times New Roman" w:hAnsi="Times New Roman"/>
                <w:sz w:val="24"/>
              </w:rPr>
              <w:t xml:space="preserve">and </w:t>
            </w:r>
            <w:r w:rsidR="006741F4" w:rsidRPr="001562B3">
              <w:rPr>
                <w:rStyle w:val="FormatvorlageInstructionsTabelleText"/>
                <w:rFonts w:ascii="Times New Roman" w:hAnsi="Times New Roman"/>
                <w:sz w:val="24"/>
              </w:rPr>
              <w:t xml:space="preserve">Articles </w:t>
            </w:r>
            <w:r w:rsidR="00A63011" w:rsidRPr="001562B3">
              <w:rPr>
                <w:rStyle w:val="FormatvorlageInstructionsTabelleText"/>
                <w:rFonts w:ascii="Times New Roman" w:hAnsi="Times New Roman"/>
                <w:sz w:val="24"/>
              </w:rPr>
              <w:t>72f</w:t>
            </w:r>
            <w:r w:rsidR="006741F4" w:rsidRPr="001562B3">
              <w:rPr>
                <w:rStyle w:val="FormatvorlageInstructionsTabelleText"/>
                <w:rFonts w:ascii="Times New Roman" w:hAnsi="Times New Roman"/>
                <w:sz w:val="24"/>
              </w:rPr>
              <w:t xml:space="preserve"> to </w:t>
            </w:r>
            <w:r w:rsidR="00A63011" w:rsidRPr="001562B3">
              <w:rPr>
                <w:rStyle w:val="FormatvorlageInstructionsTabelleText"/>
                <w:rFonts w:ascii="Times New Roman" w:hAnsi="Times New Roman"/>
                <w:sz w:val="24"/>
              </w:rPr>
              <w:t xml:space="preserve">72j </w:t>
            </w:r>
            <w:r w:rsidR="006741F4" w:rsidRPr="001562B3">
              <w:t xml:space="preserve">of </w:t>
            </w:r>
            <w:r w:rsidR="00C47ED5" w:rsidRPr="001562B3">
              <w:t>Regulation (EU) No 575/2013</w:t>
            </w:r>
            <w:r w:rsidR="00EA28E5" w:rsidRPr="001562B3">
              <w:rPr>
                <w:rStyle w:val="FormatvorlageInstructionsTabelleText"/>
                <w:rFonts w:ascii="Times New Roman" w:hAnsi="Times New Roman"/>
                <w:sz w:val="24"/>
              </w:rPr>
              <w:t>, whereby the a</w:t>
            </w:r>
            <w:r w:rsidR="00A63011" w:rsidRPr="001562B3">
              <w:rPr>
                <w:rStyle w:val="FormatvorlageInstructionsTabelleText"/>
                <w:rFonts w:ascii="Times New Roman" w:hAnsi="Times New Roman"/>
                <w:sz w:val="24"/>
              </w:rPr>
              <w:t xml:space="preserve">mount to be deducted from eligible liabilities items </w:t>
            </w:r>
            <w:r w:rsidR="00EA28E5" w:rsidRPr="001562B3">
              <w:rPr>
                <w:rStyle w:val="FormatvorlageInstructionsTabelleText"/>
                <w:rFonts w:ascii="Times New Roman" w:hAnsi="Times New Roman"/>
                <w:sz w:val="24"/>
              </w:rPr>
              <w:t xml:space="preserve">is determined </w:t>
            </w:r>
            <w:r w:rsidR="00A63011" w:rsidRPr="001562B3">
              <w:rPr>
                <w:rStyle w:val="FormatvorlageInstructionsTabelleText"/>
                <w:rFonts w:ascii="Times New Roman" w:hAnsi="Times New Roman"/>
                <w:sz w:val="24"/>
              </w:rPr>
              <w:t xml:space="preserve">in accordance with </w:t>
            </w:r>
            <w:r w:rsidR="00B863DF" w:rsidRPr="001562B3">
              <w:rPr>
                <w:rStyle w:val="FormatvorlageInstructionsTabelleText"/>
                <w:rFonts w:ascii="Times New Roman" w:hAnsi="Times New Roman"/>
                <w:sz w:val="24"/>
              </w:rPr>
              <w:t>S</w:t>
            </w:r>
            <w:r w:rsidR="00A63011" w:rsidRPr="001562B3">
              <w:rPr>
                <w:rStyle w:val="FormatvorlageInstructionsTabelleText"/>
                <w:rFonts w:ascii="Times New Roman" w:hAnsi="Times New Roman"/>
                <w:sz w:val="24"/>
              </w:rPr>
              <w:t xml:space="preserve">ection 2 of </w:t>
            </w:r>
            <w:r w:rsidR="00B863DF" w:rsidRPr="001562B3">
              <w:rPr>
                <w:rStyle w:val="FormatvorlageInstructionsTabelleText"/>
                <w:rFonts w:ascii="Times New Roman" w:hAnsi="Times New Roman"/>
                <w:sz w:val="24"/>
              </w:rPr>
              <w:t>C</w:t>
            </w:r>
            <w:r w:rsidR="00A63011" w:rsidRPr="001562B3">
              <w:rPr>
                <w:rStyle w:val="FormatvorlageInstructionsTabelleText"/>
                <w:rFonts w:ascii="Times New Roman" w:hAnsi="Times New Roman"/>
                <w:sz w:val="24"/>
              </w:rPr>
              <w:t xml:space="preserve">hapter 5a </w:t>
            </w:r>
            <w:r w:rsidR="009744C1" w:rsidRPr="001562B3">
              <w:rPr>
                <w:rStyle w:val="FormatvorlageInstructionsTabelleText"/>
                <w:rFonts w:ascii="Times New Roman" w:hAnsi="Times New Roman"/>
                <w:sz w:val="24"/>
              </w:rPr>
              <w:t xml:space="preserve">of Title I of Part Two </w:t>
            </w:r>
            <w:r w:rsidR="00B863DF" w:rsidRPr="001562B3">
              <w:rPr>
                <w:rStyle w:val="FormatvorlageInstructionsTabelleText"/>
                <w:rFonts w:ascii="Times New Roman" w:hAnsi="Times New Roman"/>
                <w:sz w:val="24"/>
              </w:rPr>
              <w:t>of that Regulation.</w:t>
            </w:r>
          </w:p>
        </w:tc>
      </w:tr>
      <w:tr w:rsidR="00A63011" w:rsidRPr="001562B3" w14:paraId="1E39D578" w14:textId="77777777" w:rsidTr="007674DE">
        <w:tc>
          <w:tcPr>
            <w:tcW w:w="1129" w:type="dxa"/>
            <w:vAlign w:val="center"/>
          </w:tcPr>
          <w:p w14:paraId="33758206" w14:textId="3E9120C1" w:rsidR="00A63011" w:rsidRPr="001562B3" w:rsidRDefault="00327CA4" w:rsidP="00E05895">
            <w:pPr>
              <w:pStyle w:val="InstructionsText"/>
            </w:pPr>
            <w:r w:rsidRPr="001562B3">
              <w:rPr>
                <w:rStyle w:val="FormatvorlageInstructionsTabelleText"/>
                <w:rFonts w:ascii="Times New Roman" w:hAnsi="Times New Roman"/>
                <w:sz w:val="24"/>
              </w:rPr>
              <w:t>02</w:t>
            </w:r>
            <w:r w:rsidR="004B26E4"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vAlign w:val="center"/>
          </w:tcPr>
          <w:p w14:paraId="3D31E736" w14:textId="4E1C375C" w:rsidR="00A63011" w:rsidRPr="001562B3" w:rsidRDefault="00A63011"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Excess of deductions from eligible liabilities over eligible liabilities</w:t>
            </w:r>
          </w:p>
          <w:p w14:paraId="7BA038D3" w14:textId="2EA39D26" w:rsidR="00913681" w:rsidRPr="001562B3" w:rsidRDefault="00EA28E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Eligible liabilit</w:t>
            </w:r>
            <w:r w:rsidR="00F02411" w:rsidRPr="001562B3">
              <w:rPr>
                <w:rStyle w:val="FormatvorlageInstructionsTabelleText"/>
                <w:rFonts w:ascii="Times New Roman" w:hAnsi="Times New Roman"/>
                <w:sz w:val="24"/>
              </w:rPr>
              <w:t>i</w:t>
            </w:r>
            <w:r w:rsidRPr="001562B3">
              <w:rPr>
                <w:rStyle w:val="FormatvorlageInstructionsTabelleText"/>
                <w:rFonts w:ascii="Times New Roman" w:hAnsi="Times New Roman"/>
                <w:sz w:val="24"/>
              </w:rPr>
              <w:t>es cannot be negative, but it is possible that the deductions from eligible liabilities are greater than eligible liab</w:t>
            </w:r>
            <w:r w:rsidR="00F02411" w:rsidRPr="001562B3">
              <w:rPr>
                <w:rStyle w:val="FormatvorlageInstructionsTabelleText"/>
                <w:rFonts w:ascii="Times New Roman" w:hAnsi="Times New Roman"/>
                <w:sz w:val="24"/>
              </w:rPr>
              <w:t>i</w:t>
            </w:r>
            <w:r w:rsidRPr="001562B3">
              <w:rPr>
                <w:rStyle w:val="FormatvorlageInstructionsTabelleText"/>
                <w:rFonts w:ascii="Times New Roman" w:hAnsi="Times New Roman"/>
                <w:sz w:val="24"/>
              </w:rPr>
              <w:t>lities. When this happens, the eligible liabilities have to be equal to zero, and the excess of the deductions has to be deducted from Tier 2</w:t>
            </w:r>
            <w:r w:rsidR="00913681" w:rsidRPr="001562B3">
              <w:rPr>
                <w:rStyle w:val="FormatvorlageInstructionsTabelleText"/>
                <w:rFonts w:ascii="Times New Roman" w:hAnsi="Times New Roman"/>
                <w:sz w:val="24"/>
              </w:rPr>
              <w:t xml:space="preserve"> in accordance with </w:t>
            </w:r>
            <w:r w:rsidR="00806C14" w:rsidRPr="001562B3">
              <w:rPr>
                <w:rStyle w:val="FormatvorlageInstructionsTabelleText"/>
                <w:rFonts w:ascii="Times New Roman" w:hAnsi="Times New Roman"/>
                <w:sz w:val="24"/>
              </w:rPr>
              <w:t xml:space="preserve">point (e) of </w:t>
            </w:r>
            <w:r w:rsidR="00913681" w:rsidRPr="001562B3">
              <w:rPr>
                <w:rStyle w:val="FormatvorlageInstructionsTabelleText"/>
                <w:rFonts w:ascii="Times New Roman" w:hAnsi="Times New Roman"/>
                <w:sz w:val="24"/>
              </w:rPr>
              <w:t xml:space="preserve">Article </w:t>
            </w:r>
            <w:r w:rsidR="00663444" w:rsidRPr="001562B3">
              <w:rPr>
                <w:rStyle w:val="FormatvorlageInstructionsTabelleText"/>
                <w:rFonts w:ascii="Times New Roman" w:hAnsi="Times New Roman"/>
                <w:sz w:val="24"/>
              </w:rPr>
              <w:t>66</w:t>
            </w:r>
            <w:r w:rsidR="00FC063F" w:rsidRPr="001562B3">
              <w:rPr>
                <w:rStyle w:val="FormatvorlageInstructionsTabelleText"/>
                <w:rFonts w:ascii="Times New Roman" w:hAnsi="Times New Roman"/>
                <w:sz w:val="24"/>
              </w:rPr>
              <w:t xml:space="preserve"> </w:t>
            </w:r>
            <w:r w:rsidR="00B863DF" w:rsidRPr="001562B3">
              <w:t xml:space="preserve">of </w:t>
            </w:r>
            <w:r w:rsidR="00C47ED5" w:rsidRPr="001562B3">
              <w:t>Regulation (EU) No 575/2013</w:t>
            </w:r>
            <w:r w:rsidR="00913681" w:rsidRPr="001562B3">
              <w:rPr>
                <w:rStyle w:val="FormatvorlageInstructionsTabelleText"/>
                <w:rFonts w:ascii="Times New Roman" w:hAnsi="Times New Roman"/>
                <w:sz w:val="24"/>
              </w:rPr>
              <w:t>.</w:t>
            </w:r>
          </w:p>
          <w:p w14:paraId="3E09EF9B" w14:textId="2F11A2BE" w:rsidR="00A63011" w:rsidRPr="001562B3" w:rsidRDefault="00913681">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With this item, it is achieved that the eligible liab</w:t>
            </w:r>
            <w:r w:rsidR="00F02411" w:rsidRPr="001562B3">
              <w:rPr>
                <w:rStyle w:val="FormatvorlageInstructionsTabelleText"/>
                <w:rFonts w:ascii="Times New Roman" w:hAnsi="Times New Roman"/>
                <w:sz w:val="24"/>
              </w:rPr>
              <w:t>i</w:t>
            </w:r>
            <w:r w:rsidRPr="001562B3">
              <w:rPr>
                <w:rStyle w:val="FormatvorlageInstructionsTabelleText"/>
                <w:rFonts w:ascii="Times New Roman" w:hAnsi="Times New Roman"/>
                <w:sz w:val="24"/>
              </w:rPr>
              <w:t>lities as reported in row 00</w:t>
            </w:r>
            <w:r w:rsidR="00EF1BBD"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 xml:space="preserve">0 are never lower than zero. </w:t>
            </w:r>
          </w:p>
        </w:tc>
      </w:tr>
      <w:tr w:rsidR="004B26E4" w:rsidRPr="001562B3" w:rsidDel="000A3889" w14:paraId="55A5288B" w14:textId="77777777" w:rsidTr="00EF1BBD">
        <w:tc>
          <w:tcPr>
            <w:tcW w:w="1129" w:type="dxa"/>
            <w:vAlign w:val="center"/>
          </w:tcPr>
          <w:p w14:paraId="0469F718" w14:textId="77777777"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0400 - 0500</w:t>
            </w:r>
          </w:p>
        </w:tc>
        <w:tc>
          <w:tcPr>
            <w:tcW w:w="7620" w:type="dxa"/>
            <w:vAlign w:val="center"/>
          </w:tcPr>
          <w:p w14:paraId="7038FF40"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Memorandum items</w:t>
            </w:r>
          </w:p>
        </w:tc>
      </w:tr>
      <w:tr w:rsidR="004B26E4" w:rsidRPr="001562B3" w:rsidDel="000A3889" w14:paraId="1F7040BA" w14:textId="77777777" w:rsidTr="007674DE">
        <w:tc>
          <w:tcPr>
            <w:tcW w:w="1129" w:type="dxa"/>
            <w:vAlign w:val="center"/>
          </w:tcPr>
          <w:p w14:paraId="335E3648" w14:textId="0E055C41" w:rsidR="004B26E4" w:rsidRPr="001562B3" w:rsidRDefault="004B26E4" w:rsidP="00E05895">
            <w:pPr>
              <w:pStyle w:val="InstructionsText"/>
            </w:pPr>
            <w:r w:rsidRPr="001562B3">
              <w:rPr>
                <w:rStyle w:val="FormatvorlageInstructionsTabelleText"/>
                <w:rFonts w:ascii="Times New Roman" w:hAnsi="Times New Roman"/>
                <w:sz w:val="24"/>
              </w:rPr>
              <w:t>0400</w:t>
            </w:r>
          </w:p>
        </w:tc>
        <w:tc>
          <w:tcPr>
            <w:tcW w:w="7620" w:type="dxa"/>
            <w:vAlign w:val="center"/>
          </w:tcPr>
          <w:p w14:paraId="0120BDD9"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CET1 (%) available after meeting the entity’s requirements </w:t>
            </w:r>
          </w:p>
          <w:p w14:paraId="536CE450" w14:textId="55D07D6A" w:rsidR="004B26E4" w:rsidRPr="001562B3" w:rsidRDefault="004B26E4">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The amount of CET1, equal to zero or positive, available after meeting each of the requirements referred to in points (a), (b) and (c) of Article 141a(1) </w:t>
            </w:r>
            <w:r w:rsidR="00B33C46" w:rsidRPr="001562B3">
              <w:rPr>
                <w:rStyle w:val="FormatvorlageInstructionsTabelleText"/>
                <w:rFonts w:ascii="Times New Roman" w:hAnsi="Times New Roman"/>
                <w:sz w:val="24"/>
              </w:rPr>
              <w:t>of Directive 2013/36/EU</w:t>
            </w:r>
            <w:r w:rsidR="006876BA" w:rsidRPr="001562B3">
              <w:rPr>
                <w:rStyle w:val="FootnoteReference"/>
              </w:rPr>
              <w:footnoteReference w:id="5"/>
            </w:r>
            <w:r w:rsidRPr="001562B3">
              <w:rPr>
                <w:rStyle w:val="FormatvorlageInstructionsTabelleText"/>
                <w:rFonts w:ascii="Times New Roman" w:hAnsi="Times New Roman"/>
                <w:sz w:val="24"/>
              </w:rPr>
              <w:t xml:space="preserve"> and the higher of:</w:t>
            </w:r>
          </w:p>
          <w:p w14:paraId="1016D212" w14:textId="38F6EBF7" w:rsidR="004B26E4" w:rsidRPr="001562B3" w:rsidRDefault="004B26E4">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(a) where applicable, the G-SII requirement for own funds and eligible liabilities </w:t>
            </w:r>
            <w:r w:rsidR="00B863DF"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92a </w:t>
            </w:r>
            <w:r w:rsidR="00B863DF" w:rsidRPr="001562B3">
              <w:t xml:space="preserve">of </w:t>
            </w:r>
            <w:r w:rsidR="00C47ED5" w:rsidRPr="001562B3">
              <w:t>Regulation (EU) No 575/2013</w:t>
            </w:r>
            <w:r w:rsidRPr="001562B3">
              <w:rPr>
                <w:rStyle w:val="FormatvorlageInstructionsTabelleText"/>
                <w:rFonts w:ascii="Times New Roman" w:hAnsi="Times New Roman"/>
                <w:sz w:val="24"/>
              </w:rPr>
              <w:t xml:space="preserve"> (TLAC requirement), when calculated in accordance with point (a) of paragraph (1) of that article, </w:t>
            </w:r>
          </w:p>
          <w:p w14:paraId="78E1074D" w14:textId="3DEFB8C3" w:rsidR="004B26E4" w:rsidRPr="001562B3" w:rsidRDefault="004B26E4">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 xml:space="preserve">(b) the minimum requirement for own funds and eligible liabilities pursuant to Article 45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when calculated in accordance with point (a) of Article 45(2) </w:t>
            </w:r>
            <w:r w:rsidR="00B33C46" w:rsidRPr="001562B3">
              <w:rPr>
                <w:rStyle w:val="FormatvorlageInstructionsTabelleText"/>
                <w:rFonts w:ascii="Times New Roman" w:hAnsi="Times New Roman"/>
                <w:sz w:val="24"/>
              </w:rPr>
              <w:t>of that Directive</w:t>
            </w:r>
            <w:r w:rsidRPr="001562B3">
              <w:rPr>
                <w:rStyle w:val="FormatvorlageInstructionsTabelleText"/>
                <w:rFonts w:ascii="Times New Roman" w:hAnsi="Times New Roman"/>
                <w:sz w:val="24"/>
              </w:rPr>
              <w:t>.</w:t>
            </w:r>
          </w:p>
          <w:p w14:paraId="4922B454" w14:textId="09574DDE" w:rsidR="004B26E4" w:rsidRPr="001562B3" w:rsidRDefault="004B26E4">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CET1 available shall be expressed in percent of the total risk exposure amount as reported in row 0100 of template M 01.00.</w:t>
            </w:r>
          </w:p>
          <w:p w14:paraId="584E56EB" w14:textId="63B909F8" w:rsidR="004B26E4" w:rsidRPr="001562B3" w:rsidRDefault="004B26E4">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The reported figure shall be identical in both MREL and TLAC columns.</w:t>
            </w:r>
          </w:p>
          <w:p w14:paraId="4055321C" w14:textId="71433ED2" w:rsidR="004B26E4" w:rsidRPr="001562B3" w:rsidRDefault="004B26E4">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It shall take into account the effect of transitional provisions on the own funds and eligible liabilities, the total risk exposure amount and the requirements themselves. Neither the guidance on additional own funds as referred to </w:t>
            </w:r>
            <w:r w:rsidR="00E05895" w:rsidRPr="001562B3">
              <w:rPr>
                <w:rStyle w:val="InstructionsTabelleberschrift"/>
                <w:rFonts w:ascii="Times New Roman" w:hAnsi="Times New Roman"/>
                <w:b w:val="0"/>
                <w:sz w:val="24"/>
                <w:u w:val="none"/>
              </w:rPr>
              <w:t>in</w:t>
            </w:r>
            <w:r w:rsidRPr="001562B3">
              <w:rPr>
                <w:rStyle w:val="InstructionsTabelleberschrift"/>
                <w:rFonts w:ascii="Times New Roman" w:hAnsi="Times New Roman"/>
                <w:b w:val="0"/>
                <w:sz w:val="24"/>
                <w:u w:val="none"/>
              </w:rPr>
              <w:t xml:space="preserve"> Article 104b </w:t>
            </w:r>
            <w:r w:rsidR="00B33C46" w:rsidRPr="001562B3">
              <w:rPr>
                <w:rStyle w:val="InstructionsTabelleberschrift"/>
                <w:rFonts w:ascii="Times New Roman" w:hAnsi="Times New Roman"/>
                <w:b w:val="0"/>
                <w:sz w:val="24"/>
                <w:u w:val="none"/>
              </w:rPr>
              <w:t>of Directive 2013/36/EU</w:t>
            </w:r>
            <w:r w:rsidRPr="001562B3">
              <w:rPr>
                <w:rStyle w:val="InstructionsTabelleberschrift"/>
                <w:rFonts w:ascii="Times New Roman" w:hAnsi="Times New Roman"/>
                <w:b w:val="0"/>
                <w:sz w:val="24"/>
                <w:u w:val="none"/>
              </w:rPr>
              <w:t xml:space="preserve"> nor the combined buffer requirement of point (6) of the first subparagraph of Article 128 </w:t>
            </w:r>
            <w:r w:rsidR="00B33C46" w:rsidRPr="001562B3">
              <w:rPr>
                <w:rStyle w:val="InstructionsTabelleberschrift"/>
                <w:rFonts w:ascii="Times New Roman" w:hAnsi="Times New Roman"/>
                <w:b w:val="0"/>
                <w:sz w:val="24"/>
                <w:u w:val="none"/>
              </w:rPr>
              <w:t>of that Directive</w:t>
            </w:r>
            <w:r w:rsidRPr="001562B3">
              <w:rPr>
                <w:rStyle w:val="InstructionsTabelleberschrift"/>
                <w:rFonts w:ascii="Times New Roman" w:hAnsi="Times New Roman"/>
                <w:b w:val="0"/>
                <w:sz w:val="24"/>
                <w:u w:val="none"/>
              </w:rPr>
              <w:t xml:space="preserve"> shall be considered.</w:t>
            </w:r>
          </w:p>
        </w:tc>
      </w:tr>
      <w:tr w:rsidR="004B26E4" w:rsidRPr="001562B3" w:rsidDel="000A3889" w14:paraId="4009374D" w14:textId="77777777" w:rsidTr="007674DE">
        <w:tc>
          <w:tcPr>
            <w:tcW w:w="1129" w:type="dxa"/>
            <w:vAlign w:val="center"/>
          </w:tcPr>
          <w:p w14:paraId="45843D1F" w14:textId="0AF81A10" w:rsidR="004B26E4" w:rsidRPr="001562B3" w:rsidRDefault="004B26E4" w:rsidP="00E05895">
            <w:pPr>
              <w:pStyle w:val="InstructionsText"/>
            </w:pPr>
            <w:r w:rsidRPr="001562B3">
              <w:rPr>
                <w:rStyle w:val="FormatvorlageInstructionsTabelleText"/>
                <w:rFonts w:ascii="Times New Roman" w:hAnsi="Times New Roman"/>
                <w:sz w:val="24"/>
              </w:rPr>
              <w:lastRenderedPageBreak/>
              <w:t>0410</w:t>
            </w:r>
          </w:p>
        </w:tc>
        <w:tc>
          <w:tcPr>
            <w:tcW w:w="7620" w:type="dxa"/>
            <w:vAlign w:val="center"/>
          </w:tcPr>
          <w:p w14:paraId="07181A26" w14:textId="13872A80"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Combined buffer requirement (%)</w:t>
            </w:r>
          </w:p>
          <w:p w14:paraId="287F6D1A" w14:textId="1CE645DE" w:rsidR="004B26E4" w:rsidRPr="001562B3" w:rsidRDefault="004B26E4">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b w:val="0"/>
                <w:sz w:val="24"/>
                <w:u w:val="none"/>
              </w:rPr>
              <w:t xml:space="preserve">Point (6) of the first subparagraph of </w:t>
            </w:r>
            <w:r w:rsidRPr="001562B3">
              <w:rPr>
                <w:rStyle w:val="FormatvorlageInstructionsTabelleText"/>
                <w:rFonts w:ascii="Times New Roman" w:hAnsi="Times New Roman"/>
                <w:sz w:val="24"/>
              </w:rPr>
              <w:t xml:space="preserve">Article 128 </w:t>
            </w:r>
            <w:r w:rsidR="00B33C46" w:rsidRPr="001562B3">
              <w:rPr>
                <w:rStyle w:val="FormatvorlageInstructionsTabelleText"/>
                <w:rFonts w:ascii="Times New Roman" w:hAnsi="Times New Roman"/>
                <w:sz w:val="24"/>
              </w:rPr>
              <w:t xml:space="preserve">of </w:t>
            </w:r>
            <w:r w:rsidR="00B33C46" w:rsidRPr="001562B3">
              <w:t xml:space="preserve">Directive 2013/36/EU </w:t>
            </w:r>
          </w:p>
          <w:p w14:paraId="7D299A16" w14:textId="40FF678D" w:rsidR="004B26E4" w:rsidRPr="001562B3" w:rsidRDefault="004B26E4">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The combined buffer requirement shall be expressed as a percentage of the total risk </w:t>
            </w:r>
            <w:r w:rsidRPr="001562B3">
              <w:rPr>
                <w:rStyle w:val="InstructionsTabelleberschrift"/>
                <w:rFonts w:ascii="Times New Roman" w:hAnsi="Times New Roman"/>
                <w:b w:val="0"/>
                <w:sz w:val="24"/>
                <w:u w:val="none"/>
              </w:rPr>
              <w:t>exposure amount</w:t>
            </w:r>
            <w:r w:rsidRPr="001562B3">
              <w:rPr>
                <w:rStyle w:val="FormatvorlageInstructionsTabelleText"/>
                <w:rFonts w:ascii="Times New Roman" w:hAnsi="Times New Roman"/>
                <w:sz w:val="24"/>
              </w:rPr>
              <w:t>.</w:t>
            </w:r>
          </w:p>
        </w:tc>
      </w:tr>
      <w:tr w:rsidR="004B26E4" w:rsidRPr="001562B3" w:rsidDel="000A3889" w14:paraId="69621A66" w14:textId="77777777" w:rsidTr="007674DE">
        <w:tc>
          <w:tcPr>
            <w:tcW w:w="1129" w:type="dxa"/>
            <w:vAlign w:val="center"/>
          </w:tcPr>
          <w:p w14:paraId="206B49C7" w14:textId="6928727F"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0420</w:t>
            </w:r>
          </w:p>
        </w:tc>
        <w:tc>
          <w:tcPr>
            <w:tcW w:w="7620" w:type="dxa"/>
            <w:vAlign w:val="center"/>
          </w:tcPr>
          <w:p w14:paraId="06E9467D"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capital conservation buffer requirement </w:t>
            </w:r>
          </w:p>
          <w:p w14:paraId="4EFA0A18" w14:textId="5AE605AD" w:rsidR="004B26E4" w:rsidRPr="001562B3" w:rsidRDefault="004B26E4" w:rsidP="008E501F">
            <w:pPr>
              <w:pStyle w:val="InstructionsText"/>
              <w:rPr>
                <w:rStyle w:val="InstructionsTabelleberschrift"/>
                <w:rFonts w:ascii="Times New Roman" w:hAnsi="Times New Roman"/>
                <w:sz w:val="24"/>
              </w:rPr>
            </w:pPr>
            <w:r w:rsidRPr="001562B3">
              <w:t xml:space="preserve">The amount of the institution specific combined buffer (expressed as a percentage of the </w:t>
            </w:r>
            <w:r w:rsidRPr="001562B3">
              <w:rPr>
                <w:rStyle w:val="FormatvorlageInstructionsTabelleText"/>
                <w:rFonts w:ascii="Times New Roman" w:hAnsi="Times New Roman"/>
                <w:sz w:val="24"/>
              </w:rPr>
              <w:t xml:space="preserve">total risk </w:t>
            </w:r>
            <w:r w:rsidRPr="001562B3">
              <w:rPr>
                <w:rStyle w:val="InstructionsTabelleberschrift"/>
                <w:rFonts w:ascii="Times New Roman" w:hAnsi="Times New Roman"/>
                <w:b w:val="0"/>
                <w:sz w:val="24"/>
                <w:u w:val="none"/>
              </w:rPr>
              <w:t>exposure amount</w:t>
            </w:r>
            <w:r w:rsidRPr="001562B3">
              <w:t>) that relates to the capital conservation buffer requirement.</w:t>
            </w:r>
          </w:p>
        </w:tc>
      </w:tr>
      <w:tr w:rsidR="004B26E4" w:rsidRPr="001562B3" w:rsidDel="000A3889" w14:paraId="39E2CDFC" w14:textId="77777777" w:rsidTr="00C15B90">
        <w:tc>
          <w:tcPr>
            <w:tcW w:w="1129" w:type="dxa"/>
            <w:vAlign w:val="center"/>
          </w:tcPr>
          <w:p w14:paraId="2C44CA49" w14:textId="2C472C8B"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0430</w:t>
            </w:r>
          </w:p>
        </w:tc>
        <w:tc>
          <w:tcPr>
            <w:tcW w:w="7620" w:type="dxa"/>
          </w:tcPr>
          <w:p w14:paraId="2C432667"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countercyclical buffer requirement </w:t>
            </w:r>
          </w:p>
          <w:p w14:paraId="66111F18" w14:textId="6AC08DF1" w:rsidR="004B26E4" w:rsidRPr="001562B3" w:rsidRDefault="004B26E4" w:rsidP="008E501F">
            <w:pPr>
              <w:pStyle w:val="InstructionsText"/>
              <w:rPr>
                <w:rStyle w:val="InstructionsTabelleberschrift"/>
                <w:rFonts w:ascii="Times New Roman" w:hAnsi="Times New Roman"/>
                <w:sz w:val="24"/>
              </w:rPr>
            </w:pPr>
            <w:r w:rsidRPr="001562B3">
              <w:t xml:space="preserve">The amount of the institution specific combined buffer (expressed as a percentage of the </w:t>
            </w:r>
            <w:r w:rsidRPr="001562B3">
              <w:rPr>
                <w:rStyle w:val="FormatvorlageInstructionsTabelleText"/>
                <w:rFonts w:ascii="Times New Roman" w:hAnsi="Times New Roman"/>
                <w:sz w:val="24"/>
              </w:rPr>
              <w:t xml:space="preserve">total risk </w:t>
            </w:r>
            <w:r w:rsidRPr="001562B3">
              <w:rPr>
                <w:rStyle w:val="InstructionsTabelleberschrift"/>
                <w:rFonts w:ascii="Times New Roman" w:hAnsi="Times New Roman"/>
                <w:b w:val="0"/>
                <w:sz w:val="24"/>
                <w:u w:val="none"/>
              </w:rPr>
              <w:t>exposure amount</w:t>
            </w:r>
            <w:r w:rsidRPr="001562B3">
              <w:t>) that relates to the countercyclical buffer requirement.</w:t>
            </w:r>
          </w:p>
        </w:tc>
      </w:tr>
      <w:tr w:rsidR="004B26E4" w:rsidRPr="001562B3" w:rsidDel="000A3889" w14:paraId="59FE41E4" w14:textId="77777777" w:rsidTr="00C15B90">
        <w:tc>
          <w:tcPr>
            <w:tcW w:w="1129" w:type="dxa"/>
            <w:vAlign w:val="center"/>
          </w:tcPr>
          <w:p w14:paraId="217DA17F" w14:textId="3479E338"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0440</w:t>
            </w:r>
          </w:p>
        </w:tc>
        <w:tc>
          <w:tcPr>
            <w:tcW w:w="7620" w:type="dxa"/>
          </w:tcPr>
          <w:p w14:paraId="519E9751"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systemic risk buffer requirement </w:t>
            </w:r>
          </w:p>
          <w:p w14:paraId="6BA953BC" w14:textId="3A467DC0" w:rsidR="004B26E4" w:rsidRPr="001562B3" w:rsidRDefault="004B26E4" w:rsidP="008E501F">
            <w:pPr>
              <w:pStyle w:val="InstructionsText"/>
              <w:rPr>
                <w:rStyle w:val="InstructionsTabelleberschrift"/>
                <w:rFonts w:ascii="Times New Roman" w:hAnsi="Times New Roman"/>
                <w:b w:val="0"/>
                <w:sz w:val="24"/>
              </w:rPr>
            </w:pPr>
            <w:r w:rsidRPr="001562B3">
              <w:t xml:space="preserve">The amount of the institution specific combined buffer (expressed as a percentage of the </w:t>
            </w:r>
            <w:r w:rsidRPr="001562B3">
              <w:rPr>
                <w:rStyle w:val="FormatvorlageInstructionsTabelleText"/>
                <w:rFonts w:ascii="Times New Roman" w:hAnsi="Times New Roman"/>
                <w:sz w:val="24"/>
              </w:rPr>
              <w:t xml:space="preserve">total risk </w:t>
            </w:r>
            <w:r w:rsidRPr="001562B3">
              <w:rPr>
                <w:rStyle w:val="InstructionsTabelleberschrift"/>
                <w:rFonts w:ascii="Times New Roman" w:hAnsi="Times New Roman"/>
                <w:b w:val="0"/>
                <w:sz w:val="24"/>
                <w:u w:val="none"/>
              </w:rPr>
              <w:t>exposure amount</w:t>
            </w:r>
            <w:r w:rsidRPr="001562B3">
              <w:t>) that relates to the systemic risk buffer requirement.</w:t>
            </w:r>
          </w:p>
        </w:tc>
      </w:tr>
      <w:tr w:rsidR="004B26E4" w:rsidRPr="001562B3" w:rsidDel="000A3889" w14:paraId="3DCE6243" w14:textId="77777777" w:rsidTr="00C15B90">
        <w:tc>
          <w:tcPr>
            <w:tcW w:w="1129" w:type="dxa"/>
            <w:vAlign w:val="center"/>
          </w:tcPr>
          <w:p w14:paraId="5A22262F" w14:textId="5C0B7ADC"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0450</w:t>
            </w:r>
          </w:p>
        </w:tc>
        <w:tc>
          <w:tcPr>
            <w:tcW w:w="7620" w:type="dxa"/>
          </w:tcPr>
          <w:p w14:paraId="609E7EEE"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Global Systemically Important Institution (G-SII) or Other Systemically Important Institution (O-SII) buffer</w:t>
            </w:r>
          </w:p>
          <w:p w14:paraId="6B1FCB7D" w14:textId="7282D718" w:rsidR="004B26E4" w:rsidRPr="001562B3" w:rsidRDefault="004B26E4" w:rsidP="008E501F">
            <w:pPr>
              <w:pStyle w:val="InstructionsText"/>
              <w:rPr>
                <w:rStyle w:val="InstructionsTabelleberschrift"/>
                <w:rFonts w:ascii="Times New Roman" w:hAnsi="Times New Roman"/>
                <w:b w:val="0"/>
                <w:sz w:val="24"/>
              </w:rPr>
            </w:pPr>
            <w:r w:rsidRPr="001562B3">
              <w:t>The amount of the institution specific combined buffer (expressed as a percentage of the total risk exposure amount) that relates to the G-SII or O-SII buffer requirement.</w:t>
            </w:r>
          </w:p>
        </w:tc>
      </w:tr>
      <w:tr w:rsidR="004B26E4" w:rsidRPr="001562B3" w:rsidDel="000A3889" w14:paraId="30EDA47C" w14:textId="77777777" w:rsidTr="005F608F">
        <w:tc>
          <w:tcPr>
            <w:tcW w:w="1129" w:type="dxa"/>
            <w:vAlign w:val="center"/>
          </w:tcPr>
          <w:p w14:paraId="7D952F17" w14:textId="19B8B068"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0460</w:t>
            </w:r>
          </w:p>
        </w:tc>
        <w:tc>
          <w:tcPr>
            <w:tcW w:w="7620" w:type="dxa"/>
          </w:tcPr>
          <w:p w14:paraId="253143B2"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Investments in subordinated eligible liabilities of other institutions</w:t>
            </w:r>
          </w:p>
          <w:p w14:paraId="5F3C8CAD" w14:textId="51CDE3CF" w:rsidR="004B26E4" w:rsidRPr="001562B3" w:rsidRDefault="004B26E4">
            <w:pPr>
              <w:pStyle w:val="InstructionsText"/>
            </w:pPr>
            <w:r w:rsidRPr="001562B3">
              <w:t xml:space="preserve">The positions reported in </w:t>
            </w:r>
            <w:r w:rsidR="001156B4" w:rsidRPr="001562B3">
              <w:t xml:space="preserve">this row and </w:t>
            </w:r>
            <w:r w:rsidRPr="001562B3">
              <w:t>rows 0</w:t>
            </w:r>
            <w:r w:rsidR="001156B4" w:rsidRPr="001562B3">
              <w:t>47</w:t>
            </w:r>
            <w:r w:rsidRPr="001562B3">
              <w:t>0 to 0</w:t>
            </w:r>
            <w:r w:rsidR="00EF1BBD" w:rsidRPr="001562B3">
              <w:t>49</w:t>
            </w:r>
            <w:r w:rsidRPr="001562B3">
              <w:t>0 shall be determined considering the principles laid out in Article 72h CRR (net long positions, look through approach).</w:t>
            </w:r>
          </w:p>
        </w:tc>
      </w:tr>
      <w:tr w:rsidR="004B26E4" w:rsidRPr="001562B3" w:rsidDel="000A3889" w14:paraId="429E36A7" w14:textId="77777777" w:rsidTr="005F608F">
        <w:tc>
          <w:tcPr>
            <w:tcW w:w="1129" w:type="dxa"/>
            <w:vAlign w:val="center"/>
          </w:tcPr>
          <w:p w14:paraId="05FC840F" w14:textId="60FA98C2"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0470</w:t>
            </w:r>
          </w:p>
        </w:tc>
        <w:tc>
          <w:tcPr>
            <w:tcW w:w="7620" w:type="dxa"/>
          </w:tcPr>
          <w:p w14:paraId="642E47E4" w14:textId="20D0C8BD"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Investments in subordinated eligible liabilities of G-SIIs</w:t>
            </w:r>
          </w:p>
          <w:p w14:paraId="4362DBFC" w14:textId="36173A4D" w:rsidR="004B26E4" w:rsidRPr="001562B3" w:rsidRDefault="004B26E4" w:rsidP="008E501F">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Amount of holdings of eligible liabilities instruments, </w:t>
            </w:r>
            <w:r w:rsidR="00B863DF" w:rsidRPr="001562B3">
              <w:rPr>
                <w:rStyle w:val="InstructionsTabelleberschrift"/>
                <w:rFonts w:ascii="Times New Roman" w:hAnsi="Times New Roman"/>
                <w:b w:val="0"/>
                <w:sz w:val="24"/>
                <w:u w:val="none"/>
              </w:rPr>
              <w:t>as referred to in</w:t>
            </w:r>
            <w:r w:rsidRPr="001562B3">
              <w:rPr>
                <w:rStyle w:val="InstructionsTabelleberschrift"/>
                <w:rFonts w:ascii="Times New Roman" w:hAnsi="Times New Roman"/>
                <w:b w:val="0"/>
                <w:sz w:val="24"/>
                <w:u w:val="none"/>
              </w:rPr>
              <w:t xml:space="preserve"> Article 72b(2) </w:t>
            </w:r>
            <w:r w:rsidR="00B863DF" w:rsidRPr="001562B3">
              <w:rPr>
                <w:rStyle w:val="InstructionsTabelleberschrift"/>
                <w:rFonts w:ascii="Times New Roman" w:hAnsi="Times New Roman"/>
                <w:b w:val="0"/>
                <w:sz w:val="24"/>
                <w:u w:val="none"/>
              </w:rPr>
              <w:t xml:space="preserve">of </w:t>
            </w:r>
            <w:r w:rsidR="00C47ED5" w:rsidRPr="001562B3">
              <w:rPr>
                <w:rStyle w:val="InstructionsTabelleberschrift"/>
                <w:rFonts w:ascii="Times New Roman" w:hAnsi="Times New Roman"/>
                <w:b w:val="0"/>
                <w:sz w:val="24"/>
                <w:u w:val="none"/>
              </w:rPr>
              <w:t>Regulation (EU) No 575/2013</w:t>
            </w:r>
            <w:r w:rsidRPr="001562B3">
              <w:rPr>
                <w:rStyle w:val="InstructionsTabelleberschrift"/>
                <w:rFonts w:ascii="Times New Roman" w:hAnsi="Times New Roman"/>
                <w:b w:val="0"/>
                <w:sz w:val="24"/>
                <w:u w:val="none"/>
              </w:rPr>
              <w:t xml:space="preserve">, at the exclusion of instruments </w:t>
            </w:r>
            <w:r w:rsidRPr="001562B3">
              <w:rPr>
                <w:rStyle w:val="InstructionsTabelleberschrift"/>
                <w:rFonts w:ascii="Times New Roman" w:hAnsi="Times New Roman"/>
                <w:b w:val="0"/>
                <w:sz w:val="24"/>
                <w:u w:val="none"/>
              </w:rPr>
              <w:lastRenderedPageBreak/>
              <w:t xml:space="preserve">pursuant to Article 72b(3) to (5) </w:t>
            </w:r>
            <w:r w:rsidR="00B863DF" w:rsidRPr="001562B3">
              <w:rPr>
                <w:rStyle w:val="InstructionsTabelleberschrift"/>
                <w:rFonts w:ascii="Times New Roman" w:hAnsi="Times New Roman"/>
                <w:b w:val="0"/>
                <w:sz w:val="24"/>
                <w:u w:val="none"/>
              </w:rPr>
              <w:t>of that Regulation</w:t>
            </w:r>
            <w:r w:rsidRPr="001562B3">
              <w:rPr>
                <w:rStyle w:val="InstructionsTabelleberschrift"/>
                <w:rFonts w:ascii="Times New Roman" w:hAnsi="Times New Roman"/>
                <w:b w:val="0"/>
                <w:sz w:val="24"/>
                <w:u w:val="none"/>
              </w:rPr>
              <w:t>, that are issued by G-SIIs.</w:t>
            </w:r>
          </w:p>
        </w:tc>
      </w:tr>
      <w:tr w:rsidR="004B26E4" w:rsidRPr="001562B3" w:rsidDel="000A3889" w14:paraId="7650C255" w14:textId="77777777" w:rsidTr="008E6E73">
        <w:trPr>
          <w:trHeight w:val="996"/>
        </w:trPr>
        <w:tc>
          <w:tcPr>
            <w:tcW w:w="1129" w:type="dxa"/>
            <w:vAlign w:val="center"/>
          </w:tcPr>
          <w:p w14:paraId="6A96DF1D" w14:textId="132F91C1"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0480</w:t>
            </w:r>
          </w:p>
        </w:tc>
        <w:tc>
          <w:tcPr>
            <w:tcW w:w="7620" w:type="dxa"/>
          </w:tcPr>
          <w:p w14:paraId="70DB94C0" w14:textId="33495A29"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Investments in subordinated eligible liabilities of O-SIIs</w:t>
            </w:r>
          </w:p>
          <w:p w14:paraId="7CD464ED" w14:textId="141E401F" w:rsidR="004B26E4" w:rsidRPr="001562B3" w:rsidRDefault="004B26E4">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Amount of holdings of eligible liabilities instruments </w:t>
            </w:r>
            <w:r w:rsidR="006B339C" w:rsidRPr="001562B3">
              <w:rPr>
                <w:rStyle w:val="InstructionsTabelleberschrift"/>
                <w:rFonts w:ascii="Times New Roman" w:hAnsi="Times New Roman"/>
                <w:b w:val="0"/>
                <w:sz w:val="24"/>
                <w:u w:val="none"/>
              </w:rPr>
              <w:t>as referred to in</w:t>
            </w:r>
            <w:r w:rsidRPr="001562B3">
              <w:rPr>
                <w:rStyle w:val="InstructionsTabelleberschrift"/>
                <w:rFonts w:ascii="Times New Roman" w:hAnsi="Times New Roman"/>
                <w:b w:val="0"/>
                <w:sz w:val="24"/>
                <w:u w:val="none"/>
              </w:rPr>
              <w:t xml:space="preserve"> Article 72b(2) </w:t>
            </w:r>
            <w:r w:rsidR="006B339C" w:rsidRPr="001562B3">
              <w:t xml:space="preserve">of </w:t>
            </w:r>
            <w:r w:rsidR="00C47ED5" w:rsidRPr="001562B3">
              <w:t>Regulation (EU) No 575/2013</w:t>
            </w:r>
            <w:r w:rsidRPr="001562B3">
              <w:rPr>
                <w:rStyle w:val="InstructionsTabelleberschrift"/>
                <w:rFonts w:ascii="Times New Roman" w:hAnsi="Times New Roman"/>
                <w:b w:val="0"/>
                <w:sz w:val="24"/>
                <w:u w:val="none"/>
              </w:rPr>
              <w:t xml:space="preserve"> that are issued by O-SIIs.</w:t>
            </w:r>
          </w:p>
          <w:p w14:paraId="38FA530C" w14:textId="678EB475" w:rsidR="004B26E4" w:rsidRPr="001562B3" w:rsidRDefault="004B26E4">
            <w:pPr>
              <w:pStyle w:val="InstructionsText"/>
              <w:rPr>
                <w:rStyle w:val="InstructionsTabelleberschrift"/>
                <w:rFonts w:ascii="Times New Roman" w:hAnsi="Times New Roman"/>
                <w:sz w:val="24"/>
              </w:rPr>
            </w:pPr>
            <w:r w:rsidRPr="001562B3">
              <w:rPr>
                <w:rStyle w:val="InstructionsTabelleberschrift"/>
                <w:rFonts w:ascii="Times New Roman" w:hAnsi="Times New Roman"/>
                <w:b w:val="0"/>
                <w:sz w:val="24"/>
                <w:u w:val="none"/>
              </w:rPr>
              <w:t>Investments in subordinated eligible liabilities of O-SIIs that are at the same time G-SIIs shall not be reported in this row, but exclusively in row 0</w:t>
            </w:r>
            <w:r w:rsidR="00FD37B7" w:rsidRPr="001562B3">
              <w:rPr>
                <w:rStyle w:val="InstructionsTabelleberschrift"/>
                <w:rFonts w:ascii="Times New Roman" w:hAnsi="Times New Roman"/>
                <w:b w:val="0"/>
                <w:sz w:val="24"/>
                <w:u w:val="none"/>
              </w:rPr>
              <w:t>47</w:t>
            </w:r>
            <w:r w:rsidRPr="001562B3">
              <w:rPr>
                <w:rStyle w:val="InstructionsTabelleberschrift"/>
                <w:rFonts w:ascii="Times New Roman" w:hAnsi="Times New Roman"/>
                <w:b w:val="0"/>
                <w:sz w:val="24"/>
                <w:u w:val="none"/>
              </w:rPr>
              <w:t>0.</w:t>
            </w:r>
          </w:p>
        </w:tc>
      </w:tr>
      <w:tr w:rsidR="004B26E4" w:rsidRPr="001562B3" w:rsidDel="000A3889" w14:paraId="4DE21622" w14:textId="77777777" w:rsidTr="005F608F">
        <w:tc>
          <w:tcPr>
            <w:tcW w:w="1129" w:type="dxa"/>
            <w:vAlign w:val="center"/>
          </w:tcPr>
          <w:p w14:paraId="24857184" w14:textId="1A8E3AB8"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0490</w:t>
            </w:r>
          </w:p>
        </w:tc>
        <w:tc>
          <w:tcPr>
            <w:tcW w:w="7620" w:type="dxa"/>
          </w:tcPr>
          <w:p w14:paraId="7A6FD579"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Investments in subordinated eligible liabilities of other institutions</w:t>
            </w:r>
          </w:p>
          <w:p w14:paraId="2E60AD38" w14:textId="475CCA51" w:rsidR="004B26E4" w:rsidRPr="001562B3" w:rsidRDefault="004B26E4">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Amount of holdings of eligible liabilities instruments </w:t>
            </w:r>
            <w:r w:rsidR="006B339C" w:rsidRPr="001562B3">
              <w:rPr>
                <w:rStyle w:val="InstructionsTabelleberschrift"/>
                <w:rFonts w:ascii="Times New Roman" w:hAnsi="Times New Roman"/>
                <w:b w:val="0"/>
                <w:sz w:val="24"/>
                <w:u w:val="none"/>
              </w:rPr>
              <w:t>as referred to in</w:t>
            </w:r>
            <w:r w:rsidRPr="001562B3">
              <w:rPr>
                <w:rStyle w:val="InstructionsTabelleberschrift"/>
                <w:rFonts w:ascii="Times New Roman" w:hAnsi="Times New Roman"/>
                <w:b w:val="0"/>
                <w:sz w:val="24"/>
                <w:u w:val="none"/>
              </w:rPr>
              <w:t xml:space="preserve"> Article 72b(2) </w:t>
            </w:r>
            <w:r w:rsidR="006B339C" w:rsidRPr="001562B3">
              <w:t xml:space="preserve">of </w:t>
            </w:r>
            <w:r w:rsidR="00C47ED5" w:rsidRPr="001562B3">
              <w:t>Regulation (EU) No 575/2013</w:t>
            </w:r>
            <w:r w:rsidRPr="001562B3">
              <w:rPr>
                <w:rStyle w:val="InstructionsTabelleberschrift"/>
                <w:rFonts w:ascii="Times New Roman" w:hAnsi="Times New Roman"/>
                <w:b w:val="0"/>
                <w:sz w:val="24"/>
                <w:u w:val="none"/>
              </w:rPr>
              <w:t xml:space="preserve"> that are issued by institutions that are neither G-SIIs nor O-SIIs.</w:t>
            </w:r>
          </w:p>
        </w:tc>
      </w:tr>
      <w:tr w:rsidR="004B26E4" w:rsidRPr="001562B3" w:rsidDel="000A3889" w14:paraId="64D619AB" w14:textId="77777777" w:rsidTr="005F608F">
        <w:tc>
          <w:tcPr>
            <w:tcW w:w="1129" w:type="dxa"/>
            <w:vAlign w:val="center"/>
          </w:tcPr>
          <w:p w14:paraId="6ACE68D1" w14:textId="6650FAE0" w:rsidR="004B26E4" w:rsidRPr="001562B3" w:rsidRDefault="004B26E4"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0500</w:t>
            </w:r>
          </w:p>
        </w:tc>
        <w:tc>
          <w:tcPr>
            <w:tcW w:w="7620" w:type="dxa"/>
          </w:tcPr>
          <w:p w14:paraId="63ABFEFC" w14:textId="77777777" w:rsidR="004B26E4" w:rsidRPr="001562B3" w:rsidRDefault="004B26E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Excluded liabilities</w:t>
            </w:r>
          </w:p>
          <w:p w14:paraId="0B9817CF" w14:textId="5B950FA2" w:rsidR="004B26E4" w:rsidRPr="001562B3" w:rsidRDefault="004B26E4">
            <w:pPr>
              <w:pStyle w:val="InstructionsText"/>
              <w:rPr>
                <w:rStyle w:val="InstructionsTabelleberschrift"/>
                <w:rFonts w:ascii="Times New Roman" w:hAnsi="Times New Roman"/>
                <w:sz w:val="24"/>
              </w:rPr>
            </w:pPr>
            <w:r w:rsidRPr="001562B3">
              <w:rPr>
                <w:rStyle w:val="InstructionsTabelleberschrift"/>
                <w:rFonts w:ascii="Times New Roman" w:hAnsi="Times New Roman"/>
                <w:b w:val="0"/>
                <w:sz w:val="24"/>
                <w:u w:val="none"/>
              </w:rPr>
              <w:t xml:space="preserve">Article 72a(2) </w:t>
            </w:r>
            <w:r w:rsidR="006B339C" w:rsidRPr="001562B3">
              <w:t xml:space="preserve">of </w:t>
            </w:r>
            <w:r w:rsidR="00C47ED5" w:rsidRPr="001562B3">
              <w:t>Regulation (EU) No 575/2013</w:t>
            </w:r>
            <w:r w:rsidR="00B11263" w:rsidRPr="001562B3">
              <w:t>.</w:t>
            </w:r>
            <w:r w:rsidR="006B339C" w:rsidRPr="001562B3">
              <w:rPr>
                <w:rStyle w:val="InstructionsTabelleberschrift"/>
                <w:rFonts w:ascii="Times New Roman" w:hAnsi="Times New Roman"/>
                <w:b w:val="0"/>
                <w:sz w:val="24"/>
                <w:u w:val="none"/>
              </w:rPr>
              <w:t>.</w:t>
            </w:r>
          </w:p>
        </w:tc>
      </w:tr>
    </w:tbl>
    <w:p w14:paraId="56EB0CAA" w14:textId="633BECAD" w:rsidR="00A63011" w:rsidRPr="001562B3" w:rsidRDefault="00A63011"/>
    <w:p w14:paraId="155D68FA" w14:textId="13C73186" w:rsidR="00482729" w:rsidRPr="001562B3" w:rsidRDefault="00482729" w:rsidP="00873459">
      <w:pPr>
        <w:pStyle w:val="Numberedtilelevel1"/>
        <w:numPr>
          <w:ilvl w:val="1"/>
          <w:numId w:val="30"/>
        </w:numPr>
      </w:pPr>
      <w:bookmarkStart w:id="46" w:name="_Toc45558486"/>
      <w:r w:rsidRPr="001562B3">
        <w:t xml:space="preserve">M </w:t>
      </w:r>
      <w:r w:rsidR="00D94B63" w:rsidRPr="001562B3">
        <w:t>03</w:t>
      </w:r>
      <w:r w:rsidRPr="001562B3">
        <w:t xml:space="preserve">.00 – </w:t>
      </w:r>
      <w:r w:rsidR="00D94B63" w:rsidRPr="001562B3">
        <w:t xml:space="preserve">Internal MREL and </w:t>
      </w:r>
      <w:r w:rsidR="0091347F" w:rsidRPr="001562B3">
        <w:t>Internal TLAC</w:t>
      </w:r>
      <w:r w:rsidR="006F0E89" w:rsidRPr="001562B3">
        <w:t xml:space="preserve"> </w:t>
      </w:r>
      <w:r w:rsidR="00D94B63" w:rsidRPr="001562B3">
        <w:t>(I</w:t>
      </w:r>
      <w:r w:rsidR="00592C0C" w:rsidRPr="001562B3">
        <w:t>LAC</w:t>
      </w:r>
      <w:r w:rsidR="00D94B63" w:rsidRPr="001562B3">
        <w:t>)</w:t>
      </w:r>
      <w:bookmarkEnd w:id="46"/>
    </w:p>
    <w:p w14:paraId="3B90FFA9" w14:textId="51811D4F" w:rsidR="00482729" w:rsidRPr="001562B3" w:rsidRDefault="00482729" w:rsidP="00873459">
      <w:pPr>
        <w:pStyle w:val="Numberedtilelevel1"/>
        <w:numPr>
          <w:ilvl w:val="2"/>
          <w:numId w:val="30"/>
        </w:numPr>
      </w:pPr>
      <w:bookmarkStart w:id="47" w:name="_Toc16868638"/>
      <w:bookmarkStart w:id="48" w:name="_Toc20316751"/>
      <w:bookmarkStart w:id="49" w:name="_Toc45558487"/>
      <w:r w:rsidRPr="001562B3">
        <w:t>General remarks</w:t>
      </w:r>
      <w:bookmarkEnd w:id="47"/>
      <w:bookmarkEnd w:id="48"/>
      <w:bookmarkEnd w:id="49"/>
    </w:p>
    <w:p w14:paraId="1C147C02" w14:textId="6DCE8FA1" w:rsidR="00B94302" w:rsidRPr="001562B3" w:rsidRDefault="000466F4" w:rsidP="00E05895">
      <w:pPr>
        <w:pStyle w:val="InstructionsText2"/>
      </w:pPr>
      <w:r w:rsidRPr="001562B3">
        <w:t xml:space="preserve">Template M 03.00 </w:t>
      </w:r>
      <w:r w:rsidR="003E7AB6" w:rsidRPr="001562B3">
        <w:t xml:space="preserve">presents the </w:t>
      </w:r>
      <w:r w:rsidR="00B94302" w:rsidRPr="001562B3">
        <w:t xml:space="preserve">own funds and eligible liabilities for the purposes of </w:t>
      </w:r>
    </w:p>
    <w:p w14:paraId="12678ACA" w14:textId="1FD31B39" w:rsidR="00B94302" w:rsidRPr="001562B3" w:rsidRDefault="00B11263" w:rsidP="001562B3">
      <w:pPr>
        <w:pStyle w:val="InstructionsText2"/>
        <w:numPr>
          <w:ilvl w:val="0"/>
          <w:numId w:val="0"/>
        </w:numPr>
        <w:ind w:left="1080"/>
      </w:pPr>
      <w:r w:rsidRPr="001562B3">
        <w:t xml:space="preserve">(a) </w:t>
      </w:r>
      <w:r w:rsidR="00B94302" w:rsidRPr="001562B3">
        <w:t xml:space="preserve">the requirement for own funds and eligible liabilities of entities that are not themselves resolution entities pursuant to Article 45f </w:t>
      </w:r>
      <w:r w:rsidR="00B33C46" w:rsidRPr="001562B3">
        <w:t>of Directive 2014/59/EU</w:t>
      </w:r>
      <w:r w:rsidR="00B94302" w:rsidRPr="001562B3">
        <w:t xml:space="preserve"> (</w:t>
      </w:r>
      <w:r w:rsidR="000466F4" w:rsidRPr="001562B3">
        <w:t>internal MREL</w:t>
      </w:r>
      <w:r w:rsidR="00B94302" w:rsidRPr="001562B3">
        <w:t>)</w:t>
      </w:r>
      <w:r w:rsidRPr="001562B3">
        <w:t>; and</w:t>
      </w:r>
      <w:r w:rsidR="000466F4" w:rsidRPr="001562B3">
        <w:t xml:space="preserve"> </w:t>
      </w:r>
    </w:p>
    <w:p w14:paraId="39FE2B42" w14:textId="1AB38771" w:rsidR="000466F4" w:rsidRPr="001562B3" w:rsidRDefault="00B11263" w:rsidP="001562B3">
      <w:pPr>
        <w:pStyle w:val="InstructionsText2"/>
        <w:numPr>
          <w:ilvl w:val="0"/>
          <w:numId w:val="0"/>
        </w:numPr>
        <w:ind w:left="1080"/>
      </w:pPr>
      <w:r w:rsidRPr="001562B3">
        <w:t xml:space="preserve">(b) </w:t>
      </w:r>
      <w:r w:rsidR="00B94302" w:rsidRPr="001562B3">
        <w:t xml:space="preserve">the requirement for own funds and eligible liabilities for non-EU G-SIIs applicable to </w:t>
      </w:r>
      <w:r w:rsidR="000466F4" w:rsidRPr="001562B3">
        <w:t xml:space="preserve">material subsidiaries of third country G-SIIs </w:t>
      </w:r>
      <w:r w:rsidR="00B94302" w:rsidRPr="001562B3">
        <w:t xml:space="preserve">pursuant to </w:t>
      </w:r>
      <w:r w:rsidR="000466F4" w:rsidRPr="001562B3">
        <w:t>Article 92b</w:t>
      </w:r>
      <w:r w:rsidRPr="001562B3">
        <w:t xml:space="preserve"> of </w:t>
      </w:r>
      <w:r w:rsidR="00C47ED5" w:rsidRPr="001562B3">
        <w:t>Regulation (EU) No 575/2013</w:t>
      </w:r>
      <w:r w:rsidR="000466F4" w:rsidRPr="001562B3">
        <w:t xml:space="preserve"> </w:t>
      </w:r>
      <w:r w:rsidR="00B94302" w:rsidRPr="001562B3">
        <w:t>(internal TLAC)</w:t>
      </w:r>
      <w:r w:rsidR="000466F4" w:rsidRPr="001562B3">
        <w:t>.</w:t>
      </w:r>
    </w:p>
    <w:p w14:paraId="30A80998" w14:textId="686EE1CB" w:rsidR="00095D0D" w:rsidRPr="001562B3" w:rsidRDefault="00095D0D" w:rsidP="00E05895">
      <w:pPr>
        <w:pStyle w:val="InstructionsText2"/>
      </w:pPr>
      <w:r w:rsidRPr="001562B3">
        <w:t xml:space="preserve">The column referring to internal MREL shall be filled in by entities that are subject to the minimum requirement for own funds and eligible liabilities in accordance with Articles 45 and 45f </w:t>
      </w:r>
      <w:r w:rsidR="00B33C46" w:rsidRPr="001562B3">
        <w:t>of Directive 2014/59/EU</w:t>
      </w:r>
      <w:r w:rsidRPr="001562B3">
        <w:t xml:space="preserve">. Only those entities obliged to comply with the requirement of Article 92b </w:t>
      </w:r>
      <w:r w:rsidR="00B11263" w:rsidRPr="001562B3">
        <w:t xml:space="preserve">of </w:t>
      </w:r>
      <w:r w:rsidR="00C47ED5" w:rsidRPr="001562B3">
        <w:t>Regulation (EU) No 575/2013</w:t>
      </w:r>
      <w:r w:rsidRPr="001562B3">
        <w:t xml:space="preserve"> shall report items referring to the G-SII requirement for own funds and eligible liabilities (TLAC).</w:t>
      </w:r>
    </w:p>
    <w:p w14:paraId="36894AC7" w14:textId="49DE3AD7" w:rsidR="00482729" w:rsidRPr="001562B3" w:rsidRDefault="00482729" w:rsidP="00873459">
      <w:pPr>
        <w:pStyle w:val="Numberedtilelevel1"/>
        <w:numPr>
          <w:ilvl w:val="2"/>
          <w:numId w:val="30"/>
        </w:numPr>
      </w:pPr>
      <w:bookmarkStart w:id="50" w:name="_Toc45558488"/>
      <w:bookmarkStart w:id="51" w:name="_Toc18593305"/>
      <w:bookmarkStart w:id="52" w:name="_Toc16868639"/>
      <w:bookmarkStart w:id="53" w:name="_Toc20316752"/>
      <w:bookmarkStart w:id="54" w:name="_Toc45558489"/>
      <w:bookmarkEnd w:id="50"/>
      <w:bookmarkEnd w:id="51"/>
      <w:r w:rsidRPr="001562B3">
        <w:t>Instructions concerning specific positions</w:t>
      </w:r>
      <w:bookmarkEnd w:id="52"/>
      <w:bookmarkEnd w:id="53"/>
      <w:bookmarkEnd w:id="54"/>
    </w:p>
    <w:tbl>
      <w:tblPr>
        <w:tblW w:w="8749" w:type="dxa"/>
        <w:tblInd w:w="539" w:type="dxa"/>
        <w:tblLayout w:type="fixed"/>
        <w:tblLook w:val="00A0" w:firstRow="1" w:lastRow="0" w:firstColumn="1" w:lastColumn="0" w:noHBand="0" w:noVBand="0"/>
      </w:tblPr>
      <w:tblGrid>
        <w:gridCol w:w="1129"/>
        <w:gridCol w:w="7620"/>
      </w:tblGrid>
      <w:tr w:rsidR="00D94B63" w:rsidRPr="001562B3" w14:paraId="62525A48" w14:textId="77777777" w:rsidTr="00975018">
        <w:tc>
          <w:tcPr>
            <w:tcW w:w="1129" w:type="dxa"/>
            <w:tcBorders>
              <w:top w:val="single" w:sz="4" w:space="0" w:color="auto"/>
              <w:left w:val="single" w:sz="4" w:space="0" w:color="auto"/>
              <w:bottom w:val="single" w:sz="4" w:space="0" w:color="auto"/>
              <w:right w:val="single" w:sz="4" w:space="0" w:color="auto"/>
            </w:tcBorders>
            <w:shd w:val="clear" w:color="auto" w:fill="D9D9D9"/>
          </w:tcPr>
          <w:p w14:paraId="36A80631" w14:textId="77777777" w:rsidR="00D94B63" w:rsidRPr="001562B3" w:rsidRDefault="00D94B63" w:rsidP="00E05895">
            <w:pPr>
              <w:pStyle w:val="InstructionsText"/>
            </w:pPr>
            <w:r w:rsidRPr="001562B3">
              <w:rPr>
                <w:rStyle w:val="FormatvorlageInstructionsTabelleText"/>
                <w:rFonts w:ascii="Times New Roman" w:hAnsi="Times New Roman"/>
                <w:sz w:val="24"/>
              </w:rPr>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670267BB" w14:textId="77777777" w:rsidR="00D94B63" w:rsidRPr="001562B3" w:rsidRDefault="00D94B63" w:rsidP="008E501F">
            <w:pPr>
              <w:pStyle w:val="InstructionsText"/>
            </w:pPr>
            <w:r w:rsidRPr="001562B3">
              <w:t>Legal references and instructions</w:t>
            </w:r>
          </w:p>
        </w:tc>
      </w:tr>
      <w:tr w:rsidR="001B51A1" w:rsidRPr="001562B3" w14:paraId="296729BB" w14:textId="77777777" w:rsidTr="00975018">
        <w:tc>
          <w:tcPr>
            <w:tcW w:w="1129" w:type="dxa"/>
            <w:tcBorders>
              <w:top w:val="single" w:sz="4" w:space="0" w:color="auto"/>
              <w:left w:val="single" w:sz="4" w:space="0" w:color="auto"/>
              <w:bottom w:val="single" w:sz="4" w:space="0" w:color="auto"/>
              <w:right w:val="single" w:sz="4" w:space="0" w:color="auto"/>
            </w:tcBorders>
            <w:shd w:val="clear" w:color="auto" w:fill="auto"/>
          </w:tcPr>
          <w:p w14:paraId="0C5E64D6" w14:textId="07D5BA6C" w:rsidR="001B51A1" w:rsidRPr="001562B3" w:rsidRDefault="001B51A1" w:rsidP="00E05895">
            <w:pPr>
              <w:pStyle w:val="InstructionsText"/>
            </w:pPr>
            <w:r w:rsidRPr="001562B3">
              <w:rPr>
                <w:rStyle w:val="FormatvorlageInstructionsTabelleText"/>
                <w:rFonts w:ascii="Times New Roman" w:hAnsi="Times New Roman"/>
                <w:sz w:val="24"/>
              </w:rPr>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2A526B3" w14:textId="49E67982" w:rsidR="001B51A1" w:rsidRPr="001562B3" w:rsidRDefault="001B51A1"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Internal MREL</w:t>
            </w:r>
          </w:p>
          <w:p w14:paraId="201A3B71" w14:textId="00D90FED" w:rsidR="001B51A1" w:rsidRPr="001562B3" w:rsidRDefault="001B51A1">
            <w:pPr>
              <w:pStyle w:val="InstructionsText"/>
            </w:pPr>
            <w:r w:rsidRPr="001562B3">
              <w:rPr>
                <w:rStyle w:val="InstructionsTabelleberschrift"/>
                <w:rFonts w:ascii="Times New Roman" w:hAnsi="Times New Roman"/>
                <w:b w:val="0"/>
                <w:sz w:val="24"/>
                <w:u w:val="none"/>
              </w:rPr>
              <w:t>Article</w:t>
            </w:r>
            <w:r w:rsidR="005B3F5D" w:rsidRPr="001562B3">
              <w:rPr>
                <w:rStyle w:val="InstructionsTabelleberschrift"/>
                <w:rFonts w:ascii="Times New Roman" w:hAnsi="Times New Roman"/>
                <w:b w:val="0"/>
                <w:sz w:val="24"/>
                <w:u w:val="none"/>
              </w:rPr>
              <w:t>s 45 and</w:t>
            </w:r>
            <w:r w:rsidRPr="001562B3">
              <w:rPr>
                <w:rStyle w:val="InstructionsTabelleberschrift"/>
                <w:rFonts w:ascii="Times New Roman" w:hAnsi="Times New Roman"/>
                <w:b w:val="0"/>
                <w:sz w:val="24"/>
                <w:u w:val="none"/>
              </w:rPr>
              <w:t xml:space="preserve"> 45f </w:t>
            </w:r>
            <w:r w:rsidR="00B33C46" w:rsidRPr="001562B3">
              <w:rPr>
                <w:rStyle w:val="InstructionsTabelleberschrift"/>
                <w:rFonts w:ascii="Times New Roman" w:hAnsi="Times New Roman"/>
                <w:b w:val="0"/>
                <w:sz w:val="24"/>
                <w:u w:val="none"/>
              </w:rPr>
              <w:t xml:space="preserve">of </w:t>
            </w:r>
            <w:r w:rsidR="00B33C46" w:rsidRPr="001562B3">
              <w:t>Directive 2014/59/EU</w:t>
            </w:r>
            <w:r w:rsidRPr="001562B3">
              <w:rPr>
                <w:rStyle w:val="InstructionsTabelleberschrift"/>
                <w:rFonts w:ascii="Times New Roman" w:hAnsi="Times New Roman"/>
                <w:b w:val="0"/>
                <w:sz w:val="24"/>
                <w:u w:val="none"/>
              </w:rPr>
              <w:t>.</w:t>
            </w:r>
          </w:p>
        </w:tc>
      </w:tr>
      <w:tr w:rsidR="001B51A1" w:rsidRPr="001562B3" w14:paraId="45E2D445" w14:textId="77777777" w:rsidTr="00975018">
        <w:tc>
          <w:tcPr>
            <w:tcW w:w="1129" w:type="dxa"/>
            <w:tcBorders>
              <w:top w:val="single" w:sz="4" w:space="0" w:color="auto"/>
              <w:left w:val="single" w:sz="4" w:space="0" w:color="auto"/>
              <w:bottom w:val="single" w:sz="4" w:space="0" w:color="auto"/>
              <w:right w:val="single" w:sz="4" w:space="0" w:color="auto"/>
            </w:tcBorders>
            <w:shd w:val="clear" w:color="auto" w:fill="auto"/>
          </w:tcPr>
          <w:p w14:paraId="7D3748B5" w14:textId="706D15B3" w:rsidR="001B51A1" w:rsidRPr="001562B3" w:rsidRDefault="001B51A1"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6F52706" w14:textId="75D40260" w:rsidR="001B51A1" w:rsidRPr="001562B3" w:rsidRDefault="005B3F5D"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w:t>
            </w:r>
            <w:r w:rsidR="001B51A1" w:rsidRPr="001562B3">
              <w:rPr>
                <w:rStyle w:val="InstructionsTabelleberschrift"/>
                <w:rFonts w:ascii="Times New Roman" w:hAnsi="Times New Roman"/>
                <w:sz w:val="24"/>
              </w:rPr>
              <w:t>nternal TLAC</w:t>
            </w:r>
          </w:p>
          <w:p w14:paraId="4CED47A8" w14:textId="3FFFF330" w:rsidR="001B51A1" w:rsidRPr="001562B3" w:rsidRDefault="001B51A1">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92b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B11263" w:rsidRPr="001562B3">
              <w:rPr>
                <w:rStyle w:val="FormatvorlageInstructionsTabelleText"/>
                <w:rFonts w:ascii="Times New Roman" w:hAnsi="Times New Roman"/>
                <w:sz w:val="24"/>
              </w:rPr>
              <w:t>.</w:t>
            </w:r>
          </w:p>
        </w:tc>
      </w:tr>
    </w:tbl>
    <w:p w14:paraId="6B5C3257" w14:textId="77777777" w:rsidR="00D94B63" w:rsidRPr="001562B3" w:rsidRDefault="00D94B63" w:rsidP="00C814BF"/>
    <w:tbl>
      <w:tblPr>
        <w:tblW w:w="875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0"/>
        <w:gridCol w:w="7624"/>
      </w:tblGrid>
      <w:tr w:rsidR="00482729" w:rsidRPr="001562B3" w14:paraId="4C57F7FD" w14:textId="77777777" w:rsidTr="003D419A">
        <w:tc>
          <w:tcPr>
            <w:tcW w:w="1130" w:type="dxa"/>
            <w:shd w:val="clear" w:color="auto" w:fill="D9D9D9"/>
          </w:tcPr>
          <w:p w14:paraId="04790BF0" w14:textId="77777777" w:rsidR="00482729" w:rsidRPr="001562B3" w:rsidRDefault="00482729" w:rsidP="00E05895">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Row</w:t>
            </w:r>
          </w:p>
        </w:tc>
        <w:tc>
          <w:tcPr>
            <w:tcW w:w="7624" w:type="dxa"/>
            <w:shd w:val="clear" w:color="auto" w:fill="D9D9D9"/>
          </w:tcPr>
          <w:p w14:paraId="32CBB7D3" w14:textId="77777777" w:rsidR="00482729" w:rsidRPr="001562B3" w:rsidRDefault="00482729" w:rsidP="00E05895">
            <w:pPr>
              <w:pStyle w:val="InstructionsText"/>
              <w:rPr>
                <w:rStyle w:val="InstructionsTabelleText"/>
                <w:rFonts w:ascii="Times New Roman" w:eastAsia="Arial" w:hAnsi="Times New Roman"/>
                <w:bCs/>
                <w:sz w:val="24"/>
                <w:lang w:eastAsia="x-none"/>
              </w:rPr>
            </w:pPr>
            <w:r w:rsidRPr="001562B3">
              <w:rPr>
                <w:rStyle w:val="InstructionsTabelleText"/>
                <w:rFonts w:ascii="Times New Roman" w:hAnsi="Times New Roman"/>
                <w:sz w:val="24"/>
              </w:rPr>
              <w:t>Legal references and instructions</w:t>
            </w:r>
          </w:p>
        </w:tc>
      </w:tr>
      <w:tr w:rsidR="00482729" w:rsidRPr="001562B3" w14:paraId="41AF0D4A" w14:textId="77777777" w:rsidTr="003D419A">
        <w:tc>
          <w:tcPr>
            <w:tcW w:w="1130" w:type="dxa"/>
          </w:tcPr>
          <w:p w14:paraId="1DB3C03E" w14:textId="7AE25700" w:rsidR="00482729" w:rsidRPr="001562B3" w:rsidRDefault="0048272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00</w:t>
            </w:r>
            <w:r w:rsidR="006F0E89" w:rsidRPr="001562B3">
              <w:rPr>
                <w:rStyle w:val="FormatvorlageInstructionsTabelleText"/>
                <w:rFonts w:ascii="Times New Roman" w:hAnsi="Times New Roman"/>
                <w:sz w:val="24"/>
              </w:rPr>
              <w:t>1</w:t>
            </w:r>
            <w:r w:rsidRPr="001562B3">
              <w:rPr>
                <w:rStyle w:val="FormatvorlageInstructionsTabelleText"/>
                <w:rFonts w:ascii="Times New Roman" w:hAnsi="Times New Roman"/>
                <w:sz w:val="24"/>
              </w:rPr>
              <w:t>0</w:t>
            </w:r>
          </w:p>
        </w:tc>
        <w:tc>
          <w:tcPr>
            <w:tcW w:w="7624" w:type="dxa"/>
          </w:tcPr>
          <w:p w14:paraId="13E2D408" w14:textId="6AAA9F68" w:rsidR="00482729" w:rsidRPr="001562B3" w:rsidRDefault="00B827DB"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xml:space="preserve">Level </w:t>
            </w:r>
            <w:r w:rsidR="00482729" w:rsidRPr="001562B3">
              <w:rPr>
                <w:rStyle w:val="InstructionsTabelleberschrift"/>
                <w:rFonts w:ascii="Times New Roman" w:hAnsi="Times New Roman"/>
                <w:sz w:val="24"/>
              </w:rPr>
              <w:t>of application</w:t>
            </w:r>
          </w:p>
          <w:p w14:paraId="7FECF1A5" w14:textId="60A40903" w:rsidR="00482729" w:rsidRPr="001562B3" w:rsidRDefault="00482729" w:rsidP="00482729">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If the entity is subject to </w:t>
            </w:r>
            <w:r w:rsidR="002F4769" w:rsidRPr="001562B3">
              <w:rPr>
                <w:rStyle w:val="FormatvorlageInstructionsTabelleText"/>
                <w:rFonts w:ascii="Times New Roman" w:hAnsi="Times New Roman"/>
                <w:sz w:val="24"/>
                <w:lang w:eastAsia="de-DE"/>
              </w:rPr>
              <w:t xml:space="preserve">internal </w:t>
            </w:r>
            <w:r w:rsidRPr="001562B3">
              <w:rPr>
                <w:rStyle w:val="FormatvorlageInstructionsTabelleText"/>
                <w:rFonts w:ascii="Times New Roman" w:hAnsi="Times New Roman"/>
                <w:sz w:val="24"/>
                <w:lang w:eastAsia="de-DE"/>
              </w:rPr>
              <w:t>MREL</w:t>
            </w:r>
            <w:r w:rsidR="00F73BBA" w:rsidRPr="001562B3">
              <w:rPr>
                <w:rStyle w:val="FormatvorlageInstructionsTabelleText"/>
                <w:rFonts w:ascii="Times New Roman" w:hAnsi="Times New Roman"/>
                <w:sz w:val="24"/>
                <w:lang w:eastAsia="de-DE"/>
              </w:rPr>
              <w:t>, and where applicable internal TLAC,</w:t>
            </w:r>
            <w:r w:rsidRPr="001562B3">
              <w:rPr>
                <w:rStyle w:val="FormatvorlageInstructionsTabelleText"/>
                <w:rFonts w:ascii="Times New Roman" w:hAnsi="Times New Roman"/>
                <w:sz w:val="24"/>
                <w:lang w:eastAsia="de-DE"/>
              </w:rPr>
              <w:t xml:space="preserve"> on an individual basis, it shall indicate ‘individual’.</w:t>
            </w:r>
          </w:p>
          <w:p w14:paraId="3FFF56BB" w14:textId="1F40B525" w:rsidR="00482729" w:rsidRPr="001562B3" w:rsidRDefault="00482729"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If the entity is subject to </w:t>
            </w:r>
            <w:r w:rsidR="002F4769" w:rsidRPr="001562B3">
              <w:rPr>
                <w:rStyle w:val="FormatvorlageInstructionsTabelleText"/>
                <w:rFonts w:ascii="Times New Roman" w:hAnsi="Times New Roman"/>
                <w:sz w:val="24"/>
              </w:rPr>
              <w:t xml:space="preserve">internal </w:t>
            </w:r>
            <w:r w:rsidRPr="001562B3">
              <w:rPr>
                <w:rStyle w:val="FormatvorlageInstructionsTabelleText"/>
                <w:rFonts w:ascii="Times New Roman" w:hAnsi="Times New Roman"/>
                <w:sz w:val="24"/>
              </w:rPr>
              <w:t>MREL</w:t>
            </w:r>
            <w:r w:rsidR="00F73BBA" w:rsidRPr="001562B3">
              <w:rPr>
                <w:rStyle w:val="FormatvorlageInstructionsTabelleText"/>
                <w:rFonts w:ascii="Times New Roman" w:hAnsi="Times New Roman"/>
                <w:sz w:val="24"/>
              </w:rPr>
              <w:t>, and where applicable internal TLAC,</w:t>
            </w:r>
            <w:r w:rsidRPr="001562B3">
              <w:rPr>
                <w:rStyle w:val="FormatvorlageInstructionsTabelleText"/>
                <w:rFonts w:ascii="Times New Roman" w:hAnsi="Times New Roman"/>
                <w:sz w:val="24"/>
              </w:rPr>
              <w:t xml:space="preserve"> </w:t>
            </w:r>
            <w:r w:rsidR="002F4769" w:rsidRPr="001562B3">
              <w:rPr>
                <w:rStyle w:val="FormatvorlageInstructionsTabelleText"/>
                <w:rFonts w:ascii="Times New Roman" w:hAnsi="Times New Roman"/>
                <w:sz w:val="24"/>
              </w:rPr>
              <w:t>on a consolidated basis</w:t>
            </w:r>
            <w:r w:rsidRPr="001562B3">
              <w:rPr>
                <w:rStyle w:val="FormatvorlageInstructionsTabelleText"/>
                <w:rFonts w:ascii="Times New Roman" w:hAnsi="Times New Roman"/>
                <w:sz w:val="24"/>
              </w:rPr>
              <w:t>, it shall indicate ‘consolidated’.</w:t>
            </w:r>
          </w:p>
        </w:tc>
      </w:tr>
      <w:tr w:rsidR="00482729" w:rsidRPr="001562B3" w14:paraId="6A7893EE" w14:textId="77777777" w:rsidTr="003D419A">
        <w:tc>
          <w:tcPr>
            <w:tcW w:w="1130" w:type="dxa"/>
          </w:tcPr>
          <w:p w14:paraId="739DA30D" w14:textId="77777777" w:rsidR="00482729" w:rsidRPr="001562B3" w:rsidRDefault="0048272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0100 - 0110</w:t>
            </w:r>
          </w:p>
        </w:tc>
        <w:tc>
          <w:tcPr>
            <w:tcW w:w="7624" w:type="dxa"/>
          </w:tcPr>
          <w:p w14:paraId="01851B65" w14:textId="77777777" w:rsidR="00482729" w:rsidRPr="001562B3" w:rsidRDefault="00482729"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Total risk exposure amount and total exposure measure</w:t>
            </w:r>
          </w:p>
        </w:tc>
      </w:tr>
      <w:tr w:rsidR="00482729" w:rsidRPr="001562B3" w14:paraId="4DBB3E48" w14:textId="77777777" w:rsidTr="003D419A">
        <w:tc>
          <w:tcPr>
            <w:tcW w:w="1130" w:type="dxa"/>
          </w:tcPr>
          <w:p w14:paraId="2ED0120A" w14:textId="77777777" w:rsidR="00482729" w:rsidRPr="001562B3" w:rsidRDefault="0048272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0100</w:t>
            </w:r>
          </w:p>
        </w:tc>
        <w:tc>
          <w:tcPr>
            <w:tcW w:w="7624" w:type="dxa"/>
          </w:tcPr>
          <w:p w14:paraId="7F50E33E" w14:textId="141734F5" w:rsidR="00482729" w:rsidRPr="001562B3" w:rsidRDefault="00482729"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Total risk exposure amount</w:t>
            </w:r>
            <w:r w:rsidR="009D2B1C">
              <w:rPr>
                <w:rStyle w:val="InstructionsTabelleberschrift"/>
                <w:rFonts w:ascii="Times New Roman" w:hAnsi="Times New Roman"/>
                <w:sz w:val="24"/>
              </w:rPr>
              <w:t xml:space="preserve"> (TREA)</w:t>
            </w:r>
          </w:p>
          <w:p w14:paraId="4199D149" w14:textId="1D3DC4EF" w:rsidR="00482729" w:rsidRPr="001562B3" w:rsidRDefault="00EB663A" w:rsidP="008E501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Point (a) of Article 45(2)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w:t>
            </w:r>
            <w:r w:rsidR="00482729" w:rsidRPr="001562B3">
              <w:rPr>
                <w:rStyle w:val="FormatvorlageInstructionsTabelleText"/>
                <w:rFonts w:ascii="Times New Roman" w:hAnsi="Times New Roman"/>
                <w:sz w:val="24"/>
              </w:rPr>
              <w:t xml:space="preserve">Article 92(3)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482729" w:rsidRPr="001562B3">
              <w:rPr>
                <w:rStyle w:val="FormatvorlageInstructionsTabelleText"/>
                <w:rFonts w:ascii="Times New Roman" w:hAnsi="Times New Roman"/>
                <w:sz w:val="24"/>
              </w:rPr>
              <w:t>.</w:t>
            </w:r>
          </w:p>
          <w:p w14:paraId="5D2ACB04" w14:textId="4ACD35FE" w:rsidR="00EB663A" w:rsidRPr="001562B3" w:rsidRDefault="00EB663A" w:rsidP="008E501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total risk exposure amount reported in this row shall be the total risk exposure amount which is the basis for compliance with the requirements of Article 45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respectively Article 92b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Pr="001562B3">
              <w:rPr>
                <w:rStyle w:val="FormatvorlageInstructionsTabelleText"/>
                <w:rFonts w:ascii="Times New Roman" w:hAnsi="Times New Roman"/>
                <w:sz w:val="24"/>
              </w:rPr>
              <w:t>, as applicable.</w:t>
            </w:r>
          </w:p>
        </w:tc>
      </w:tr>
      <w:tr w:rsidR="00482729" w:rsidRPr="001562B3" w14:paraId="02CB25F9" w14:textId="77777777" w:rsidTr="003D419A">
        <w:tc>
          <w:tcPr>
            <w:tcW w:w="1130" w:type="dxa"/>
          </w:tcPr>
          <w:p w14:paraId="2351243A" w14:textId="77777777" w:rsidR="00482729" w:rsidRPr="001562B3" w:rsidRDefault="00482729"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0110</w:t>
            </w:r>
          </w:p>
        </w:tc>
        <w:tc>
          <w:tcPr>
            <w:tcW w:w="7624" w:type="dxa"/>
          </w:tcPr>
          <w:p w14:paraId="7AE79743" w14:textId="7017BA08" w:rsidR="00482729" w:rsidRPr="001562B3" w:rsidRDefault="00482729"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Total exposure measure</w:t>
            </w:r>
            <w:r w:rsidR="009D2B1C">
              <w:rPr>
                <w:rStyle w:val="InstructionsTabelleberschrift"/>
                <w:rFonts w:ascii="Times New Roman" w:hAnsi="Times New Roman"/>
                <w:sz w:val="24"/>
              </w:rPr>
              <w:t xml:space="preserve"> (TEM)</w:t>
            </w:r>
          </w:p>
          <w:p w14:paraId="2E2DFC02" w14:textId="21E9C26A" w:rsidR="00482729" w:rsidRPr="001562B3" w:rsidRDefault="00EB663A">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Point (b) of Article 45(2)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w:t>
            </w:r>
            <w:r w:rsidR="00482729" w:rsidRPr="001562B3">
              <w:rPr>
                <w:rStyle w:val="FormatvorlageInstructionsTabelleText"/>
                <w:rFonts w:ascii="Times New Roman" w:hAnsi="Times New Roman"/>
                <w:sz w:val="24"/>
              </w:rPr>
              <w:t xml:space="preserve">Articles 429(4) and 429a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482729" w:rsidRPr="001562B3">
              <w:rPr>
                <w:rStyle w:val="FormatvorlageInstructionsTabelleText"/>
                <w:rFonts w:ascii="Times New Roman" w:hAnsi="Times New Roman"/>
                <w:sz w:val="24"/>
              </w:rPr>
              <w:t>.</w:t>
            </w:r>
          </w:p>
          <w:p w14:paraId="21A2EF83" w14:textId="41F9EF08" w:rsidR="00EB663A" w:rsidRPr="001562B3" w:rsidRDefault="00EB663A">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total exposure measure reported in this row shall be the total exposure measure which is the basis for compliance with the requirements of Article 45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respectively Article 92b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Pr="001562B3">
              <w:rPr>
                <w:rStyle w:val="FormatvorlageInstructionsTabelleText"/>
                <w:rFonts w:ascii="Times New Roman" w:hAnsi="Times New Roman"/>
                <w:sz w:val="24"/>
              </w:rPr>
              <w:t>, as applicable.</w:t>
            </w:r>
          </w:p>
        </w:tc>
      </w:tr>
      <w:tr w:rsidR="005F18D0" w:rsidRPr="001562B3" w14:paraId="4F1A3591" w14:textId="77777777" w:rsidTr="003D419A">
        <w:tc>
          <w:tcPr>
            <w:tcW w:w="1130" w:type="dxa"/>
          </w:tcPr>
          <w:p w14:paraId="785AFE92" w14:textId="118E1425" w:rsidR="005F18D0" w:rsidRPr="001562B3" w:rsidRDefault="005F18D0"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0200 – 0270</w:t>
            </w:r>
          </w:p>
        </w:tc>
        <w:tc>
          <w:tcPr>
            <w:tcW w:w="7624" w:type="dxa"/>
          </w:tcPr>
          <w:p w14:paraId="55E50C6B" w14:textId="10895EF1" w:rsidR="005F18D0" w:rsidRPr="001562B3" w:rsidRDefault="005F18D0"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Eligible own funds and eligible liabilities</w:t>
            </w:r>
          </w:p>
        </w:tc>
      </w:tr>
      <w:tr w:rsidR="005F18D0" w:rsidRPr="001562B3" w14:paraId="34A1EF6D" w14:textId="77777777" w:rsidTr="003D419A">
        <w:tc>
          <w:tcPr>
            <w:tcW w:w="1130" w:type="dxa"/>
          </w:tcPr>
          <w:p w14:paraId="5ACE189C" w14:textId="3066F1ED" w:rsidR="005F18D0" w:rsidRPr="001562B3" w:rsidRDefault="005F18D0"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0200</w:t>
            </w:r>
          </w:p>
        </w:tc>
        <w:tc>
          <w:tcPr>
            <w:tcW w:w="7624" w:type="dxa"/>
          </w:tcPr>
          <w:p w14:paraId="5C1CA237" w14:textId="3B324586" w:rsidR="005F18D0" w:rsidRPr="001562B3" w:rsidRDefault="005F18D0"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Eligible own funds and eligible liabilities</w:t>
            </w:r>
          </w:p>
          <w:p w14:paraId="534DA971" w14:textId="4929E71C" w:rsidR="003E7AB6" w:rsidRPr="001562B3" w:rsidRDefault="003E7AB6">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Internal MREL</w:t>
            </w:r>
          </w:p>
          <w:p w14:paraId="3311F538" w14:textId="12E10E48" w:rsidR="003E7AB6" w:rsidRPr="001562B3" w:rsidRDefault="005F18D0">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Sum of eligible own funds, eligible liabilities and guarantees permitted to count towards internal MREL</w:t>
            </w:r>
            <w:r w:rsidR="00236B09" w:rsidRPr="001562B3">
              <w:rPr>
                <w:rStyle w:val="FormatvorlageInstructionsTabelleText"/>
                <w:rFonts w:ascii="Times New Roman" w:hAnsi="Times New Roman"/>
                <w:sz w:val="24"/>
              </w:rPr>
              <w:t xml:space="preserve"> in accordance with </w:t>
            </w:r>
            <w:r w:rsidR="007056F7" w:rsidRPr="001562B3">
              <w:rPr>
                <w:rStyle w:val="InstructionsTabelleberschrift"/>
                <w:rFonts w:ascii="Times New Roman" w:hAnsi="Times New Roman"/>
                <w:b w:val="0"/>
                <w:sz w:val="24"/>
                <w:u w:val="none"/>
              </w:rPr>
              <w:t xml:space="preserve">Article 45f(2) </w:t>
            </w:r>
            <w:r w:rsidR="00B33C46" w:rsidRPr="001562B3">
              <w:rPr>
                <w:rStyle w:val="InstructionsTabelleberschrift"/>
                <w:rFonts w:ascii="Times New Roman" w:hAnsi="Times New Roman"/>
                <w:b w:val="0"/>
                <w:sz w:val="24"/>
                <w:u w:val="none"/>
              </w:rPr>
              <w:t xml:space="preserve">of </w:t>
            </w:r>
            <w:r w:rsidR="00B33C46" w:rsidRPr="001562B3">
              <w:t>Directive 2014/59/EU</w:t>
            </w:r>
            <w:r w:rsidR="00184B3F" w:rsidRPr="001562B3">
              <w:rPr>
                <w:rStyle w:val="InstructionsTabelleberschrift"/>
                <w:rFonts w:ascii="Times New Roman" w:hAnsi="Times New Roman"/>
                <w:b w:val="0"/>
                <w:sz w:val="24"/>
                <w:u w:val="none"/>
              </w:rPr>
              <w:t xml:space="preserve">, considering also, where applicable, the fourth subparagraph of Article 89(2) </w:t>
            </w:r>
            <w:r w:rsidR="00B33C46" w:rsidRPr="001562B3">
              <w:rPr>
                <w:rStyle w:val="InstructionsTabelleberschrift"/>
                <w:rFonts w:ascii="Times New Roman" w:hAnsi="Times New Roman"/>
                <w:b w:val="0"/>
                <w:sz w:val="24"/>
                <w:u w:val="none"/>
              </w:rPr>
              <w:t>of that Directive</w:t>
            </w:r>
            <w:r w:rsidR="00184B3F" w:rsidRPr="001562B3">
              <w:rPr>
                <w:rStyle w:val="InstructionsTabelleberschrift"/>
                <w:rFonts w:ascii="Times New Roman" w:hAnsi="Times New Roman"/>
                <w:b w:val="0"/>
                <w:sz w:val="24"/>
                <w:u w:val="none"/>
              </w:rPr>
              <w:t>.</w:t>
            </w:r>
          </w:p>
          <w:p w14:paraId="1E457A5C" w14:textId="5EED9E7F" w:rsidR="00184B3F" w:rsidRPr="001562B3" w:rsidRDefault="00184B3F">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In case of instruments governed by the law of a third country, the instrument shall only be included in this row if it meets the requirements of Article 55 </w:t>
            </w:r>
            <w:r w:rsidR="00B33C46" w:rsidRPr="001562B3">
              <w:rPr>
                <w:rStyle w:val="InstructionsTabelleberschrift"/>
                <w:rFonts w:ascii="Times New Roman" w:hAnsi="Times New Roman"/>
                <w:b w:val="0"/>
                <w:sz w:val="24"/>
                <w:u w:val="none"/>
              </w:rPr>
              <w:t xml:space="preserve">of </w:t>
            </w:r>
            <w:r w:rsidR="00B33C46" w:rsidRPr="001562B3">
              <w:t>Directive 2014/59/EU</w:t>
            </w:r>
            <w:r w:rsidRPr="001562B3">
              <w:rPr>
                <w:rStyle w:val="InstructionsTabelleberschrift"/>
                <w:rFonts w:ascii="Times New Roman" w:hAnsi="Times New Roman"/>
                <w:b w:val="0"/>
                <w:sz w:val="24"/>
                <w:u w:val="none"/>
              </w:rPr>
              <w:t>.</w:t>
            </w:r>
          </w:p>
          <w:p w14:paraId="186388A3" w14:textId="70E71B2A" w:rsidR="009237BC" w:rsidRPr="001562B3" w:rsidRDefault="009237BC">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The amount reported in this row shall be </w:t>
            </w:r>
            <w:r w:rsidR="00314991" w:rsidRPr="001562B3">
              <w:rPr>
                <w:rStyle w:val="InstructionsTabelleberschrift"/>
                <w:rFonts w:ascii="Times New Roman" w:hAnsi="Times New Roman"/>
                <w:b w:val="0"/>
                <w:sz w:val="24"/>
                <w:u w:val="none"/>
              </w:rPr>
              <w:t xml:space="preserve">the amount after </w:t>
            </w:r>
            <w:r w:rsidRPr="001562B3">
              <w:rPr>
                <w:rStyle w:val="InstructionsTabelleberschrift"/>
                <w:rFonts w:ascii="Times New Roman" w:hAnsi="Times New Roman"/>
                <w:b w:val="0"/>
                <w:sz w:val="24"/>
                <w:u w:val="none"/>
              </w:rPr>
              <w:t xml:space="preserve">the deductions or equivalent required </w:t>
            </w:r>
            <w:r w:rsidR="00CA04FD" w:rsidRPr="001562B3">
              <w:rPr>
                <w:rStyle w:val="InstructionsTabelleberschrift"/>
                <w:rFonts w:ascii="Times New Roman" w:hAnsi="Times New Roman"/>
                <w:b w:val="0"/>
                <w:sz w:val="24"/>
                <w:u w:val="none"/>
              </w:rPr>
              <w:t>in accordance with</w:t>
            </w:r>
            <w:r w:rsidRPr="001562B3">
              <w:rPr>
                <w:rStyle w:val="InstructionsTabelleberschrift"/>
                <w:rFonts w:ascii="Times New Roman" w:hAnsi="Times New Roman"/>
                <w:b w:val="0"/>
                <w:sz w:val="24"/>
                <w:u w:val="none"/>
              </w:rPr>
              <w:t xml:space="preserve"> the method set out in the Delegated Regulation referred to in Article 45f(6) </w:t>
            </w:r>
            <w:r w:rsidR="00B33C46" w:rsidRPr="001562B3">
              <w:rPr>
                <w:rStyle w:val="InstructionsTabelleberschrift"/>
                <w:rFonts w:ascii="Times New Roman" w:hAnsi="Times New Roman"/>
                <w:b w:val="0"/>
                <w:sz w:val="24"/>
                <w:u w:val="none"/>
              </w:rPr>
              <w:t xml:space="preserve">of </w:t>
            </w:r>
            <w:r w:rsidR="00B33C46" w:rsidRPr="001562B3">
              <w:t>Directive 2014/59/EU</w:t>
            </w:r>
            <w:r w:rsidRPr="001562B3">
              <w:rPr>
                <w:rStyle w:val="InstructionsTabelleberschrift"/>
                <w:rFonts w:ascii="Times New Roman" w:hAnsi="Times New Roman"/>
                <w:b w:val="0"/>
                <w:sz w:val="24"/>
                <w:u w:val="none"/>
              </w:rPr>
              <w:t>.</w:t>
            </w:r>
          </w:p>
          <w:p w14:paraId="6BB8F2AA" w14:textId="196F3E1F" w:rsidR="003E7AB6" w:rsidRPr="001562B3" w:rsidRDefault="003E7AB6">
            <w:pPr>
              <w:pStyle w:val="InstructionsText"/>
              <w:rPr>
                <w:rStyle w:val="InstructionsTabelleberschrift"/>
                <w:rFonts w:ascii="Times New Roman" w:hAnsi="Times New Roman"/>
                <w:b w:val="0"/>
                <w:i/>
                <w:sz w:val="24"/>
                <w:u w:val="none"/>
              </w:rPr>
            </w:pPr>
            <w:r w:rsidRPr="001562B3">
              <w:rPr>
                <w:rStyle w:val="InstructionsTabelleberschrift"/>
                <w:rFonts w:ascii="Times New Roman" w:hAnsi="Times New Roman"/>
                <w:b w:val="0"/>
                <w:i/>
                <w:sz w:val="24"/>
                <w:u w:val="none"/>
              </w:rPr>
              <w:t>Internal TLAC</w:t>
            </w:r>
          </w:p>
          <w:p w14:paraId="2F92FA88" w14:textId="33C07F6B" w:rsidR="007056F7" w:rsidRPr="001562B3" w:rsidRDefault="003E7AB6">
            <w:pPr>
              <w:pStyle w:val="InstructionsText"/>
              <w:rPr>
                <w:rStyle w:val="InstructionsTabelleberschrift"/>
                <w:rFonts w:ascii="Times New Roman" w:hAnsi="Times New Roman"/>
                <w:b w:val="0"/>
                <w:sz w:val="24"/>
              </w:rPr>
            </w:pPr>
            <w:r w:rsidRPr="001562B3">
              <w:rPr>
                <w:rStyle w:val="FormatvorlageInstructionsTabelleText"/>
                <w:rFonts w:ascii="Times New Roman" w:hAnsi="Times New Roman"/>
                <w:sz w:val="24"/>
              </w:rPr>
              <w:t xml:space="preserve">Eligible own funds and eligible liabilities permitted to count </w:t>
            </w:r>
            <w:r w:rsidR="00236B09" w:rsidRPr="001562B3">
              <w:rPr>
                <w:rStyle w:val="InstructionsTabelleberschrift"/>
                <w:rFonts w:ascii="Times New Roman" w:hAnsi="Times New Roman"/>
                <w:b w:val="0"/>
                <w:sz w:val="24"/>
                <w:u w:val="none"/>
              </w:rPr>
              <w:t>towards i</w:t>
            </w:r>
            <w:r w:rsidR="007056F7" w:rsidRPr="001562B3">
              <w:rPr>
                <w:rStyle w:val="InstructionsTabelleberschrift"/>
                <w:rFonts w:ascii="Times New Roman" w:hAnsi="Times New Roman"/>
                <w:b w:val="0"/>
                <w:sz w:val="24"/>
                <w:u w:val="none"/>
              </w:rPr>
              <w:t>nternal TLAC</w:t>
            </w:r>
            <w:r w:rsidR="00236B09" w:rsidRPr="001562B3">
              <w:rPr>
                <w:rStyle w:val="InstructionsTabelleberschrift"/>
                <w:rFonts w:ascii="Times New Roman" w:hAnsi="Times New Roman"/>
                <w:b w:val="0"/>
                <w:sz w:val="24"/>
                <w:u w:val="none"/>
              </w:rPr>
              <w:t xml:space="preserve"> in accordance with</w:t>
            </w:r>
            <w:r w:rsidR="007056F7" w:rsidRPr="001562B3">
              <w:rPr>
                <w:rStyle w:val="InstructionsTabelleberschrift"/>
                <w:rFonts w:ascii="Times New Roman" w:hAnsi="Times New Roman"/>
                <w:b w:val="0"/>
                <w:sz w:val="24"/>
                <w:u w:val="none"/>
              </w:rPr>
              <w:t xml:space="preserve"> Article 92b(2) and </w:t>
            </w:r>
            <w:r w:rsidR="00A82A25" w:rsidRPr="001562B3">
              <w:rPr>
                <w:rStyle w:val="InstructionsTabelleberschrift"/>
                <w:rFonts w:ascii="Times New Roman" w:hAnsi="Times New Roman"/>
                <w:b w:val="0"/>
                <w:sz w:val="24"/>
                <w:u w:val="none"/>
              </w:rPr>
              <w:t>(</w:t>
            </w:r>
            <w:r w:rsidR="007056F7" w:rsidRPr="001562B3">
              <w:rPr>
                <w:rStyle w:val="InstructionsTabelleberschrift"/>
                <w:rFonts w:ascii="Times New Roman" w:hAnsi="Times New Roman"/>
                <w:b w:val="0"/>
                <w:sz w:val="24"/>
                <w:u w:val="none"/>
              </w:rPr>
              <w:t>3</w:t>
            </w:r>
            <w:r w:rsidR="00A82A25" w:rsidRPr="001562B3">
              <w:rPr>
                <w:rStyle w:val="InstructionsTabelleberschrift"/>
                <w:rFonts w:ascii="Times New Roman" w:hAnsi="Times New Roman"/>
                <w:b w:val="0"/>
                <w:sz w:val="24"/>
                <w:u w:val="none"/>
              </w:rPr>
              <w:t>)</w:t>
            </w:r>
            <w:r w:rsidR="007056F7" w:rsidRPr="001562B3">
              <w:rPr>
                <w:rStyle w:val="InstructionsTabelleberschrift"/>
                <w:rFonts w:ascii="Times New Roman" w:hAnsi="Times New Roman"/>
                <w:b w:val="0"/>
                <w:sz w:val="24"/>
                <w:u w:val="none"/>
              </w:rPr>
              <w:t xml:space="preserve"> </w:t>
            </w:r>
            <w:r w:rsidR="00B11263" w:rsidRPr="001562B3">
              <w:rPr>
                <w:rStyle w:val="InstructionsTabelleberschrift"/>
                <w:rFonts w:ascii="Times New Roman" w:hAnsi="Times New Roman"/>
                <w:b w:val="0"/>
                <w:sz w:val="24"/>
                <w:u w:val="none"/>
              </w:rPr>
              <w:t xml:space="preserve">of </w:t>
            </w:r>
            <w:r w:rsidR="00C47ED5" w:rsidRPr="001562B3">
              <w:rPr>
                <w:rStyle w:val="InstructionsTabelleberschrift"/>
                <w:rFonts w:ascii="Times New Roman" w:hAnsi="Times New Roman"/>
                <w:b w:val="0"/>
                <w:sz w:val="24"/>
                <w:u w:val="none"/>
              </w:rPr>
              <w:t>Regulation (EU) No 575/2013</w:t>
            </w:r>
            <w:r w:rsidR="00B11263" w:rsidRPr="001562B3">
              <w:rPr>
                <w:rStyle w:val="InstructionsTabelleberschrift"/>
                <w:rFonts w:ascii="Times New Roman" w:hAnsi="Times New Roman"/>
                <w:b w:val="0"/>
                <w:sz w:val="24"/>
                <w:u w:val="none"/>
              </w:rPr>
              <w:t>.</w:t>
            </w:r>
          </w:p>
        </w:tc>
      </w:tr>
      <w:tr w:rsidR="005F18D0" w:rsidRPr="001562B3" w14:paraId="52695ECE" w14:textId="77777777" w:rsidTr="003D419A">
        <w:tc>
          <w:tcPr>
            <w:tcW w:w="1130" w:type="dxa"/>
          </w:tcPr>
          <w:p w14:paraId="00EDFF0E" w14:textId="0467C223" w:rsidR="005F18D0" w:rsidRPr="001562B3" w:rsidRDefault="005F18D0"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0210</w:t>
            </w:r>
          </w:p>
        </w:tc>
        <w:tc>
          <w:tcPr>
            <w:tcW w:w="7624" w:type="dxa"/>
          </w:tcPr>
          <w:p w14:paraId="64674845" w14:textId="77777777" w:rsidR="005F18D0" w:rsidRPr="001562B3" w:rsidRDefault="005F18D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own funds</w:t>
            </w:r>
          </w:p>
          <w:p w14:paraId="5A61F12E" w14:textId="3EC25C34" w:rsidR="005F18D0" w:rsidRPr="001562B3" w:rsidRDefault="005F18D0">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Sum of CET1 capital, eligible Additional Tier 1 </w:t>
            </w:r>
            <w:r w:rsidR="00DD4DA2" w:rsidRPr="001562B3">
              <w:rPr>
                <w:rStyle w:val="FormatvorlageInstructionsTabelleText"/>
                <w:rFonts w:ascii="Times New Roman" w:hAnsi="Times New Roman"/>
                <w:sz w:val="24"/>
              </w:rPr>
              <w:t>capital</w:t>
            </w:r>
            <w:r w:rsidRPr="001562B3">
              <w:rPr>
                <w:rStyle w:val="FormatvorlageInstructionsTabelleText"/>
                <w:rFonts w:ascii="Times New Roman" w:hAnsi="Times New Roman"/>
                <w:sz w:val="24"/>
              </w:rPr>
              <w:t xml:space="preserve"> and eligible Tier 2 </w:t>
            </w:r>
            <w:r w:rsidR="00DD4DA2" w:rsidRPr="001562B3">
              <w:rPr>
                <w:rStyle w:val="FormatvorlageInstructionsTabelleText"/>
                <w:rFonts w:ascii="Times New Roman" w:hAnsi="Times New Roman"/>
                <w:sz w:val="24"/>
              </w:rPr>
              <w:t>capital</w:t>
            </w:r>
          </w:p>
          <w:p w14:paraId="455E6C31" w14:textId="58FE2CF3" w:rsidR="00184B3F" w:rsidRPr="001562B3" w:rsidRDefault="00DD50DC">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In case of internal MREL</w:t>
            </w:r>
            <w:r w:rsidR="00184B3F" w:rsidRPr="001562B3">
              <w:rPr>
                <w:rStyle w:val="FormatvorlageInstructionsTabelleText"/>
                <w:rFonts w:ascii="Times New Roman" w:hAnsi="Times New Roman"/>
                <w:sz w:val="24"/>
              </w:rPr>
              <w:t xml:space="preserve">, instruments referred to in the fourth subparagraph of Article 89(2) </w:t>
            </w:r>
            <w:r w:rsidR="00B33C46" w:rsidRPr="001562B3">
              <w:rPr>
                <w:rStyle w:val="FormatvorlageInstructionsTabelleText"/>
                <w:rFonts w:ascii="Times New Roman" w:hAnsi="Times New Roman"/>
                <w:sz w:val="24"/>
              </w:rPr>
              <w:t xml:space="preserve">of </w:t>
            </w:r>
            <w:r w:rsidR="00B33C46" w:rsidRPr="001562B3">
              <w:t>Directive 2014/59/EU</w:t>
            </w:r>
            <w:r w:rsidR="00184B3F" w:rsidRPr="001562B3">
              <w:rPr>
                <w:rStyle w:val="FormatvorlageInstructionsTabelleText"/>
                <w:rFonts w:ascii="Times New Roman" w:hAnsi="Times New Roman"/>
                <w:sz w:val="24"/>
              </w:rPr>
              <w:t xml:space="preserve"> shall be included in this row and rows 0230 and 0240, where that paragraph applies. </w:t>
            </w:r>
            <w:r w:rsidRPr="001562B3">
              <w:rPr>
                <w:rStyle w:val="FormatvorlageInstructionsTabelleText"/>
                <w:rFonts w:ascii="Times New Roman" w:hAnsi="Times New Roman"/>
                <w:sz w:val="24"/>
              </w:rPr>
              <w:t>I</w:t>
            </w:r>
            <w:r w:rsidR="00184B3F" w:rsidRPr="001562B3">
              <w:rPr>
                <w:rStyle w:val="FormatvorlageInstructionsTabelleText"/>
                <w:rFonts w:ascii="Times New Roman" w:hAnsi="Times New Roman"/>
                <w:sz w:val="24"/>
              </w:rPr>
              <w:t xml:space="preserve">nstruments governed by the law of a third country shall only be included in this row and rows 0230 and 0240 if </w:t>
            </w:r>
            <w:r w:rsidRPr="001562B3">
              <w:rPr>
                <w:rStyle w:val="FormatvorlageInstructionsTabelleText"/>
                <w:rFonts w:ascii="Times New Roman" w:hAnsi="Times New Roman"/>
                <w:sz w:val="24"/>
              </w:rPr>
              <w:t>they</w:t>
            </w:r>
            <w:r w:rsidR="00184B3F" w:rsidRPr="001562B3">
              <w:rPr>
                <w:rStyle w:val="FormatvorlageInstructionsTabelleText"/>
                <w:rFonts w:ascii="Times New Roman" w:hAnsi="Times New Roman"/>
                <w:sz w:val="24"/>
              </w:rPr>
              <w:t xml:space="preserve"> meet the requirements of Article 55 </w:t>
            </w:r>
            <w:r w:rsidR="00B33C46" w:rsidRPr="001562B3">
              <w:rPr>
                <w:rStyle w:val="FormatvorlageInstructionsTabelleText"/>
                <w:rFonts w:ascii="Times New Roman" w:hAnsi="Times New Roman"/>
                <w:sz w:val="24"/>
              </w:rPr>
              <w:t>of that Directive</w:t>
            </w:r>
            <w:r w:rsidR="00184B3F" w:rsidRPr="001562B3">
              <w:rPr>
                <w:rStyle w:val="FormatvorlageInstructionsTabelleText"/>
                <w:rFonts w:ascii="Times New Roman" w:hAnsi="Times New Roman"/>
                <w:sz w:val="24"/>
              </w:rPr>
              <w:t>.</w:t>
            </w:r>
            <w:r w:rsidR="00184B3F" w:rsidRPr="001562B3">
              <w:rPr>
                <w:rStyle w:val="FormatvorlageInstructionsTabelleText"/>
                <w:rFonts w:ascii="Times New Roman" w:hAnsi="Times New Roman"/>
                <w:sz w:val="24"/>
                <w:u w:val="single"/>
              </w:rPr>
              <w:t xml:space="preserve"> </w:t>
            </w:r>
          </w:p>
        </w:tc>
      </w:tr>
      <w:tr w:rsidR="005F18D0" w:rsidRPr="001562B3" w14:paraId="1239298E" w14:textId="77777777" w:rsidTr="003D419A">
        <w:tc>
          <w:tcPr>
            <w:tcW w:w="1130" w:type="dxa"/>
          </w:tcPr>
          <w:p w14:paraId="2F66E352" w14:textId="67069279" w:rsidR="005F18D0" w:rsidRPr="001562B3" w:rsidRDefault="005F18D0"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w:t>
            </w:r>
            <w:r w:rsidR="00BE557E" w:rsidRPr="001562B3">
              <w:rPr>
                <w:rStyle w:val="FormatvorlageInstructionsTabelleText"/>
                <w:rFonts w:ascii="Times New Roman" w:hAnsi="Times New Roman"/>
                <w:sz w:val="24"/>
              </w:rPr>
              <w:t>22</w:t>
            </w:r>
            <w:r w:rsidRPr="001562B3">
              <w:rPr>
                <w:rStyle w:val="FormatvorlageInstructionsTabelleText"/>
                <w:rFonts w:ascii="Times New Roman" w:hAnsi="Times New Roman"/>
                <w:sz w:val="24"/>
              </w:rPr>
              <w:t>0</w:t>
            </w:r>
          </w:p>
        </w:tc>
        <w:tc>
          <w:tcPr>
            <w:tcW w:w="7624" w:type="dxa"/>
          </w:tcPr>
          <w:p w14:paraId="192B9C81" w14:textId="77777777" w:rsidR="005F18D0" w:rsidRPr="001562B3" w:rsidRDefault="005F18D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Common Equity Tier 1 capital (CET1)</w:t>
            </w:r>
          </w:p>
          <w:p w14:paraId="391FC0ED" w14:textId="2504BD1E" w:rsidR="005F18D0" w:rsidRPr="001562B3" w:rsidRDefault="005F18D0">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Article 50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B11263" w:rsidRPr="001562B3">
              <w:rPr>
                <w:rStyle w:val="FormatvorlageInstructionsTabelleText"/>
                <w:rFonts w:ascii="Times New Roman" w:hAnsi="Times New Roman"/>
                <w:sz w:val="24"/>
              </w:rPr>
              <w:t>.</w:t>
            </w:r>
          </w:p>
        </w:tc>
      </w:tr>
      <w:tr w:rsidR="005F18D0" w:rsidRPr="001562B3" w14:paraId="2EFA4CA0" w14:textId="77777777" w:rsidTr="003D419A">
        <w:tc>
          <w:tcPr>
            <w:tcW w:w="1130" w:type="dxa"/>
          </w:tcPr>
          <w:p w14:paraId="35FBDDD1" w14:textId="32E85087" w:rsidR="005F18D0" w:rsidRPr="001562B3" w:rsidRDefault="005F18D0"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w:t>
            </w:r>
            <w:r w:rsidR="00BE557E" w:rsidRPr="001562B3">
              <w:rPr>
                <w:rStyle w:val="FormatvorlageInstructionsTabelleText"/>
                <w:rFonts w:ascii="Times New Roman" w:hAnsi="Times New Roman"/>
                <w:sz w:val="24"/>
              </w:rPr>
              <w:t>23</w:t>
            </w:r>
            <w:r w:rsidRPr="001562B3">
              <w:rPr>
                <w:rStyle w:val="FormatvorlageInstructionsTabelleText"/>
                <w:rFonts w:ascii="Times New Roman" w:hAnsi="Times New Roman"/>
                <w:sz w:val="24"/>
              </w:rPr>
              <w:t>0</w:t>
            </w:r>
          </w:p>
        </w:tc>
        <w:tc>
          <w:tcPr>
            <w:tcW w:w="7624" w:type="dxa"/>
          </w:tcPr>
          <w:p w14:paraId="1A795B5E" w14:textId="41D7EB09" w:rsidR="005F18D0" w:rsidRPr="001562B3" w:rsidRDefault="005F18D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Eligible Additional Tier 1 </w:t>
            </w:r>
            <w:r w:rsidR="00DD4DA2" w:rsidRPr="001562B3">
              <w:rPr>
                <w:rStyle w:val="InstructionsTabelleberschrift"/>
                <w:rFonts w:ascii="Times New Roman" w:hAnsi="Times New Roman"/>
                <w:sz w:val="24"/>
              </w:rPr>
              <w:t>capital</w:t>
            </w:r>
          </w:p>
          <w:p w14:paraId="3CB2E0B8" w14:textId="4021DC45" w:rsidR="005F18D0" w:rsidRPr="001562B3" w:rsidRDefault="005F18D0" w:rsidP="00437CF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Article </w:t>
            </w:r>
            <w:r w:rsidR="00DD4DA2" w:rsidRPr="001562B3">
              <w:rPr>
                <w:rStyle w:val="FormatvorlageInstructionsTabelleText"/>
                <w:rFonts w:ascii="Times New Roman" w:hAnsi="Times New Roman"/>
                <w:sz w:val="24"/>
                <w:lang w:eastAsia="de-DE"/>
              </w:rPr>
              <w:t>61</w:t>
            </w:r>
            <w:r w:rsidRPr="001562B3">
              <w:rPr>
                <w:rStyle w:val="FormatvorlageInstructionsTabelleText"/>
                <w:rFonts w:ascii="Times New Roman" w:hAnsi="Times New Roman"/>
                <w:sz w:val="24"/>
                <w:lang w:eastAsia="de-DE"/>
              </w:rPr>
              <w:t xml:space="preserve"> </w:t>
            </w:r>
            <w:r w:rsidR="00B11263" w:rsidRPr="001562B3">
              <w:rPr>
                <w:rStyle w:val="FormatvorlageInstructionsTabelleText"/>
                <w:rFonts w:ascii="Times New Roman" w:hAnsi="Times New Roman"/>
                <w:sz w:val="24"/>
                <w:lang w:eastAsia="de-DE"/>
              </w:rPr>
              <w:t xml:space="preserve">of </w:t>
            </w:r>
            <w:r w:rsidR="00C47ED5" w:rsidRPr="001562B3">
              <w:rPr>
                <w:rStyle w:val="FormatvorlageInstructionsTabelleText"/>
                <w:rFonts w:ascii="Times New Roman" w:hAnsi="Times New Roman"/>
                <w:sz w:val="24"/>
                <w:lang w:eastAsia="de-DE"/>
              </w:rPr>
              <w:t>Regulation (EU) No 575/2013</w:t>
            </w:r>
          </w:p>
          <w:p w14:paraId="704BD2D0" w14:textId="77777777" w:rsidR="003E7AB6" w:rsidRPr="001562B3" w:rsidRDefault="003E7AB6" w:rsidP="00E05895">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Internal MREL</w:t>
            </w:r>
          </w:p>
          <w:p w14:paraId="3563B5D5" w14:textId="6E0C0C32" w:rsidR="005F18D0" w:rsidRPr="001562B3" w:rsidRDefault="003E7AB6" w:rsidP="00437CF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I</w:t>
            </w:r>
            <w:r w:rsidR="005F18D0" w:rsidRPr="001562B3">
              <w:rPr>
                <w:rStyle w:val="FormatvorlageInstructionsTabelleText"/>
                <w:rFonts w:ascii="Times New Roman" w:hAnsi="Times New Roman"/>
                <w:sz w:val="24"/>
                <w:lang w:eastAsia="de-DE"/>
              </w:rPr>
              <w:t>nstruments shall only be considered where they fulfil the criteria referred to in point (b)</w:t>
            </w:r>
            <w:r w:rsidR="00BE557E" w:rsidRPr="001562B3">
              <w:rPr>
                <w:rStyle w:val="FormatvorlageInstructionsTabelleText"/>
                <w:rFonts w:ascii="Times New Roman" w:hAnsi="Times New Roman"/>
                <w:sz w:val="24"/>
                <w:lang w:eastAsia="de-DE"/>
              </w:rPr>
              <w:t xml:space="preserve"> (ii)</w:t>
            </w:r>
            <w:r w:rsidR="005F18D0" w:rsidRPr="001562B3">
              <w:rPr>
                <w:rStyle w:val="FormatvorlageInstructionsTabelleText"/>
                <w:rFonts w:ascii="Times New Roman" w:hAnsi="Times New Roman"/>
                <w:sz w:val="24"/>
                <w:lang w:eastAsia="de-DE"/>
              </w:rPr>
              <w:t xml:space="preserve"> of Article 45f(2) </w:t>
            </w:r>
            <w:r w:rsidR="00B33C46" w:rsidRPr="001562B3">
              <w:rPr>
                <w:rStyle w:val="FormatvorlageInstructionsTabelleText"/>
                <w:rFonts w:ascii="Times New Roman" w:hAnsi="Times New Roman"/>
                <w:sz w:val="24"/>
                <w:lang w:eastAsia="de-DE"/>
              </w:rPr>
              <w:t>of Directive 2014/59/EU</w:t>
            </w:r>
            <w:r w:rsidR="005F18D0" w:rsidRPr="001562B3">
              <w:rPr>
                <w:rStyle w:val="FormatvorlageInstructionsTabelleText"/>
                <w:rFonts w:ascii="Times New Roman" w:hAnsi="Times New Roman"/>
                <w:sz w:val="24"/>
                <w:lang w:eastAsia="de-DE"/>
              </w:rPr>
              <w:t xml:space="preserve">. </w:t>
            </w:r>
          </w:p>
          <w:p w14:paraId="4F571476" w14:textId="60A65E40" w:rsidR="003E7AB6" w:rsidRPr="001562B3" w:rsidRDefault="003E7AB6" w:rsidP="00437CF3">
            <w:pPr>
              <w:rPr>
                <w:rStyle w:val="FormatvorlageInstructionsTabelleText"/>
                <w:rFonts w:ascii="Times New Roman" w:hAnsi="Times New Roman"/>
                <w:sz w:val="24"/>
                <w:lang w:eastAsia="de-DE"/>
              </w:rPr>
            </w:pPr>
            <w:r w:rsidRPr="001562B3">
              <w:rPr>
                <w:rStyle w:val="InstructionsTabelleberschrift"/>
                <w:rFonts w:ascii="Times New Roman" w:hAnsi="Times New Roman"/>
                <w:b w:val="0"/>
                <w:i/>
                <w:sz w:val="24"/>
                <w:u w:val="none"/>
              </w:rPr>
              <w:t>Internal TLAC</w:t>
            </w:r>
          </w:p>
          <w:p w14:paraId="4D436EB1" w14:textId="46C00EC9" w:rsidR="005F18D0" w:rsidRPr="001562B3" w:rsidRDefault="003E7AB6"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I</w:t>
            </w:r>
            <w:r w:rsidR="005F18D0" w:rsidRPr="001562B3">
              <w:rPr>
                <w:rStyle w:val="FormatvorlageInstructionsTabelleText"/>
                <w:rFonts w:ascii="Times New Roman" w:hAnsi="Times New Roman"/>
                <w:sz w:val="24"/>
              </w:rPr>
              <w:t xml:space="preserve">nstruments shall only be considered where they fulfil the criteria </w:t>
            </w:r>
            <w:r w:rsidR="00B11263" w:rsidRPr="001562B3">
              <w:rPr>
                <w:rStyle w:val="FormatvorlageInstructionsTabelleText"/>
                <w:rFonts w:ascii="Times New Roman" w:hAnsi="Times New Roman"/>
                <w:sz w:val="24"/>
              </w:rPr>
              <w:t>laid down in</w:t>
            </w:r>
            <w:r w:rsidR="005F18D0" w:rsidRPr="001562B3">
              <w:rPr>
                <w:rStyle w:val="FormatvorlageInstructionsTabelleText"/>
                <w:rFonts w:ascii="Times New Roman" w:hAnsi="Times New Roman"/>
                <w:sz w:val="24"/>
              </w:rPr>
              <w:t xml:space="preserve"> Article 92b(2)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5F18D0" w:rsidRPr="001562B3">
              <w:rPr>
                <w:rStyle w:val="FormatvorlageInstructionsTabelleText"/>
                <w:rFonts w:ascii="Times New Roman" w:hAnsi="Times New Roman"/>
                <w:sz w:val="24"/>
              </w:rPr>
              <w:t>.</w:t>
            </w:r>
          </w:p>
        </w:tc>
      </w:tr>
      <w:tr w:rsidR="005F18D0" w:rsidRPr="001562B3" w14:paraId="09AB5E26" w14:textId="77777777" w:rsidTr="003D419A">
        <w:tc>
          <w:tcPr>
            <w:tcW w:w="1130" w:type="dxa"/>
          </w:tcPr>
          <w:p w14:paraId="535A652C" w14:textId="1871B789" w:rsidR="005F18D0" w:rsidRPr="001562B3" w:rsidRDefault="005F18D0"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w:t>
            </w:r>
            <w:r w:rsidR="00BE557E" w:rsidRPr="001562B3">
              <w:rPr>
                <w:rStyle w:val="FormatvorlageInstructionsTabelleText"/>
                <w:rFonts w:ascii="Times New Roman" w:hAnsi="Times New Roman"/>
                <w:sz w:val="24"/>
              </w:rPr>
              <w:t>24</w:t>
            </w:r>
            <w:r w:rsidRPr="001562B3">
              <w:rPr>
                <w:rStyle w:val="FormatvorlageInstructionsTabelleText"/>
                <w:rFonts w:ascii="Times New Roman" w:hAnsi="Times New Roman"/>
                <w:sz w:val="24"/>
              </w:rPr>
              <w:t>0</w:t>
            </w:r>
          </w:p>
        </w:tc>
        <w:tc>
          <w:tcPr>
            <w:tcW w:w="7624" w:type="dxa"/>
          </w:tcPr>
          <w:p w14:paraId="4DE83B06" w14:textId="575598CE" w:rsidR="005F18D0" w:rsidRPr="001562B3" w:rsidRDefault="005F18D0"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T</w:t>
            </w:r>
            <w:r w:rsidR="009D2B1C">
              <w:rPr>
                <w:rStyle w:val="InstructionsTabelleberschrift"/>
                <w:rFonts w:ascii="Times New Roman" w:hAnsi="Times New Roman"/>
                <w:sz w:val="24"/>
              </w:rPr>
              <w:t xml:space="preserve">ier </w:t>
            </w:r>
            <w:r w:rsidRPr="001562B3">
              <w:rPr>
                <w:rStyle w:val="InstructionsTabelleberschrift"/>
                <w:rFonts w:ascii="Times New Roman" w:hAnsi="Times New Roman"/>
                <w:sz w:val="24"/>
              </w:rPr>
              <w:t xml:space="preserve">2 </w:t>
            </w:r>
            <w:r w:rsidR="00DD4DA2" w:rsidRPr="001562B3">
              <w:rPr>
                <w:rStyle w:val="InstructionsTabelleberschrift"/>
                <w:rFonts w:ascii="Times New Roman" w:hAnsi="Times New Roman"/>
                <w:sz w:val="24"/>
              </w:rPr>
              <w:t>capital</w:t>
            </w:r>
          </w:p>
          <w:p w14:paraId="612D408D" w14:textId="42DD45B8" w:rsidR="005F18D0" w:rsidRPr="001562B3" w:rsidRDefault="005F18D0" w:rsidP="00437CF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Article </w:t>
            </w:r>
            <w:r w:rsidR="00DD4DA2" w:rsidRPr="001562B3">
              <w:rPr>
                <w:rStyle w:val="FormatvorlageInstructionsTabelleText"/>
                <w:rFonts w:ascii="Times New Roman" w:hAnsi="Times New Roman"/>
                <w:sz w:val="24"/>
                <w:lang w:eastAsia="de-DE"/>
              </w:rPr>
              <w:t>71</w:t>
            </w:r>
            <w:r w:rsidRPr="001562B3">
              <w:rPr>
                <w:rStyle w:val="FormatvorlageInstructionsTabelleText"/>
                <w:rFonts w:ascii="Times New Roman" w:hAnsi="Times New Roman"/>
                <w:sz w:val="24"/>
                <w:lang w:eastAsia="de-DE"/>
              </w:rPr>
              <w:t xml:space="preserve"> </w:t>
            </w:r>
            <w:r w:rsidR="00B11263" w:rsidRPr="001562B3">
              <w:rPr>
                <w:rStyle w:val="FormatvorlageInstructionsTabelleText"/>
                <w:rFonts w:ascii="Times New Roman" w:hAnsi="Times New Roman"/>
                <w:sz w:val="24"/>
                <w:lang w:eastAsia="de-DE"/>
              </w:rPr>
              <w:t xml:space="preserve">of </w:t>
            </w:r>
            <w:r w:rsidR="00C47ED5" w:rsidRPr="001562B3">
              <w:rPr>
                <w:rStyle w:val="FormatvorlageInstructionsTabelleText"/>
                <w:rFonts w:ascii="Times New Roman" w:hAnsi="Times New Roman"/>
                <w:sz w:val="24"/>
                <w:lang w:eastAsia="de-DE"/>
              </w:rPr>
              <w:t>Regulation (EU) No 575/2013</w:t>
            </w:r>
          </w:p>
          <w:p w14:paraId="6229C6AA" w14:textId="15A67666" w:rsidR="003E7AB6" w:rsidRPr="001562B3" w:rsidRDefault="003E7AB6" w:rsidP="00E05895">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Inte</w:t>
            </w:r>
            <w:r w:rsidR="00184B3F" w:rsidRPr="001562B3">
              <w:rPr>
                <w:rStyle w:val="FormatvorlageInstructionsTabelleText"/>
                <w:rFonts w:ascii="Times New Roman" w:hAnsi="Times New Roman"/>
                <w:i/>
                <w:sz w:val="24"/>
              </w:rPr>
              <w:t>rn</w:t>
            </w:r>
            <w:r w:rsidRPr="001562B3">
              <w:rPr>
                <w:rStyle w:val="FormatvorlageInstructionsTabelleText"/>
                <w:rFonts w:ascii="Times New Roman" w:hAnsi="Times New Roman"/>
                <w:i/>
                <w:sz w:val="24"/>
              </w:rPr>
              <w:t>al MREL</w:t>
            </w:r>
          </w:p>
          <w:p w14:paraId="2012463A" w14:textId="3DC8809B" w:rsidR="005F18D0" w:rsidRPr="001562B3" w:rsidRDefault="003E7AB6" w:rsidP="00437CF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I</w:t>
            </w:r>
            <w:r w:rsidR="005F18D0" w:rsidRPr="001562B3">
              <w:rPr>
                <w:rStyle w:val="FormatvorlageInstructionsTabelleText"/>
                <w:rFonts w:ascii="Times New Roman" w:hAnsi="Times New Roman"/>
                <w:sz w:val="24"/>
                <w:lang w:eastAsia="de-DE"/>
              </w:rPr>
              <w:t xml:space="preserve">nstruments shall only be considered where they fulfil the criteria set out to in point (b) </w:t>
            </w:r>
            <w:r w:rsidR="00BE557E" w:rsidRPr="001562B3">
              <w:rPr>
                <w:rStyle w:val="FormatvorlageInstructionsTabelleText"/>
                <w:rFonts w:ascii="Times New Roman" w:hAnsi="Times New Roman"/>
                <w:sz w:val="24"/>
                <w:lang w:eastAsia="de-DE"/>
              </w:rPr>
              <w:t xml:space="preserve">(ii) </w:t>
            </w:r>
            <w:r w:rsidR="005F18D0" w:rsidRPr="001562B3">
              <w:rPr>
                <w:rStyle w:val="FormatvorlageInstructionsTabelleText"/>
                <w:rFonts w:ascii="Times New Roman" w:hAnsi="Times New Roman"/>
                <w:sz w:val="24"/>
                <w:lang w:eastAsia="de-DE"/>
              </w:rPr>
              <w:t xml:space="preserve">of Article 45f(2) </w:t>
            </w:r>
            <w:r w:rsidR="00B33C46" w:rsidRPr="001562B3">
              <w:rPr>
                <w:rStyle w:val="FormatvorlageInstructionsTabelleText"/>
                <w:rFonts w:ascii="Times New Roman" w:hAnsi="Times New Roman"/>
                <w:sz w:val="24"/>
                <w:lang w:eastAsia="de-DE"/>
              </w:rPr>
              <w:t>of Directive 2014/59/EU</w:t>
            </w:r>
            <w:r w:rsidR="005F18D0" w:rsidRPr="001562B3">
              <w:rPr>
                <w:rStyle w:val="FormatvorlageInstructionsTabelleText"/>
                <w:rFonts w:ascii="Times New Roman" w:hAnsi="Times New Roman"/>
                <w:sz w:val="24"/>
                <w:lang w:eastAsia="de-DE"/>
              </w:rPr>
              <w:t>.</w:t>
            </w:r>
          </w:p>
          <w:p w14:paraId="15C285E6" w14:textId="7A34A784" w:rsidR="003E7AB6" w:rsidRPr="001562B3" w:rsidRDefault="003E7AB6" w:rsidP="00437CF3">
            <w:pPr>
              <w:rPr>
                <w:rStyle w:val="FormatvorlageInstructionsTabelleText"/>
                <w:rFonts w:ascii="Times New Roman" w:hAnsi="Times New Roman"/>
                <w:sz w:val="24"/>
                <w:lang w:eastAsia="de-DE"/>
              </w:rPr>
            </w:pPr>
            <w:r w:rsidRPr="001562B3">
              <w:rPr>
                <w:rStyle w:val="InstructionsTabelleberschrift"/>
                <w:rFonts w:ascii="Times New Roman" w:hAnsi="Times New Roman"/>
                <w:b w:val="0"/>
                <w:i/>
                <w:sz w:val="24"/>
                <w:u w:val="none"/>
              </w:rPr>
              <w:t>Internal TLAC</w:t>
            </w:r>
          </w:p>
          <w:p w14:paraId="781CF336" w14:textId="79259FEC" w:rsidR="005F18D0" w:rsidRPr="001562B3" w:rsidRDefault="003E7AB6"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I</w:t>
            </w:r>
            <w:r w:rsidR="005F18D0" w:rsidRPr="001562B3">
              <w:rPr>
                <w:rStyle w:val="FormatvorlageInstructionsTabelleText"/>
                <w:rFonts w:ascii="Times New Roman" w:hAnsi="Times New Roman"/>
                <w:sz w:val="24"/>
              </w:rPr>
              <w:t xml:space="preserve">nstruments shall only be considered where they fulfil the criteria </w:t>
            </w:r>
            <w:r w:rsidR="00B11263" w:rsidRPr="001562B3">
              <w:rPr>
                <w:rStyle w:val="FormatvorlageInstructionsTabelleText"/>
                <w:rFonts w:ascii="Times New Roman" w:hAnsi="Times New Roman"/>
                <w:sz w:val="24"/>
              </w:rPr>
              <w:t>laid down</w:t>
            </w:r>
            <w:r w:rsidR="005F18D0" w:rsidRPr="001562B3">
              <w:rPr>
                <w:rStyle w:val="FormatvorlageInstructionsTabelleText"/>
                <w:rFonts w:ascii="Times New Roman" w:hAnsi="Times New Roman"/>
                <w:sz w:val="24"/>
              </w:rPr>
              <w:t xml:space="preserve"> in Article 92b(2) </w:t>
            </w:r>
            <w:r w:rsidR="00B11263" w:rsidRPr="001562B3">
              <w:t xml:space="preserve">of </w:t>
            </w:r>
            <w:r w:rsidR="00C47ED5" w:rsidRPr="001562B3">
              <w:t>Regulation (EU) No 575/2013</w:t>
            </w:r>
            <w:r w:rsidR="005F18D0" w:rsidRPr="001562B3">
              <w:rPr>
                <w:rStyle w:val="FormatvorlageInstructionsTabelleText"/>
                <w:rFonts w:ascii="Times New Roman" w:hAnsi="Times New Roman"/>
                <w:sz w:val="24"/>
              </w:rPr>
              <w:t>.</w:t>
            </w:r>
          </w:p>
        </w:tc>
      </w:tr>
      <w:tr w:rsidR="005F18D0" w:rsidRPr="001562B3" w14:paraId="64DE2EC8" w14:textId="77777777" w:rsidTr="003D419A">
        <w:tc>
          <w:tcPr>
            <w:tcW w:w="1130" w:type="dxa"/>
          </w:tcPr>
          <w:p w14:paraId="710A49FF" w14:textId="41C0C919" w:rsidR="005F18D0" w:rsidRPr="001562B3" w:rsidRDefault="00BE557E"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0250</w:t>
            </w:r>
          </w:p>
        </w:tc>
        <w:tc>
          <w:tcPr>
            <w:tcW w:w="7624" w:type="dxa"/>
          </w:tcPr>
          <w:p w14:paraId="32C5AF2D" w14:textId="3D030751" w:rsidR="005F18D0" w:rsidRPr="001562B3" w:rsidRDefault="005F18D0" w:rsidP="008E501F">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Eligible liabilities</w:t>
            </w:r>
            <w:r w:rsidR="00722C11" w:rsidRPr="001562B3">
              <w:rPr>
                <w:rStyle w:val="InstructionsTabelleberschrift"/>
                <w:rFonts w:ascii="Times New Roman" w:hAnsi="Times New Roman"/>
                <w:sz w:val="24"/>
              </w:rPr>
              <w:t xml:space="preserve"> and guarantees</w:t>
            </w:r>
          </w:p>
        </w:tc>
      </w:tr>
      <w:tr w:rsidR="005F18D0" w:rsidRPr="001562B3" w14:paraId="048DBBF5" w14:textId="77777777" w:rsidTr="003D419A">
        <w:tc>
          <w:tcPr>
            <w:tcW w:w="1130" w:type="dxa"/>
          </w:tcPr>
          <w:p w14:paraId="3AB59BE7" w14:textId="615DE75D" w:rsidR="005F18D0" w:rsidRPr="001562B3" w:rsidRDefault="005F18D0"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w:t>
            </w:r>
            <w:r w:rsidR="00BE557E"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0</w:t>
            </w:r>
          </w:p>
        </w:tc>
        <w:tc>
          <w:tcPr>
            <w:tcW w:w="7624" w:type="dxa"/>
          </w:tcPr>
          <w:p w14:paraId="642AC050" w14:textId="53D28D4F" w:rsidR="005F18D0" w:rsidRPr="001562B3" w:rsidRDefault="005F18D0"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 (</w:t>
            </w:r>
            <w:r w:rsidR="00BE557E" w:rsidRPr="001562B3">
              <w:rPr>
                <w:rStyle w:val="InstructionsTabelleberschrift"/>
                <w:rFonts w:ascii="Times New Roman" w:hAnsi="Times New Roman"/>
                <w:sz w:val="24"/>
              </w:rPr>
              <w:t>excluding</w:t>
            </w:r>
            <w:r w:rsidRPr="001562B3">
              <w:rPr>
                <w:rStyle w:val="InstructionsTabelleberschrift"/>
                <w:rFonts w:ascii="Times New Roman" w:hAnsi="Times New Roman"/>
                <w:sz w:val="24"/>
              </w:rPr>
              <w:t xml:space="preserve"> guarantees)</w:t>
            </w:r>
          </w:p>
          <w:p w14:paraId="7FFDA680" w14:textId="5DD968F5" w:rsidR="003E7AB6" w:rsidRPr="001562B3" w:rsidRDefault="003E7AB6">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Internal MREL</w:t>
            </w:r>
          </w:p>
          <w:p w14:paraId="5366075E" w14:textId="1A9F841A" w:rsidR="00184B3F" w:rsidRPr="001562B3" w:rsidRDefault="003E7AB6" w:rsidP="00437CF3">
            <w:pPr>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lang w:eastAsia="de-DE"/>
              </w:rPr>
              <w:t>E</w:t>
            </w:r>
            <w:r w:rsidR="005F18D0" w:rsidRPr="001562B3">
              <w:rPr>
                <w:rStyle w:val="FormatvorlageInstructionsTabelleText"/>
                <w:rFonts w:ascii="Times New Roman" w:hAnsi="Times New Roman"/>
                <w:sz w:val="24"/>
                <w:lang w:eastAsia="de-DE"/>
              </w:rPr>
              <w:t xml:space="preserve">ligible liabilities </w:t>
            </w:r>
            <w:r w:rsidRPr="001562B3">
              <w:rPr>
                <w:rStyle w:val="FormatvorlageInstructionsTabelleText"/>
                <w:rFonts w:ascii="Times New Roman" w:hAnsi="Times New Roman"/>
                <w:sz w:val="24"/>
                <w:lang w:eastAsia="de-DE"/>
              </w:rPr>
              <w:t>which</w:t>
            </w:r>
            <w:r w:rsidR="005F18D0" w:rsidRPr="001562B3">
              <w:rPr>
                <w:rStyle w:val="FormatvorlageInstructionsTabelleText"/>
                <w:rFonts w:ascii="Times New Roman" w:hAnsi="Times New Roman"/>
                <w:sz w:val="24"/>
                <w:lang w:eastAsia="de-DE"/>
              </w:rPr>
              <w:t xml:space="preserve"> fulfil the conditions set out in point (a) of Article 45</w:t>
            </w:r>
            <w:r w:rsidR="00BE557E" w:rsidRPr="001562B3">
              <w:rPr>
                <w:rStyle w:val="FormatvorlageInstructionsTabelleText"/>
                <w:rFonts w:ascii="Times New Roman" w:hAnsi="Times New Roman"/>
                <w:sz w:val="24"/>
                <w:lang w:eastAsia="de-DE"/>
              </w:rPr>
              <w:t>f</w:t>
            </w:r>
            <w:r w:rsidR="005F18D0" w:rsidRPr="001562B3">
              <w:rPr>
                <w:rStyle w:val="FormatvorlageInstructionsTabelleText"/>
                <w:rFonts w:ascii="Times New Roman" w:hAnsi="Times New Roman"/>
                <w:sz w:val="24"/>
                <w:lang w:eastAsia="de-DE"/>
              </w:rPr>
              <w:t xml:space="preserve">(2) </w:t>
            </w:r>
            <w:r w:rsidR="0078788E" w:rsidRPr="001562B3">
              <w:rPr>
                <w:rStyle w:val="FormatvorlageInstructionsTabelleText"/>
                <w:rFonts w:ascii="Times New Roman" w:hAnsi="Times New Roman"/>
                <w:sz w:val="24"/>
                <w:lang w:eastAsia="de-DE"/>
              </w:rPr>
              <w:t>of Directive 2014/59/EU</w:t>
            </w:r>
            <w:r w:rsidR="00184B3F" w:rsidRPr="001562B3">
              <w:rPr>
                <w:rStyle w:val="FormatvorlageInstructionsTabelleText"/>
                <w:rFonts w:ascii="Times New Roman" w:hAnsi="Times New Roman"/>
                <w:sz w:val="24"/>
                <w:lang w:eastAsia="de-DE"/>
              </w:rPr>
              <w:t xml:space="preserve">, </w:t>
            </w:r>
            <w:r w:rsidR="00184B3F" w:rsidRPr="001562B3">
              <w:rPr>
                <w:rStyle w:val="InstructionsTabelleberschrift"/>
                <w:rFonts w:ascii="Times New Roman" w:hAnsi="Times New Roman"/>
                <w:b w:val="0"/>
                <w:sz w:val="24"/>
                <w:u w:val="none"/>
              </w:rPr>
              <w:t xml:space="preserve">considering also, where applicable, the fourth subparagraph of Article 89(2) </w:t>
            </w:r>
            <w:r w:rsidR="0078788E" w:rsidRPr="001562B3">
              <w:rPr>
                <w:rStyle w:val="InstructionsTabelleberschrift"/>
                <w:rFonts w:ascii="Times New Roman" w:hAnsi="Times New Roman"/>
                <w:b w:val="0"/>
                <w:sz w:val="24"/>
                <w:u w:val="none"/>
              </w:rPr>
              <w:t>of that Directive</w:t>
            </w:r>
            <w:r w:rsidR="00184B3F" w:rsidRPr="001562B3">
              <w:rPr>
                <w:rStyle w:val="InstructionsTabelleberschrift"/>
                <w:rFonts w:ascii="Times New Roman" w:hAnsi="Times New Roman"/>
                <w:b w:val="0"/>
                <w:sz w:val="24"/>
                <w:u w:val="none"/>
              </w:rPr>
              <w:t>.</w:t>
            </w:r>
          </w:p>
          <w:p w14:paraId="57209D45" w14:textId="749BA98A" w:rsidR="005F18D0" w:rsidRPr="001562B3" w:rsidRDefault="00184B3F" w:rsidP="00437CF3">
            <w:pPr>
              <w:rPr>
                <w:rStyle w:val="FormatvorlageInstructionsTabelleText"/>
                <w:rFonts w:ascii="Times New Roman" w:hAnsi="Times New Roman"/>
                <w:sz w:val="24"/>
                <w:lang w:eastAsia="de-DE"/>
              </w:rPr>
            </w:pPr>
            <w:r w:rsidRPr="001562B3">
              <w:rPr>
                <w:rStyle w:val="InstructionsTabelleberschrift"/>
                <w:rFonts w:ascii="Times New Roman" w:hAnsi="Times New Roman"/>
                <w:b w:val="0"/>
                <w:sz w:val="24"/>
                <w:u w:val="none"/>
              </w:rPr>
              <w:t xml:space="preserve">In case of instruments governed by the law of a third country, the instrument shall only be included in this row if it meets the requirements of Article 55 </w:t>
            </w:r>
            <w:r w:rsidR="0078788E" w:rsidRPr="001562B3">
              <w:rPr>
                <w:rStyle w:val="InstructionsTabelleberschrift"/>
                <w:rFonts w:ascii="Times New Roman" w:hAnsi="Times New Roman"/>
                <w:b w:val="0"/>
                <w:sz w:val="24"/>
                <w:u w:val="none"/>
              </w:rPr>
              <w:t>of Directive 2014/59/EU</w:t>
            </w:r>
            <w:r w:rsidRPr="001562B3">
              <w:rPr>
                <w:rStyle w:val="InstructionsTabelleberschrift"/>
                <w:rFonts w:ascii="Times New Roman" w:hAnsi="Times New Roman"/>
                <w:b w:val="0"/>
                <w:sz w:val="24"/>
                <w:u w:val="none"/>
              </w:rPr>
              <w:t>.</w:t>
            </w:r>
          </w:p>
          <w:p w14:paraId="7FC16AEF" w14:textId="6593B239" w:rsidR="003E7AB6" w:rsidRPr="001562B3" w:rsidRDefault="003E7AB6" w:rsidP="00437CF3">
            <w:pPr>
              <w:rPr>
                <w:rStyle w:val="FormatvorlageInstructionsTabelleText"/>
                <w:rFonts w:ascii="Times New Roman" w:hAnsi="Times New Roman"/>
                <w:sz w:val="24"/>
                <w:lang w:eastAsia="de-DE"/>
              </w:rPr>
            </w:pPr>
            <w:r w:rsidRPr="001562B3">
              <w:rPr>
                <w:rStyle w:val="InstructionsTabelleberschrift"/>
                <w:rFonts w:ascii="Times New Roman" w:hAnsi="Times New Roman"/>
                <w:b w:val="0"/>
                <w:i/>
                <w:sz w:val="24"/>
                <w:u w:val="none"/>
              </w:rPr>
              <w:t>Internal TLAC</w:t>
            </w:r>
          </w:p>
          <w:p w14:paraId="193E429A" w14:textId="45B309AB" w:rsidR="005F18D0" w:rsidRPr="001562B3" w:rsidRDefault="00443BEC"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T</w:t>
            </w:r>
            <w:r w:rsidR="00BE557E" w:rsidRPr="001562B3">
              <w:rPr>
                <w:rStyle w:val="FormatvorlageInstructionsTabelleText"/>
                <w:rFonts w:ascii="Times New Roman" w:hAnsi="Times New Roman"/>
                <w:sz w:val="24"/>
              </w:rPr>
              <w:t xml:space="preserve">he amount of </w:t>
            </w:r>
            <w:r w:rsidR="005F18D0" w:rsidRPr="001562B3">
              <w:rPr>
                <w:rStyle w:val="FormatvorlageInstructionsTabelleText"/>
                <w:rFonts w:ascii="Times New Roman" w:hAnsi="Times New Roman"/>
                <w:sz w:val="24"/>
              </w:rPr>
              <w:t xml:space="preserve">eligible liabilities shall be calculated in accordance with Article 72k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5F18D0" w:rsidRPr="001562B3">
              <w:rPr>
                <w:rStyle w:val="FormatvorlageInstructionsTabelleText"/>
                <w:rFonts w:ascii="Times New Roman" w:hAnsi="Times New Roman"/>
                <w:sz w:val="24"/>
              </w:rPr>
              <w:t xml:space="preserve"> where th</w:t>
            </w:r>
            <w:r w:rsidRPr="001562B3">
              <w:rPr>
                <w:rStyle w:val="FormatvorlageInstructionsTabelleText"/>
                <w:rFonts w:ascii="Times New Roman" w:hAnsi="Times New Roman"/>
                <w:sz w:val="24"/>
              </w:rPr>
              <w:t>ose liabilities</w:t>
            </w:r>
            <w:r w:rsidR="005F18D0" w:rsidRPr="001562B3">
              <w:rPr>
                <w:rStyle w:val="FormatvorlageInstructionsTabelleText"/>
                <w:rFonts w:ascii="Times New Roman" w:hAnsi="Times New Roman"/>
                <w:sz w:val="24"/>
              </w:rPr>
              <w:t xml:space="preserve"> fulfil the conditions set out in Article 92b(</w:t>
            </w:r>
            <w:r w:rsidR="00650358" w:rsidRPr="001562B3">
              <w:rPr>
                <w:rStyle w:val="FormatvorlageInstructionsTabelleText"/>
                <w:rFonts w:ascii="Times New Roman" w:hAnsi="Times New Roman"/>
                <w:sz w:val="24"/>
              </w:rPr>
              <w:t>3</w:t>
            </w:r>
            <w:r w:rsidR="005F18D0" w:rsidRPr="001562B3">
              <w:rPr>
                <w:rStyle w:val="FormatvorlageInstructionsTabelleText"/>
                <w:rFonts w:ascii="Times New Roman" w:hAnsi="Times New Roman"/>
                <w:sz w:val="24"/>
              </w:rPr>
              <w:t xml:space="preserve">) </w:t>
            </w:r>
            <w:r w:rsidR="00B11263" w:rsidRPr="001562B3">
              <w:rPr>
                <w:rStyle w:val="FormatvorlageInstructionsTabelleText"/>
                <w:rFonts w:ascii="Times New Roman" w:hAnsi="Times New Roman"/>
                <w:sz w:val="24"/>
              </w:rPr>
              <w:t>of that Regulation</w:t>
            </w:r>
            <w:r w:rsidR="005F18D0" w:rsidRPr="001562B3">
              <w:rPr>
                <w:rStyle w:val="FormatvorlageInstructionsTabelleText"/>
                <w:rFonts w:ascii="Times New Roman" w:hAnsi="Times New Roman"/>
                <w:sz w:val="24"/>
              </w:rPr>
              <w:t>.</w:t>
            </w:r>
          </w:p>
        </w:tc>
      </w:tr>
      <w:tr w:rsidR="005F18D0" w:rsidRPr="001562B3" w14:paraId="008441F0" w14:textId="77777777" w:rsidTr="003D419A">
        <w:tc>
          <w:tcPr>
            <w:tcW w:w="1130" w:type="dxa"/>
          </w:tcPr>
          <w:p w14:paraId="4C704759" w14:textId="3507A2B2" w:rsidR="005F18D0" w:rsidRPr="001562B3" w:rsidRDefault="005F18D0"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02</w:t>
            </w:r>
            <w:r w:rsidR="00BE557E"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w:t>
            </w:r>
          </w:p>
        </w:tc>
        <w:tc>
          <w:tcPr>
            <w:tcW w:w="7624" w:type="dxa"/>
          </w:tcPr>
          <w:p w14:paraId="0A6DF4A8" w14:textId="56570D04" w:rsidR="005F18D0" w:rsidRPr="001562B3" w:rsidRDefault="005F18D0"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Guarantees </w:t>
            </w:r>
            <w:r w:rsidR="00BE557E" w:rsidRPr="001562B3">
              <w:rPr>
                <w:rStyle w:val="InstructionsTabelleberschrift"/>
                <w:rFonts w:ascii="Times New Roman" w:hAnsi="Times New Roman"/>
                <w:sz w:val="24"/>
              </w:rPr>
              <w:t>provided by the resolution entity</w:t>
            </w:r>
            <w:r w:rsidR="00B253EA" w:rsidRPr="001562B3">
              <w:rPr>
                <w:rStyle w:val="InstructionsTabelleberschrift"/>
                <w:rFonts w:ascii="Times New Roman" w:hAnsi="Times New Roman"/>
                <w:sz w:val="24"/>
              </w:rPr>
              <w:t xml:space="preserve"> and permitted by the resolution authority</w:t>
            </w:r>
          </w:p>
          <w:p w14:paraId="374F83E9" w14:textId="0086AE55" w:rsidR="00B253EA" w:rsidRPr="001562B3" w:rsidRDefault="00BA3D22" w:rsidP="008E501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w:t>
            </w:r>
            <w:r w:rsidR="005F18D0" w:rsidRPr="001562B3">
              <w:rPr>
                <w:rStyle w:val="FormatvorlageInstructionsTabelleText"/>
                <w:rFonts w:ascii="Times New Roman" w:hAnsi="Times New Roman"/>
                <w:sz w:val="24"/>
              </w:rPr>
              <w:t xml:space="preserve">here the resolution authority of the subsidiary permits </w:t>
            </w:r>
            <w:r w:rsidR="00BE557E" w:rsidRPr="001562B3">
              <w:rPr>
                <w:rStyle w:val="FormatvorlageInstructionsTabelleText"/>
                <w:rFonts w:ascii="Times New Roman" w:hAnsi="Times New Roman"/>
                <w:sz w:val="24"/>
              </w:rPr>
              <w:t xml:space="preserve">the reporting entity </w:t>
            </w:r>
            <w:r w:rsidR="005F18D0" w:rsidRPr="001562B3">
              <w:rPr>
                <w:rStyle w:val="FormatvorlageInstructionsTabelleText"/>
                <w:rFonts w:ascii="Times New Roman" w:hAnsi="Times New Roman"/>
                <w:sz w:val="24"/>
              </w:rPr>
              <w:t xml:space="preserve">to meet the internal MREL requirement with guarantees, the </w:t>
            </w:r>
            <w:r w:rsidR="00BE557E" w:rsidRPr="001562B3">
              <w:rPr>
                <w:rStyle w:val="FormatvorlageInstructionsTabelleText"/>
                <w:rFonts w:ascii="Times New Roman" w:hAnsi="Times New Roman"/>
                <w:sz w:val="24"/>
              </w:rPr>
              <w:t xml:space="preserve">amount of </w:t>
            </w:r>
            <w:r w:rsidR="005F18D0" w:rsidRPr="001562B3">
              <w:rPr>
                <w:rStyle w:val="FormatvorlageInstructionsTabelleText"/>
                <w:rFonts w:ascii="Times New Roman" w:hAnsi="Times New Roman"/>
                <w:sz w:val="24"/>
              </w:rPr>
              <w:t>guarantees that are pro</w:t>
            </w:r>
            <w:r w:rsidR="00BE557E" w:rsidRPr="001562B3">
              <w:rPr>
                <w:rStyle w:val="FormatvorlageInstructionsTabelleText"/>
                <w:rFonts w:ascii="Times New Roman" w:hAnsi="Times New Roman"/>
                <w:sz w:val="24"/>
              </w:rPr>
              <w:t>vided by the resolution entity and fulfil</w:t>
            </w:r>
            <w:r w:rsidR="005F18D0" w:rsidRPr="001562B3">
              <w:rPr>
                <w:rStyle w:val="FormatvorlageInstructionsTabelleText"/>
                <w:rFonts w:ascii="Times New Roman" w:hAnsi="Times New Roman"/>
                <w:sz w:val="24"/>
              </w:rPr>
              <w:t xml:space="preserve"> all the conditions set out in Article 45</w:t>
            </w:r>
            <w:r w:rsidR="00BE557E" w:rsidRPr="001562B3">
              <w:rPr>
                <w:rStyle w:val="FormatvorlageInstructionsTabelleText"/>
                <w:rFonts w:ascii="Times New Roman" w:hAnsi="Times New Roman"/>
                <w:sz w:val="24"/>
              </w:rPr>
              <w:t>f</w:t>
            </w:r>
            <w:r w:rsidR="005F18D0" w:rsidRPr="001562B3">
              <w:rPr>
                <w:rStyle w:val="FormatvorlageInstructionsTabelleText"/>
                <w:rFonts w:ascii="Times New Roman" w:hAnsi="Times New Roman"/>
                <w:sz w:val="24"/>
              </w:rPr>
              <w:t xml:space="preserve">(5) </w:t>
            </w:r>
            <w:r w:rsidR="0078788E" w:rsidRPr="001562B3">
              <w:rPr>
                <w:rStyle w:val="FormatvorlageInstructionsTabelleText"/>
                <w:rFonts w:ascii="Times New Roman" w:hAnsi="Times New Roman"/>
                <w:sz w:val="24"/>
              </w:rPr>
              <w:t xml:space="preserve">of </w:t>
            </w:r>
            <w:r w:rsidR="0078788E" w:rsidRPr="001562B3">
              <w:t>Directive 2014/59/EU</w:t>
            </w:r>
            <w:r w:rsidR="00BE557E" w:rsidRPr="001562B3">
              <w:rPr>
                <w:rStyle w:val="FormatvorlageInstructionsTabelleText"/>
                <w:rFonts w:ascii="Times New Roman" w:hAnsi="Times New Roman"/>
                <w:sz w:val="24"/>
              </w:rPr>
              <w:t xml:space="preserve"> shall be reported.</w:t>
            </w:r>
          </w:p>
        </w:tc>
      </w:tr>
      <w:tr w:rsidR="00585408" w:rsidRPr="001562B3" w14:paraId="64B2DBBF" w14:textId="77777777" w:rsidTr="003D419A">
        <w:tc>
          <w:tcPr>
            <w:tcW w:w="1130" w:type="dxa"/>
          </w:tcPr>
          <w:p w14:paraId="30EE14F3" w14:textId="68466EFD" w:rsidR="00585408" w:rsidRPr="001562B3" w:rsidRDefault="00585408"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0280</w:t>
            </w:r>
          </w:p>
        </w:tc>
        <w:tc>
          <w:tcPr>
            <w:tcW w:w="7624" w:type="dxa"/>
          </w:tcPr>
          <w:p w14:paraId="5CE64777" w14:textId="77777777" w:rsidR="00585408" w:rsidRPr="001562B3" w:rsidRDefault="0058540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Memorandum item: Collateralised part of the guarantee</w:t>
            </w:r>
          </w:p>
          <w:p w14:paraId="38A673BD" w14:textId="6116464B" w:rsidR="00585408" w:rsidRPr="001562B3" w:rsidRDefault="00585408" w:rsidP="008E501F">
            <w:pPr>
              <w:pStyle w:val="InstructionsText"/>
              <w:rPr>
                <w:rStyle w:val="InstructionsTabelleberschrift"/>
                <w:rFonts w:ascii="Times New Roman" w:hAnsi="Times New Roman"/>
                <w:b w:val="0"/>
                <w:sz w:val="24"/>
              </w:rPr>
            </w:pPr>
            <w:r w:rsidRPr="001562B3">
              <w:rPr>
                <w:rStyle w:val="FormatvorlageInstructionsTabelleText"/>
                <w:rFonts w:ascii="Times New Roman" w:hAnsi="Times New Roman"/>
                <w:sz w:val="24"/>
              </w:rPr>
              <w:t xml:space="preserve">The part of the guarantee reported in row 0270 that is collateralised through a financial collateral arrangement as referred to in point (c) of Article 45f(5) </w:t>
            </w:r>
            <w:r w:rsidR="0078788E" w:rsidRPr="001562B3">
              <w:rPr>
                <w:rStyle w:val="FormatvorlageInstructionsTabelleText"/>
                <w:rFonts w:ascii="Times New Roman" w:hAnsi="Times New Roman"/>
                <w:sz w:val="24"/>
              </w:rPr>
              <w:t xml:space="preserve">of </w:t>
            </w:r>
            <w:r w:rsidR="0078788E" w:rsidRPr="001562B3">
              <w:t>Directive 2014/59/EU</w:t>
            </w:r>
            <w:r w:rsidR="00B34605" w:rsidRPr="001562B3">
              <w:rPr>
                <w:rStyle w:val="FormatvorlageInstructionsTabelleText"/>
                <w:rFonts w:ascii="Times New Roman" w:hAnsi="Times New Roman"/>
                <w:sz w:val="24"/>
              </w:rPr>
              <w:t>.</w:t>
            </w:r>
          </w:p>
        </w:tc>
      </w:tr>
      <w:tr w:rsidR="00585408" w:rsidRPr="001562B3" w14:paraId="212DD81A" w14:textId="77777777" w:rsidTr="003D419A">
        <w:tc>
          <w:tcPr>
            <w:tcW w:w="1130" w:type="dxa"/>
          </w:tcPr>
          <w:p w14:paraId="1CAAC26F" w14:textId="5E899B7F" w:rsidR="00585408" w:rsidRPr="001562B3" w:rsidRDefault="00585408"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0290</w:t>
            </w:r>
          </w:p>
        </w:tc>
        <w:tc>
          <w:tcPr>
            <w:tcW w:w="7624" w:type="dxa"/>
          </w:tcPr>
          <w:p w14:paraId="303D6E75" w14:textId="193B6239" w:rsidR="00585408" w:rsidRPr="001562B3" w:rsidRDefault="00585408"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 Deductions </w:t>
            </w:r>
            <w:r w:rsidR="008A0F2E" w:rsidRPr="001562B3">
              <w:rPr>
                <w:rStyle w:val="InstructionsTabelleberschrift"/>
                <w:rFonts w:ascii="Times New Roman" w:hAnsi="Times New Roman"/>
                <w:sz w:val="24"/>
              </w:rPr>
              <w:t>or equivalent</w:t>
            </w:r>
          </w:p>
          <w:p w14:paraId="5DF1D2B8" w14:textId="2EF2AACA" w:rsidR="00585408" w:rsidRPr="001562B3" w:rsidRDefault="00585408" w:rsidP="008E501F">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Deductions</w:t>
            </w:r>
            <w:r w:rsidR="008A0F2E" w:rsidRPr="001562B3">
              <w:rPr>
                <w:rStyle w:val="FormatvorlageInstructionsTabelleText"/>
                <w:rFonts w:ascii="Times New Roman" w:hAnsi="Times New Roman"/>
                <w:sz w:val="24"/>
              </w:rPr>
              <w:t xml:space="preserve"> or equivalent</w:t>
            </w:r>
            <w:r w:rsidRPr="001562B3">
              <w:rPr>
                <w:rStyle w:val="FormatvorlageInstructionsTabelleText"/>
                <w:rFonts w:ascii="Times New Roman" w:hAnsi="Times New Roman"/>
                <w:sz w:val="24"/>
              </w:rPr>
              <w:t xml:space="preserve"> required </w:t>
            </w:r>
            <w:r w:rsidR="0078788E" w:rsidRPr="001562B3">
              <w:rPr>
                <w:rStyle w:val="FormatvorlageInstructionsTabelleText"/>
                <w:rFonts w:ascii="Times New Roman" w:hAnsi="Times New Roman"/>
                <w:sz w:val="24"/>
              </w:rPr>
              <w:t>in accordance with</w:t>
            </w:r>
            <w:r w:rsidR="008A0F2E" w:rsidRPr="001562B3">
              <w:rPr>
                <w:rStyle w:val="FormatvorlageInstructionsTabelleText"/>
                <w:rFonts w:ascii="Times New Roman" w:hAnsi="Times New Roman"/>
                <w:sz w:val="24"/>
              </w:rPr>
              <w:t xml:space="preserve"> the method set out in</w:t>
            </w:r>
            <w:r w:rsidRPr="001562B3">
              <w:rPr>
                <w:rStyle w:val="FormatvorlageInstructionsTabelleText"/>
                <w:rFonts w:ascii="Times New Roman" w:hAnsi="Times New Roman"/>
                <w:sz w:val="24"/>
              </w:rPr>
              <w:t xml:space="preserve"> the </w:t>
            </w:r>
            <w:r w:rsidR="008A0F2E" w:rsidRPr="001562B3">
              <w:rPr>
                <w:rStyle w:val="FormatvorlageInstructionsTabelleText"/>
                <w:rFonts w:ascii="Times New Roman" w:hAnsi="Times New Roman"/>
                <w:sz w:val="24"/>
              </w:rPr>
              <w:t xml:space="preserve">Delegated Regulation referred to in </w:t>
            </w:r>
            <w:r w:rsidR="00B46B93" w:rsidRPr="001562B3">
              <w:rPr>
                <w:rStyle w:val="FormatvorlageInstructionsTabelleText"/>
                <w:rFonts w:ascii="Times New Roman" w:hAnsi="Times New Roman"/>
                <w:sz w:val="24"/>
              </w:rPr>
              <w:t xml:space="preserve">Article 45f(6) </w:t>
            </w:r>
            <w:r w:rsidR="0078788E" w:rsidRPr="001562B3">
              <w:rPr>
                <w:rStyle w:val="FormatvorlageInstructionsTabelleText"/>
                <w:rFonts w:ascii="Times New Roman" w:hAnsi="Times New Roman"/>
                <w:sz w:val="24"/>
              </w:rPr>
              <w:t>of Directive 2014/59/EU</w:t>
            </w:r>
            <w:r w:rsidR="00B46B93" w:rsidRPr="001562B3">
              <w:rPr>
                <w:rStyle w:val="FormatvorlageInstructionsTabelleText"/>
                <w:rFonts w:ascii="Times New Roman" w:hAnsi="Times New Roman"/>
                <w:sz w:val="24"/>
              </w:rPr>
              <w:t xml:space="preserve">. This row shall only be filled in once </w:t>
            </w:r>
            <w:r w:rsidR="008A0F2E" w:rsidRPr="001562B3">
              <w:rPr>
                <w:rStyle w:val="FormatvorlageInstructionsTabelleText"/>
                <w:rFonts w:ascii="Times New Roman" w:hAnsi="Times New Roman"/>
                <w:sz w:val="24"/>
              </w:rPr>
              <w:t>the Delegated Regulation</w:t>
            </w:r>
            <w:r w:rsidR="00B46B93" w:rsidRPr="001562B3">
              <w:rPr>
                <w:rStyle w:val="FormatvorlageInstructionsTabelleText"/>
                <w:rFonts w:ascii="Times New Roman" w:hAnsi="Times New Roman"/>
                <w:sz w:val="24"/>
              </w:rPr>
              <w:t xml:space="preserve"> applies.</w:t>
            </w:r>
          </w:p>
        </w:tc>
      </w:tr>
      <w:tr w:rsidR="00BE557E" w:rsidRPr="001562B3" w14:paraId="4C6B668C" w14:textId="77777777" w:rsidTr="003D419A">
        <w:tc>
          <w:tcPr>
            <w:tcW w:w="1130" w:type="dxa"/>
          </w:tcPr>
          <w:p w14:paraId="1443EEEE" w14:textId="56213E28" w:rsidR="00BE557E"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w:t>
            </w:r>
            <w:r w:rsidR="00BE557E" w:rsidRPr="001562B3">
              <w:rPr>
                <w:rStyle w:val="FormatvorlageInstructionsTabelleText"/>
                <w:rFonts w:ascii="Times New Roman" w:hAnsi="Times New Roman"/>
                <w:sz w:val="24"/>
              </w:rPr>
              <w:t xml:space="preserve">00 - </w:t>
            </w:r>
            <w:r w:rsidRPr="001562B3">
              <w:rPr>
                <w:rStyle w:val="FormatvorlageInstructionsTabelleText"/>
                <w:rFonts w:ascii="Times New Roman" w:hAnsi="Times New Roman"/>
                <w:sz w:val="24"/>
              </w:rPr>
              <w:t>04</w:t>
            </w:r>
            <w:r w:rsidR="003E0EFC" w:rsidRPr="001562B3">
              <w:rPr>
                <w:rStyle w:val="FormatvorlageInstructionsTabelleText"/>
                <w:rFonts w:ascii="Times New Roman" w:hAnsi="Times New Roman"/>
                <w:sz w:val="24"/>
              </w:rPr>
              <w:t>40</w:t>
            </w:r>
          </w:p>
        </w:tc>
        <w:tc>
          <w:tcPr>
            <w:tcW w:w="7624" w:type="dxa"/>
          </w:tcPr>
          <w:p w14:paraId="0D31D956" w14:textId="68870AD9" w:rsidR="00BE557E" w:rsidRPr="001562B3" w:rsidRDefault="00BE557E"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Ratios of eligible own funds and eligible liabilities</w:t>
            </w:r>
          </w:p>
        </w:tc>
      </w:tr>
      <w:tr w:rsidR="00CC432E" w:rsidRPr="001562B3" w14:paraId="45BCEF11" w14:textId="77777777" w:rsidTr="003D419A">
        <w:tc>
          <w:tcPr>
            <w:tcW w:w="1130" w:type="dxa"/>
          </w:tcPr>
          <w:p w14:paraId="48372301" w14:textId="2ABACA7C" w:rsidR="00CC432E" w:rsidRPr="001562B3" w:rsidRDefault="00443BEC"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w:t>
            </w:r>
            <w:r w:rsidR="00CC432E" w:rsidRPr="001562B3">
              <w:rPr>
                <w:rStyle w:val="FormatvorlageInstructionsTabelleText"/>
                <w:rFonts w:ascii="Times New Roman" w:hAnsi="Times New Roman"/>
                <w:sz w:val="24"/>
              </w:rPr>
              <w:t>00</w:t>
            </w:r>
          </w:p>
        </w:tc>
        <w:tc>
          <w:tcPr>
            <w:tcW w:w="7624" w:type="dxa"/>
          </w:tcPr>
          <w:p w14:paraId="54F4D6AB" w14:textId="3BCDF32E" w:rsidR="00CC432E" w:rsidRPr="001562B3" w:rsidRDefault="00CC432E" w:rsidP="00E05895">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Own funds and eligible liabilities as a percentage of the </w:t>
            </w:r>
            <w:r w:rsidR="009D2B1C">
              <w:rPr>
                <w:rStyle w:val="InstructionsTabelleberschrift"/>
                <w:rFonts w:ascii="Times New Roman" w:hAnsi="Times New Roman"/>
                <w:sz w:val="24"/>
              </w:rPr>
              <w:t>TREA</w:t>
            </w:r>
          </w:p>
          <w:p w14:paraId="638A2511" w14:textId="34438C98" w:rsidR="00CC432E" w:rsidRPr="001562B3" w:rsidRDefault="00CC432E" w:rsidP="008E501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Amounts of eligible own funds</w:t>
            </w:r>
            <w:r w:rsidR="00650358"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eligible liabilities </w:t>
            </w:r>
            <w:r w:rsidR="00650358" w:rsidRPr="001562B3">
              <w:rPr>
                <w:rStyle w:val="FormatvorlageInstructionsTabelleText"/>
                <w:rFonts w:ascii="Times New Roman" w:hAnsi="Times New Roman"/>
                <w:sz w:val="24"/>
              </w:rPr>
              <w:t xml:space="preserve">and permitted guarantees </w:t>
            </w:r>
            <w:r w:rsidRPr="001562B3">
              <w:rPr>
                <w:rStyle w:val="FormatvorlageInstructionsTabelleText"/>
                <w:rFonts w:ascii="Times New Roman" w:hAnsi="Times New Roman"/>
                <w:sz w:val="24"/>
              </w:rPr>
              <w:t>of the reporting entity counting towards</w:t>
            </w:r>
            <w:r w:rsidR="00780B8F"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w:t>
            </w:r>
            <w:r w:rsidR="00780B8F" w:rsidRPr="001562B3">
              <w:rPr>
                <w:rStyle w:val="FormatvorlageInstructionsTabelleText"/>
                <w:rFonts w:ascii="Times New Roman" w:hAnsi="Times New Roman"/>
                <w:sz w:val="24"/>
              </w:rPr>
              <w:t xml:space="preserve">respectively, </w:t>
            </w:r>
            <w:r w:rsidRPr="001562B3">
              <w:rPr>
                <w:rStyle w:val="FormatvorlageInstructionsTabelleText"/>
                <w:rFonts w:ascii="Times New Roman" w:hAnsi="Times New Roman"/>
                <w:sz w:val="24"/>
              </w:rPr>
              <w:t xml:space="preserve">internal MREL </w:t>
            </w:r>
            <w:r w:rsidR="00780B8F" w:rsidRPr="001562B3">
              <w:rPr>
                <w:rStyle w:val="FormatvorlageInstructionsTabelleText"/>
                <w:rFonts w:ascii="Times New Roman" w:hAnsi="Times New Roman"/>
                <w:sz w:val="24"/>
              </w:rPr>
              <w:t xml:space="preserve">and </w:t>
            </w:r>
            <w:r w:rsidR="00231C4F" w:rsidRPr="001562B3">
              <w:rPr>
                <w:rStyle w:val="FormatvorlageInstructionsTabelleText"/>
                <w:rFonts w:ascii="Times New Roman" w:hAnsi="Times New Roman"/>
                <w:sz w:val="24"/>
              </w:rPr>
              <w:t>internal TLAC</w:t>
            </w:r>
            <w:r w:rsidRPr="001562B3">
              <w:rPr>
                <w:rStyle w:val="FormatvorlageInstructionsTabelleText"/>
                <w:rFonts w:ascii="Times New Roman" w:hAnsi="Times New Roman"/>
                <w:sz w:val="24"/>
              </w:rPr>
              <w:t>, expressed as a percentage of</w:t>
            </w:r>
            <w:r w:rsidR="00CE44FE" w:rsidRPr="001562B3">
              <w:rPr>
                <w:rStyle w:val="FormatvorlageInstructionsTabelleText"/>
                <w:rFonts w:ascii="Times New Roman" w:hAnsi="Times New Roman"/>
                <w:sz w:val="24"/>
              </w:rPr>
              <w:t xml:space="preserve"> the</w:t>
            </w:r>
            <w:r w:rsidRPr="001562B3">
              <w:rPr>
                <w:rStyle w:val="FormatvorlageInstructionsTabelleText"/>
                <w:rFonts w:ascii="Times New Roman" w:hAnsi="Times New Roman"/>
                <w:sz w:val="24"/>
              </w:rPr>
              <w:t xml:space="preserve"> </w:t>
            </w:r>
            <w:r w:rsidR="00644EEB" w:rsidRPr="001562B3">
              <w:rPr>
                <w:rStyle w:val="FormatvorlageInstructionsTabelleText"/>
                <w:rFonts w:ascii="Times New Roman" w:hAnsi="Times New Roman"/>
                <w:sz w:val="24"/>
              </w:rPr>
              <w:t>total risk exposure amount</w:t>
            </w:r>
            <w:r w:rsidRPr="001562B3">
              <w:rPr>
                <w:rStyle w:val="FormatvorlageInstructionsTabelleText"/>
                <w:rFonts w:ascii="Times New Roman" w:hAnsi="Times New Roman"/>
                <w:sz w:val="24"/>
              </w:rPr>
              <w:t xml:space="preserve"> calculated in accordance with Article 92(3)</w:t>
            </w:r>
            <w:r w:rsidR="00B11263" w:rsidRPr="001562B3">
              <w:t xml:space="preserve">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D935F5" w:rsidRPr="001562B3">
              <w:rPr>
                <w:rStyle w:val="FormatvorlageInstructionsTabelleText"/>
                <w:rFonts w:ascii="Times New Roman" w:hAnsi="Times New Roman"/>
                <w:sz w:val="24"/>
              </w:rPr>
              <w:t>.</w:t>
            </w:r>
          </w:p>
        </w:tc>
      </w:tr>
      <w:tr w:rsidR="00CC432E" w:rsidRPr="001562B3" w14:paraId="4FA4FC47" w14:textId="77777777" w:rsidTr="003D419A">
        <w:tc>
          <w:tcPr>
            <w:tcW w:w="1130" w:type="dxa"/>
          </w:tcPr>
          <w:p w14:paraId="72742DBD" w14:textId="0C90E56F" w:rsidR="00CC432E"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w:t>
            </w:r>
            <w:r w:rsidR="00BB3BE4" w:rsidRPr="001562B3">
              <w:rPr>
                <w:rStyle w:val="FormatvorlageInstructionsTabelleText"/>
                <w:rFonts w:ascii="Times New Roman" w:hAnsi="Times New Roman"/>
                <w:sz w:val="24"/>
              </w:rPr>
              <w:t>10</w:t>
            </w:r>
          </w:p>
        </w:tc>
        <w:tc>
          <w:tcPr>
            <w:tcW w:w="7624" w:type="dxa"/>
          </w:tcPr>
          <w:p w14:paraId="76B8F18F" w14:textId="77777777" w:rsidR="00CC432E" w:rsidRPr="001562B3" w:rsidRDefault="00CC432E"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permitted guarantees</w:t>
            </w:r>
          </w:p>
          <w:p w14:paraId="6E0BA424" w14:textId="75A3DA62" w:rsidR="00CC432E" w:rsidRPr="001562B3" w:rsidRDefault="00CC432E">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Amount of eligible own funds</w:t>
            </w:r>
            <w:r w:rsidR="00650358"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eligible liabilities </w:t>
            </w:r>
            <w:r w:rsidR="00650358" w:rsidRPr="001562B3">
              <w:rPr>
                <w:rStyle w:val="FormatvorlageInstructionsTabelleText"/>
                <w:rFonts w:ascii="Times New Roman" w:hAnsi="Times New Roman"/>
                <w:sz w:val="24"/>
              </w:rPr>
              <w:t xml:space="preserve">and permitted guarantees </w:t>
            </w:r>
            <w:r w:rsidRPr="001562B3">
              <w:rPr>
                <w:rStyle w:val="FormatvorlageInstructionsTabelleText"/>
                <w:rFonts w:ascii="Times New Roman" w:hAnsi="Times New Roman"/>
                <w:sz w:val="24"/>
              </w:rPr>
              <w:t xml:space="preserve">of the reporting entity that are guarantees provided by the resolution entity and that are recognised by the resolution authority in accordance with Article 45f(5) </w:t>
            </w:r>
            <w:r w:rsidR="0078788E" w:rsidRPr="001562B3">
              <w:rPr>
                <w:rStyle w:val="FormatvorlageInstructionsTabelleText"/>
                <w:rFonts w:ascii="Times New Roman" w:hAnsi="Times New Roman"/>
                <w:sz w:val="24"/>
              </w:rPr>
              <w:t xml:space="preserve">of </w:t>
            </w:r>
            <w:r w:rsidR="0078788E" w:rsidRPr="001562B3">
              <w:t>Directive 2014/59/EU</w:t>
            </w:r>
            <w:r w:rsidRPr="001562B3">
              <w:rPr>
                <w:rStyle w:val="FormatvorlageInstructionsTabelleText"/>
                <w:rFonts w:ascii="Times New Roman" w:hAnsi="Times New Roman"/>
                <w:sz w:val="24"/>
              </w:rPr>
              <w:t xml:space="preserve">, which counts towards internal MREL, expressed as a percentage of </w:t>
            </w:r>
            <w:r w:rsidR="00CE44FE" w:rsidRPr="001562B3">
              <w:rPr>
                <w:rStyle w:val="FormatvorlageInstructionsTabelleText"/>
                <w:rFonts w:ascii="Times New Roman" w:hAnsi="Times New Roman"/>
                <w:sz w:val="24"/>
              </w:rPr>
              <w:t xml:space="preserve">the total risk exposure amount </w:t>
            </w:r>
            <w:r w:rsidRPr="001562B3">
              <w:rPr>
                <w:rStyle w:val="FormatvorlageInstructionsTabelleText"/>
                <w:rFonts w:ascii="Times New Roman" w:hAnsi="Times New Roman"/>
                <w:sz w:val="24"/>
              </w:rPr>
              <w:t xml:space="preserve">calculated in accordance with Article 92(3) </w:t>
            </w:r>
            <w:r w:rsidR="00B11263" w:rsidRPr="001562B3">
              <w:t xml:space="preserve">of </w:t>
            </w:r>
            <w:r w:rsidR="00C47ED5" w:rsidRPr="001562B3">
              <w:t>Regulation (EU) No 575/2013</w:t>
            </w:r>
            <w:r w:rsidR="00B11263" w:rsidRPr="001562B3">
              <w:rPr>
                <w:rStyle w:val="FormatvorlageInstructionsTabelleText"/>
                <w:rFonts w:ascii="Times New Roman" w:hAnsi="Times New Roman"/>
                <w:sz w:val="24"/>
              </w:rPr>
              <w:t>.</w:t>
            </w:r>
          </w:p>
        </w:tc>
      </w:tr>
      <w:tr w:rsidR="00CC432E" w:rsidRPr="001562B3" w14:paraId="111C9D43" w14:textId="77777777" w:rsidTr="003D419A">
        <w:tc>
          <w:tcPr>
            <w:tcW w:w="1130" w:type="dxa"/>
          </w:tcPr>
          <w:p w14:paraId="467C6978" w14:textId="2DBE9902" w:rsidR="00CC432E" w:rsidRPr="001562B3" w:rsidRDefault="00443BEC"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w:t>
            </w:r>
            <w:r w:rsidR="0060089D" w:rsidRPr="001562B3">
              <w:rPr>
                <w:rStyle w:val="FormatvorlageInstructionsTabelleText"/>
                <w:rFonts w:ascii="Times New Roman" w:hAnsi="Times New Roman"/>
                <w:sz w:val="24"/>
              </w:rPr>
              <w:t>20</w:t>
            </w:r>
          </w:p>
        </w:tc>
        <w:tc>
          <w:tcPr>
            <w:tcW w:w="7624" w:type="dxa"/>
          </w:tcPr>
          <w:p w14:paraId="58A4D821" w14:textId="66F6ECF9" w:rsidR="00CC432E" w:rsidRPr="001562B3" w:rsidRDefault="00CC432E"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Own funds and eligible liabilities as a percentage of the </w:t>
            </w:r>
            <w:r w:rsidR="0008143C">
              <w:rPr>
                <w:rStyle w:val="InstructionsTabelleberschrift"/>
                <w:rFonts w:ascii="Times New Roman" w:hAnsi="Times New Roman"/>
                <w:sz w:val="24"/>
              </w:rPr>
              <w:t>TEM</w:t>
            </w:r>
          </w:p>
          <w:p w14:paraId="2DE6FA49" w14:textId="243C393C" w:rsidR="00CC432E" w:rsidRPr="001562B3" w:rsidRDefault="00CC432E" w:rsidP="001562B3">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Amounts of eligible own funds and eligible liabilities of the reporting entity counting towards</w:t>
            </w:r>
            <w:r w:rsidR="00FF7F3B" w:rsidRPr="001562B3">
              <w:rPr>
                <w:rStyle w:val="FormatvorlageInstructionsTabelleText"/>
                <w:rFonts w:ascii="Times New Roman" w:hAnsi="Times New Roman"/>
                <w:sz w:val="24"/>
              </w:rPr>
              <w:t>, respectively,</w:t>
            </w:r>
            <w:r w:rsidRPr="001562B3">
              <w:rPr>
                <w:rStyle w:val="FormatvorlageInstructionsTabelleText"/>
                <w:rFonts w:ascii="Times New Roman" w:hAnsi="Times New Roman"/>
                <w:sz w:val="24"/>
              </w:rPr>
              <w:t xml:space="preserve"> internal MREL </w:t>
            </w:r>
            <w:r w:rsidR="00FF7F3B" w:rsidRPr="001562B3">
              <w:rPr>
                <w:rStyle w:val="FormatvorlageInstructionsTabelleText"/>
                <w:rFonts w:ascii="Times New Roman" w:hAnsi="Times New Roman"/>
                <w:sz w:val="24"/>
              </w:rPr>
              <w:t xml:space="preserve">and </w:t>
            </w:r>
            <w:r w:rsidR="00231C4F" w:rsidRPr="001562B3">
              <w:rPr>
                <w:rStyle w:val="FormatvorlageInstructionsTabelleText"/>
                <w:rFonts w:ascii="Times New Roman" w:hAnsi="Times New Roman"/>
                <w:sz w:val="24"/>
              </w:rPr>
              <w:t>internal TLAC</w:t>
            </w:r>
            <w:r w:rsidRPr="001562B3">
              <w:rPr>
                <w:rStyle w:val="FormatvorlageInstructionsTabelleText"/>
                <w:rFonts w:ascii="Times New Roman" w:hAnsi="Times New Roman"/>
                <w:sz w:val="24"/>
              </w:rPr>
              <w:t xml:space="preserve">, expressed as a percentage of </w:t>
            </w:r>
            <w:r w:rsidR="00644EEB" w:rsidRPr="001562B3">
              <w:rPr>
                <w:rStyle w:val="FormatvorlageInstructionsTabelleText"/>
                <w:rFonts w:ascii="Times New Roman" w:hAnsi="Times New Roman"/>
                <w:sz w:val="24"/>
              </w:rPr>
              <w:t xml:space="preserve">the total exposure measure </w:t>
            </w:r>
            <w:r w:rsidRPr="001562B3">
              <w:rPr>
                <w:rStyle w:val="FormatvorlageInstructionsTabelleText"/>
                <w:rFonts w:ascii="Times New Roman" w:hAnsi="Times New Roman"/>
                <w:sz w:val="24"/>
              </w:rPr>
              <w:t xml:space="preserve">calculated in accordance with Articles 429(4) and 429a </w:t>
            </w:r>
            <w:r w:rsidR="00B11263" w:rsidRPr="001562B3">
              <w:rPr>
                <w:rStyle w:val="FormatvorlageInstructionsTabelleText"/>
                <w:rFonts w:ascii="Times New Roman" w:hAnsi="Times New Roman"/>
                <w:sz w:val="24"/>
              </w:rPr>
              <w:t>of that Regulation.</w:t>
            </w:r>
          </w:p>
        </w:tc>
      </w:tr>
      <w:tr w:rsidR="00CC432E" w:rsidRPr="001562B3" w14:paraId="44A3123C" w14:textId="77777777" w:rsidTr="003D419A">
        <w:tc>
          <w:tcPr>
            <w:tcW w:w="1130" w:type="dxa"/>
          </w:tcPr>
          <w:p w14:paraId="11C9C58C" w14:textId="3E187751" w:rsidR="00CC432E"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w:t>
            </w:r>
            <w:r w:rsidR="0060089D" w:rsidRPr="001562B3">
              <w:rPr>
                <w:rStyle w:val="FormatvorlageInstructionsTabelleText"/>
                <w:rFonts w:ascii="Times New Roman" w:hAnsi="Times New Roman"/>
                <w:sz w:val="24"/>
              </w:rPr>
              <w:t>30</w:t>
            </w:r>
          </w:p>
        </w:tc>
        <w:tc>
          <w:tcPr>
            <w:tcW w:w="7624" w:type="dxa"/>
          </w:tcPr>
          <w:p w14:paraId="58EA40B5" w14:textId="77777777" w:rsidR="00CC432E" w:rsidRPr="001562B3" w:rsidRDefault="00CC432E"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permitted guarantees</w:t>
            </w:r>
          </w:p>
          <w:p w14:paraId="5D4BEBD4" w14:textId="29134CEE" w:rsidR="00CC432E" w:rsidRPr="001562B3" w:rsidRDefault="00CC432E">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Amount of eligible own funds and eligible liabilities of the reporting entity that are guarantees provided by the resolution entity and that are recognised by the resolution authority in accordance with Article 45f(5) </w:t>
            </w:r>
            <w:r w:rsidR="0078788E" w:rsidRPr="001562B3">
              <w:rPr>
                <w:rStyle w:val="FormatvorlageInstructionsTabelleText"/>
                <w:rFonts w:ascii="Times New Roman" w:hAnsi="Times New Roman"/>
                <w:sz w:val="24"/>
              </w:rPr>
              <w:t xml:space="preserve">of </w:t>
            </w:r>
            <w:r w:rsidR="0078788E" w:rsidRPr="001562B3">
              <w:t>Directive 2014/59/EU</w:t>
            </w:r>
            <w:r w:rsidRPr="001562B3">
              <w:rPr>
                <w:rStyle w:val="FormatvorlageInstructionsTabelleText"/>
                <w:rFonts w:ascii="Times New Roman" w:hAnsi="Times New Roman"/>
                <w:sz w:val="24"/>
              </w:rPr>
              <w:t>, which counts towards internal MREL</w:t>
            </w:r>
            <w:r w:rsidR="00757707"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expressed as a percentage of </w:t>
            </w:r>
            <w:r w:rsidR="00CE44FE" w:rsidRPr="001562B3">
              <w:rPr>
                <w:rStyle w:val="FormatvorlageInstructionsTabelleText"/>
                <w:rFonts w:ascii="Times New Roman" w:hAnsi="Times New Roman"/>
                <w:sz w:val="24"/>
              </w:rPr>
              <w:t xml:space="preserve">the total exposure measure </w:t>
            </w:r>
            <w:r w:rsidRPr="001562B3">
              <w:rPr>
                <w:rStyle w:val="FormatvorlageInstructionsTabelleText"/>
                <w:rFonts w:ascii="Times New Roman" w:hAnsi="Times New Roman"/>
                <w:sz w:val="24"/>
              </w:rPr>
              <w:t xml:space="preserve">calculated in accordance with Articles 429(4) and 429a </w:t>
            </w:r>
            <w:r w:rsidR="00B11263" w:rsidRPr="001562B3">
              <w:t xml:space="preserve">of </w:t>
            </w:r>
            <w:r w:rsidR="00C47ED5" w:rsidRPr="001562B3">
              <w:t>Regulation (EU) No 575/2013</w:t>
            </w:r>
            <w:r w:rsidR="00B11263" w:rsidRPr="001562B3">
              <w:rPr>
                <w:rStyle w:val="FormatvorlageInstructionsTabelleText"/>
                <w:rFonts w:ascii="Times New Roman" w:hAnsi="Times New Roman"/>
                <w:sz w:val="24"/>
              </w:rPr>
              <w:t>.</w:t>
            </w:r>
          </w:p>
        </w:tc>
      </w:tr>
      <w:tr w:rsidR="00CC432E" w:rsidRPr="001562B3" w14:paraId="69D5BE89" w14:textId="77777777" w:rsidTr="003D419A">
        <w:tc>
          <w:tcPr>
            <w:tcW w:w="1130" w:type="dxa"/>
          </w:tcPr>
          <w:p w14:paraId="15398885" w14:textId="4BA644A1" w:rsidR="00CC432E"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04</w:t>
            </w:r>
            <w:r w:rsidR="0060089D" w:rsidRPr="001562B3">
              <w:rPr>
                <w:rStyle w:val="FormatvorlageInstructionsTabelleText"/>
                <w:rFonts w:ascii="Times New Roman" w:hAnsi="Times New Roman"/>
                <w:sz w:val="24"/>
              </w:rPr>
              <w:t>40</w:t>
            </w:r>
          </w:p>
        </w:tc>
        <w:tc>
          <w:tcPr>
            <w:tcW w:w="7624" w:type="dxa"/>
          </w:tcPr>
          <w:p w14:paraId="7658B11D" w14:textId="05E4D2E9" w:rsidR="00A612E2" w:rsidRPr="001562B3" w:rsidRDefault="00CC432E"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CET1 (%)</w:t>
            </w:r>
            <w:r w:rsidR="00AD4B38" w:rsidRPr="001562B3">
              <w:rPr>
                <w:rStyle w:val="InstructionsTabelleberschrift"/>
                <w:rFonts w:ascii="Times New Roman" w:hAnsi="Times New Roman"/>
                <w:sz w:val="24"/>
              </w:rPr>
              <w:t xml:space="preserve"> </w:t>
            </w:r>
            <w:r w:rsidR="00A612E2" w:rsidRPr="001562B3">
              <w:rPr>
                <w:rStyle w:val="InstructionsTabelleberschrift"/>
                <w:rFonts w:ascii="Times New Roman" w:hAnsi="Times New Roman"/>
                <w:sz w:val="24"/>
              </w:rPr>
              <w:t>available after meeting the entity’s requirements</w:t>
            </w:r>
          </w:p>
          <w:p w14:paraId="58C29D7C" w14:textId="367516F6" w:rsidR="008561CE" w:rsidRPr="001562B3" w:rsidRDefault="008561C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amount of CET1, equal to zero or positive, available after meeting </w:t>
            </w:r>
            <w:r w:rsidR="00AC758B" w:rsidRPr="001562B3">
              <w:rPr>
                <w:rStyle w:val="FormatvorlageInstructionsTabelleText"/>
                <w:rFonts w:ascii="Times New Roman" w:hAnsi="Times New Roman"/>
                <w:sz w:val="24"/>
              </w:rPr>
              <w:t xml:space="preserve">each of the requirements referred to in points (a), (b) and (c) of Article 141a(1) </w:t>
            </w:r>
            <w:r w:rsidR="00B33C46" w:rsidRPr="001562B3">
              <w:rPr>
                <w:rStyle w:val="FormatvorlageInstructionsTabelleText"/>
                <w:rFonts w:ascii="Times New Roman" w:hAnsi="Times New Roman"/>
                <w:sz w:val="24"/>
              </w:rPr>
              <w:t xml:space="preserve">of </w:t>
            </w:r>
            <w:r w:rsidR="00B33C46" w:rsidRPr="001562B3">
              <w:t xml:space="preserve">Directive 2013/36/EU </w:t>
            </w:r>
            <w:r w:rsidR="00AC758B" w:rsidRPr="001562B3">
              <w:rPr>
                <w:rStyle w:val="FormatvorlageInstructionsTabelleText"/>
                <w:rFonts w:ascii="Times New Roman" w:hAnsi="Times New Roman"/>
                <w:sz w:val="24"/>
              </w:rPr>
              <w:t>and</w:t>
            </w:r>
            <w:r w:rsidR="00B012C5" w:rsidRPr="001562B3">
              <w:rPr>
                <w:rStyle w:val="FormatvorlageInstructionsTabelleText"/>
                <w:rFonts w:ascii="Times New Roman" w:hAnsi="Times New Roman"/>
                <w:sz w:val="24"/>
              </w:rPr>
              <w:t xml:space="preserve"> the higher of</w:t>
            </w:r>
            <w:r w:rsidRPr="001562B3">
              <w:rPr>
                <w:rStyle w:val="FormatvorlageInstructionsTabelleText"/>
                <w:rFonts w:ascii="Times New Roman" w:hAnsi="Times New Roman"/>
                <w:sz w:val="24"/>
              </w:rPr>
              <w:t>:</w:t>
            </w:r>
          </w:p>
          <w:p w14:paraId="57381FCD" w14:textId="5BC7F484" w:rsidR="008561CE" w:rsidRPr="001562B3" w:rsidRDefault="008561C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t>
            </w:r>
            <w:r w:rsidR="00650358" w:rsidRPr="001562B3">
              <w:rPr>
                <w:rStyle w:val="FormatvorlageInstructionsTabelleText"/>
                <w:rFonts w:ascii="Times New Roman" w:hAnsi="Times New Roman"/>
                <w:sz w:val="24"/>
              </w:rPr>
              <w:t>a</w:t>
            </w:r>
            <w:r w:rsidRPr="001562B3">
              <w:rPr>
                <w:rStyle w:val="FormatvorlageInstructionsTabelleText"/>
                <w:rFonts w:ascii="Times New Roman" w:hAnsi="Times New Roman"/>
                <w:sz w:val="24"/>
              </w:rPr>
              <w:t xml:space="preserve">) where applicable </w:t>
            </w:r>
            <w:r w:rsidR="00443BEC" w:rsidRPr="001562B3">
              <w:rPr>
                <w:rStyle w:val="FormatvorlageInstructionsTabelleText"/>
                <w:rFonts w:ascii="Times New Roman" w:hAnsi="Times New Roman"/>
                <w:sz w:val="24"/>
              </w:rPr>
              <w:t xml:space="preserve">the </w:t>
            </w:r>
            <w:r w:rsidR="00231C4F" w:rsidRPr="001562B3">
              <w:rPr>
                <w:rStyle w:val="FormatvorlageInstructionsTabelleText"/>
                <w:rFonts w:ascii="Times New Roman" w:hAnsi="Times New Roman"/>
                <w:sz w:val="24"/>
              </w:rPr>
              <w:t>internal TLAC requirement</w:t>
            </w:r>
            <w:r w:rsidRPr="001562B3">
              <w:rPr>
                <w:rStyle w:val="FormatvorlageInstructionsTabelleText"/>
                <w:rFonts w:ascii="Times New Roman" w:hAnsi="Times New Roman"/>
                <w:sz w:val="24"/>
              </w:rPr>
              <w:t xml:space="preserve"> pursuant to Article 92b </w:t>
            </w:r>
            <w:r w:rsidR="00B11263" w:rsidRPr="001562B3">
              <w:t xml:space="preserve">of </w:t>
            </w:r>
            <w:r w:rsidR="00C47ED5" w:rsidRPr="001562B3">
              <w:t>Regulation (EU) No 575/2013</w:t>
            </w:r>
            <w:r w:rsidR="00B012C5" w:rsidRPr="001562B3">
              <w:rPr>
                <w:rStyle w:val="FormatvorlageInstructionsTabelleText"/>
                <w:rFonts w:ascii="Times New Roman" w:hAnsi="Times New Roman"/>
                <w:sz w:val="24"/>
              </w:rPr>
              <w:t xml:space="preserve">, when calculated in accordance with Article 92b(1) </w:t>
            </w:r>
            <w:r w:rsidR="00B11263" w:rsidRPr="001562B3">
              <w:rPr>
                <w:rStyle w:val="FormatvorlageInstructionsTabelleText"/>
                <w:rFonts w:ascii="Times New Roman" w:hAnsi="Times New Roman"/>
                <w:sz w:val="24"/>
              </w:rPr>
              <w:t>of that Regulation</w:t>
            </w:r>
            <w:r w:rsidR="00B012C5" w:rsidRPr="001562B3">
              <w:rPr>
                <w:rStyle w:val="FormatvorlageInstructionsTabelleText"/>
                <w:rFonts w:ascii="Times New Roman" w:hAnsi="Times New Roman"/>
                <w:sz w:val="24"/>
              </w:rPr>
              <w:t xml:space="preserve"> as 90% of the requirement of point (a) of Article 92a(1) </w:t>
            </w:r>
            <w:r w:rsidR="00B11263" w:rsidRPr="001562B3">
              <w:rPr>
                <w:rStyle w:val="FormatvorlageInstructionsTabelleText"/>
                <w:rFonts w:ascii="Times New Roman" w:hAnsi="Times New Roman"/>
                <w:sz w:val="24"/>
              </w:rPr>
              <w:t>of that Regulation</w:t>
            </w:r>
            <w:r w:rsidR="00FE54F4" w:rsidRPr="001562B3">
              <w:rPr>
                <w:rStyle w:val="FormatvorlageInstructionsTabelleText"/>
                <w:rFonts w:ascii="Times New Roman" w:hAnsi="Times New Roman"/>
                <w:sz w:val="24"/>
              </w:rPr>
              <w:t>;</w:t>
            </w:r>
          </w:p>
          <w:p w14:paraId="1F28DC82" w14:textId="71992F1A" w:rsidR="008561CE" w:rsidRPr="001562B3" w:rsidRDefault="008561C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t>
            </w:r>
            <w:r w:rsidR="00650358" w:rsidRPr="001562B3">
              <w:rPr>
                <w:rStyle w:val="FormatvorlageInstructionsTabelleText"/>
                <w:rFonts w:ascii="Times New Roman" w:hAnsi="Times New Roman"/>
                <w:sz w:val="24"/>
              </w:rPr>
              <w:t>b</w:t>
            </w:r>
            <w:r w:rsidRPr="001562B3">
              <w:rPr>
                <w:rStyle w:val="FormatvorlageInstructionsTabelleText"/>
                <w:rFonts w:ascii="Times New Roman" w:hAnsi="Times New Roman"/>
                <w:sz w:val="24"/>
              </w:rPr>
              <w:t xml:space="preserve">) the </w:t>
            </w:r>
            <w:r w:rsidR="00231C4F" w:rsidRPr="001562B3">
              <w:rPr>
                <w:rStyle w:val="FormatvorlageInstructionsTabelleText"/>
                <w:rFonts w:ascii="Times New Roman" w:hAnsi="Times New Roman"/>
                <w:sz w:val="24"/>
              </w:rPr>
              <w:t>internal MREL</w:t>
            </w:r>
            <w:r w:rsidR="00443BEC" w:rsidRPr="001562B3">
              <w:rPr>
                <w:rStyle w:val="FormatvorlageInstructionsTabelleText"/>
                <w:rFonts w:ascii="Times New Roman" w:hAnsi="Times New Roman"/>
                <w:sz w:val="24"/>
              </w:rPr>
              <w:t xml:space="preserve"> requirement</w:t>
            </w:r>
            <w:r w:rsidR="00231C4F"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pursuant to Article 45</w:t>
            </w:r>
            <w:r w:rsidR="00A612E2" w:rsidRPr="001562B3">
              <w:rPr>
                <w:rStyle w:val="FormatvorlageInstructionsTabelleText"/>
                <w:rFonts w:ascii="Times New Roman" w:hAnsi="Times New Roman"/>
                <w:sz w:val="24"/>
              </w:rPr>
              <w:t>f</w:t>
            </w:r>
            <w:r w:rsidRPr="001562B3">
              <w:rPr>
                <w:rStyle w:val="FormatvorlageInstructionsTabelleText"/>
                <w:rFonts w:ascii="Times New Roman" w:hAnsi="Times New Roman"/>
                <w:sz w:val="24"/>
              </w:rPr>
              <w:t xml:space="preserve"> </w:t>
            </w:r>
            <w:r w:rsidR="0078788E" w:rsidRPr="001562B3">
              <w:rPr>
                <w:rStyle w:val="FormatvorlageInstructionsTabelleText"/>
                <w:rFonts w:ascii="Times New Roman" w:hAnsi="Times New Roman"/>
                <w:sz w:val="24"/>
              </w:rPr>
              <w:t xml:space="preserve">of </w:t>
            </w:r>
            <w:r w:rsidR="0078788E" w:rsidRPr="001562B3">
              <w:t>Directive 2014/59/EU</w:t>
            </w:r>
            <w:r w:rsidR="00781AA0" w:rsidRPr="001562B3">
              <w:rPr>
                <w:rStyle w:val="FormatvorlageInstructionsTabelleText"/>
                <w:rFonts w:ascii="Times New Roman" w:hAnsi="Times New Roman"/>
                <w:sz w:val="24"/>
              </w:rPr>
              <w:t xml:space="preserve">, when calculated in accordance with point (a) of Article 45(2) </w:t>
            </w:r>
            <w:r w:rsidR="0078788E" w:rsidRPr="001562B3">
              <w:rPr>
                <w:rStyle w:val="FormatvorlageInstructionsTabelleText"/>
                <w:rFonts w:ascii="Times New Roman" w:hAnsi="Times New Roman"/>
                <w:sz w:val="24"/>
              </w:rPr>
              <w:t>of that Directive</w:t>
            </w:r>
            <w:r w:rsidRPr="001562B3">
              <w:rPr>
                <w:rStyle w:val="FormatvorlageInstructionsTabelleText"/>
                <w:rFonts w:ascii="Times New Roman" w:hAnsi="Times New Roman"/>
                <w:sz w:val="24"/>
              </w:rPr>
              <w:t>.</w:t>
            </w:r>
          </w:p>
          <w:p w14:paraId="39B4A403" w14:textId="7A71894C" w:rsidR="00B012C5" w:rsidRPr="001562B3" w:rsidRDefault="00B012C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CET1 available shall be expressed in percent of the total risk exposure amount as reported in row 0100.</w:t>
            </w:r>
          </w:p>
          <w:p w14:paraId="64F956E6" w14:textId="77777777" w:rsidR="00B012C5" w:rsidRPr="001562B3" w:rsidRDefault="008561CE">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The reported figure shall be identical in both </w:t>
            </w:r>
            <w:r w:rsidR="00231C4F" w:rsidRPr="001562B3">
              <w:rPr>
                <w:rStyle w:val="InstructionsTabelleberschrift"/>
                <w:rFonts w:ascii="Times New Roman" w:hAnsi="Times New Roman"/>
                <w:b w:val="0"/>
                <w:sz w:val="24"/>
                <w:u w:val="none"/>
              </w:rPr>
              <w:t xml:space="preserve">internal </w:t>
            </w:r>
            <w:r w:rsidRPr="001562B3">
              <w:rPr>
                <w:rStyle w:val="InstructionsTabelleberschrift"/>
                <w:rFonts w:ascii="Times New Roman" w:hAnsi="Times New Roman"/>
                <w:b w:val="0"/>
                <w:sz w:val="24"/>
                <w:u w:val="none"/>
              </w:rPr>
              <w:t xml:space="preserve">MREL and </w:t>
            </w:r>
            <w:r w:rsidR="00231C4F" w:rsidRPr="001562B3">
              <w:rPr>
                <w:rStyle w:val="InstructionsTabelleberschrift"/>
                <w:rFonts w:ascii="Times New Roman" w:hAnsi="Times New Roman"/>
                <w:b w:val="0"/>
                <w:sz w:val="24"/>
                <w:u w:val="none"/>
              </w:rPr>
              <w:t xml:space="preserve">internal </w:t>
            </w:r>
            <w:r w:rsidRPr="001562B3">
              <w:rPr>
                <w:rStyle w:val="InstructionsTabelleberschrift"/>
                <w:rFonts w:ascii="Times New Roman" w:hAnsi="Times New Roman"/>
                <w:b w:val="0"/>
                <w:sz w:val="24"/>
                <w:u w:val="none"/>
              </w:rPr>
              <w:t>TLAC columns.</w:t>
            </w:r>
            <w:r w:rsidR="006F0E89" w:rsidRPr="001562B3">
              <w:rPr>
                <w:rStyle w:val="InstructionsTabelleberschrift"/>
                <w:rFonts w:ascii="Times New Roman" w:hAnsi="Times New Roman"/>
                <w:b w:val="0"/>
                <w:sz w:val="24"/>
                <w:u w:val="none"/>
              </w:rPr>
              <w:t xml:space="preserve"> </w:t>
            </w:r>
          </w:p>
          <w:p w14:paraId="5B370C0A" w14:textId="4CE9627F" w:rsidR="00CC432E" w:rsidRPr="001562B3" w:rsidRDefault="008561CE">
            <w:pPr>
              <w:pStyle w:val="InstructionsText"/>
              <w:rPr>
                <w:rStyle w:val="InstructionsTabelleberschrift"/>
                <w:rFonts w:ascii="Times New Roman" w:hAnsi="Times New Roman"/>
                <w:sz w:val="24"/>
              </w:rPr>
            </w:pPr>
            <w:r w:rsidRPr="001562B3">
              <w:rPr>
                <w:rStyle w:val="InstructionsTabelleberschrift"/>
                <w:rFonts w:ascii="Times New Roman" w:hAnsi="Times New Roman"/>
                <w:b w:val="0"/>
                <w:sz w:val="24"/>
                <w:u w:val="none"/>
              </w:rPr>
              <w:t xml:space="preserve">It shall take into account the effect of transitional provisions on the own funds and eligible liabilities, the total risk exposure amount and the requirements themselves. Neither the guidance on additional own funds as referred to by Article 104b </w:t>
            </w:r>
            <w:r w:rsidR="00B33C46" w:rsidRPr="001562B3">
              <w:rPr>
                <w:rStyle w:val="InstructionsTabelleberschrift"/>
                <w:rFonts w:ascii="Times New Roman" w:hAnsi="Times New Roman"/>
                <w:b w:val="0"/>
                <w:sz w:val="24"/>
                <w:u w:val="none"/>
              </w:rPr>
              <w:t xml:space="preserve">of </w:t>
            </w:r>
            <w:r w:rsidR="00B33C46" w:rsidRPr="001562B3">
              <w:t xml:space="preserve">Directive 2013/36/EU </w:t>
            </w:r>
            <w:r w:rsidRPr="001562B3">
              <w:rPr>
                <w:rStyle w:val="InstructionsTabelleberschrift"/>
                <w:rFonts w:ascii="Times New Roman" w:hAnsi="Times New Roman"/>
                <w:b w:val="0"/>
                <w:sz w:val="24"/>
                <w:u w:val="none"/>
              </w:rPr>
              <w:t xml:space="preserve"> nor the combined buffer requirement of </w:t>
            </w:r>
            <w:r w:rsidR="00DB422E" w:rsidRPr="001562B3">
              <w:rPr>
                <w:rStyle w:val="InstructionsTabelleberschrift"/>
                <w:rFonts w:ascii="Times New Roman" w:hAnsi="Times New Roman"/>
                <w:b w:val="0"/>
                <w:sz w:val="24"/>
                <w:u w:val="none"/>
              </w:rPr>
              <w:t xml:space="preserve">point (6) of the first subparagraph of </w:t>
            </w:r>
            <w:r w:rsidRPr="001562B3">
              <w:rPr>
                <w:rStyle w:val="InstructionsTabelleberschrift"/>
                <w:rFonts w:ascii="Times New Roman" w:hAnsi="Times New Roman"/>
                <w:b w:val="0"/>
                <w:sz w:val="24"/>
                <w:u w:val="none"/>
              </w:rPr>
              <w:t xml:space="preserve">Article 128 </w:t>
            </w:r>
            <w:r w:rsidR="00B33C46" w:rsidRPr="001562B3">
              <w:rPr>
                <w:rStyle w:val="InstructionsTabelleberschrift"/>
                <w:rFonts w:ascii="Times New Roman" w:hAnsi="Times New Roman"/>
                <w:b w:val="0"/>
                <w:sz w:val="24"/>
                <w:u w:val="none"/>
              </w:rPr>
              <w:t>of that Directive</w:t>
            </w:r>
            <w:r w:rsidRPr="001562B3">
              <w:rPr>
                <w:rStyle w:val="InstructionsTabelleberschrift"/>
                <w:rFonts w:ascii="Times New Roman" w:hAnsi="Times New Roman"/>
                <w:b w:val="0"/>
                <w:sz w:val="24"/>
                <w:u w:val="none"/>
              </w:rPr>
              <w:t xml:space="preserve"> shall be considered.</w:t>
            </w:r>
          </w:p>
        </w:tc>
      </w:tr>
      <w:tr w:rsidR="00CC432E" w:rsidRPr="001562B3" w14:paraId="5B18A184" w14:textId="77777777" w:rsidTr="003D419A">
        <w:tc>
          <w:tcPr>
            <w:tcW w:w="1130" w:type="dxa"/>
          </w:tcPr>
          <w:p w14:paraId="283EF212" w14:textId="449188CE" w:rsidR="00CC432E"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05</w:t>
            </w:r>
            <w:r w:rsidR="003E0EFC" w:rsidRPr="001562B3">
              <w:rPr>
                <w:rStyle w:val="FormatvorlageInstructionsTabelleText"/>
                <w:rFonts w:ascii="Times New Roman" w:hAnsi="Times New Roman"/>
                <w:sz w:val="24"/>
              </w:rPr>
              <w:t xml:space="preserve">00 </w:t>
            </w:r>
            <w:r w:rsidR="0060089D" w:rsidRPr="001562B3">
              <w:rPr>
                <w:rStyle w:val="FormatvorlageInstructionsTabelleText"/>
                <w:rFonts w:ascii="Times New Roman" w:hAnsi="Times New Roman"/>
                <w:sz w:val="24"/>
              </w:rPr>
              <w:t>–</w:t>
            </w:r>
            <w:r w:rsidR="00CC432E"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5</w:t>
            </w:r>
            <w:r w:rsidR="00437CF3" w:rsidRPr="001562B3">
              <w:rPr>
                <w:rStyle w:val="FormatvorlageInstructionsTabelleText"/>
                <w:rFonts w:ascii="Times New Roman" w:hAnsi="Times New Roman"/>
                <w:sz w:val="24"/>
              </w:rPr>
              <w:t>0</w:t>
            </w:r>
          </w:p>
        </w:tc>
        <w:tc>
          <w:tcPr>
            <w:tcW w:w="7624" w:type="dxa"/>
          </w:tcPr>
          <w:p w14:paraId="11D95EDB" w14:textId="1E3A12BE" w:rsidR="00CC432E" w:rsidRPr="001562B3" w:rsidRDefault="007C3317"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Memorandum items</w:t>
            </w:r>
          </w:p>
        </w:tc>
      </w:tr>
      <w:tr w:rsidR="00437CF3" w:rsidRPr="001562B3" w14:paraId="0F211788" w14:textId="77777777" w:rsidTr="003D419A">
        <w:tc>
          <w:tcPr>
            <w:tcW w:w="1130" w:type="dxa"/>
          </w:tcPr>
          <w:p w14:paraId="57743B4C" w14:textId="1E81FE0B" w:rsidR="00437CF3" w:rsidRPr="001562B3" w:rsidDel="00437CF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0</w:t>
            </w:r>
            <w:r w:rsidR="00437CF3" w:rsidRPr="001562B3">
              <w:rPr>
                <w:rStyle w:val="FormatvorlageInstructionsTabelleText"/>
                <w:rFonts w:ascii="Times New Roman" w:hAnsi="Times New Roman"/>
                <w:sz w:val="24"/>
              </w:rPr>
              <w:t>0</w:t>
            </w:r>
          </w:p>
        </w:tc>
        <w:tc>
          <w:tcPr>
            <w:tcW w:w="7624" w:type="dxa"/>
          </w:tcPr>
          <w:p w14:paraId="3AECC7AA" w14:textId="24E34A7D" w:rsidR="00437CF3" w:rsidRPr="001562B3" w:rsidRDefault="00437CF3"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Combined buffer requirement (%)</w:t>
            </w:r>
          </w:p>
          <w:p w14:paraId="6C2996F7" w14:textId="30747C80" w:rsidR="00437CF3" w:rsidRPr="001562B3" w:rsidRDefault="005C3D80">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b w:val="0"/>
                <w:sz w:val="24"/>
                <w:u w:val="none"/>
              </w:rPr>
              <w:t xml:space="preserve">Point (6) of the first subparagraph of </w:t>
            </w:r>
            <w:r w:rsidR="00437CF3" w:rsidRPr="001562B3">
              <w:rPr>
                <w:rStyle w:val="FormatvorlageInstructionsTabelleText"/>
                <w:rFonts w:ascii="Times New Roman" w:hAnsi="Times New Roman"/>
                <w:sz w:val="24"/>
              </w:rPr>
              <w:t xml:space="preserve">Article 128 </w:t>
            </w:r>
            <w:r w:rsidR="00B33C46" w:rsidRPr="001562B3">
              <w:rPr>
                <w:rStyle w:val="FormatvorlageInstructionsTabelleText"/>
                <w:rFonts w:ascii="Times New Roman" w:hAnsi="Times New Roman"/>
                <w:sz w:val="24"/>
              </w:rPr>
              <w:t xml:space="preserve">of </w:t>
            </w:r>
            <w:r w:rsidR="00B33C46" w:rsidRPr="001562B3">
              <w:t xml:space="preserve">Directive 2013/36/EU </w:t>
            </w:r>
          </w:p>
          <w:p w14:paraId="2113C95F" w14:textId="74DBE512" w:rsidR="00437CF3" w:rsidRPr="001562B3" w:rsidRDefault="00437CF3">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 xml:space="preserve">The combined buffer requirement shall be expressed as a percentage of </w:t>
            </w:r>
            <w:r w:rsidR="006F0E89" w:rsidRPr="001562B3">
              <w:rPr>
                <w:rStyle w:val="FormatvorlageInstructionsTabelleText"/>
                <w:rFonts w:ascii="Times New Roman" w:hAnsi="Times New Roman"/>
                <w:sz w:val="24"/>
              </w:rPr>
              <w:t xml:space="preserve">the total </w:t>
            </w:r>
            <w:r w:rsidRPr="001562B3">
              <w:rPr>
                <w:rStyle w:val="FormatvorlageInstructionsTabelleText"/>
                <w:rFonts w:ascii="Times New Roman" w:hAnsi="Times New Roman"/>
                <w:sz w:val="24"/>
              </w:rPr>
              <w:t>risk exposure amount.</w:t>
            </w:r>
          </w:p>
        </w:tc>
      </w:tr>
      <w:tr w:rsidR="008C1E88" w:rsidRPr="001562B3" w:rsidDel="000A3889" w14:paraId="09231B65" w14:textId="77777777" w:rsidTr="003D419A">
        <w:tc>
          <w:tcPr>
            <w:tcW w:w="1130" w:type="dxa"/>
            <w:vAlign w:val="center"/>
          </w:tcPr>
          <w:p w14:paraId="3A18AE1F" w14:textId="1174A4A5" w:rsidR="008C1E88"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1</w:t>
            </w:r>
            <w:r w:rsidR="008C1E88" w:rsidRPr="001562B3">
              <w:rPr>
                <w:rStyle w:val="FormatvorlageInstructionsTabelleText"/>
                <w:rFonts w:ascii="Times New Roman" w:hAnsi="Times New Roman"/>
                <w:sz w:val="24"/>
              </w:rPr>
              <w:t>0</w:t>
            </w:r>
          </w:p>
        </w:tc>
        <w:tc>
          <w:tcPr>
            <w:tcW w:w="7624" w:type="dxa"/>
            <w:vAlign w:val="center"/>
          </w:tcPr>
          <w:p w14:paraId="5FDCA6A3" w14:textId="77777777" w:rsidR="008C1E88" w:rsidRPr="001562B3" w:rsidRDefault="008C1E8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capital conservation buffer requirement </w:t>
            </w:r>
          </w:p>
          <w:p w14:paraId="2EF1B114" w14:textId="1AE53AED" w:rsidR="008C1E88" w:rsidRPr="001562B3" w:rsidRDefault="008C1E88" w:rsidP="008E501F">
            <w:pPr>
              <w:pStyle w:val="InstructionsText"/>
              <w:rPr>
                <w:rStyle w:val="InstructionsTabelleberschrift"/>
                <w:rFonts w:ascii="Times New Roman" w:hAnsi="Times New Roman"/>
                <w:sz w:val="24"/>
              </w:rPr>
            </w:pPr>
            <w:r w:rsidRPr="001562B3">
              <w:t xml:space="preserve">The amount of the institution specific combined buffer (expressed as a percentage of </w:t>
            </w:r>
            <w:r w:rsidR="006F0E89" w:rsidRPr="001562B3">
              <w:rPr>
                <w:rStyle w:val="FormatvorlageInstructionsTabelleText"/>
                <w:rFonts w:ascii="Times New Roman" w:hAnsi="Times New Roman"/>
                <w:sz w:val="24"/>
              </w:rPr>
              <w:t>the total risk exposure amount</w:t>
            </w:r>
            <w:r w:rsidRPr="001562B3">
              <w:t>) that relates to the capital conservation buffer requirement.</w:t>
            </w:r>
          </w:p>
        </w:tc>
      </w:tr>
      <w:tr w:rsidR="008C1E88" w:rsidRPr="001562B3" w:rsidDel="000A3889" w14:paraId="5F62F9F9" w14:textId="77777777" w:rsidTr="003D419A">
        <w:tc>
          <w:tcPr>
            <w:tcW w:w="1130" w:type="dxa"/>
            <w:vAlign w:val="center"/>
          </w:tcPr>
          <w:p w14:paraId="22DE9DFA" w14:textId="352D04CB" w:rsidR="008C1E88"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2</w:t>
            </w:r>
            <w:r w:rsidR="008C1E88" w:rsidRPr="001562B3">
              <w:rPr>
                <w:rStyle w:val="FormatvorlageInstructionsTabelleText"/>
                <w:rFonts w:ascii="Times New Roman" w:hAnsi="Times New Roman"/>
                <w:sz w:val="24"/>
              </w:rPr>
              <w:t>0</w:t>
            </w:r>
          </w:p>
        </w:tc>
        <w:tc>
          <w:tcPr>
            <w:tcW w:w="7624" w:type="dxa"/>
          </w:tcPr>
          <w:p w14:paraId="515F40B5" w14:textId="77777777" w:rsidR="008C1E88" w:rsidRPr="001562B3" w:rsidRDefault="008C1E8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countercyclical buffer requirement </w:t>
            </w:r>
          </w:p>
          <w:p w14:paraId="4E424522" w14:textId="1A5077C0" w:rsidR="008C1E88" w:rsidRPr="001562B3" w:rsidRDefault="008C1E88" w:rsidP="008E501F">
            <w:pPr>
              <w:pStyle w:val="InstructionsText"/>
              <w:rPr>
                <w:rStyle w:val="InstructionsTabelleberschrift"/>
                <w:rFonts w:ascii="Times New Roman" w:hAnsi="Times New Roman"/>
                <w:sz w:val="24"/>
              </w:rPr>
            </w:pPr>
            <w:r w:rsidRPr="001562B3">
              <w:t xml:space="preserve">The amount of the institution specific combined buffer (expressed as a percentage of </w:t>
            </w:r>
            <w:r w:rsidR="006F0E89" w:rsidRPr="001562B3">
              <w:rPr>
                <w:rStyle w:val="FormatvorlageInstructionsTabelleText"/>
                <w:rFonts w:ascii="Times New Roman" w:hAnsi="Times New Roman"/>
                <w:sz w:val="24"/>
              </w:rPr>
              <w:t>the total risk exposure amount</w:t>
            </w:r>
            <w:r w:rsidRPr="001562B3">
              <w:t>) that relates to the countercyclical buffer requirement.</w:t>
            </w:r>
          </w:p>
        </w:tc>
      </w:tr>
      <w:tr w:rsidR="008C1E88" w:rsidRPr="001562B3" w:rsidDel="000A3889" w14:paraId="3DD0E60F" w14:textId="77777777" w:rsidTr="003D419A">
        <w:tc>
          <w:tcPr>
            <w:tcW w:w="1130" w:type="dxa"/>
            <w:vAlign w:val="center"/>
          </w:tcPr>
          <w:p w14:paraId="731CB060" w14:textId="4E4E808F" w:rsidR="008C1E88"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3</w:t>
            </w:r>
            <w:r w:rsidR="008C1E88" w:rsidRPr="001562B3">
              <w:rPr>
                <w:rStyle w:val="FormatvorlageInstructionsTabelleText"/>
                <w:rFonts w:ascii="Times New Roman" w:hAnsi="Times New Roman"/>
                <w:sz w:val="24"/>
              </w:rPr>
              <w:t>0</w:t>
            </w:r>
          </w:p>
        </w:tc>
        <w:tc>
          <w:tcPr>
            <w:tcW w:w="7624" w:type="dxa"/>
          </w:tcPr>
          <w:p w14:paraId="2EA75ACC" w14:textId="77777777" w:rsidR="008C1E88" w:rsidRPr="001562B3" w:rsidRDefault="008C1E8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systemic risk buffer requirement </w:t>
            </w:r>
          </w:p>
          <w:p w14:paraId="65530AC4" w14:textId="655A20A0" w:rsidR="008C1E88" w:rsidRPr="001562B3" w:rsidRDefault="008C1E88" w:rsidP="008E501F">
            <w:pPr>
              <w:pStyle w:val="InstructionsText"/>
              <w:rPr>
                <w:rStyle w:val="InstructionsTabelleberschrift"/>
                <w:rFonts w:ascii="Times New Roman" w:hAnsi="Times New Roman"/>
                <w:b w:val="0"/>
                <w:sz w:val="24"/>
              </w:rPr>
            </w:pPr>
            <w:r w:rsidRPr="001562B3">
              <w:t xml:space="preserve">The amount of the institution specific combined buffer (expressed as a percentage of </w:t>
            </w:r>
            <w:r w:rsidR="006F0E89" w:rsidRPr="001562B3">
              <w:rPr>
                <w:rStyle w:val="FormatvorlageInstructionsTabelleText"/>
                <w:rFonts w:ascii="Times New Roman" w:hAnsi="Times New Roman"/>
                <w:sz w:val="24"/>
              </w:rPr>
              <w:t>the total risk exposure amount</w:t>
            </w:r>
            <w:r w:rsidRPr="001562B3">
              <w:t>) that relates to the systemic risk buffer requirement.</w:t>
            </w:r>
          </w:p>
        </w:tc>
      </w:tr>
      <w:tr w:rsidR="008C1E88" w:rsidRPr="001562B3" w:rsidDel="000A3889" w14:paraId="5D343AEB" w14:textId="77777777" w:rsidTr="003D419A">
        <w:tc>
          <w:tcPr>
            <w:tcW w:w="1130" w:type="dxa"/>
            <w:vAlign w:val="center"/>
          </w:tcPr>
          <w:p w14:paraId="121693A9" w14:textId="7BE6F216" w:rsidR="008C1E88" w:rsidRPr="001562B3" w:rsidRDefault="00443BEC" w:rsidP="00E0589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4</w:t>
            </w:r>
            <w:r w:rsidR="008C1E88" w:rsidRPr="001562B3">
              <w:rPr>
                <w:rStyle w:val="FormatvorlageInstructionsTabelleText"/>
                <w:rFonts w:ascii="Times New Roman" w:hAnsi="Times New Roman"/>
                <w:sz w:val="24"/>
              </w:rPr>
              <w:t>0</w:t>
            </w:r>
          </w:p>
        </w:tc>
        <w:tc>
          <w:tcPr>
            <w:tcW w:w="7624" w:type="dxa"/>
          </w:tcPr>
          <w:p w14:paraId="072B7571" w14:textId="3758ED59" w:rsidR="008C1E88" w:rsidRPr="001562B3" w:rsidRDefault="008C1E8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Global Systemically Important Institution (G-SII) or Other Systemically Important Institution (O-SII) buffer</w:t>
            </w:r>
          </w:p>
          <w:p w14:paraId="294528A0" w14:textId="78EBD6C0" w:rsidR="008C1E88" w:rsidRPr="001562B3" w:rsidRDefault="008C1E88" w:rsidP="008E501F">
            <w:pPr>
              <w:pStyle w:val="InstructionsText"/>
              <w:rPr>
                <w:rStyle w:val="InstructionsTabelleberschrift"/>
                <w:rFonts w:ascii="Times New Roman" w:hAnsi="Times New Roman"/>
                <w:b w:val="0"/>
                <w:sz w:val="24"/>
              </w:rPr>
            </w:pPr>
            <w:r w:rsidRPr="001562B3">
              <w:lastRenderedPageBreak/>
              <w:t xml:space="preserve">The amount of the institution specific combined buffer (expressed as a percentage of </w:t>
            </w:r>
            <w:r w:rsidR="006F0E89" w:rsidRPr="001562B3">
              <w:rPr>
                <w:rStyle w:val="FormatvorlageInstructionsTabelleText"/>
                <w:rFonts w:ascii="Times New Roman" w:hAnsi="Times New Roman"/>
                <w:sz w:val="24"/>
              </w:rPr>
              <w:t>the total risk exposure amount</w:t>
            </w:r>
            <w:r w:rsidRPr="001562B3">
              <w:t>) that relates to the G-SII or O-SII buffer requirement.</w:t>
            </w:r>
          </w:p>
        </w:tc>
      </w:tr>
      <w:tr w:rsidR="003D419A" w:rsidRPr="001562B3" w14:paraId="0BE86C45" w14:textId="77777777" w:rsidTr="003D419A">
        <w:tc>
          <w:tcPr>
            <w:tcW w:w="1129" w:type="dxa"/>
          </w:tcPr>
          <w:p w14:paraId="121F7357" w14:textId="54E1542B" w:rsidR="003D419A" w:rsidRPr="001562B3" w:rsidRDefault="003D419A" w:rsidP="003D419A">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0550 - 0600</w:t>
            </w:r>
          </w:p>
        </w:tc>
        <w:tc>
          <w:tcPr>
            <w:tcW w:w="7620" w:type="dxa"/>
          </w:tcPr>
          <w:p w14:paraId="5B988009" w14:textId="77777777" w:rsidR="003D419A" w:rsidRPr="001562B3" w:rsidRDefault="003D419A" w:rsidP="003D419A">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Other bail-inable liabilities</w:t>
            </w:r>
          </w:p>
          <w:p w14:paraId="0474B24A" w14:textId="29EDEE51" w:rsidR="003D419A" w:rsidRPr="001562B3" w:rsidRDefault="00093411" w:rsidP="00093411">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E</w:t>
            </w:r>
            <w:r w:rsidR="003D419A" w:rsidRPr="001562B3">
              <w:rPr>
                <w:rStyle w:val="InstructionsTabelleberschrift"/>
                <w:rFonts w:ascii="Times New Roman" w:hAnsi="Times New Roman"/>
                <w:b w:val="0"/>
                <w:sz w:val="24"/>
                <w:u w:val="none"/>
              </w:rPr>
              <w:t xml:space="preserve">ntities that, at the date of the reporting of that information, hold amounts of own funds and eligible liabilities of at least 150 % of the requirement laid down in Article 45(1) of </w:t>
            </w:r>
            <w:r w:rsidR="003D419A" w:rsidRPr="001562B3">
              <w:rPr>
                <w:rStyle w:val="FormatvorlageInstructionsTabelleText"/>
                <w:rFonts w:ascii="Times New Roman" w:hAnsi="Times New Roman"/>
                <w:sz w:val="24"/>
              </w:rPr>
              <w:t>Directive 2014/59/EU</w:t>
            </w:r>
            <w:r w:rsidRPr="001562B3">
              <w:rPr>
                <w:rStyle w:val="FormatvorlageInstructionsTabelleText"/>
                <w:rFonts w:ascii="Times New Roman" w:hAnsi="Times New Roman"/>
                <w:sz w:val="24"/>
              </w:rPr>
              <w:t xml:space="preserve"> shall be exempted from reporting the information </w:t>
            </w:r>
            <w:r w:rsidR="00F94369">
              <w:rPr>
                <w:rStyle w:val="FormatvorlageInstructionsTabelleText"/>
                <w:rFonts w:ascii="Times New Roman" w:hAnsi="Times New Roman"/>
                <w:sz w:val="24"/>
              </w:rPr>
              <w:t>i</w:t>
            </w:r>
            <w:r w:rsidRPr="001562B3">
              <w:rPr>
                <w:rStyle w:val="FormatvorlageInstructionsTabelleText"/>
                <w:rFonts w:ascii="Times New Roman" w:hAnsi="Times New Roman"/>
                <w:sz w:val="24"/>
              </w:rPr>
              <w:t>n r</w:t>
            </w:r>
            <w:r w:rsidRPr="001562B3">
              <w:rPr>
                <w:rStyle w:val="InstructionsTabelleberschrift"/>
                <w:rFonts w:ascii="Times New Roman" w:hAnsi="Times New Roman"/>
                <w:b w:val="0"/>
                <w:sz w:val="24"/>
                <w:u w:val="none"/>
              </w:rPr>
              <w:t xml:space="preserve">ows 0550 to 0600. </w:t>
            </w:r>
            <w:r w:rsidR="003D419A" w:rsidRPr="001562B3">
              <w:rPr>
                <w:rStyle w:val="InstructionsTabelleberschrift"/>
                <w:rFonts w:ascii="Times New Roman" w:hAnsi="Times New Roman"/>
                <w:b w:val="0"/>
                <w:sz w:val="24"/>
                <w:u w:val="none"/>
              </w:rPr>
              <w:t xml:space="preserve">Such entities may opt to report </w:t>
            </w:r>
            <w:r w:rsidRPr="001562B3">
              <w:rPr>
                <w:rStyle w:val="InstructionsTabelleberschrift"/>
                <w:rFonts w:ascii="Times New Roman" w:hAnsi="Times New Roman"/>
                <w:b w:val="0"/>
                <w:sz w:val="24"/>
                <w:u w:val="none"/>
              </w:rPr>
              <w:t>that information</w:t>
            </w:r>
            <w:r w:rsidR="003D419A" w:rsidRPr="001562B3">
              <w:rPr>
                <w:rStyle w:val="InstructionsTabelleberschrift"/>
                <w:rFonts w:ascii="Times New Roman" w:hAnsi="Times New Roman"/>
                <w:b w:val="0"/>
                <w:sz w:val="24"/>
                <w:u w:val="none"/>
              </w:rPr>
              <w:t xml:space="preserve"> in this template on a voluntary basis.</w:t>
            </w:r>
          </w:p>
        </w:tc>
      </w:tr>
      <w:tr w:rsidR="003D419A" w:rsidRPr="001562B3" w14:paraId="6EAD6E2C" w14:textId="77777777" w:rsidTr="003D419A">
        <w:tc>
          <w:tcPr>
            <w:tcW w:w="1129" w:type="dxa"/>
          </w:tcPr>
          <w:p w14:paraId="6E8E4D0F" w14:textId="685E80A8" w:rsidR="003D419A" w:rsidRPr="001562B3" w:rsidRDefault="003D419A" w:rsidP="007D143F">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50</w:t>
            </w:r>
          </w:p>
        </w:tc>
        <w:tc>
          <w:tcPr>
            <w:tcW w:w="7620" w:type="dxa"/>
          </w:tcPr>
          <w:p w14:paraId="642F28EA" w14:textId="77777777" w:rsidR="003D419A" w:rsidRPr="001562B3" w:rsidRDefault="003D419A" w:rsidP="003D419A">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Other bail-inable liabilities</w:t>
            </w:r>
          </w:p>
          <w:p w14:paraId="6D9455D3" w14:textId="6C74E985" w:rsidR="003D419A" w:rsidRPr="001562B3" w:rsidRDefault="003D419A" w:rsidP="007D143F">
            <w:pPr>
              <w:pStyle w:val="InstructionsText"/>
              <w:rPr>
                <w:rStyle w:val="InstructionsTabelleberschrift"/>
                <w:rFonts w:ascii="Times New Roman" w:hAnsi="Times New Roman"/>
                <w:b w:val="0"/>
                <w:sz w:val="24"/>
                <w:u w:val="none"/>
                <w:lang w:eastAsia="en-US"/>
              </w:rPr>
            </w:pPr>
            <w:r w:rsidRPr="001562B3">
              <w:rPr>
                <w:rStyle w:val="InstructionsTabelleberschrift"/>
                <w:rFonts w:ascii="Times New Roman" w:hAnsi="Times New Roman"/>
                <w:b w:val="0"/>
                <w:sz w:val="24"/>
                <w:u w:val="none"/>
              </w:rPr>
              <w:t xml:space="preserve">The amount of bail-inable liabilities, as defined in point (71) of Article 2(1) of </w:t>
            </w:r>
            <w:r w:rsidRPr="001562B3">
              <w:rPr>
                <w:rStyle w:val="FormatvorlageInstructionsTabelleText"/>
                <w:rFonts w:ascii="Times New Roman" w:hAnsi="Times New Roman"/>
                <w:sz w:val="24"/>
              </w:rPr>
              <w:t>Directive 2014/59/EU</w:t>
            </w:r>
            <w:r w:rsidRPr="001562B3">
              <w:rPr>
                <w:rStyle w:val="InstructionsTabelleberschrift"/>
                <w:rFonts w:ascii="Times New Roman" w:hAnsi="Times New Roman"/>
                <w:b w:val="0"/>
                <w:sz w:val="24"/>
                <w:u w:val="none"/>
              </w:rPr>
              <w:t>, that are n</w:t>
            </w:r>
            <w:r w:rsidR="007D143F" w:rsidRPr="001562B3">
              <w:rPr>
                <w:rStyle w:val="InstructionsTabelleberschrift"/>
                <w:rFonts w:ascii="Times New Roman" w:hAnsi="Times New Roman"/>
                <w:b w:val="0"/>
                <w:sz w:val="24"/>
                <w:u w:val="none"/>
              </w:rPr>
              <w:t>ot</w:t>
            </w:r>
            <w:r w:rsidRPr="001562B3">
              <w:rPr>
                <w:rStyle w:val="InstructionsTabelleberschrift"/>
                <w:rFonts w:ascii="Times New Roman" w:hAnsi="Times New Roman"/>
                <w:b w:val="0"/>
                <w:sz w:val="24"/>
                <w:u w:val="none"/>
              </w:rPr>
              <w:t xml:space="preserve"> eligible to meet the requirements of Article 45 and 45f of </w:t>
            </w:r>
            <w:r w:rsidRPr="001562B3">
              <w:rPr>
                <w:rStyle w:val="FormatvorlageInstructionsTabelleText"/>
                <w:rFonts w:ascii="Times New Roman" w:hAnsi="Times New Roman"/>
                <w:sz w:val="24"/>
              </w:rPr>
              <w:t>that Directive.</w:t>
            </w:r>
          </w:p>
        </w:tc>
      </w:tr>
      <w:tr w:rsidR="003D419A" w:rsidRPr="001562B3" w14:paraId="09D32370" w14:textId="77777777" w:rsidTr="003D419A">
        <w:tc>
          <w:tcPr>
            <w:tcW w:w="1129" w:type="dxa"/>
          </w:tcPr>
          <w:p w14:paraId="0E687337" w14:textId="4D51B3C2" w:rsidR="003D419A" w:rsidRPr="001562B3" w:rsidRDefault="003D419A" w:rsidP="007D143F">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60</w:t>
            </w:r>
          </w:p>
        </w:tc>
        <w:tc>
          <w:tcPr>
            <w:tcW w:w="7620" w:type="dxa"/>
          </w:tcPr>
          <w:p w14:paraId="5818C7BE" w14:textId="77777777" w:rsidR="003D419A" w:rsidRPr="001562B3" w:rsidRDefault="003D419A" w:rsidP="003D419A">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governed by third country law</w:t>
            </w:r>
          </w:p>
          <w:p w14:paraId="49B397CB" w14:textId="77777777" w:rsidR="003D419A" w:rsidRPr="001562B3" w:rsidRDefault="003D419A" w:rsidP="003D419A">
            <w:pPr>
              <w:pStyle w:val="InstructionsText"/>
              <w:rPr>
                <w:rStyle w:val="InstructionsTabelleberschrift"/>
                <w:rFonts w:ascii="Times New Roman" w:hAnsi="Times New Roman"/>
                <w:b w:val="0"/>
                <w:sz w:val="24"/>
                <w:u w:val="none"/>
                <w:lang w:eastAsia="en-US"/>
              </w:rPr>
            </w:pPr>
            <w:r w:rsidRPr="001562B3">
              <w:rPr>
                <w:rStyle w:val="InstructionsTabelleberschrift"/>
                <w:rFonts w:ascii="Times New Roman" w:hAnsi="Times New Roman"/>
                <w:b w:val="0"/>
                <w:sz w:val="24"/>
                <w:u w:val="none"/>
              </w:rPr>
              <w:t xml:space="preserve">The amount of other bail-inable liabilities that are governed by the law of a third country as referred to in Article 55 of </w:t>
            </w:r>
            <w:r w:rsidRPr="001562B3">
              <w:t>Directive 2014/59/EU</w:t>
            </w:r>
            <w:r w:rsidRPr="001562B3">
              <w:rPr>
                <w:rStyle w:val="InstructionsTabelleberschrift"/>
                <w:rFonts w:ascii="Times New Roman" w:hAnsi="Times New Roman"/>
                <w:b w:val="0"/>
                <w:sz w:val="24"/>
                <w:u w:val="none"/>
              </w:rPr>
              <w:t>.</w:t>
            </w:r>
          </w:p>
        </w:tc>
      </w:tr>
      <w:tr w:rsidR="003D419A" w:rsidRPr="001562B3" w14:paraId="016E3B2F" w14:textId="77777777" w:rsidTr="003D419A">
        <w:tc>
          <w:tcPr>
            <w:tcW w:w="1129" w:type="dxa"/>
          </w:tcPr>
          <w:p w14:paraId="04032741" w14:textId="20410858" w:rsidR="003D419A" w:rsidRPr="001562B3" w:rsidRDefault="003D419A" w:rsidP="007D143F">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70</w:t>
            </w:r>
          </w:p>
        </w:tc>
        <w:tc>
          <w:tcPr>
            <w:tcW w:w="7620" w:type="dxa"/>
          </w:tcPr>
          <w:p w14:paraId="0805987F" w14:textId="77777777" w:rsidR="003D419A" w:rsidRPr="001562B3" w:rsidRDefault="003D419A" w:rsidP="003D419A">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containing a write down and conversion clause as referred to in Article 55 of Directive 2014/59/EU</w:t>
            </w:r>
          </w:p>
          <w:p w14:paraId="59B7F63C" w14:textId="77777777" w:rsidR="003D419A" w:rsidRPr="001562B3" w:rsidRDefault="003D419A" w:rsidP="003D419A">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b w:val="0"/>
                <w:sz w:val="24"/>
                <w:u w:val="none"/>
              </w:rPr>
              <w:t>The amount of other bail-inable liabilities that are governed by the law of a third country and that contain a write down and conversion clause as referred to in Article 55 of Directive 2014/59/EU.</w:t>
            </w:r>
          </w:p>
        </w:tc>
      </w:tr>
      <w:tr w:rsidR="003D419A" w:rsidRPr="001562B3" w14:paraId="44A3DA67" w14:textId="77777777" w:rsidTr="003D419A">
        <w:tc>
          <w:tcPr>
            <w:tcW w:w="1129" w:type="dxa"/>
          </w:tcPr>
          <w:p w14:paraId="7CE13650" w14:textId="796C2343" w:rsidR="003D419A" w:rsidRPr="001562B3" w:rsidRDefault="003D419A" w:rsidP="007D14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80 – 0</w:t>
            </w:r>
            <w:r w:rsidR="007D143F" w:rsidRPr="001562B3">
              <w:rPr>
                <w:rStyle w:val="FormatvorlageInstructionsTabelleText"/>
                <w:rFonts w:ascii="Times New Roman" w:hAnsi="Times New Roman"/>
                <w:sz w:val="24"/>
              </w:rPr>
              <w:t>600</w:t>
            </w:r>
          </w:p>
        </w:tc>
        <w:tc>
          <w:tcPr>
            <w:tcW w:w="7620" w:type="dxa"/>
          </w:tcPr>
          <w:p w14:paraId="66ED9CC3" w14:textId="77777777" w:rsidR="003D419A" w:rsidRPr="001562B3" w:rsidRDefault="003D419A" w:rsidP="003D419A">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Breakdown of other bail-inable liabilities by residual maturity</w:t>
            </w:r>
          </w:p>
        </w:tc>
      </w:tr>
      <w:tr w:rsidR="003D419A" w:rsidRPr="001562B3" w14:paraId="300DD006" w14:textId="77777777" w:rsidTr="003D419A">
        <w:tc>
          <w:tcPr>
            <w:tcW w:w="1129" w:type="dxa"/>
          </w:tcPr>
          <w:p w14:paraId="5CFE7B08" w14:textId="085E597A" w:rsidR="003D419A" w:rsidRPr="001562B3" w:rsidRDefault="003D419A" w:rsidP="007D14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80</w:t>
            </w:r>
          </w:p>
        </w:tc>
        <w:tc>
          <w:tcPr>
            <w:tcW w:w="7620" w:type="dxa"/>
          </w:tcPr>
          <w:p w14:paraId="29C2C50A" w14:textId="77777777" w:rsidR="003D419A" w:rsidRPr="001562B3" w:rsidRDefault="003D419A" w:rsidP="003D419A">
            <w:pPr>
              <w:pStyle w:val="InstructionsText"/>
              <w:rPr>
                <w:rStyle w:val="InstructionsTabelleberschrift"/>
                <w:rFonts w:ascii="Times New Roman" w:hAnsi="Times New Roman"/>
                <w:b w:val="0"/>
                <w:sz w:val="24"/>
              </w:rPr>
            </w:pPr>
            <w:r w:rsidRPr="001562B3">
              <w:t>Residual maturity of &lt; 1 year</w:t>
            </w:r>
          </w:p>
        </w:tc>
      </w:tr>
      <w:tr w:rsidR="003D419A" w:rsidRPr="001562B3" w14:paraId="0721C064" w14:textId="77777777" w:rsidTr="003D419A">
        <w:tc>
          <w:tcPr>
            <w:tcW w:w="1129" w:type="dxa"/>
          </w:tcPr>
          <w:p w14:paraId="1CF24349" w14:textId="7201FBB8" w:rsidR="003D419A" w:rsidRPr="001562B3" w:rsidRDefault="003D419A" w:rsidP="007D14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590</w:t>
            </w:r>
          </w:p>
        </w:tc>
        <w:tc>
          <w:tcPr>
            <w:tcW w:w="7620" w:type="dxa"/>
          </w:tcPr>
          <w:p w14:paraId="150BF77A" w14:textId="77777777" w:rsidR="003D419A" w:rsidRPr="001562B3" w:rsidRDefault="003D419A" w:rsidP="003D419A">
            <w:pPr>
              <w:pStyle w:val="InstructionsText"/>
              <w:rPr>
                <w:rStyle w:val="InstructionsTabelleberschrift"/>
                <w:rFonts w:ascii="Times New Roman" w:hAnsi="Times New Roman"/>
                <w:b w:val="0"/>
                <w:sz w:val="24"/>
              </w:rPr>
            </w:pPr>
            <w:r w:rsidRPr="001562B3">
              <w:t>Residual maturity of &gt;= 1 year and &lt; 2 years</w:t>
            </w:r>
          </w:p>
        </w:tc>
      </w:tr>
      <w:tr w:rsidR="003D419A" w:rsidRPr="001562B3" w14:paraId="30F1478A" w14:textId="77777777" w:rsidTr="003D419A">
        <w:tc>
          <w:tcPr>
            <w:tcW w:w="1129" w:type="dxa"/>
          </w:tcPr>
          <w:p w14:paraId="34DE713A" w14:textId="3C7DD6BD" w:rsidR="003D419A" w:rsidRPr="001562B3" w:rsidRDefault="003D419A" w:rsidP="007D14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60</w:t>
            </w:r>
            <w:r w:rsidRPr="001562B3">
              <w:rPr>
                <w:rStyle w:val="FormatvorlageInstructionsTabelleText"/>
                <w:rFonts w:ascii="Times New Roman" w:hAnsi="Times New Roman"/>
                <w:sz w:val="24"/>
              </w:rPr>
              <w:t>0</w:t>
            </w:r>
          </w:p>
        </w:tc>
        <w:tc>
          <w:tcPr>
            <w:tcW w:w="7620" w:type="dxa"/>
          </w:tcPr>
          <w:p w14:paraId="54AAA10D" w14:textId="77777777" w:rsidR="003D419A" w:rsidRPr="001562B3" w:rsidRDefault="003D419A" w:rsidP="003D419A">
            <w:pPr>
              <w:pStyle w:val="InstructionsText"/>
              <w:rPr>
                <w:rStyle w:val="InstructionsTabelleberschrift"/>
                <w:rFonts w:ascii="Times New Roman" w:hAnsi="Times New Roman"/>
                <w:b w:val="0"/>
                <w:sz w:val="24"/>
              </w:rPr>
            </w:pPr>
            <w:r w:rsidRPr="001562B3">
              <w:t>Residual maturity of &gt;= 2 years</w:t>
            </w:r>
          </w:p>
        </w:tc>
      </w:tr>
      <w:tr w:rsidR="00DC4984" w:rsidRPr="001562B3" w:rsidDel="000A3889" w14:paraId="1A70910A" w14:textId="77777777" w:rsidTr="003D419A">
        <w:tc>
          <w:tcPr>
            <w:tcW w:w="1130" w:type="dxa"/>
            <w:vAlign w:val="center"/>
          </w:tcPr>
          <w:p w14:paraId="38CB7734" w14:textId="5A2BE7DA" w:rsidR="00DC4984" w:rsidRPr="001562B3" w:rsidRDefault="007D143F" w:rsidP="007D143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0610</w:t>
            </w:r>
          </w:p>
        </w:tc>
        <w:tc>
          <w:tcPr>
            <w:tcW w:w="7624" w:type="dxa"/>
          </w:tcPr>
          <w:p w14:paraId="16FA0669" w14:textId="77777777" w:rsidR="00DC4984" w:rsidRPr="001562B3" w:rsidRDefault="00DC4984"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Excluded liabilities</w:t>
            </w:r>
          </w:p>
          <w:p w14:paraId="70A8E546" w14:textId="429FC290" w:rsidR="00DC4984" w:rsidRPr="001562B3" w:rsidRDefault="00DC4984">
            <w:pPr>
              <w:pStyle w:val="InstructionsText"/>
              <w:rPr>
                <w:rStyle w:val="InstructionsTabelleberschrift"/>
                <w:rFonts w:ascii="Times New Roman" w:hAnsi="Times New Roman"/>
                <w:sz w:val="24"/>
              </w:rPr>
            </w:pPr>
            <w:r w:rsidRPr="001562B3">
              <w:rPr>
                <w:rStyle w:val="InstructionsTabelleberschrift"/>
                <w:rFonts w:ascii="Times New Roman" w:hAnsi="Times New Roman"/>
                <w:b w:val="0"/>
                <w:sz w:val="24"/>
                <w:u w:val="none"/>
              </w:rPr>
              <w:t xml:space="preserve">Article 72a(2) </w:t>
            </w:r>
            <w:r w:rsidR="00B11263" w:rsidRPr="001562B3">
              <w:t xml:space="preserve">of </w:t>
            </w:r>
            <w:r w:rsidR="00C47ED5" w:rsidRPr="001562B3">
              <w:t>Regulation (EU) No 575/2013</w:t>
            </w:r>
            <w:r w:rsidR="00B11263" w:rsidRPr="001562B3">
              <w:rPr>
                <w:rStyle w:val="InstructionsTabelleberschrift"/>
                <w:rFonts w:ascii="Times New Roman" w:hAnsi="Times New Roman"/>
                <w:b w:val="0"/>
                <w:sz w:val="24"/>
                <w:u w:val="none"/>
              </w:rPr>
              <w:t>.</w:t>
            </w:r>
          </w:p>
        </w:tc>
      </w:tr>
    </w:tbl>
    <w:p w14:paraId="18144D67" w14:textId="61C583E0" w:rsidR="00762AE8" w:rsidRPr="001562B3" w:rsidRDefault="00762AE8" w:rsidP="00873459">
      <w:pPr>
        <w:pStyle w:val="Numberedtilelevel1"/>
        <w:numPr>
          <w:ilvl w:val="1"/>
          <w:numId w:val="30"/>
        </w:numPr>
      </w:pPr>
      <w:bookmarkStart w:id="55" w:name="_Toc45558490"/>
      <w:r w:rsidRPr="001562B3">
        <w:t xml:space="preserve">M </w:t>
      </w:r>
      <w:r w:rsidR="00A612E2" w:rsidRPr="001562B3">
        <w:t>04</w:t>
      </w:r>
      <w:r w:rsidRPr="001562B3">
        <w:t xml:space="preserve">.00 – Funding structure of eligible liabilities </w:t>
      </w:r>
      <w:r w:rsidR="00A612E2" w:rsidRPr="001562B3">
        <w:t>(LIAB-MREL</w:t>
      </w:r>
      <w:r w:rsidR="006F0E89" w:rsidRPr="001562B3">
        <w:t>)</w:t>
      </w:r>
      <w:bookmarkEnd w:id="55"/>
    </w:p>
    <w:p w14:paraId="7A39E67B" w14:textId="35F32692" w:rsidR="00762AE8" w:rsidRPr="001562B3" w:rsidRDefault="00762AE8" w:rsidP="00873459">
      <w:pPr>
        <w:pStyle w:val="Numberedtilelevel1"/>
        <w:numPr>
          <w:ilvl w:val="2"/>
          <w:numId w:val="30"/>
        </w:numPr>
      </w:pPr>
      <w:bookmarkStart w:id="56" w:name="_Toc16868641"/>
      <w:bookmarkStart w:id="57" w:name="_Toc20316754"/>
      <w:bookmarkStart w:id="58" w:name="_Toc45558491"/>
      <w:r w:rsidRPr="001562B3">
        <w:t>General remarks</w:t>
      </w:r>
      <w:bookmarkEnd w:id="56"/>
      <w:bookmarkEnd w:id="57"/>
      <w:bookmarkEnd w:id="58"/>
    </w:p>
    <w:p w14:paraId="3591A4DC" w14:textId="13176F8B" w:rsidR="00AD2DA9" w:rsidRPr="001562B3" w:rsidRDefault="00762AE8" w:rsidP="00E05895">
      <w:pPr>
        <w:pStyle w:val="InstructionsText2"/>
      </w:pPr>
      <w:r w:rsidRPr="001562B3">
        <w:t>This template requires information on the funding structure of the eligible liabilities of entities subject to MREL. The eligible liabilities are broken down by type of liability and maturity.</w:t>
      </w:r>
    </w:p>
    <w:p w14:paraId="051EEF6E" w14:textId="11A35C94" w:rsidR="00E645F5" w:rsidRPr="001562B3" w:rsidRDefault="00E645F5" w:rsidP="008E501F">
      <w:pPr>
        <w:pStyle w:val="InstructionsText2"/>
      </w:pPr>
      <w:r w:rsidRPr="001562B3">
        <w:t xml:space="preserve">Entities shall report only liabilities eligible for meeting the Minimum requirement for own funds and eligible liabilities </w:t>
      </w:r>
      <w:r w:rsidR="00DA652C" w:rsidRPr="001562B3">
        <w:t>laid down in Directive 2014/59/EU</w:t>
      </w:r>
      <w:r w:rsidRPr="001562B3">
        <w:t xml:space="preserve"> (MREL / internal MREL) in this template.</w:t>
      </w:r>
    </w:p>
    <w:p w14:paraId="5A88828B" w14:textId="585AB3E9" w:rsidR="00095D0D" w:rsidRPr="001562B3" w:rsidRDefault="00AD2DA9" w:rsidP="001562B3">
      <w:pPr>
        <w:pStyle w:val="InstructionsText2"/>
      </w:pPr>
      <w:r w:rsidRPr="001562B3">
        <w:t xml:space="preserve">Where the reporting entity is a resolution entity, </w:t>
      </w:r>
      <w:r w:rsidR="00095D0D" w:rsidRPr="001562B3">
        <w:t xml:space="preserve">eligible liabilities as defined in point (71a) of Article 2(1) </w:t>
      </w:r>
      <w:r w:rsidR="00025500" w:rsidRPr="001562B3">
        <w:t>of Directive 2014/59/EU</w:t>
      </w:r>
      <w:r w:rsidR="0036191E" w:rsidRPr="001562B3">
        <w:t xml:space="preserve"> shall be reported. In case of </w:t>
      </w:r>
      <w:r w:rsidR="0036191E" w:rsidRPr="001562B3">
        <w:lastRenderedPageBreak/>
        <w:t>eligible liabilities governed by the law of a third country, only</w:t>
      </w:r>
      <w:r w:rsidR="00095D0D" w:rsidRPr="001562B3">
        <w:t xml:space="preserve"> </w:t>
      </w:r>
      <w:r w:rsidR="0036191E" w:rsidRPr="001562B3">
        <w:t xml:space="preserve">those liabilities </w:t>
      </w:r>
      <w:r w:rsidR="00095D0D" w:rsidRPr="001562B3">
        <w:t xml:space="preserve">which meet the requirements of Article 55 </w:t>
      </w:r>
      <w:r w:rsidR="00025500" w:rsidRPr="001562B3">
        <w:t>of that Directive</w:t>
      </w:r>
      <w:r w:rsidR="00095D0D" w:rsidRPr="001562B3">
        <w:t xml:space="preserve"> shall be </w:t>
      </w:r>
      <w:r w:rsidR="0036191E" w:rsidRPr="001562B3">
        <w:t>included.</w:t>
      </w:r>
    </w:p>
    <w:p w14:paraId="1A4BEB0E" w14:textId="6FAE6C21" w:rsidR="00762AE8" w:rsidRPr="001562B3" w:rsidRDefault="00AD2DA9">
      <w:pPr>
        <w:pStyle w:val="InstructionsText2"/>
      </w:pPr>
      <w:r w:rsidRPr="001562B3">
        <w:t xml:space="preserve">Where the reporting entity is an entity other than a resolution entity, it shall report eligible liabilities </w:t>
      </w:r>
      <w:r w:rsidR="00CE44FE" w:rsidRPr="001562B3">
        <w:t>as referred to in</w:t>
      </w:r>
      <w:r w:rsidRPr="001562B3">
        <w:t xml:space="preserve"> </w:t>
      </w:r>
      <w:r w:rsidR="00176F16" w:rsidRPr="001562B3">
        <w:t xml:space="preserve">point (a) of </w:t>
      </w:r>
      <w:r w:rsidRPr="001562B3">
        <w:t xml:space="preserve">Article 45f(2) </w:t>
      </w:r>
      <w:r w:rsidR="00025500" w:rsidRPr="001562B3">
        <w:t>of Directive 2014/59/EU</w:t>
      </w:r>
      <w:r w:rsidR="00514EEA" w:rsidRPr="001562B3">
        <w:t xml:space="preserve"> in this template, considering also, where applicable, the fourth subparagraph of Article 89(2) </w:t>
      </w:r>
      <w:r w:rsidR="00025500" w:rsidRPr="001562B3">
        <w:t>of that Directive</w:t>
      </w:r>
      <w:r w:rsidR="00514EEA" w:rsidRPr="001562B3">
        <w:t xml:space="preserve">. </w:t>
      </w:r>
      <w:r w:rsidR="00514EEA" w:rsidRPr="001562B3">
        <w:rPr>
          <w:rStyle w:val="InstructionsTabelleberschrift"/>
          <w:rFonts w:ascii="Times New Roman" w:hAnsi="Times New Roman"/>
          <w:b w:val="0"/>
          <w:sz w:val="24"/>
          <w:u w:val="none"/>
        </w:rPr>
        <w:t xml:space="preserve">In case of instruments governed by the law of a third country, the instrument shall only be included in this row if it meets the requirements of Article 55 </w:t>
      </w:r>
      <w:r w:rsidR="00025500" w:rsidRPr="001562B3">
        <w:rPr>
          <w:rStyle w:val="InstructionsTabelleberschrift"/>
          <w:rFonts w:ascii="Times New Roman" w:hAnsi="Times New Roman"/>
          <w:b w:val="0"/>
          <w:sz w:val="24"/>
          <w:u w:val="none"/>
        </w:rPr>
        <w:t>of that Dire</w:t>
      </w:r>
      <w:r w:rsidR="00842D24" w:rsidRPr="001562B3">
        <w:rPr>
          <w:rStyle w:val="InstructionsTabelleberschrift"/>
          <w:rFonts w:ascii="Times New Roman" w:hAnsi="Times New Roman"/>
          <w:b w:val="0"/>
          <w:sz w:val="24"/>
          <w:u w:val="none"/>
        </w:rPr>
        <w:t>c</w:t>
      </w:r>
      <w:r w:rsidR="00025500" w:rsidRPr="001562B3">
        <w:rPr>
          <w:rStyle w:val="InstructionsTabelleberschrift"/>
          <w:rFonts w:ascii="Times New Roman" w:hAnsi="Times New Roman"/>
          <w:b w:val="0"/>
          <w:sz w:val="24"/>
          <w:u w:val="none"/>
        </w:rPr>
        <w:t>tive</w:t>
      </w:r>
      <w:r w:rsidRPr="001562B3">
        <w:t>.</w:t>
      </w:r>
    </w:p>
    <w:p w14:paraId="2C1B2000" w14:textId="1D037CCB" w:rsidR="00762AE8" w:rsidRPr="001562B3" w:rsidRDefault="00762AE8">
      <w:pPr>
        <w:pStyle w:val="InstructionsText2"/>
      </w:pPr>
      <w:r w:rsidRPr="001562B3">
        <w:t xml:space="preserve">The breakdown by type of liability is based on the same set of liability types used in the reporting for the purposes of resolution planning in accordance with Regulation (EU) 2018/1624. </w:t>
      </w:r>
      <w:r w:rsidR="00231C4F" w:rsidRPr="001562B3">
        <w:t>R</w:t>
      </w:r>
      <w:r w:rsidRPr="001562B3">
        <w:t xml:space="preserve">eferences to that Regulation are provided to define the different types of liabilities. </w:t>
      </w:r>
    </w:p>
    <w:p w14:paraId="27A75DAB" w14:textId="209C08EF" w:rsidR="00762AE8" w:rsidRPr="001562B3" w:rsidRDefault="00762AE8">
      <w:pPr>
        <w:pStyle w:val="InstructionsText2"/>
      </w:pPr>
      <w:r w:rsidRPr="001562B3">
        <w:t xml:space="preserve">Where a maturity breakdown is required, the residual maturity shall be the time until the contractual maturity or, </w:t>
      </w:r>
      <w:r w:rsidR="00A06840" w:rsidRPr="001562B3">
        <w:t xml:space="preserve">in </w:t>
      </w:r>
      <w:r w:rsidR="00CE44FE" w:rsidRPr="001562B3">
        <w:t xml:space="preserve">accordance with </w:t>
      </w:r>
      <w:r w:rsidR="00A06840" w:rsidRPr="001562B3">
        <w:t xml:space="preserve">the conditions of Articles 72c(2) </w:t>
      </w:r>
      <w:r w:rsidR="00231C4F" w:rsidRPr="001562B3">
        <w:t>or</w:t>
      </w:r>
      <w:r w:rsidR="00A06840" w:rsidRPr="001562B3">
        <w:t xml:space="preserve"> (3)</w:t>
      </w:r>
      <w:r w:rsidR="00231C4F" w:rsidRPr="001562B3">
        <w:t xml:space="preserve"> </w:t>
      </w:r>
      <w:r w:rsidR="00B11263" w:rsidRPr="001562B3">
        <w:t xml:space="preserve">of </w:t>
      </w:r>
      <w:r w:rsidR="00C47ED5" w:rsidRPr="001562B3">
        <w:t>Regulation (EU) No 575/2013</w:t>
      </w:r>
      <w:r w:rsidR="00A06840" w:rsidRPr="001562B3">
        <w:t>, the earliest possible date on which the option can be exercised</w:t>
      </w:r>
      <w:r w:rsidRPr="001562B3">
        <w:t>. In case of interim payments of principal, the principal shall be split and allocated into the corresponding maturity buckets. Where applicable, the maturity shall be considered separately for both the principal amount and accrued interest.</w:t>
      </w:r>
    </w:p>
    <w:p w14:paraId="1BC1C890" w14:textId="6590F2DA" w:rsidR="00762AE8" w:rsidRPr="001562B3" w:rsidRDefault="00762AE8" w:rsidP="00873459">
      <w:pPr>
        <w:pStyle w:val="Numberedtilelevel1"/>
        <w:numPr>
          <w:ilvl w:val="2"/>
          <w:numId w:val="30"/>
        </w:numPr>
      </w:pPr>
      <w:bookmarkStart w:id="59" w:name="_Toc18593309"/>
      <w:bookmarkStart w:id="60" w:name="_Toc16868642"/>
      <w:bookmarkStart w:id="61" w:name="_Toc20316755"/>
      <w:bookmarkStart w:id="62" w:name="_Toc45558492"/>
      <w:bookmarkEnd w:id="59"/>
      <w:r w:rsidRPr="001562B3">
        <w:t>Instructions concerning specific positions</w:t>
      </w:r>
      <w:bookmarkEnd w:id="60"/>
      <w:bookmarkEnd w:id="61"/>
      <w:bookmarkEnd w:id="62"/>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762AE8" w:rsidRPr="001562B3" w14:paraId="78656450" w14:textId="77777777" w:rsidTr="00762AE8">
        <w:tc>
          <w:tcPr>
            <w:tcW w:w="1129" w:type="dxa"/>
            <w:shd w:val="clear" w:color="auto" w:fill="D9D9D9"/>
          </w:tcPr>
          <w:p w14:paraId="7437F57B" w14:textId="77777777" w:rsidR="00762AE8" w:rsidRPr="001562B3" w:rsidRDefault="00762AE8" w:rsidP="00E05895">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Row</w:t>
            </w:r>
          </w:p>
        </w:tc>
        <w:tc>
          <w:tcPr>
            <w:tcW w:w="7620" w:type="dxa"/>
            <w:shd w:val="clear" w:color="auto" w:fill="D9D9D9"/>
          </w:tcPr>
          <w:p w14:paraId="21D1603A" w14:textId="77777777" w:rsidR="00762AE8" w:rsidRPr="001562B3" w:rsidRDefault="00762AE8" w:rsidP="008E501F">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Legal references and instructions</w:t>
            </w:r>
          </w:p>
        </w:tc>
      </w:tr>
      <w:tr w:rsidR="00762AE8" w:rsidRPr="001562B3" w14:paraId="5383880C" w14:textId="77777777" w:rsidTr="00762AE8">
        <w:tc>
          <w:tcPr>
            <w:tcW w:w="1129" w:type="dxa"/>
            <w:vAlign w:val="center"/>
          </w:tcPr>
          <w:p w14:paraId="64C649B2"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0100</w:t>
            </w:r>
          </w:p>
        </w:tc>
        <w:tc>
          <w:tcPr>
            <w:tcW w:w="7620" w:type="dxa"/>
            <w:vAlign w:val="center"/>
          </w:tcPr>
          <w:p w14:paraId="26061C97" w14:textId="3AFD9F85" w:rsidR="00762AE8" w:rsidRPr="001562B3" w:rsidRDefault="00762AE8" w:rsidP="008E501F">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ELIGIBLE LIABILITIES</w:t>
            </w:r>
          </w:p>
        </w:tc>
      </w:tr>
      <w:tr w:rsidR="00762AE8" w:rsidRPr="001562B3" w14:paraId="0F28EE1A" w14:textId="77777777" w:rsidTr="00762AE8">
        <w:tc>
          <w:tcPr>
            <w:tcW w:w="1129" w:type="dxa"/>
            <w:vAlign w:val="center"/>
          </w:tcPr>
          <w:p w14:paraId="7807213A"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0200</w:t>
            </w:r>
          </w:p>
        </w:tc>
        <w:tc>
          <w:tcPr>
            <w:tcW w:w="7620" w:type="dxa"/>
            <w:vAlign w:val="center"/>
          </w:tcPr>
          <w:p w14:paraId="4492AB5A" w14:textId="77777777" w:rsidR="00762AE8" w:rsidRPr="001562B3" w:rsidRDefault="00762AE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Deposits, not covered and not preferential &gt;= 1 year</w:t>
            </w:r>
          </w:p>
          <w:p w14:paraId="49C46A25" w14:textId="27DC5572" w:rsidR="00762AE8" w:rsidRPr="001562B3" w:rsidRDefault="00762AE8">
            <w:pPr>
              <w:pStyle w:val="InstructionsText"/>
              <w:rPr>
                <w:rStyle w:val="FormatvorlageInstructionsTabelleText"/>
                <w:rFonts w:ascii="Times New Roman" w:hAnsi="Times New Roman"/>
                <w:b/>
                <w:sz w:val="24"/>
                <w:lang w:eastAsia="en-US"/>
              </w:rPr>
            </w:pPr>
            <w:r w:rsidRPr="001562B3">
              <w:rPr>
                <w:rStyle w:val="FormatvorlageInstructionsTabelleText"/>
                <w:rFonts w:ascii="Times New Roman" w:hAnsi="Times New Roman"/>
                <w:sz w:val="24"/>
              </w:rPr>
              <w:t xml:space="preserve">Deposits, not covered and not preferential, as defined for the purposes of row 0320 of template Z 02.00 of Annex I to Regulation (EU) 2018/1624, that are eligible for the purposes of Article 45 </w:t>
            </w:r>
            <w:r w:rsidR="00025500" w:rsidRPr="001562B3">
              <w:rPr>
                <w:rStyle w:val="FormatvorlageInstructionsTabelleText"/>
                <w:rFonts w:ascii="Times New Roman" w:hAnsi="Times New Roman"/>
                <w:sz w:val="24"/>
              </w:rPr>
              <w:t xml:space="preserve">of </w:t>
            </w:r>
            <w:r w:rsidR="00025500" w:rsidRPr="001562B3">
              <w:t>Directive 2014/59/EU</w:t>
            </w:r>
            <w:r w:rsidRPr="001562B3">
              <w:rPr>
                <w:rStyle w:val="FormatvorlageInstructionsTabelleText"/>
                <w:rFonts w:ascii="Times New Roman" w:hAnsi="Times New Roman"/>
                <w:sz w:val="24"/>
              </w:rPr>
              <w:t>.</w:t>
            </w:r>
          </w:p>
        </w:tc>
      </w:tr>
      <w:tr w:rsidR="00762AE8" w:rsidRPr="001562B3" w14:paraId="43228275" w14:textId="77777777" w:rsidTr="00762AE8">
        <w:tc>
          <w:tcPr>
            <w:tcW w:w="1129" w:type="dxa"/>
            <w:vAlign w:val="center"/>
          </w:tcPr>
          <w:p w14:paraId="30431B10"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0210</w:t>
            </w:r>
          </w:p>
        </w:tc>
        <w:tc>
          <w:tcPr>
            <w:tcW w:w="7620" w:type="dxa"/>
            <w:vAlign w:val="center"/>
          </w:tcPr>
          <w:p w14:paraId="1971F075" w14:textId="77777777" w:rsidR="00762AE8" w:rsidRPr="001562B3" w:rsidRDefault="00762AE8" w:rsidP="00E05895">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2B846C55" w14:textId="77777777" w:rsidTr="00762AE8">
        <w:tc>
          <w:tcPr>
            <w:tcW w:w="1129" w:type="dxa"/>
            <w:vAlign w:val="center"/>
          </w:tcPr>
          <w:p w14:paraId="1DF3A70F"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0220</w:t>
            </w:r>
          </w:p>
        </w:tc>
        <w:tc>
          <w:tcPr>
            <w:tcW w:w="7620" w:type="dxa"/>
            <w:vAlign w:val="center"/>
          </w:tcPr>
          <w:p w14:paraId="275CBB26"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2 years</w:t>
            </w:r>
          </w:p>
        </w:tc>
      </w:tr>
      <w:tr w:rsidR="00762AE8" w:rsidRPr="001562B3" w14:paraId="0BA3B219" w14:textId="77777777" w:rsidTr="00762AE8">
        <w:tc>
          <w:tcPr>
            <w:tcW w:w="1129" w:type="dxa"/>
            <w:vAlign w:val="center"/>
          </w:tcPr>
          <w:p w14:paraId="123CD651"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0230</w:t>
            </w:r>
          </w:p>
        </w:tc>
        <w:tc>
          <w:tcPr>
            <w:tcW w:w="7620" w:type="dxa"/>
            <w:vAlign w:val="center"/>
          </w:tcPr>
          <w:p w14:paraId="42F6A84F"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issued by subsidiaries</w:t>
            </w:r>
          </w:p>
        </w:tc>
      </w:tr>
      <w:tr w:rsidR="00762AE8" w:rsidRPr="001562B3" w14:paraId="0C7523A2" w14:textId="77777777" w:rsidTr="00762AE8">
        <w:tc>
          <w:tcPr>
            <w:tcW w:w="1129" w:type="dxa"/>
            <w:vAlign w:val="center"/>
          </w:tcPr>
          <w:p w14:paraId="21F422EE"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0300</w:t>
            </w:r>
          </w:p>
        </w:tc>
        <w:tc>
          <w:tcPr>
            <w:tcW w:w="7620" w:type="dxa"/>
            <w:vAlign w:val="center"/>
          </w:tcPr>
          <w:p w14:paraId="2DECC0A1" w14:textId="77777777" w:rsidR="00762AE8" w:rsidRPr="001562B3" w:rsidRDefault="00762AE8" w:rsidP="008E501F">
            <w:pPr>
              <w:pStyle w:val="InstructionsText"/>
              <w:rPr>
                <w:rStyle w:val="FormatvorlageInstructionsTabelleText"/>
                <w:rFonts w:ascii="Times New Roman" w:hAnsi="Times New Roman"/>
                <w:bCs w:val="0"/>
                <w:color w:val="4F81BD" w:themeColor="accent1"/>
                <w:sz w:val="24"/>
              </w:rPr>
            </w:pPr>
            <w:r w:rsidRPr="001562B3">
              <w:rPr>
                <w:rStyle w:val="InstructionsTabelleberschrift"/>
                <w:rFonts w:ascii="Times New Roman" w:hAnsi="Times New Roman"/>
                <w:sz w:val="24"/>
              </w:rPr>
              <w:t xml:space="preserve">Uncollateralized secured liabilities &gt;= 1 year </w:t>
            </w:r>
          </w:p>
          <w:p w14:paraId="6EA6B4DB" w14:textId="76DC938F" w:rsidR="00762AE8" w:rsidRPr="001562B3" w:rsidRDefault="00762AE8">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 xml:space="preserve">Uncollateralised secured liabilities, as defined for the purposes of row 0340 of template Z 02.00 of Annex I to Regulation (EU) 2018/1624, that are eligible for the purposes of Article 45 </w:t>
            </w:r>
            <w:r w:rsidR="00025500" w:rsidRPr="001562B3">
              <w:rPr>
                <w:rStyle w:val="FormatvorlageInstructionsTabelleText"/>
                <w:rFonts w:ascii="Times New Roman" w:hAnsi="Times New Roman"/>
                <w:sz w:val="24"/>
              </w:rPr>
              <w:t xml:space="preserve">of </w:t>
            </w:r>
            <w:r w:rsidR="00025500" w:rsidRPr="001562B3">
              <w:t>Directive 2014/59/EU</w:t>
            </w:r>
            <w:r w:rsidRPr="001562B3">
              <w:rPr>
                <w:rStyle w:val="FormatvorlageInstructionsTabelleText"/>
                <w:rFonts w:ascii="Times New Roman" w:hAnsi="Times New Roman"/>
                <w:sz w:val="24"/>
              </w:rPr>
              <w:t>.</w:t>
            </w:r>
          </w:p>
        </w:tc>
      </w:tr>
      <w:tr w:rsidR="00762AE8" w:rsidRPr="001562B3" w14:paraId="6A53393A" w14:textId="77777777" w:rsidTr="00762AE8">
        <w:tc>
          <w:tcPr>
            <w:tcW w:w="1129" w:type="dxa"/>
            <w:vAlign w:val="center"/>
          </w:tcPr>
          <w:p w14:paraId="04E4AAE3"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0310</w:t>
            </w:r>
          </w:p>
        </w:tc>
        <w:tc>
          <w:tcPr>
            <w:tcW w:w="7620" w:type="dxa"/>
            <w:vAlign w:val="center"/>
          </w:tcPr>
          <w:p w14:paraId="537C804F"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600B55D1" w14:textId="77777777" w:rsidTr="00762AE8">
        <w:tc>
          <w:tcPr>
            <w:tcW w:w="1129" w:type="dxa"/>
            <w:vAlign w:val="center"/>
          </w:tcPr>
          <w:p w14:paraId="15C760CE"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0320</w:t>
            </w:r>
          </w:p>
        </w:tc>
        <w:tc>
          <w:tcPr>
            <w:tcW w:w="7620" w:type="dxa"/>
            <w:vAlign w:val="center"/>
          </w:tcPr>
          <w:p w14:paraId="1CD9868B"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2 years</w:t>
            </w:r>
          </w:p>
        </w:tc>
      </w:tr>
      <w:tr w:rsidR="00762AE8" w:rsidRPr="001562B3" w14:paraId="1A7BF7A4" w14:textId="77777777" w:rsidTr="00762AE8">
        <w:tc>
          <w:tcPr>
            <w:tcW w:w="1129" w:type="dxa"/>
            <w:vAlign w:val="center"/>
          </w:tcPr>
          <w:p w14:paraId="2DE80C2B"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0330</w:t>
            </w:r>
          </w:p>
        </w:tc>
        <w:tc>
          <w:tcPr>
            <w:tcW w:w="7620" w:type="dxa"/>
            <w:vAlign w:val="center"/>
          </w:tcPr>
          <w:p w14:paraId="3A278DE9"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issued by subsidiaries</w:t>
            </w:r>
          </w:p>
        </w:tc>
      </w:tr>
      <w:tr w:rsidR="00762AE8" w:rsidRPr="001562B3" w14:paraId="2B098627" w14:textId="77777777" w:rsidTr="00762AE8">
        <w:tc>
          <w:tcPr>
            <w:tcW w:w="1129" w:type="dxa"/>
            <w:vAlign w:val="center"/>
          </w:tcPr>
          <w:p w14:paraId="20D819CF"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0400</w:t>
            </w:r>
          </w:p>
        </w:tc>
        <w:tc>
          <w:tcPr>
            <w:tcW w:w="7620" w:type="dxa"/>
            <w:vAlign w:val="center"/>
          </w:tcPr>
          <w:p w14:paraId="1D62DBC4" w14:textId="77777777" w:rsidR="00762AE8" w:rsidRPr="001562B3" w:rsidRDefault="00762AE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Structured notes &gt;= 1 year</w:t>
            </w:r>
          </w:p>
          <w:p w14:paraId="74959F34" w14:textId="4AC6BCD9" w:rsidR="00762AE8" w:rsidRPr="001562B3" w:rsidRDefault="00762AE8" w:rsidP="00F94369">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lastRenderedPageBreak/>
              <w:t xml:space="preserve">Structured notes, as defined for the purposes of row 0350 of template Z 02.00 of Annex I to Regulation (EU) 2018/1624, that are eligible for the purposes of Article 45 </w:t>
            </w:r>
            <w:r w:rsidR="00025500" w:rsidRPr="001562B3">
              <w:rPr>
                <w:rStyle w:val="FormatvorlageInstructionsTabelleText"/>
                <w:rFonts w:ascii="Times New Roman" w:hAnsi="Times New Roman"/>
                <w:sz w:val="24"/>
              </w:rPr>
              <w:t xml:space="preserve">of </w:t>
            </w:r>
            <w:r w:rsidR="00025500" w:rsidRPr="001562B3">
              <w:t>Directive 2014/59/EU</w:t>
            </w:r>
            <w:r w:rsidRPr="001562B3">
              <w:rPr>
                <w:rStyle w:val="FormatvorlageInstructionsTabelleText"/>
                <w:rFonts w:ascii="Times New Roman" w:hAnsi="Times New Roman"/>
                <w:sz w:val="24"/>
              </w:rPr>
              <w:t>.</w:t>
            </w:r>
          </w:p>
        </w:tc>
      </w:tr>
      <w:tr w:rsidR="00762AE8" w:rsidRPr="001562B3" w14:paraId="72D4F677" w14:textId="77777777" w:rsidTr="00762AE8">
        <w:tc>
          <w:tcPr>
            <w:tcW w:w="1129" w:type="dxa"/>
            <w:vAlign w:val="center"/>
          </w:tcPr>
          <w:p w14:paraId="276C4E2D"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0410</w:t>
            </w:r>
          </w:p>
        </w:tc>
        <w:tc>
          <w:tcPr>
            <w:tcW w:w="7620" w:type="dxa"/>
            <w:vAlign w:val="center"/>
          </w:tcPr>
          <w:p w14:paraId="00FFDD2F"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6936C748" w14:textId="77777777" w:rsidTr="00762AE8">
        <w:tc>
          <w:tcPr>
            <w:tcW w:w="1129" w:type="dxa"/>
            <w:vAlign w:val="center"/>
          </w:tcPr>
          <w:p w14:paraId="6F001B61"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0420</w:t>
            </w:r>
          </w:p>
        </w:tc>
        <w:tc>
          <w:tcPr>
            <w:tcW w:w="7620" w:type="dxa"/>
            <w:vAlign w:val="center"/>
          </w:tcPr>
          <w:p w14:paraId="7227500C" w14:textId="77777777" w:rsidR="00762AE8" w:rsidRPr="001562B3" w:rsidRDefault="00762AE8" w:rsidP="008E501F">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of which: residual maturity &gt;= 2 years</w:t>
            </w:r>
          </w:p>
        </w:tc>
      </w:tr>
      <w:tr w:rsidR="00762AE8" w:rsidRPr="001562B3" w14:paraId="10DD7ADF" w14:textId="77777777" w:rsidTr="00762AE8">
        <w:tc>
          <w:tcPr>
            <w:tcW w:w="1129" w:type="dxa"/>
            <w:vAlign w:val="center"/>
          </w:tcPr>
          <w:p w14:paraId="7587F6C9"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0430</w:t>
            </w:r>
          </w:p>
        </w:tc>
        <w:tc>
          <w:tcPr>
            <w:tcW w:w="7620" w:type="dxa"/>
            <w:vAlign w:val="center"/>
          </w:tcPr>
          <w:p w14:paraId="7C1370DB" w14:textId="77777777" w:rsidR="00762AE8" w:rsidRPr="001562B3" w:rsidRDefault="00762AE8"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of which: issued by subsidiaries</w:t>
            </w:r>
          </w:p>
        </w:tc>
      </w:tr>
      <w:tr w:rsidR="00762AE8" w:rsidRPr="001562B3" w14:paraId="07BF9E28" w14:textId="77777777" w:rsidTr="00762AE8">
        <w:tc>
          <w:tcPr>
            <w:tcW w:w="1129" w:type="dxa"/>
            <w:vAlign w:val="center"/>
          </w:tcPr>
          <w:p w14:paraId="1BBF737D"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0500</w:t>
            </w:r>
          </w:p>
        </w:tc>
        <w:tc>
          <w:tcPr>
            <w:tcW w:w="7620" w:type="dxa"/>
            <w:vAlign w:val="center"/>
          </w:tcPr>
          <w:p w14:paraId="1ABE37E9" w14:textId="77777777" w:rsidR="00762AE8" w:rsidRPr="001562B3" w:rsidRDefault="00762AE8" w:rsidP="008E501F">
            <w:pPr>
              <w:pStyle w:val="InstructionsText"/>
              <w:rPr>
                <w:rStyle w:val="InstructionsTabelleberschrift"/>
                <w:rFonts w:ascii="Times New Roman" w:eastAsia="Cambria" w:hAnsi="Times New Roman"/>
                <w:sz w:val="24"/>
              </w:rPr>
            </w:pPr>
            <w:r w:rsidRPr="001562B3">
              <w:rPr>
                <w:rStyle w:val="InstructionsTabelleberschrift"/>
                <w:rFonts w:ascii="Times New Roman" w:eastAsia="Cambria" w:hAnsi="Times New Roman"/>
                <w:sz w:val="24"/>
              </w:rPr>
              <w:t>Senior unsecured liabilities &gt;= 1 year</w:t>
            </w:r>
          </w:p>
          <w:p w14:paraId="0E73B3A6" w14:textId="6BB8E9AC"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FormatvorlageInstructionsTabelleText"/>
                <w:rFonts w:ascii="Times New Roman" w:hAnsi="Times New Roman"/>
                <w:sz w:val="24"/>
              </w:rPr>
              <w:t xml:space="preserve">Senior unsecured liabilities, as defined for the purposes of row 0360 of template Z 02.00 of Annex I to Regulation (EU) 2018/1624, that are eligible for the purposes of Article 45 </w:t>
            </w:r>
            <w:r w:rsidR="00025500" w:rsidRPr="001562B3">
              <w:rPr>
                <w:rStyle w:val="FormatvorlageInstructionsTabelleText"/>
                <w:rFonts w:ascii="Times New Roman" w:hAnsi="Times New Roman"/>
                <w:sz w:val="24"/>
              </w:rPr>
              <w:t xml:space="preserve">of </w:t>
            </w:r>
            <w:r w:rsidR="00025500" w:rsidRPr="001562B3">
              <w:t>Directive 2014/59/EU</w:t>
            </w:r>
            <w:r w:rsidRPr="001562B3">
              <w:rPr>
                <w:rStyle w:val="FormatvorlageInstructionsTabelleText"/>
                <w:rFonts w:ascii="Times New Roman" w:hAnsi="Times New Roman"/>
                <w:sz w:val="24"/>
              </w:rPr>
              <w:t>.</w:t>
            </w:r>
          </w:p>
        </w:tc>
      </w:tr>
      <w:tr w:rsidR="00762AE8" w:rsidRPr="001562B3" w14:paraId="35199AA2" w14:textId="77777777" w:rsidTr="00762AE8">
        <w:tc>
          <w:tcPr>
            <w:tcW w:w="1129" w:type="dxa"/>
            <w:vAlign w:val="center"/>
          </w:tcPr>
          <w:p w14:paraId="5D231682"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0510</w:t>
            </w:r>
          </w:p>
        </w:tc>
        <w:tc>
          <w:tcPr>
            <w:tcW w:w="7620" w:type="dxa"/>
            <w:vAlign w:val="center"/>
          </w:tcPr>
          <w:p w14:paraId="262358FD"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07D96CBB" w14:textId="77777777" w:rsidTr="00762AE8">
        <w:tc>
          <w:tcPr>
            <w:tcW w:w="1129" w:type="dxa"/>
            <w:vAlign w:val="center"/>
          </w:tcPr>
          <w:p w14:paraId="324DFF96"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0520</w:t>
            </w:r>
          </w:p>
        </w:tc>
        <w:tc>
          <w:tcPr>
            <w:tcW w:w="7620" w:type="dxa"/>
            <w:vAlign w:val="center"/>
          </w:tcPr>
          <w:p w14:paraId="7552E2F3"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2 years</w:t>
            </w:r>
          </w:p>
        </w:tc>
      </w:tr>
      <w:tr w:rsidR="00762AE8" w:rsidRPr="001562B3" w14:paraId="295B6D82" w14:textId="77777777" w:rsidTr="00762AE8">
        <w:tc>
          <w:tcPr>
            <w:tcW w:w="1129" w:type="dxa"/>
            <w:vAlign w:val="center"/>
          </w:tcPr>
          <w:p w14:paraId="3B2CFD81"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0530 </w:t>
            </w:r>
          </w:p>
        </w:tc>
        <w:tc>
          <w:tcPr>
            <w:tcW w:w="7620" w:type="dxa"/>
            <w:vAlign w:val="center"/>
          </w:tcPr>
          <w:p w14:paraId="480600D9"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issued by subsidiaries</w:t>
            </w:r>
          </w:p>
        </w:tc>
      </w:tr>
      <w:tr w:rsidR="00762AE8" w:rsidRPr="001562B3" w14:paraId="12EA602F" w14:textId="77777777" w:rsidTr="00762AE8">
        <w:tc>
          <w:tcPr>
            <w:tcW w:w="1129" w:type="dxa"/>
            <w:vAlign w:val="center"/>
          </w:tcPr>
          <w:p w14:paraId="3384E48D"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0600 </w:t>
            </w:r>
          </w:p>
        </w:tc>
        <w:tc>
          <w:tcPr>
            <w:tcW w:w="7620" w:type="dxa"/>
            <w:vAlign w:val="center"/>
          </w:tcPr>
          <w:p w14:paraId="0C40C447" w14:textId="77777777" w:rsidR="00762AE8" w:rsidRPr="001562B3" w:rsidRDefault="00762AE8" w:rsidP="008E501F">
            <w:pPr>
              <w:pStyle w:val="InstructionsText"/>
              <w:rPr>
                <w:rStyle w:val="InstructionsTabelleberschrift"/>
                <w:rFonts w:ascii="Times New Roman" w:eastAsia="Cambria" w:hAnsi="Times New Roman"/>
                <w:sz w:val="24"/>
              </w:rPr>
            </w:pPr>
            <w:r w:rsidRPr="001562B3">
              <w:rPr>
                <w:rStyle w:val="InstructionsTabelleberschrift"/>
                <w:rFonts w:ascii="Times New Roman" w:eastAsia="Cambria" w:hAnsi="Times New Roman"/>
                <w:sz w:val="24"/>
              </w:rPr>
              <w:t>Senior non-preferred liabilities &gt;= 1 year</w:t>
            </w:r>
          </w:p>
          <w:p w14:paraId="2BB67D1C" w14:textId="1C8DAA81" w:rsidR="00762AE8" w:rsidRPr="001562B3" w:rsidRDefault="00762AE8">
            <w:pPr>
              <w:pStyle w:val="InstructionsText"/>
              <w:rPr>
                <w:rStyle w:val="FormatvorlageInstructionsTabelleText"/>
                <w:rFonts w:ascii="Times New Roman" w:hAnsi="Times New Roman"/>
                <w:b/>
                <w:sz w:val="24"/>
                <w:lang w:eastAsia="en-US"/>
              </w:rPr>
            </w:pPr>
            <w:r w:rsidRPr="001562B3">
              <w:rPr>
                <w:rStyle w:val="FormatvorlageInstructionsTabelleText"/>
                <w:rFonts w:ascii="Times New Roman" w:hAnsi="Times New Roman"/>
                <w:sz w:val="24"/>
              </w:rPr>
              <w:t>Senior non-preferred</w:t>
            </w:r>
            <w:r w:rsidR="00F94369">
              <w:rPr>
                <w:rStyle w:val="FormatvorlageInstructionsTabelleText"/>
                <w:rFonts w:ascii="Times New Roman" w:hAnsi="Times New Roman"/>
                <w:sz w:val="24"/>
              </w:rPr>
              <w:t xml:space="preserve"> liabilities</w:t>
            </w:r>
            <w:r w:rsidRPr="001562B3">
              <w:rPr>
                <w:rStyle w:val="FormatvorlageInstructionsTabelleText"/>
                <w:rFonts w:ascii="Times New Roman" w:hAnsi="Times New Roman"/>
                <w:sz w:val="24"/>
              </w:rPr>
              <w:t xml:space="preserve">, as defined for the purposes of row 0365 of template Z 02.00 of Annex I to Regulation (EU) 2018/1624, that are eligible for the purposes of Article 45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w:t>
            </w:r>
          </w:p>
        </w:tc>
      </w:tr>
      <w:tr w:rsidR="00762AE8" w:rsidRPr="001562B3" w14:paraId="60C5C44A" w14:textId="77777777" w:rsidTr="00762AE8">
        <w:tc>
          <w:tcPr>
            <w:tcW w:w="1129" w:type="dxa"/>
            <w:vAlign w:val="center"/>
          </w:tcPr>
          <w:p w14:paraId="4478A9B7"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0610</w:t>
            </w:r>
          </w:p>
        </w:tc>
        <w:tc>
          <w:tcPr>
            <w:tcW w:w="7620" w:type="dxa"/>
            <w:vAlign w:val="center"/>
          </w:tcPr>
          <w:p w14:paraId="6413A5A0"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eastAsia="Cambria" w:hAnsi="Times New Roman"/>
                <w:sz w:val="24"/>
              </w:rPr>
              <w:t>of which: residual maturity &gt;= 1 year and &lt; 2 years</w:t>
            </w:r>
          </w:p>
        </w:tc>
      </w:tr>
      <w:tr w:rsidR="00762AE8" w:rsidRPr="001562B3" w14:paraId="09D13A9A" w14:textId="77777777" w:rsidTr="00762AE8">
        <w:tc>
          <w:tcPr>
            <w:tcW w:w="1129" w:type="dxa"/>
            <w:vAlign w:val="center"/>
          </w:tcPr>
          <w:p w14:paraId="1E082A92"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0620</w:t>
            </w:r>
          </w:p>
        </w:tc>
        <w:tc>
          <w:tcPr>
            <w:tcW w:w="7620" w:type="dxa"/>
            <w:vAlign w:val="center"/>
          </w:tcPr>
          <w:p w14:paraId="3A55D4CB" w14:textId="77777777" w:rsidR="00762AE8" w:rsidRPr="001562B3" w:rsidRDefault="00762AE8" w:rsidP="008E501F">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eastAsia="Cambria" w:hAnsi="Times New Roman"/>
                <w:sz w:val="24"/>
              </w:rPr>
              <w:t xml:space="preserve">of which: residual maturity &gt;= 2 </w:t>
            </w:r>
            <w:r w:rsidRPr="001562B3">
              <w:rPr>
                <w:rStyle w:val="InstructionsTabelleberschrift"/>
                <w:rFonts w:ascii="Times New Roman" w:hAnsi="Times New Roman"/>
                <w:sz w:val="24"/>
              </w:rPr>
              <w:t>years</w:t>
            </w:r>
          </w:p>
        </w:tc>
      </w:tr>
      <w:tr w:rsidR="00762AE8" w:rsidRPr="001562B3" w14:paraId="23C432FB" w14:textId="77777777" w:rsidTr="00762AE8">
        <w:tc>
          <w:tcPr>
            <w:tcW w:w="1129" w:type="dxa"/>
            <w:vAlign w:val="center"/>
          </w:tcPr>
          <w:p w14:paraId="3AC1EB08"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0630</w:t>
            </w:r>
          </w:p>
        </w:tc>
        <w:tc>
          <w:tcPr>
            <w:tcW w:w="7620" w:type="dxa"/>
            <w:vAlign w:val="center"/>
          </w:tcPr>
          <w:p w14:paraId="3C625784" w14:textId="77777777" w:rsidR="00762AE8" w:rsidRPr="001562B3" w:rsidRDefault="00762AE8"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of which: issued by subsidiaries</w:t>
            </w:r>
          </w:p>
        </w:tc>
      </w:tr>
      <w:tr w:rsidR="00762AE8" w:rsidRPr="001562B3" w14:paraId="6A916816" w14:textId="77777777" w:rsidTr="00762AE8">
        <w:tc>
          <w:tcPr>
            <w:tcW w:w="1129" w:type="dxa"/>
            <w:vAlign w:val="center"/>
          </w:tcPr>
          <w:p w14:paraId="38E47A5C"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0700</w:t>
            </w:r>
          </w:p>
        </w:tc>
        <w:tc>
          <w:tcPr>
            <w:tcW w:w="7620" w:type="dxa"/>
            <w:vAlign w:val="center"/>
          </w:tcPr>
          <w:p w14:paraId="3036F796" w14:textId="77777777" w:rsidR="00762AE8" w:rsidRPr="001562B3" w:rsidRDefault="00762AE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Subordinated liabilities (not recognised as own funds) &gt;= 1 year</w:t>
            </w:r>
          </w:p>
          <w:p w14:paraId="47C4F901" w14:textId="4547A0C8" w:rsidR="00762AE8" w:rsidRPr="001562B3" w:rsidRDefault="00F94369" w:rsidP="008E501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Subordinated</w:t>
            </w:r>
            <w:r w:rsidR="00762AE8" w:rsidRPr="001562B3">
              <w:rPr>
                <w:rStyle w:val="FormatvorlageInstructionsTabelleText"/>
                <w:rFonts w:ascii="Times New Roman" w:hAnsi="Times New Roman"/>
                <w:sz w:val="24"/>
              </w:rPr>
              <w:t xml:space="preserve"> liabilities, as defined for the purposes of row 0370 of template Z 02.00 of Annex I to Regulation (EU) 2018/1624, that are eligible for the purposes of Article 45 </w:t>
            </w:r>
            <w:r w:rsidR="00FC6662" w:rsidRPr="001562B3">
              <w:rPr>
                <w:rStyle w:val="FormatvorlageInstructionsTabelleText"/>
                <w:rFonts w:ascii="Times New Roman" w:hAnsi="Times New Roman"/>
                <w:sz w:val="24"/>
              </w:rPr>
              <w:t xml:space="preserve">of </w:t>
            </w:r>
            <w:r w:rsidR="00FC6662" w:rsidRPr="001562B3">
              <w:t>Directive 2014/59/EU</w:t>
            </w:r>
            <w:r w:rsidR="00762AE8" w:rsidRPr="001562B3">
              <w:rPr>
                <w:rStyle w:val="FormatvorlageInstructionsTabelleText"/>
                <w:rFonts w:ascii="Times New Roman" w:hAnsi="Times New Roman"/>
                <w:sz w:val="24"/>
              </w:rPr>
              <w:t>.</w:t>
            </w:r>
          </w:p>
        </w:tc>
      </w:tr>
      <w:tr w:rsidR="00762AE8" w:rsidRPr="001562B3" w14:paraId="57465221" w14:textId="77777777" w:rsidTr="00762AE8">
        <w:tc>
          <w:tcPr>
            <w:tcW w:w="1129" w:type="dxa"/>
            <w:vAlign w:val="center"/>
          </w:tcPr>
          <w:p w14:paraId="67531431"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0710</w:t>
            </w:r>
          </w:p>
        </w:tc>
        <w:tc>
          <w:tcPr>
            <w:tcW w:w="7620" w:type="dxa"/>
            <w:vAlign w:val="center"/>
          </w:tcPr>
          <w:p w14:paraId="793A93D5" w14:textId="77777777" w:rsidR="00762AE8" w:rsidRPr="001562B3" w:rsidRDefault="00762AE8"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625CC92F" w14:textId="77777777" w:rsidTr="00762AE8">
        <w:tc>
          <w:tcPr>
            <w:tcW w:w="1129" w:type="dxa"/>
            <w:vAlign w:val="center"/>
          </w:tcPr>
          <w:p w14:paraId="3FC9B0A7"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0720</w:t>
            </w:r>
          </w:p>
        </w:tc>
        <w:tc>
          <w:tcPr>
            <w:tcW w:w="7620" w:type="dxa"/>
            <w:vAlign w:val="center"/>
          </w:tcPr>
          <w:p w14:paraId="378AC964" w14:textId="77777777" w:rsidR="00762AE8" w:rsidRPr="001562B3" w:rsidRDefault="00762AE8"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eastAsia="Cambria" w:hAnsi="Times New Roman"/>
                <w:sz w:val="24"/>
              </w:rPr>
              <w:t>of which: residual maturity &gt;= 2 years</w:t>
            </w:r>
          </w:p>
        </w:tc>
      </w:tr>
      <w:tr w:rsidR="00762AE8" w:rsidRPr="001562B3" w14:paraId="5E1CEAC6" w14:textId="77777777" w:rsidTr="00762AE8">
        <w:tc>
          <w:tcPr>
            <w:tcW w:w="1129" w:type="dxa"/>
            <w:vAlign w:val="center"/>
          </w:tcPr>
          <w:p w14:paraId="1C9EF155"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0730</w:t>
            </w:r>
          </w:p>
        </w:tc>
        <w:tc>
          <w:tcPr>
            <w:tcW w:w="7620" w:type="dxa"/>
            <w:vAlign w:val="center"/>
          </w:tcPr>
          <w:p w14:paraId="189D1AE1" w14:textId="77777777" w:rsidR="00762AE8" w:rsidRPr="001562B3" w:rsidRDefault="00762AE8" w:rsidP="00E05895">
            <w:pPr>
              <w:pStyle w:val="InstructionsText"/>
              <w:rPr>
                <w:rStyle w:val="FormatvorlageInstructionsTabelleText"/>
                <w:rFonts w:ascii="Times New Roman" w:eastAsiaTheme="minorHAnsi" w:hAnsi="Times New Roman"/>
                <w:sz w:val="24"/>
                <w:szCs w:val="22"/>
                <w:lang w:eastAsia="en-US"/>
              </w:rPr>
            </w:pPr>
            <w:r w:rsidRPr="001562B3">
              <w:rPr>
                <w:rStyle w:val="InstructionsTabelleberschrift"/>
                <w:rFonts w:ascii="Times New Roman" w:eastAsia="Cambria" w:hAnsi="Times New Roman"/>
                <w:sz w:val="24"/>
              </w:rPr>
              <w:t xml:space="preserve">of </w:t>
            </w:r>
            <w:r w:rsidRPr="001562B3">
              <w:rPr>
                <w:rStyle w:val="FormatvorlageInstructionsTabelleText"/>
                <w:rFonts w:ascii="Times New Roman" w:hAnsi="Times New Roman"/>
                <w:b/>
                <w:sz w:val="24"/>
                <w:u w:val="single"/>
              </w:rPr>
              <w:t>which</w:t>
            </w:r>
            <w:r w:rsidRPr="001562B3">
              <w:rPr>
                <w:rStyle w:val="InstructionsTabelleberschrift"/>
                <w:rFonts w:ascii="Times New Roman" w:eastAsia="Cambria" w:hAnsi="Times New Roman"/>
                <w:sz w:val="24"/>
              </w:rPr>
              <w:t>: issued by subsidiaries</w:t>
            </w:r>
          </w:p>
        </w:tc>
      </w:tr>
      <w:tr w:rsidR="00762AE8" w:rsidRPr="001562B3" w14:paraId="2CFE4F64" w14:textId="77777777" w:rsidTr="00762AE8">
        <w:tc>
          <w:tcPr>
            <w:tcW w:w="1129" w:type="dxa"/>
            <w:vAlign w:val="center"/>
          </w:tcPr>
          <w:p w14:paraId="1667A13F"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0800</w:t>
            </w:r>
          </w:p>
        </w:tc>
        <w:tc>
          <w:tcPr>
            <w:tcW w:w="7620" w:type="dxa"/>
            <w:vAlign w:val="center"/>
          </w:tcPr>
          <w:p w14:paraId="20A1B645" w14:textId="1172CBDD" w:rsidR="00762AE8" w:rsidRPr="001562B3" w:rsidRDefault="00762AE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Other </w:t>
            </w:r>
            <w:r w:rsidR="00722C11" w:rsidRPr="001562B3">
              <w:rPr>
                <w:rStyle w:val="InstructionsTabelleberschrift"/>
                <w:rFonts w:ascii="Times New Roman" w:hAnsi="Times New Roman"/>
                <w:sz w:val="24"/>
              </w:rPr>
              <w:t xml:space="preserve">MREL </w:t>
            </w:r>
            <w:r w:rsidRPr="001562B3">
              <w:rPr>
                <w:rStyle w:val="InstructionsTabelleberschrift"/>
                <w:rFonts w:ascii="Times New Roman" w:hAnsi="Times New Roman"/>
                <w:sz w:val="24"/>
              </w:rPr>
              <w:t>eligible liabilities &gt;= 1 year</w:t>
            </w:r>
          </w:p>
          <w:p w14:paraId="76DA3A5F" w14:textId="4DF75699" w:rsidR="00762AE8" w:rsidRPr="001562B3" w:rsidRDefault="00762AE8" w:rsidP="008E501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Any </w:t>
            </w:r>
            <w:r w:rsidR="00537499" w:rsidRPr="001562B3">
              <w:rPr>
                <w:rStyle w:val="FormatvorlageInstructionsTabelleText"/>
                <w:rFonts w:ascii="Times New Roman" w:hAnsi="Times New Roman"/>
                <w:sz w:val="24"/>
              </w:rPr>
              <w:t xml:space="preserve">other </w:t>
            </w:r>
            <w:r w:rsidRPr="001562B3">
              <w:rPr>
                <w:rStyle w:val="FormatvorlageInstructionsTabelleText"/>
                <w:rFonts w:ascii="Times New Roman" w:hAnsi="Times New Roman"/>
                <w:sz w:val="24"/>
              </w:rPr>
              <w:t xml:space="preserve">instrument that is eligible for the purposes of Article 45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w:t>
            </w:r>
          </w:p>
        </w:tc>
      </w:tr>
      <w:tr w:rsidR="00762AE8" w:rsidRPr="001562B3" w14:paraId="77278EFF" w14:textId="77777777" w:rsidTr="00762AE8">
        <w:tc>
          <w:tcPr>
            <w:tcW w:w="1129" w:type="dxa"/>
            <w:vAlign w:val="center"/>
          </w:tcPr>
          <w:p w14:paraId="333872FD" w14:textId="5AB9C055"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0810</w:t>
            </w:r>
          </w:p>
        </w:tc>
        <w:tc>
          <w:tcPr>
            <w:tcW w:w="7620" w:type="dxa"/>
            <w:vAlign w:val="center"/>
          </w:tcPr>
          <w:p w14:paraId="17A02E94" w14:textId="77777777" w:rsidR="00762AE8" w:rsidRPr="001562B3" w:rsidRDefault="00762AE8" w:rsidP="008E501F">
            <w:pPr>
              <w:pStyle w:val="InstructionsText"/>
              <w:rPr>
                <w:rStyle w:val="FormatvorlageInstructionsTabelleText"/>
                <w:rFonts w:ascii="Times New Roman" w:hAnsi="Times New Roman"/>
                <w:sz w:val="24"/>
              </w:rPr>
            </w:pPr>
            <w:r w:rsidRPr="001562B3">
              <w:rPr>
                <w:rStyle w:val="InstructionsTabelleberschrift"/>
                <w:rFonts w:ascii="Times New Roman" w:eastAsia="Cambria" w:hAnsi="Times New Roman"/>
                <w:sz w:val="24"/>
              </w:rPr>
              <w:t>of which: residual maturity &gt;= 1 year and &lt; 2 years</w:t>
            </w:r>
          </w:p>
        </w:tc>
      </w:tr>
      <w:tr w:rsidR="00762AE8" w:rsidRPr="001562B3" w14:paraId="3D6B2982" w14:textId="77777777" w:rsidTr="00762AE8">
        <w:tc>
          <w:tcPr>
            <w:tcW w:w="1129" w:type="dxa"/>
            <w:vAlign w:val="center"/>
          </w:tcPr>
          <w:p w14:paraId="43A5C56C"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0820</w:t>
            </w:r>
          </w:p>
        </w:tc>
        <w:tc>
          <w:tcPr>
            <w:tcW w:w="7620" w:type="dxa"/>
            <w:vAlign w:val="center"/>
          </w:tcPr>
          <w:p w14:paraId="49939295" w14:textId="77777777" w:rsidR="00762AE8" w:rsidRPr="001562B3" w:rsidRDefault="00762AE8" w:rsidP="008E501F">
            <w:pPr>
              <w:pStyle w:val="InstructionsText"/>
              <w:rPr>
                <w:rStyle w:val="FormatvorlageInstructionsTabelleText"/>
                <w:rFonts w:ascii="Times New Roman" w:hAnsi="Times New Roman"/>
                <w:sz w:val="24"/>
              </w:rPr>
            </w:pPr>
            <w:r w:rsidRPr="001562B3">
              <w:rPr>
                <w:rStyle w:val="InstructionsTabelleberschrift"/>
                <w:rFonts w:ascii="Times New Roman" w:eastAsia="Cambria" w:hAnsi="Times New Roman"/>
                <w:sz w:val="24"/>
              </w:rPr>
              <w:t>of which: residual maturity &gt;= 2 years</w:t>
            </w:r>
          </w:p>
        </w:tc>
      </w:tr>
      <w:tr w:rsidR="00762AE8" w:rsidRPr="001562B3" w14:paraId="11DE9C50" w14:textId="77777777" w:rsidTr="00762AE8">
        <w:tc>
          <w:tcPr>
            <w:tcW w:w="1129" w:type="dxa"/>
            <w:vAlign w:val="center"/>
          </w:tcPr>
          <w:p w14:paraId="53242FBA" w14:textId="77777777" w:rsidR="00762AE8" w:rsidRPr="001562B3" w:rsidRDefault="00762AE8"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0830</w:t>
            </w:r>
          </w:p>
        </w:tc>
        <w:tc>
          <w:tcPr>
            <w:tcW w:w="7620" w:type="dxa"/>
            <w:vAlign w:val="center"/>
          </w:tcPr>
          <w:p w14:paraId="2E47C1B2" w14:textId="77777777" w:rsidR="00762AE8" w:rsidRPr="001562B3" w:rsidRDefault="00762AE8" w:rsidP="008E501F">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of which: issued by subsidiaries</w:t>
            </w:r>
          </w:p>
        </w:tc>
      </w:tr>
    </w:tbl>
    <w:p w14:paraId="70AF81D2" w14:textId="77777777" w:rsidR="00762AE8" w:rsidRPr="001562B3" w:rsidRDefault="00762AE8" w:rsidP="00C15B90"/>
    <w:p w14:paraId="5D18E546" w14:textId="5B55411B" w:rsidR="00C91ACB" w:rsidRPr="001562B3" w:rsidRDefault="00C91ACB" w:rsidP="002A276F">
      <w:pPr>
        <w:pStyle w:val="Numberedtilelevel1"/>
      </w:pPr>
      <w:bookmarkStart w:id="63" w:name="_Toc45558493"/>
      <w:r w:rsidRPr="001562B3">
        <w:lastRenderedPageBreak/>
        <w:t>Creditor ranking</w:t>
      </w:r>
      <w:bookmarkEnd w:id="63"/>
    </w:p>
    <w:p w14:paraId="2625F207" w14:textId="7E2342CE" w:rsidR="00C91ACB" w:rsidRPr="001562B3" w:rsidRDefault="00C91ACB" w:rsidP="00E05895">
      <w:pPr>
        <w:pStyle w:val="InstructionsText2"/>
      </w:pPr>
      <w:r w:rsidRPr="001562B3">
        <w:t xml:space="preserve">The templates M 05.00 and M 06.00 capture </w:t>
      </w:r>
      <w:r w:rsidR="00BD1023" w:rsidRPr="001562B3">
        <w:t>the ranking of eligible liabilities in the creditor hierarchy.</w:t>
      </w:r>
      <w:r w:rsidR="000B2027" w:rsidRPr="001562B3">
        <w:t xml:space="preserve"> </w:t>
      </w:r>
      <w:r w:rsidR="00BD1023" w:rsidRPr="001562B3">
        <w:t xml:space="preserve">Both </w:t>
      </w:r>
      <w:r w:rsidR="000B2027" w:rsidRPr="001562B3">
        <w:t>template</w:t>
      </w:r>
      <w:r w:rsidR="0013414F" w:rsidRPr="001562B3">
        <w:t>s</w:t>
      </w:r>
      <w:r w:rsidR="000B2027" w:rsidRPr="001562B3">
        <w:t xml:space="preserve"> </w:t>
      </w:r>
      <w:r w:rsidR="00BD1023" w:rsidRPr="001562B3">
        <w:t xml:space="preserve">are always </w:t>
      </w:r>
      <w:r w:rsidR="000B2027" w:rsidRPr="001562B3">
        <w:t xml:space="preserve">reported at </w:t>
      </w:r>
      <w:r w:rsidR="004827E9" w:rsidRPr="001562B3">
        <w:t>individual</w:t>
      </w:r>
      <w:r w:rsidR="000B2027" w:rsidRPr="001562B3">
        <w:t xml:space="preserve"> level.</w:t>
      </w:r>
    </w:p>
    <w:p w14:paraId="18C2B303" w14:textId="229D9162" w:rsidR="00C91ACB" w:rsidRPr="001562B3" w:rsidRDefault="00C91ACB" w:rsidP="008E501F">
      <w:pPr>
        <w:pStyle w:val="InstructionsText2"/>
      </w:pPr>
      <w:r w:rsidRPr="001562B3">
        <w:t>In case of entities that are themselves not resolution entities, the amount attributable to each rank is further broken down into amounts owed to the resolution entity and other amounts not owed to the resolution entity, where applicable.</w:t>
      </w:r>
    </w:p>
    <w:p w14:paraId="21EE5EAE" w14:textId="77777777" w:rsidR="00C91ACB" w:rsidRPr="001562B3" w:rsidRDefault="00C91ACB" w:rsidP="001562B3">
      <w:pPr>
        <w:pStyle w:val="InstructionsText2"/>
      </w:pPr>
      <w:r w:rsidRPr="001562B3">
        <w:t xml:space="preserve">The ranking is presented from the most junior to the more senior. Rows for ranks shall be added until the most senior ranking eligible instrument and all liabilities ranking </w:t>
      </w:r>
      <w:r w:rsidRPr="001562B3">
        <w:rPr>
          <w:i/>
        </w:rPr>
        <w:t>pari passu</w:t>
      </w:r>
      <w:r w:rsidRPr="001562B3">
        <w:t xml:space="preserve"> with it, have been reported.</w:t>
      </w:r>
    </w:p>
    <w:p w14:paraId="50B30E08" w14:textId="0B887B5F" w:rsidR="00C91ACB" w:rsidRPr="001562B3" w:rsidRDefault="00C91ACB" w:rsidP="00873459">
      <w:pPr>
        <w:pStyle w:val="Numberedtilelevel1"/>
        <w:numPr>
          <w:ilvl w:val="1"/>
          <w:numId w:val="30"/>
        </w:numPr>
      </w:pPr>
      <w:bookmarkStart w:id="64" w:name="_Toc45558494"/>
      <w:r w:rsidRPr="001562B3">
        <w:t>M 05.00 – Creditor ranking (entity that is not a resolution entity)</w:t>
      </w:r>
      <w:bookmarkEnd w:id="64"/>
    </w:p>
    <w:p w14:paraId="002E2273" w14:textId="2F56247E" w:rsidR="00C91ACB" w:rsidRPr="001562B3" w:rsidRDefault="00C91ACB" w:rsidP="00873459">
      <w:pPr>
        <w:pStyle w:val="Numberedtilelevel1"/>
        <w:numPr>
          <w:ilvl w:val="2"/>
          <w:numId w:val="30"/>
        </w:numPr>
      </w:pPr>
      <w:bookmarkStart w:id="65" w:name="_Toc16868645"/>
      <w:bookmarkStart w:id="66" w:name="_Toc20316758"/>
      <w:bookmarkStart w:id="67" w:name="_Toc45558495"/>
      <w:r w:rsidRPr="001562B3">
        <w:t>General remarks</w:t>
      </w:r>
      <w:bookmarkEnd w:id="65"/>
      <w:bookmarkEnd w:id="66"/>
      <w:bookmarkEnd w:id="67"/>
    </w:p>
    <w:p w14:paraId="4B50C36D" w14:textId="0EF2ACE6" w:rsidR="00BD1023" w:rsidRPr="001562B3" w:rsidRDefault="00BD1023" w:rsidP="00E05895">
      <w:pPr>
        <w:pStyle w:val="InstructionsText2"/>
      </w:pPr>
      <w:r w:rsidRPr="001562B3">
        <w:t xml:space="preserve">Entities that are subject to </w:t>
      </w:r>
      <w:r w:rsidR="00F942C9" w:rsidRPr="001562B3">
        <w:t xml:space="preserve">the obligation to comply with the </w:t>
      </w:r>
      <w:r w:rsidRPr="001562B3">
        <w:t xml:space="preserve">requirement of Article 92b </w:t>
      </w:r>
      <w:r w:rsidR="00B11263" w:rsidRPr="001562B3">
        <w:t xml:space="preserve">of </w:t>
      </w:r>
      <w:r w:rsidR="00C47ED5" w:rsidRPr="001562B3">
        <w:t>Regulation (EU) No 575/2013</w:t>
      </w:r>
      <w:r w:rsidRPr="001562B3">
        <w:t xml:space="preserve"> shall report in this template </w:t>
      </w:r>
      <w:r w:rsidR="002854B5" w:rsidRPr="001562B3">
        <w:t xml:space="preserve">the </w:t>
      </w:r>
      <w:r w:rsidRPr="001562B3">
        <w:t>own funds</w:t>
      </w:r>
      <w:r w:rsidR="002854B5" w:rsidRPr="001562B3">
        <w:t xml:space="preserve"> and</w:t>
      </w:r>
      <w:r w:rsidR="001D0B80" w:rsidRPr="001562B3">
        <w:t xml:space="preserve"> eligible liabilities</w:t>
      </w:r>
      <w:r w:rsidRPr="001562B3">
        <w:t xml:space="preserve"> </w:t>
      </w:r>
      <w:r w:rsidR="002854B5" w:rsidRPr="001562B3">
        <w:t>for the purposes of internal MREL, as well as other bail-in-able</w:t>
      </w:r>
      <w:r w:rsidRPr="001562B3">
        <w:t xml:space="preserve"> liabilities</w:t>
      </w:r>
      <w:r w:rsidR="002854B5" w:rsidRPr="001562B3">
        <w:t xml:space="preserve">. Liabilities excluded from bail-in shall be included to the extent </w:t>
      </w:r>
      <w:r w:rsidRPr="001562B3">
        <w:t xml:space="preserve">that </w:t>
      </w:r>
      <w:r w:rsidR="002854B5" w:rsidRPr="001562B3">
        <w:t xml:space="preserve">they </w:t>
      </w:r>
      <w:r w:rsidRPr="001562B3">
        <w:t xml:space="preserve">rank </w:t>
      </w:r>
      <w:r w:rsidRPr="001562B3">
        <w:rPr>
          <w:i/>
        </w:rPr>
        <w:t>pari passu</w:t>
      </w:r>
      <w:r w:rsidRPr="001562B3">
        <w:t xml:space="preserve"> with or junior to any instrument included in the amount of eligible liabilities for the purposes of</w:t>
      </w:r>
      <w:r w:rsidR="00F942C9" w:rsidRPr="001562B3">
        <w:t xml:space="preserve"> internal MREL</w:t>
      </w:r>
      <w:r w:rsidRPr="001562B3">
        <w:t xml:space="preserve">. </w:t>
      </w:r>
    </w:p>
    <w:p w14:paraId="3C363ACA" w14:textId="1C49A603" w:rsidR="00F942C9" w:rsidRPr="001562B3" w:rsidRDefault="00F942C9" w:rsidP="00453B42">
      <w:pPr>
        <w:pStyle w:val="InstructionsText2"/>
      </w:pPr>
      <w:r w:rsidRPr="001562B3">
        <w:t xml:space="preserve">Entities that are not subject to the obligation to comply with the requirement of Article 92b </w:t>
      </w:r>
      <w:r w:rsidR="00B11263" w:rsidRPr="001562B3">
        <w:t xml:space="preserve">of </w:t>
      </w:r>
      <w:r w:rsidR="00C47ED5" w:rsidRPr="001562B3">
        <w:t>Regulation (EU) No 575/2013</w:t>
      </w:r>
      <w:r w:rsidRPr="001562B3">
        <w:t xml:space="preserve">, but are subject to the obligation to comply with the requirement of Article 45 </w:t>
      </w:r>
      <w:r w:rsidR="00FC6662" w:rsidRPr="001562B3">
        <w:t>of Directive 2014/59/EU</w:t>
      </w:r>
      <w:r w:rsidR="00586927" w:rsidRPr="001562B3">
        <w:t xml:space="preserve"> in accordance with Article</w:t>
      </w:r>
      <w:r w:rsidRPr="001562B3">
        <w:t xml:space="preserve"> 45f </w:t>
      </w:r>
      <w:r w:rsidR="00FC6662" w:rsidRPr="001562B3">
        <w:t>of that Directive</w:t>
      </w:r>
      <w:r w:rsidRPr="001562B3">
        <w:t xml:space="preserve">, shall report in this template the own funds and liabilities </w:t>
      </w:r>
      <w:r w:rsidR="00586927" w:rsidRPr="001562B3">
        <w:t xml:space="preserve">eligible </w:t>
      </w:r>
      <w:r w:rsidRPr="001562B3">
        <w:t>for the purposes of internal MREL</w:t>
      </w:r>
      <w:r w:rsidR="00586927" w:rsidRPr="001562B3">
        <w:t>,</w:t>
      </w:r>
      <w:r w:rsidRPr="001562B3">
        <w:t xml:space="preserve"> as well as other bail-in-able liabilities.</w:t>
      </w:r>
      <w:r w:rsidR="00453B42" w:rsidRPr="001562B3">
        <w:t xml:space="preserve"> </w:t>
      </w:r>
      <w:r w:rsidR="00586927" w:rsidRPr="001562B3">
        <w:t xml:space="preserve">By way of derogation from this, </w:t>
      </w:r>
      <w:r w:rsidR="00453B42" w:rsidRPr="001562B3">
        <w:t xml:space="preserve">entities </w:t>
      </w:r>
      <w:r w:rsidRPr="001562B3">
        <w:t>may cho</w:t>
      </w:r>
      <w:r w:rsidR="00586927" w:rsidRPr="001562B3">
        <w:t>o</w:t>
      </w:r>
      <w:r w:rsidRPr="001562B3">
        <w:t xml:space="preserve">se to report the same scope of own funds and liabilities </w:t>
      </w:r>
      <w:r w:rsidR="00586927" w:rsidRPr="001562B3">
        <w:t xml:space="preserve">as specified in paragraph </w:t>
      </w:r>
      <w:r w:rsidR="002D5E59" w:rsidRPr="001562B3">
        <w:t>20</w:t>
      </w:r>
      <w:r w:rsidR="00586927" w:rsidRPr="001562B3">
        <w:t xml:space="preserve"> above.</w:t>
      </w:r>
    </w:p>
    <w:p w14:paraId="2D11E02F" w14:textId="5E3D7215" w:rsidR="00453B42" w:rsidRPr="001562B3" w:rsidRDefault="00FC1379" w:rsidP="00453B42">
      <w:pPr>
        <w:pStyle w:val="InstructionsText2"/>
      </w:pPr>
      <w:r w:rsidRPr="001562B3">
        <w:t>Entities that, at the date of the reporting of that in-formation, hold amounts of own funds and eligible liabilities of at least 150 % of the requirement referred to in Article 45(1) of Directive 2014/59/EU, shall be exempted from reporting information on o</w:t>
      </w:r>
      <w:r w:rsidR="00453B42" w:rsidRPr="001562B3">
        <w:t>ther bail-in</w:t>
      </w:r>
      <w:r w:rsidR="00596FA9" w:rsidRPr="001562B3">
        <w:t>-</w:t>
      </w:r>
      <w:r w:rsidR="00453B42" w:rsidRPr="001562B3">
        <w:t>able liabilities.</w:t>
      </w:r>
      <w:r w:rsidR="0005325E" w:rsidRPr="001562B3">
        <w:t xml:space="preserve"> </w:t>
      </w:r>
      <w:r w:rsidRPr="001562B3">
        <w:t>Such e</w:t>
      </w:r>
      <w:r w:rsidR="0005325E" w:rsidRPr="001562B3">
        <w:t>ntities may opt to report</w:t>
      </w:r>
      <w:r w:rsidR="00093411" w:rsidRPr="001562B3">
        <w:t xml:space="preserve"> information on</w:t>
      </w:r>
      <w:r w:rsidR="0005325E" w:rsidRPr="001562B3">
        <w:t xml:space="preserve"> other bail-in-able liabilities in this template on a voluntary basis.</w:t>
      </w:r>
    </w:p>
    <w:p w14:paraId="04EC4B94" w14:textId="2CAEDC93" w:rsidR="00C91ACB" w:rsidRPr="001562B3" w:rsidRDefault="00C91ACB" w:rsidP="008E501F">
      <w:pPr>
        <w:pStyle w:val="InstructionsText2"/>
      </w:pPr>
      <w:r w:rsidRPr="001562B3">
        <w:t>The combination of columns 0010 and 0020 is a row identifier which shall be unique for all rows in the template.</w:t>
      </w:r>
    </w:p>
    <w:p w14:paraId="781C3046" w14:textId="4E30708E" w:rsidR="00C91ACB" w:rsidRPr="001562B3" w:rsidRDefault="00C91ACB" w:rsidP="00873459">
      <w:pPr>
        <w:pStyle w:val="Numberedtilelevel1"/>
        <w:numPr>
          <w:ilvl w:val="2"/>
          <w:numId w:val="30"/>
        </w:numPr>
      </w:pPr>
      <w:bookmarkStart w:id="68" w:name="_Toc16868646"/>
      <w:bookmarkStart w:id="69" w:name="_Toc20316759"/>
      <w:bookmarkStart w:id="70" w:name="_Toc45558496"/>
      <w:r w:rsidRPr="001562B3">
        <w:t>Instructions concerning specific positions</w:t>
      </w:r>
      <w:bookmarkEnd w:id="68"/>
      <w:bookmarkEnd w:id="69"/>
      <w:bookmarkEnd w:id="70"/>
    </w:p>
    <w:p w14:paraId="6C74EEE4" w14:textId="77777777" w:rsidR="00C91ACB" w:rsidRPr="001562B3" w:rsidRDefault="00C91ACB" w:rsidP="00E05895">
      <w:pPr>
        <w:pStyle w:val="InstructionsText"/>
      </w:pPr>
    </w:p>
    <w:tbl>
      <w:tblPr>
        <w:tblW w:w="8749" w:type="dxa"/>
        <w:tblInd w:w="539" w:type="dxa"/>
        <w:tblLayout w:type="fixed"/>
        <w:tblLook w:val="00A0" w:firstRow="1" w:lastRow="0" w:firstColumn="1" w:lastColumn="0" w:noHBand="0" w:noVBand="0"/>
      </w:tblPr>
      <w:tblGrid>
        <w:gridCol w:w="1129"/>
        <w:gridCol w:w="7620"/>
      </w:tblGrid>
      <w:tr w:rsidR="00C91ACB" w:rsidRPr="001562B3" w14:paraId="609D8C43"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D9D9D9"/>
          </w:tcPr>
          <w:p w14:paraId="5CFD8575" w14:textId="77777777" w:rsidR="00C91ACB" w:rsidRPr="001562B3" w:rsidRDefault="00C91ACB" w:rsidP="008E501F">
            <w:pPr>
              <w:pStyle w:val="InstructionsText"/>
            </w:pPr>
            <w:r w:rsidRPr="001562B3">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04F5B140" w14:textId="77777777" w:rsidR="00C91ACB" w:rsidRPr="001562B3" w:rsidRDefault="00C91ACB">
            <w:pPr>
              <w:pStyle w:val="InstructionsText"/>
            </w:pPr>
            <w:r w:rsidRPr="001562B3">
              <w:t>Legal references and instructions</w:t>
            </w:r>
          </w:p>
        </w:tc>
      </w:tr>
      <w:tr w:rsidR="00C91ACB" w:rsidRPr="001562B3" w14:paraId="1FFEE763"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71AC008" w14:textId="77777777" w:rsidR="00C91ACB" w:rsidRPr="001562B3" w:rsidRDefault="00C91ACB" w:rsidP="00E05895">
            <w:pPr>
              <w:pStyle w:val="InstructionsText"/>
            </w:pPr>
            <w:r w:rsidRPr="001562B3">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845B6A3" w14:textId="77777777"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Insolvency rank </w:t>
            </w:r>
          </w:p>
          <w:p w14:paraId="257C9336" w14:textId="77777777" w:rsidR="00C91ACB" w:rsidRPr="001562B3" w:rsidRDefault="00C91AC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The number of the insolvency rank in the creditor hierarchy of the reporting entity shall be reported, starting with the most junior rank.</w:t>
            </w:r>
          </w:p>
          <w:p w14:paraId="37284C2B" w14:textId="5590BC07" w:rsidR="00C91ACB" w:rsidRPr="001562B3" w:rsidRDefault="00C91AC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insolvency rank shall be one of the ranks included in the insolvency rankings published by </w:t>
            </w:r>
            <w:r w:rsidR="00B826B4" w:rsidRPr="001562B3">
              <w:rPr>
                <w:rStyle w:val="FormatvorlageInstructionsTabelleText"/>
                <w:rFonts w:ascii="Times New Roman" w:hAnsi="Times New Roman"/>
                <w:sz w:val="24"/>
              </w:rPr>
              <w:t>the r</w:t>
            </w:r>
            <w:r w:rsidRPr="001562B3">
              <w:rPr>
                <w:rStyle w:val="FormatvorlageInstructionsTabelleText"/>
                <w:rFonts w:ascii="Times New Roman" w:hAnsi="Times New Roman"/>
                <w:sz w:val="24"/>
              </w:rPr>
              <w:t xml:space="preserve">esolution </w:t>
            </w:r>
            <w:r w:rsidR="009E439F" w:rsidRPr="001562B3">
              <w:rPr>
                <w:rStyle w:val="FormatvorlageInstructionsTabelleText"/>
                <w:rFonts w:ascii="Times New Roman" w:hAnsi="Times New Roman"/>
                <w:sz w:val="24"/>
              </w:rPr>
              <w:t xml:space="preserve">authority </w:t>
            </w:r>
            <w:r w:rsidRPr="001562B3">
              <w:rPr>
                <w:rStyle w:val="FormatvorlageInstructionsTabelleText"/>
                <w:rFonts w:ascii="Times New Roman" w:hAnsi="Times New Roman"/>
                <w:sz w:val="24"/>
              </w:rPr>
              <w:t>of that jurisdiction.</w:t>
            </w:r>
          </w:p>
        </w:tc>
      </w:tr>
      <w:tr w:rsidR="00C91ACB" w:rsidRPr="001562B3" w14:paraId="3500C29E"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0FF8BAC" w14:textId="77777777" w:rsidR="00C91ACB" w:rsidRPr="001562B3" w:rsidRDefault="00C91ACB" w:rsidP="00E05895">
            <w:pPr>
              <w:pStyle w:val="InstructionsText"/>
            </w:pPr>
            <w:r w:rsidRPr="001562B3">
              <w:lastRenderedPageBreak/>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69DFCA2" w14:textId="77777777"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Type of creditor </w:t>
            </w:r>
          </w:p>
          <w:p w14:paraId="65F1A0B3" w14:textId="77777777" w:rsidR="00C91ACB" w:rsidRPr="001562B3" w:rsidRDefault="00C91AC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type of creditor shall be one of the following:</w:t>
            </w:r>
          </w:p>
          <w:p w14:paraId="01AEE8AB" w14:textId="77777777" w:rsidR="00C91ACB" w:rsidRPr="001562B3" w:rsidRDefault="00C91ACB">
            <w:pPr>
              <w:pStyle w:val="InstructionsText"/>
              <w:numPr>
                <w:ilvl w:val="0"/>
                <w:numId w:val="25"/>
              </w:numPr>
              <w:rPr>
                <w:rStyle w:val="FormatvorlageInstructionsTabelleText"/>
                <w:rFonts w:ascii="Times New Roman" w:hAnsi="Times New Roman"/>
                <w:sz w:val="24"/>
              </w:rPr>
            </w:pPr>
            <w:r w:rsidRPr="001562B3">
              <w:rPr>
                <w:rStyle w:val="FormatvorlageInstructionsTabelleText"/>
                <w:rFonts w:ascii="Times New Roman" w:hAnsi="Times New Roman"/>
                <w:sz w:val="24"/>
              </w:rPr>
              <w:t>‘Resolution entity’</w:t>
            </w:r>
            <w:r w:rsidRPr="001562B3">
              <w:rPr>
                <w:rStyle w:val="FormatvorlageInstructionsTabelleText"/>
                <w:rFonts w:ascii="Times New Roman" w:hAnsi="Times New Roman"/>
                <w:sz w:val="24"/>
              </w:rPr>
              <w:br/>
              <w:t>This entry shall be selected to report the amounts owned directly or indirectly by the resolution entity through entities along the chain of ownership, where applicable.</w:t>
            </w:r>
          </w:p>
          <w:p w14:paraId="2E20A258" w14:textId="77777777" w:rsidR="00C91ACB" w:rsidRPr="001562B3" w:rsidRDefault="00C91ACB">
            <w:pPr>
              <w:pStyle w:val="InstructionsText"/>
              <w:numPr>
                <w:ilvl w:val="0"/>
                <w:numId w:val="25"/>
              </w:numPr>
              <w:rPr>
                <w:rStyle w:val="InstructionsTabelleberschrift"/>
                <w:rFonts w:ascii="Times New Roman" w:hAnsi="Times New Roman"/>
                <w:sz w:val="24"/>
              </w:rPr>
            </w:pPr>
            <w:r w:rsidRPr="001562B3">
              <w:rPr>
                <w:rStyle w:val="FormatvorlageInstructionsTabelleText"/>
                <w:rFonts w:ascii="Times New Roman" w:hAnsi="Times New Roman"/>
                <w:sz w:val="24"/>
              </w:rPr>
              <w:t>‘Entities other than the resolution entity’</w:t>
            </w:r>
            <w:r w:rsidRPr="001562B3">
              <w:rPr>
                <w:rStyle w:val="FormatvorlageInstructionsTabelleText"/>
                <w:rFonts w:ascii="Times New Roman" w:hAnsi="Times New Roman"/>
                <w:sz w:val="24"/>
              </w:rPr>
              <w:br/>
              <w:t>This entry shall be selected to report the amounts owned by other creditors, where applicable.</w:t>
            </w:r>
          </w:p>
        </w:tc>
      </w:tr>
      <w:tr w:rsidR="00C91ACB" w:rsidRPr="001562B3" w14:paraId="0748F15A"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7936FE2A" w14:textId="77777777" w:rsidR="00C91ACB" w:rsidRPr="001562B3" w:rsidRDefault="00C91ACB" w:rsidP="00E05895">
            <w:pPr>
              <w:pStyle w:val="InstructionsText"/>
            </w:pPr>
            <w:r w:rsidRPr="001562B3">
              <w:t>0030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DC17822" w14:textId="77777777"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Description of insolvency rank</w:t>
            </w:r>
          </w:p>
          <w:p w14:paraId="122A9954" w14:textId="50727B02" w:rsidR="00C91ACB" w:rsidRPr="001562B3" w:rsidRDefault="00C91ACB" w:rsidP="002B76A4">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The description included in the insolvency rankings published by the </w:t>
            </w:r>
            <w:r w:rsidR="00B826B4" w:rsidRPr="001562B3">
              <w:rPr>
                <w:rStyle w:val="FormatvorlageInstructionsTabelleText"/>
                <w:rFonts w:ascii="Times New Roman" w:hAnsi="Times New Roman"/>
                <w:sz w:val="24"/>
              </w:rPr>
              <w:t>r</w:t>
            </w:r>
            <w:r w:rsidRPr="001562B3">
              <w:rPr>
                <w:rStyle w:val="FormatvorlageInstructionsTabelleText"/>
                <w:rFonts w:ascii="Times New Roman" w:hAnsi="Times New Roman"/>
                <w:sz w:val="24"/>
              </w:rPr>
              <w:t xml:space="preserve">esolution </w:t>
            </w:r>
            <w:r w:rsidR="00B826B4" w:rsidRPr="001562B3">
              <w:rPr>
                <w:rStyle w:val="FormatvorlageInstructionsTabelleText"/>
                <w:rFonts w:ascii="Times New Roman" w:hAnsi="Times New Roman"/>
                <w:sz w:val="24"/>
              </w:rPr>
              <w:t>a</w:t>
            </w:r>
            <w:r w:rsidRPr="001562B3">
              <w:rPr>
                <w:rStyle w:val="FormatvorlageInstructionsTabelleText"/>
                <w:rFonts w:ascii="Times New Roman" w:hAnsi="Times New Roman"/>
                <w:sz w:val="24"/>
              </w:rPr>
              <w:t>uthority of that jurisdiction</w:t>
            </w:r>
            <w:r w:rsidR="00B826B4" w:rsidRPr="001562B3">
              <w:rPr>
                <w:rStyle w:val="FormatvorlageInstructionsTabelleText"/>
                <w:rFonts w:ascii="Times New Roman" w:hAnsi="Times New Roman"/>
                <w:sz w:val="24"/>
              </w:rPr>
              <w:t>, where a standardised list including such a description is available</w:t>
            </w:r>
            <w:r w:rsidRPr="001562B3">
              <w:rPr>
                <w:rStyle w:val="FormatvorlageInstructionsTabelleText"/>
                <w:rFonts w:ascii="Times New Roman" w:hAnsi="Times New Roman"/>
                <w:sz w:val="24"/>
              </w:rPr>
              <w:t>.</w:t>
            </w:r>
            <w:r w:rsidR="002B76A4" w:rsidRPr="001562B3">
              <w:rPr>
                <w:rStyle w:val="FormatvorlageInstructionsTabelleText"/>
                <w:rFonts w:ascii="Times New Roman" w:hAnsi="Times New Roman"/>
                <w:sz w:val="24"/>
              </w:rPr>
              <w:t xml:space="preserve"> Otherwise, own description of the insolvency rank by the institution, mentioning at least the main type of instrument in the respective insolvency rank.</w:t>
            </w:r>
          </w:p>
        </w:tc>
      </w:tr>
      <w:tr w:rsidR="00C91ACB" w:rsidRPr="001562B3" w14:paraId="23F114F8"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45FC843" w14:textId="77777777" w:rsidR="00C91ACB" w:rsidRPr="001562B3" w:rsidRDefault="00C91ACB" w:rsidP="00E05895">
            <w:pPr>
              <w:pStyle w:val="InstructionsText"/>
            </w:pPr>
            <w:r w:rsidRPr="001562B3">
              <w:t>0040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9927F84" w14:textId="0047A2EB"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Liabilities and own funds</w:t>
            </w:r>
          </w:p>
          <w:p w14:paraId="03660D92" w14:textId="490D18A6" w:rsidR="00CA73FF" w:rsidRPr="001562B3" w:rsidRDefault="00C91AC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amount of own funds, </w:t>
            </w:r>
            <w:r w:rsidR="00596FA9" w:rsidRPr="001562B3">
              <w:rPr>
                <w:rStyle w:val="FormatvorlageInstructionsTabelleText"/>
                <w:rFonts w:ascii="Times New Roman" w:hAnsi="Times New Roman"/>
                <w:sz w:val="24"/>
              </w:rPr>
              <w:t xml:space="preserve">of </w:t>
            </w:r>
            <w:r w:rsidRPr="001562B3">
              <w:rPr>
                <w:rStyle w:val="FormatvorlageInstructionsTabelleText"/>
                <w:rFonts w:ascii="Times New Roman" w:hAnsi="Times New Roman"/>
                <w:sz w:val="24"/>
              </w:rPr>
              <w:t>eligible liabilities</w:t>
            </w:r>
            <w:r w:rsidR="00CA73FF" w:rsidRPr="001562B3">
              <w:rPr>
                <w:rStyle w:val="FormatvorlageInstructionsTabelleText"/>
                <w:rFonts w:ascii="Times New Roman" w:hAnsi="Times New Roman"/>
                <w:sz w:val="24"/>
              </w:rPr>
              <w:t xml:space="preserve"> and</w:t>
            </w:r>
            <w:r w:rsidR="00596FA9" w:rsidRPr="001562B3">
              <w:rPr>
                <w:rStyle w:val="FormatvorlageInstructionsTabelleText"/>
                <w:rFonts w:ascii="Times New Roman" w:hAnsi="Times New Roman"/>
                <w:sz w:val="24"/>
              </w:rPr>
              <w:t>, where applicable, of</w:t>
            </w:r>
            <w:r w:rsidR="00CA73FF" w:rsidRPr="001562B3">
              <w:rPr>
                <w:rStyle w:val="FormatvorlageInstructionsTabelleText"/>
                <w:rFonts w:ascii="Times New Roman" w:hAnsi="Times New Roman"/>
                <w:sz w:val="24"/>
              </w:rPr>
              <w:t xml:space="preserve"> other bail-in-able liabilities that is allocated to the insolvency rank indicated in column 0010 shall be reported.</w:t>
            </w:r>
          </w:p>
          <w:p w14:paraId="3EAF0BAC" w14:textId="7A1FF05A" w:rsidR="00C91ACB" w:rsidRPr="001562B3" w:rsidRDefault="00CA73F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Where applicable, this </w:t>
            </w:r>
            <w:r w:rsidR="0005325E" w:rsidRPr="001562B3">
              <w:rPr>
                <w:rStyle w:val="FormatvorlageInstructionsTabelleText"/>
                <w:rFonts w:ascii="Times New Roman" w:hAnsi="Times New Roman"/>
                <w:sz w:val="24"/>
              </w:rPr>
              <w:t xml:space="preserve">column </w:t>
            </w:r>
            <w:r w:rsidRPr="001562B3">
              <w:rPr>
                <w:rStyle w:val="FormatvorlageInstructionsTabelleText"/>
                <w:rFonts w:ascii="Times New Roman" w:hAnsi="Times New Roman"/>
                <w:sz w:val="24"/>
              </w:rPr>
              <w:t xml:space="preserve">shall include also liabilities excluded from bail-in to the extent they are </w:t>
            </w:r>
            <w:r w:rsidR="00C91ACB" w:rsidRPr="001562B3">
              <w:rPr>
                <w:rStyle w:val="FormatvorlageInstructionsTabelleText"/>
                <w:rFonts w:ascii="Times New Roman" w:hAnsi="Times New Roman"/>
                <w:sz w:val="24"/>
              </w:rPr>
              <w:t xml:space="preserve">ranking lower than or </w:t>
            </w:r>
            <w:r w:rsidR="00C91ACB" w:rsidRPr="001562B3">
              <w:rPr>
                <w:rStyle w:val="FormatvorlageInstructionsTabelleText"/>
                <w:rFonts w:ascii="Times New Roman" w:hAnsi="Times New Roman"/>
                <w:i/>
                <w:sz w:val="24"/>
              </w:rPr>
              <w:t>pari passu</w:t>
            </w:r>
            <w:r w:rsidR="00C91ACB" w:rsidRPr="001562B3">
              <w:rPr>
                <w:rStyle w:val="FormatvorlageInstructionsTabelleText"/>
                <w:rFonts w:ascii="Times New Roman" w:hAnsi="Times New Roman"/>
                <w:sz w:val="24"/>
              </w:rPr>
              <w:t xml:space="preserve"> with </w:t>
            </w:r>
            <w:r w:rsidR="00D643B4" w:rsidRPr="001562B3">
              <w:rPr>
                <w:rStyle w:val="FormatvorlageInstructionsTabelleText"/>
                <w:rFonts w:ascii="Times New Roman" w:hAnsi="Times New Roman"/>
                <w:sz w:val="24"/>
              </w:rPr>
              <w:t xml:space="preserve">own funds and </w:t>
            </w:r>
            <w:r w:rsidR="00C91ACB" w:rsidRPr="001562B3">
              <w:rPr>
                <w:rStyle w:val="FormatvorlageInstructionsTabelleText"/>
                <w:rFonts w:ascii="Times New Roman" w:hAnsi="Times New Roman"/>
                <w:sz w:val="24"/>
              </w:rPr>
              <w:t>eligible liabilities</w:t>
            </w:r>
            <w:r w:rsidRPr="001562B3">
              <w:rPr>
                <w:rStyle w:val="FormatvorlageInstructionsTabelleText"/>
                <w:rFonts w:ascii="Times New Roman" w:hAnsi="Times New Roman"/>
                <w:sz w:val="24"/>
              </w:rPr>
              <w:t>.</w:t>
            </w:r>
            <w:r w:rsidR="00C91ACB" w:rsidRPr="001562B3">
              <w:rPr>
                <w:rStyle w:val="FormatvorlageInstructionsTabelleText"/>
                <w:rFonts w:ascii="Times New Roman" w:hAnsi="Times New Roman"/>
                <w:sz w:val="24"/>
              </w:rPr>
              <w:t xml:space="preserve"> </w:t>
            </w:r>
          </w:p>
          <w:p w14:paraId="7816F63A" w14:textId="7A03C7B0" w:rsidR="00586927" w:rsidRPr="001562B3" w:rsidRDefault="00586927" w:rsidP="00596FA9">
            <w:pPr>
              <w:pStyle w:val="InstructionsText"/>
              <w:rPr>
                <w:rStyle w:val="FormatvorlageInstructionsTabelleText"/>
                <w:rFonts w:ascii="Times New Roman" w:hAnsi="Times New Roman"/>
                <w:sz w:val="24"/>
                <w:lang w:eastAsia="en-US"/>
              </w:rPr>
            </w:pPr>
            <w:r w:rsidRPr="001562B3">
              <w:t>In case of entities referred to in the first sentence of paragraph 2</w:t>
            </w:r>
            <w:r w:rsidR="002D5E59" w:rsidRPr="001562B3">
              <w:t>1</w:t>
            </w:r>
            <w:r w:rsidRPr="001562B3">
              <w:t xml:space="preserve">, this column shall be left empty, unless those entities choose to apply the derogation of the </w:t>
            </w:r>
            <w:r w:rsidR="00596FA9" w:rsidRPr="001562B3">
              <w:t>last</w:t>
            </w:r>
            <w:r w:rsidRPr="001562B3">
              <w:t xml:space="preserve"> sentence of paragraph 2</w:t>
            </w:r>
            <w:r w:rsidR="002D5E59" w:rsidRPr="001562B3">
              <w:t>1</w:t>
            </w:r>
            <w:r w:rsidRPr="001562B3">
              <w:t>.</w:t>
            </w:r>
          </w:p>
        </w:tc>
      </w:tr>
      <w:tr w:rsidR="00C91ACB" w:rsidRPr="001562B3" w14:paraId="0C18F0D6"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72BE3858" w14:textId="77777777" w:rsidR="00C91ACB" w:rsidRPr="001562B3" w:rsidRDefault="00C91ACB" w:rsidP="00E05895">
            <w:pPr>
              <w:pStyle w:val="InstructionsText"/>
            </w:pPr>
            <w:r w:rsidRPr="001562B3">
              <w:t>0050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6848866" w14:textId="77777777"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excluded liabilities</w:t>
            </w:r>
          </w:p>
          <w:p w14:paraId="6FB0E40C" w14:textId="2483A9A5" w:rsidR="00C91ACB" w:rsidRPr="001562B3" w:rsidRDefault="00C91AC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Amount of liabilities excluded </w:t>
            </w:r>
            <w:r w:rsidR="00B11263" w:rsidRPr="001562B3">
              <w:rPr>
                <w:rStyle w:val="FormatvorlageInstructionsTabelleText"/>
                <w:rFonts w:ascii="Times New Roman" w:hAnsi="Times New Roman"/>
                <w:sz w:val="24"/>
              </w:rPr>
              <w:t>in accordance with</w:t>
            </w:r>
            <w:r w:rsidRPr="001562B3">
              <w:rPr>
                <w:rStyle w:val="FormatvorlageInstructionsTabelleText"/>
                <w:rFonts w:ascii="Times New Roman" w:hAnsi="Times New Roman"/>
                <w:sz w:val="24"/>
              </w:rPr>
              <w:t xml:space="preserve"> </w:t>
            </w:r>
            <w:r w:rsidR="00176F16" w:rsidRPr="001562B3">
              <w:rPr>
                <w:rStyle w:val="FormatvorlageInstructionsTabelleText"/>
                <w:rFonts w:ascii="Times New Roman" w:hAnsi="Times New Roman"/>
                <w:sz w:val="24"/>
              </w:rPr>
              <w:t>A</w:t>
            </w:r>
            <w:r w:rsidRPr="001562B3">
              <w:rPr>
                <w:rStyle w:val="FormatvorlageInstructionsTabelleText"/>
                <w:rFonts w:ascii="Times New Roman" w:hAnsi="Times New Roman"/>
                <w:sz w:val="24"/>
              </w:rPr>
              <w:t>rt</w:t>
            </w:r>
            <w:r w:rsidR="00176F16" w:rsidRPr="001562B3">
              <w:rPr>
                <w:rStyle w:val="FormatvorlageInstructionsTabelleText"/>
                <w:rFonts w:ascii="Times New Roman" w:hAnsi="Times New Roman"/>
                <w:sz w:val="24"/>
              </w:rPr>
              <w:t>icle</w:t>
            </w:r>
            <w:r w:rsidRPr="001562B3">
              <w:rPr>
                <w:rStyle w:val="FormatvorlageInstructionsTabelleText"/>
                <w:rFonts w:ascii="Times New Roman" w:hAnsi="Times New Roman"/>
                <w:sz w:val="24"/>
              </w:rPr>
              <w:t xml:space="preserve"> 72a(2)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D93057"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 xml:space="preserve">or Article 44(2)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w:t>
            </w:r>
            <w:r w:rsidR="0021140B" w:rsidRPr="001562B3">
              <w:rPr>
                <w:rStyle w:val="FormatvorlageInstructionsTabelleText"/>
                <w:rFonts w:ascii="Times New Roman" w:hAnsi="Times New Roman"/>
                <w:sz w:val="24"/>
              </w:rPr>
              <w:t xml:space="preserve"> Where the resolution authority decided to exclude liabilities in accordance with Article 44(3) </w:t>
            </w:r>
            <w:r w:rsidR="00FC6662" w:rsidRPr="001562B3">
              <w:rPr>
                <w:rStyle w:val="FormatvorlageInstructionsTabelleText"/>
                <w:rFonts w:ascii="Times New Roman" w:hAnsi="Times New Roman"/>
                <w:sz w:val="24"/>
              </w:rPr>
              <w:t>of that Directive</w:t>
            </w:r>
            <w:r w:rsidR="0021140B" w:rsidRPr="001562B3">
              <w:rPr>
                <w:rStyle w:val="FormatvorlageInstructionsTabelleText"/>
                <w:rFonts w:ascii="Times New Roman" w:hAnsi="Times New Roman"/>
                <w:sz w:val="24"/>
              </w:rPr>
              <w:t>, th</w:t>
            </w:r>
            <w:r w:rsidR="00FC6662" w:rsidRPr="001562B3">
              <w:rPr>
                <w:rStyle w:val="FormatvorlageInstructionsTabelleText"/>
                <w:rFonts w:ascii="Times New Roman" w:hAnsi="Times New Roman"/>
                <w:sz w:val="24"/>
              </w:rPr>
              <w:t>o</w:t>
            </w:r>
            <w:r w:rsidR="0021140B" w:rsidRPr="001562B3">
              <w:rPr>
                <w:rStyle w:val="FormatvorlageInstructionsTabelleText"/>
                <w:rFonts w:ascii="Times New Roman" w:hAnsi="Times New Roman"/>
                <w:sz w:val="24"/>
              </w:rPr>
              <w:t>se excluded liabilities shall be reported in this row as well.</w:t>
            </w:r>
          </w:p>
          <w:p w14:paraId="2571716C" w14:textId="6A0FE958" w:rsidR="00586927" w:rsidRPr="001562B3" w:rsidRDefault="00586927" w:rsidP="0005325E">
            <w:pPr>
              <w:pStyle w:val="InstructionsText"/>
              <w:rPr>
                <w:rStyle w:val="FormatvorlageInstructionsTabelleText"/>
                <w:rFonts w:ascii="Times New Roman" w:hAnsi="Times New Roman"/>
                <w:sz w:val="24"/>
              </w:rPr>
            </w:pPr>
            <w:r w:rsidRPr="001562B3">
              <w:t>In case of entities referred to in the first sentence of paragraph 2</w:t>
            </w:r>
            <w:r w:rsidR="002D5E59" w:rsidRPr="001562B3">
              <w:t>1</w:t>
            </w:r>
            <w:r w:rsidRPr="001562B3">
              <w:t xml:space="preserve">, this column shall be left empty, unless those entities choose to apply the derogation of the </w:t>
            </w:r>
            <w:r w:rsidR="0005325E" w:rsidRPr="001562B3">
              <w:t>last</w:t>
            </w:r>
            <w:r w:rsidRPr="001562B3">
              <w:t xml:space="preserve"> sentence of paragraph 2</w:t>
            </w:r>
            <w:r w:rsidR="002D5E59" w:rsidRPr="001562B3">
              <w:t>1</w:t>
            </w:r>
            <w:r w:rsidRPr="001562B3">
              <w:t>.</w:t>
            </w:r>
          </w:p>
        </w:tc>
      </w:tr>
      <w:tr w:rsidR="00C91ACB" w:rsidRPr="001562B3" w14:paraId="4E4EDAD1"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3DC08DA" w14:textId="77777777" w:rsidR="00C91ACB" w:rsidRPr="001562B3" w:rsidRDefault="00C91ACB" w:rsidP="00E05895">
            <w:pPr>
              <w:pStyle w:val="InstructionsText"/>
            </w:pPr>
            <w:r w:rsidRPr="001562B3">
              <w:t>0060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B4C5523" w14:textId="3243342B"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Liabilities and own funds less excluded liabilities</w:t>
            </w:r>
          </w:p>
          <w:p w14:paraId="5A6ACD32" w14:textId="36549632" w:rsidR="00C91ACB" w:rsidRPr="001562B3" w:rsidRDefault="00C91ACB" w:rsidP="00CA73FF">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The amount of </w:t>
            </w:r>
            <w:r w:rsidR="00CA73FF" w:rsidRPr="001562B3">
              <w:rPr>
                <w:rStyle w:val="FormatvorlageInstructionsTabelleText"/>
                <w:rFonts w:ascii="Times New Roman" w:hAnsi="Times New Roman"/>
                <w:sz w:val="24"/>
              </w:rPr>
              <w:t xml:space="preserve">liabilities and </w:t>
            </w:r>
            <w:r w:rsidRPr="001562B3">
              <w:rPr>
                <w:rStyle w:val="FormatvorlageInstructionsTabelleText"/>
                <w:rFonts w:ascii="Times New Roman" w:hAnsi="Times New Roman"/>
                <w:sz w:val="24"/>
              </w:rPr>
              <w:t xml:space="preserve">own funds, as reported in column 0040, shall be reported, reduced by the amount of excluded liabilities reported in column 0050. </w:t>
            </w:r>
          </w:p>
        </w:tc>
      </w:tr>
      <w:tr w:rsidR="00C91ACB" w:rsidRPr="001562B3" w14:paraId="19D26BD4"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422D7418" w14:textId="77777777" w:rsidR="00C91ACB" w:rsidRPr="001562B3" w:rsidRDefault="00C91ACB" w:rsidP="00E05895">
            <w:pPr>
              <w:pStyle w:val="InstructionsText"/>
            </w:pPr>
            <w:r w:rsidRPr="001562B3">
              <w:lastRenderedPageBreak/>
              <w:t>0070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4CB9355" w14:textId="77777777"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own funds and eligible liabilities for the purpose of internal MREL</w:t>
            </w:r>
          </w:p>
          <w:p w14:paraId="61B28CDA" w14:textId="2F99546E" w:rsidR="00C91ACB" w:rsidRPr="001562B3" w:rsidRDefault="00C91AC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The amount of own funds and eligible liabilities counting towards internal MREL in accordance with Article </w:t>
            </w:r>
            <w:r w:rsidR="00537499" w:rsidRPr="001562B3">
              <w:rPr>
                <w:rStyle w:val="FormatvorlageInstructionsTabelleText"/>
                <w:rFonts w:ascii="Times New Roman" w:hAnsi="Times New Roman"/>
                <w:sz w:val="24"/>
              </w:rPr>
              <w:t>45f</w:t>
            </w:r>
            <w:r w:rsidRPr="001562B3">
              <w:rPr>
                <w:rStyle w:val="FormatvorlageInstructionsTabelleText"/>
                <w:rFonts w:ascii="Times New Roman" w:hAnsi="Times New Roman"/>
                <w:sz w:val="24"/>
              </w:rPr>
              <w:t>(</w:t>
            </w:r>
            <w:r w:rsidR="00781AA0"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 xml:space="preserve">)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 xml:space="preserve"> shall be reported.</w:t>
            </w:r>
          </w:p>
        </w:tc>
      </w:tr>
      <w:tr w:rsidR="00C91ACB" w:rsidRPr="001562B3" w14:paraId="12394B2F"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87F5552" w14:textId="77777777" w:rsidR="00C91ACB" w:rsidRPr="001562B3" w:rsidRDefault="00C91ACB" w:rsidP="00E05895">
            <w:pPr>
              <w:pStyle w:val="InstructionsText"/>
            </w:pPr>
            <w:r w:rsidRPr="001562B3">
              <w:t>0080 – 0110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7F8F233" w14:textId="77777777" w:rsidR="00C91ACB" w:rsidRPr="001562B3" w:rsidRDefault="00C91ACB" w:rsidP="008E501F">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b/>
                <w:sz w:val="24"/>
                <w:u w:val="single"/>
              </w:rPr>
              <w:t>of which: with a residual maturity of</w:t>
            </w:r>
          </w:p>
          <w:p w14:paraId="747045F9" w14:textId="55F8A8A2" w:rsidR="00C91ACB" w:rsidRPr="001562B3" w:rsidRDefault="00C91AC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amount of own funds and eligible liabilities counting towards internal MREL, as reported in column 0070,</w:t>
            </w:r>
            <w:r w:rsidRPr="001562B3" w:rsidDel="0083794B">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shall be broken down by the residual maturity of the different instruments and items. Instruments and items of perpetual nature shall not be considered in this breakdown, but be reported separately in column 0120.</w:t>
            </w:r>
          </w:p>
        </w:tc>
      </w:tr>
      <w:tr w:rsidR="00C91ACB" w:rsidRPr="001562B3" w14:paraId="00BB98F7"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B0608F1" w14:textId="77777777" w:rsidR="00C91ACB" w:rsidRPr="001562B3" w:rsidRDefault="00C91ACB" w:rsidP="00E05895">
            <w:pPr>
              <w:pStyle w:val="InstructionsText"/>
            </w:pPr>
            <w:r w:rsidRPr="001562B3">
              <w:t>0080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191C83C" w14:textId="77777777" w:rsidR="00C91ACB" w:rsidRPr="001562B3" w:rsidRDefault="00C91ACB" w:rsidP="008E501F">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 xml:space="preserve">≥ 1 year &lt; 2 years </w:t>
            </w:r>
          </w:p>
        </w:tc>
      </w:tr>
      <w:tr w:rsidR="00C91ACB" w:rsidRPr="001562B3" w14:paraId="75EF6BAC"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7E7F640" w14:textId="77777777" w:rsidR="00C91ACB" w:rsidRPr="001562B3" w:rsidRDefault="00C91ACB" w:rsidP="00E05895">
            <w:pPr>
              <w:pStyle w:val="InstructionsText"/>
            </w:pPr>
            <w:r w:rsidRPr="001562B3">
              <w:t>0090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58DEC9C5" w14:textId="77777777" w:rsidR="00C91ACB" w:rsidRPr="001562B3" w:rsidRDefault="00C91ACB"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 2 year &lt; 5 years</w:t>
            </w:r>
          </w:p>
        </w:tc>
      </w:tr>
      <w:tr w:rsidR="00C91ACB" w:rsidRPr="001562B3" w14:paraId="0BF0B540"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7D028EE8" w14:textId="77777777" w:rsidR="00C91ACB" w:rsidRPr="001562B3" w:rsidRDefault="00C91ACB" w:rsidP="00E05895">
            <w:pPr>
              <w:pStyle w:val="InstructionsText"/>
            </w:pPr>
            <w:r w:rsidRPr="001562B3">
              <w:t>0100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63149FF" w14:textId="77777777" w:rsidR="00C91ACB" w:rsidRPr="001562B3" w:rsidRDefault="00C91ACB"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 5 years &lt; 10 years</w:t>
            </w:r>
          </w:p>
        </w:tc>
      </w:tr>
      <w:tr w:rsidR="00C91ACB" w:rsidRPr="001562B3" w14:paraId="689A4CF4"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2C660429" w14:textId="77777777" w:rsidR="00C91ACB" w:rsidRPr="001562B3" w:rsidRDefault="00C91ACB" w:rsidP="00E05895">
            <w:pPr>
              <w:pStyle w:val="InstructionsText"/>
            </w:pPr>
            <w:r w:rsidRPr="001562B3">
              <w:t>0110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0BA5D4D" w14:textId="77777777" w:rsidR="00C91ACB" w:rsidRPr="001562B3" w:rsidRDefault="00C91ACB"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 10 years</w:t>
            </w:r>
          </w:p>
        </w:tc>
      </w:tr>
      <w:tr w:rsidR="00C91ACB" w:rsidRPr="001562B3" w14:paraId="0A8502A8"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028721C2" w14:textId="77777777" w:rsidR="00C91ACB" w:rsidRPr="001562B3" w:rsidRDefault="00C91ACB" w:rsidP="00E05895">
            <w:pPr>
              <w:pStyle w:val="InstructionsText"/>
            </w:pPr>
            <w:r w:rsidRPr="001562B3">
              <w:t>0120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526BF49" w14:textId="77777777" w:rsidR="00C91ACB" w:rsidRPr="001562B3" w:rsidRDefault="00C91ACB" w:rsidP="008E501F">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Of which: perpetual securities</w:t>
            </w:r>
          </w:p>
        </w:tc>
      </w:tr>
    </w:tbl>
    <w:p w14:paraId="2BC394D0" w14:textId="77777777" w:rsidR="00C91ACB" w:rsidRPr="001562B3" w:rsidRDefault="00C91ACB" w:rsidP="00C91ACB">
      <w:pPr>
        <w:rPr>
          <w:rStyle w:val="InstructionsTabelleText"/>
          <w:rFonts w:ascii="Times New Roman" w:hAnsi="Times New Roman"/>
          <w:sz w:val="24"/>
        </w:rPr>
      </w:pPr>
    </w:p>
    <w:p w14:paraId="0930C8BB" w14:textId="6780E6AB" w:rsidR="00C91ACB" w:rsidRPr="001562B3" w:rsidRDefault="00C91ACB" w:rsidP="00873459">
      <w:pPr>
        <w:pStyle w:val="Numberedtilelevel1"/>
        <w:numPr>
          <w:ilvl w:val="1"/>
          <w:numId w:val="30"/>
        </w:numPr>
      </w:pPr>
      <w:bookmarkStart w:id="71" w:name="_Toc45558497"/>
      <w:r w:rsidRPr="001562B3">
        <w:t>M 06.00 – Creditor ranking (resolution entit</w:t>
      </w:r>
      <w:r w:rsidR="004827E9" w:rsidRPr="001562B3">
        <w:t>y</w:t>
      </w:r>
      <w:r w:rsidRPr="001562B3">
        <w:t>) (RANK)</w:t>
      </w:r>
      <w:bookmarkEnd w:id="71"/>
    </w:p>
    <w:p w14:paraId="2F916741" w14:textId="5CF2CFE6" w:rsidR="00C91ACB" w:rsidRPr="001562B3" w:rsidRDefault="00C91ACB" w:rsidP="00873459">
      <w:pPr>
        <w:pStyle w:val="Numberedtilelevel1"/>
        <w:numPr>
          <w:ilvl w:val="2"/>
          <w:numId w:val="30"/>
        </w:numPr>
      </w:pPr>
      <w:bookmarkStart w:id="72" w:name="_Toc16868648"/>
      <w:bookmarkStart w:id="73" w:name="_Toc20316761"/>
      <w:bookmarkStart w:id="74" w:name="_Toc45558498"/>
      <w:r w:rsidRPr="001562B3">
        <w:t>General remarks</w:t>
      </w:r>
      <w:bookmarkEnd w:id="72"/>
      <w:bookmarkEnd w:id="73"/>
      <w:bookmarkEnd w:id="74"/>
    </w:p>
    <w:p w14:paraId="5A6C0462" w14:textId="07F8BB0B" w:rsidR="00586927" w:rsidRPr="001562B3" w:rsidRDefault="00586927" w:rsidP="001562B3">
      <w:pPr>
        <w:pStyle w:val="InstructionsText2"/>
      </w:pPr>
      <w:r w:rsidRPr="001562B3">
        <w:t xml:space="preserve">Entities that are subject to the obligation to comply with the requirement of Article 92a </w:t>
      </w:r>
      <w:r w:rsidR="00B11263" w:rsidRPr="001562B3">
        <w:t xml:space="preserve">of </w:t>
      </w:r>
      <w:r w:rsidR="00C47ED5" w:rsidRPr="001562B3">
        <w:t>Regulation (EU) No 575/2013</w:t>
      </w:r>
      <w:r w:rsidRPr="001562B3">
        <w:t xml:space="preserve"> shall report in this template own funds</w:t>
      </w:r>
      <w:r w:rsidR="0036208E" w:rsidRPr="001562B3">
        <w:t>, eligible liabilities</w:t>
      </w:r>
      <w:r w:rsidRPr="001562B3">
        <w:t xml:space="preserve"> </w:t>
      </w:r>
      <w:r w:rsidR="002854B5" w:rsidRPr="001562B3">
        <w:t xml:space="preserve">for the purposes of MREL </w:t>
      </w:r>
      <w:r w:rsidRPr="001562B3">
        <w:t xml:space="preserve">and </w:t>
      </w:r>
      <w:r w:rsidR="007F54C6" w:rsidRPr="001562B3">
        <w:t>other bail-in</w:t>
      </w:r>
      <w:r w:rsidR="002854B5" w:rsidRPr="001562B3">
        <w:t>-</w:t>
      </w:r>
      <w:r w:rsidR="007F54C6" w:rsidRPr="001562B3">
        <w:t xml:space="preserve">able liabilities. </w:t>
      </w:r>
      <w:r w:rsidR="002854B5" w:rsidRPr="001562B3">
        <w:t>L</w:t>
      </w:r>
      <w:r w:rsidRPr="001562B3">
        <w:t>iabilities</w:t>
      </w:r>
      <w:r w:rsidR="002854B5" w:rsidRPr="001562B3">
        <w:t xml:space="preserve"> excluded from bail-in</w:t>
      </w:r>
      <w:r w:rsidRPr="001562B3">
        <w:t xml:space="preserve"> </w:t>
      </w:r>
      <w:r w:rsidR="007F54C6" w:rsidRPr="001562B3">
        <w:t xml:space="preserve">shall be included to the extent </w:t>
      </w:r>
      <w:r w:rsidRPr="001562B3">
        <w:t xml:space="preserve">that </w:t>
      </w:r>
      <w:r w:rsidR="007F54C6" w:rsidRPr="001562B3">
        <w:t xml:space="preserve">they </w:t>
      </w:r>
      <w:r w:rsidRPr="001562B3">
        <w:t xml:space="preserve">rank </w:t>
      </w:r>
      <w:r w:rsidRPr="001562B3">
        <w:rPr>
          <w:i/>
        </w:rPr>
        <w:t>pari passu</w:t>
      </w:r>
      <w:r w:rsidRPr="001562B3">
        <w:t xml:space="preserve"> with or junior to any instrument included in the amount of eligible liabilities for the purposes of MREL. </w:t>
      </w:r>
    </w:p>
    <w:p w14:paraId="7CF10E5F" w14:textId="7E58F128" w:rsidR="00586927" w:rsidRPr="001562B3" w:rsidRDefault="00586927">
      <w:pPr>
        <w:pStyle w:val="InstructionsText2"/>
      </w:pPr>
      <w:r w:rsidRPr="001562B3">
        <w:t xml:space="preserve">Entities that are not subject to the obligation to comply with the requirement of Article 92a </w:t>
      </w:r>
      <w:r w:rsidR="00B11263" w:rsidRPr="001562B3">
        <w:t xml:space="preserve">of </w:t>
      </w:r>
      <w:r w:rsidR="00C47ED5" w:rsidRPr="001562B3">
        <w:t>Regulation (EU) No 575/2013</w:t>
      </w:r>
      <w:r w:rsidRPr="001562B3">
        <w:t xml:space="preserve">, but are subject to the obligation to comply with the requirement of Article 45 </w:t>
      </w:r>
      <w:r w:rsidR="00FC6662" w:rsidRPr="001562B3">
        <w:t>of Directive 2014/59/EU</w:t>
      </w:r>
      <w:r w:rsidRPr="001562B3">
        <w:t xml:space="preserve"> in accordance with Article 45e </w:t>
      </w:r>
      <w:r w:rsidR="00FC6662" w:rsidRPr="001562B3">
        <w:t>of that Directive</w:t>
      </w:r>
      <w:r w:rsidRPr="001562B3">
        <w:t>, shall report in this template the own funds and eligible liabilities for the purposes of MREL, as well as other bail-in-able liabilities.</w:t>
      </w:r>
      <w:r w:rsidR="008501ED" w:rsidRPr="001562B3">
        <w:t xml:space="preserve"> These entities</w:t>
      </w:r>
      <w:r w:rsidRPr="001562B3">
        <w:t xml:space="preserve"> may choose to report the same scope of own funds and liabilities as specified in paragraph 2</w:t>
      </w:r>
      <w:r w:rsidR="004738AB" w:rsidRPr="001562B3">
        <w:t>4</w:t>
      </w:r>
      <w:r w:rsidRPr="001562B3">
        <w:t xml:space="preserve"> above.</w:t>
      </w:r>
    </w:p>
    <w:p w14:paraId="56113AA6" w14:textId="12DF980B" w:rsidR="00453B42" w:rsidRPr="001562B3" w:rsidRDefault="00FC1379" w:rsidP="00453B42">
      <w:pPr>
        <w:pStyle w:val="InstructionsText2"/>
      </w:pPr>
      <w:r w:rsidRPr="001562B3">
        <w:t>Entities that, at the date of the reporting of that in-formation, hold amounts of own funds and eligible liabilities of at least 150 % of the requirement referred to in Article 45(1) of Directive 2014/59/EU, shall be exempted from reporting information on o</w:t>
      </w:r>
      <w:r w:rsidR="0005325E" w:rsidRPr="001562B3">
        <w:t xml:space="preserve">ther bail-in-able liabilities. </w:t>
      </w:r>
      <w:r w:rsidRPr="001562B3">
        <w:t>Such e</w:t>
      </w:r>
      <w:r w:rsidR="0005325E" w:rsidRPr="001562B3">
        <w:t xml:space="preserve">ntities may opt to report </w:t>
      </w:r>
      <w:r w:rsidR="00093411" w:rsidRPr="001562B3">
        <w:t xml:space="preserve">information on </w:t>
      </w:r>
      <w:r w:rsidR="0005325E" w:rsidRPr="001562B3">
        <w:t>other bail-in-able liabilities in this template on a voluntary basis.</w:t>
      </w:r>
    </w:p>
    <w:p w14:paraId="57AFD0C9" w14:textId="6925597E" w:rsidR="00C91ACB" w:rsidRPr="001562B3" w:rsidRDefault="00C91ACB" w:rsidP="00873459">
      <w:pPr>
        <w:pStyle w:val="Numberedtilelevel1"/>
        <w:numPr>
          <w:ilvl w:val="2"/>
          <w:numId w:val="30"/>
        </w:numPr>
      </w:pPr>
      <w:bookmarkStart w:id="75" w:name="_Toc45558499"/>
      <w:bookmarkStart w:id="76" w:name="_Toc16868649"/>
      <w:bookmarkStart w:id="77" w:name="_Toc20316762"/>
      <w:bookmarkStart w:id="78" w:name="_Toc45558500"/>
      <w:bookmarkEnd w:id="75"/>
      <w:r w:rsidRPr="001562B3">
        <w:lastRenderedPageBreak/>
        <w:t>Instructions concerning specific positions</w:t>
      </w:r>
      <w:bookmarkEnd w:id="76"/>
      <w:bookmarkEnd w:id="77"/>
      <w:bookmarkEnd w:id="78"/>
    </w:p>
    <w:tbl>
      <w:tblPr>
        <w:tblW w:w="8749" w:type="dxa"/>
        <w:tblInd w:w="539" w:type="dxa"/>
        <w:tblLayout w:type="fixed"/>
        <w:tblLook w:val="00A0" w:firstRow="1" w:lastRow="0" w:firstColumn="1" w:lastColumn="0" w:noHBand="0" w:noVBand="0"/>
      </w:tblPr>
      <w:tblGrid>
        <w:gridCol w:w="1129"/>
        <w:gridCol w:w="7620"/>
      </w:tblGrid>
      <w:tr w:rsidR="00C91ACB" w:rsidRPr="001562B3" w14:paraId="06490BCF"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D9D9D9"/>
          </w:tcPr>
          <w:p w14:paraId="0EE99A8C" w14:textId="77777777" w:rsidR="00C91ACB" w:rsidRPr="001562B3" w:rsidRDefault="00C91ACB" w:rsidP="00E05895">
            <w:pPr>
              <w:pStyle w:val="InstructionsText"/>
            </w:pPr>
            <w:r w:rsidRPr="001562B3">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32DA9313" w14:textId="77777777" w:rsidR="00C91ACB" w:rsidRPr="001562B3" w:rsidRDefault="00C91ACB" w:rsidP="008E501F">
            <w:pPr>
              <w:pStyle w:val="InstructionsText"/>
            </w:pPr>
            <w:r w:rsidRPr="001562B3">
              <w:t>Legal references and instructions</w:t>
            </w:r>
          </w:p>
        </w:tc>
      </w:tr>
      <w:tr w:rsidR="00C91ACB" w:rsidRPr="001562B3" w14:paraId="41414A2F"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B56B7C0"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8D41965" w14:textId="77777777"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Insolvency rank</w:t>
            </w:r>
          </w:p>
          <w:p w14:paraId="7434ED16" w14:textId="77777777" w:rsidR="00C91ACB" w:rsidRPr="001562B3" w:rsidRDefault="00C91ACB" w:rsidP="00762AE8">
            <w:pPr>
              <w:pStyle w:val="Applicationdirecte"/>
              <w:spacing w:before="120"/>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See instructions on column 0010 of template M 05.00</w:t>
            </w:r>
          </w:p>
          <w:p w14:paraId="4BDEE699" w14:textId="2E13107A" w:rsidR="002D5E59" w:rsidRPr="001562B3" w:rsidRDefault="002D5E59" w:rsidP="00C271AC">
            <w:pPr>
              <w:rPr>
                <w:lang w:eastAsia="de-DE"/>
              </w:rPr>
            </w:pPr>
            <w:r w:rsidRPr="001562B3">
              <w:rPr>
                <w:rStyle w:val="FormatvorlageInstructionsTabelleText"/>
                <w:rFonts w:ascii="Times New Roman" w:hAnsi="Times New Roman"/>
                <w:sz w:val="24"/>
              </w:rPr>
              <w:t>This column is a row identifier which shall be unique for all rows in the template.</w:t>
            </w:r>
          </w:p>
        </w:tc>
      </w:tr>
      <w:tr w:rsidR="00C91ACB" w:rsidRPr="001562B3" w14:paraId="514B5A05"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00C7B54F"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8834F13" w14:textId="509ADC2D"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Description of insolvency rank</w:t>
            </w:r>
          </w:p>
          <w:p w14:paraId="307D484C" w14:textId="77777777" w:rsidR="00C91ACB" w:rsidRPr="001562B3" w:rsidRDefault="00C91AC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See instructions on column 0030 of template M 05.00</w:t>
            </w:r>
          </w:p>
        </w:tc>
      </w:tr>
      <w:tr w:rsidR="00C91ACB" w:rsidRPr="001562B3" w14:paraId="622F7D3C"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52C9622C"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0030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2C806CE" w14:textId="3EE7F02F"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Liabilities and own funds </w:t>
            </w:r>
          </w:p>
          <w:p w14:paraId="1EB9D7FE" w14:textId="2BE7FDA6" w:rsidR="00C91ACB" w:rsidRPr="001562B3" w:rsidRDefault="00C91AC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amount of own funds, </w:t>
            </w:r>
            <w:r w:rsidR="0005325E" w:rsidRPr="001562B3">
              <w:rPr>
                <w:rStyle w:val="FormatvorlageInstructionsTabelleText"/>
                <w:rFonts w:ascii="Times New Roman" w:hAnsi="Times New Roman"/>
                <w:sz w:val="24"/>
              </w:rPr>
              <w:t xml:space="preserve">of </w:t>
            </w:r>
            <w:r w:rsidRPr="001562B3">
              <w:rPr>
                <w:rStyle w:val="FormatvorlageInstructionsTabelleText"/>
                <w:rFonts w:ascii="Times New Roman" w:hAnsi="Times New Roman"/>
                <w:sz w:val="24"/>
              </w:rPr>
              <w:t>eligible liabilities and</w:t>
            </w:r>
            <w:r w:rsidR="0005325E" w:rsidRPr="001562B3">
              <w:rPr>
                <w:rStyle w:val="FormatvorlageInstructionsTabelleText"/>
                <w:rFonts w:ascii="Times New Roman" w:hAnsi="Times New Roman"/>
                <w:sz w:val="24"/>
              </w:rPr>
              <w:t>, where applicable, of</w:t>
            </w:r>
            <w:r w:rsidR="00CA73FF" w:rsidRPr="001562B3">
              <w:rPr>
                <w:rStyle w:val="FormatvorlageInstructionsTabelleText"/>
                <w:rFonts w:ascii="Times New Roman" w:hAnsi="Times New Roman"/>
                <w:sz w:val="24"/>
              </w:rPr>
              <w:t xml:space="preserve"> other bail-in-able</w:t>
            </w:r>
            <w:r w:rsidRPr="001562B3">
              <w:rPr>
                <w:rStyle w:val="FormatvorlageInstructionsTabelleText"/>
                <w:rFonts w:ascii="Times New Roman" w:hAnsi="Times New Roman"/>
                <w:sz w:val="24"/>
              </w:rPr>
              <w:t xml:space="preserve"> liabilities</w:t>
            </w:r>
            <w:r w:rsidR="00537499" w:rsidRPr="001562B3">
              <w:rPr>
                <w:rStyle w:val="FormatvorlageInstructionsTabelleText"/>
                <w:rFonts w:ascii="Times New Roman" w:hAnsi="Times New Roman"/>
                <w:sz w:val="24"/>
              </w:rPr>
              <w:t>,</w:t>
            </w:r>
            <w:r w:rsidR="00CA73FF" w:rsidRPr="001562B3">
              <w:rPr>
                <w:rStyle w:val="FormatvorlageInstructionsTabelleText"/>
                <w:rFonts w:ascii="Times New Roman" w:hAnsi="Times New Roman"/>
                <w:sz w:val="24"/>
              </w:rPr>
              <w:t xml:space="preserve"> that</w:t>
            </w:r>
            <w:r w:rsidRPr="001562B3">
              <w:rPr>
                <w:rStyle w:val="FormatvorlageInstructionsTabelleText"/>
                <w:rFonts w:ascii="Times New Roman" w:hAnsi="Times New Roman"/>
                <w:sz w:val="24"/>
              </w:rPr>
              <w:t xml:space="preserve"> is allocated to the insolvency rank indicated in column 0010</w:t>
            </w:r>
            <w:r w:rsidR="00CA73FF" w:rsidRPr="001562B3">
              <w:rPr>
                <w:rStyle w:val="FormatvorlageInstructionsTabelleText"/>
                <w:rFonts w:ascii="Times New Roman" w:hAnsi="Times New Roman"/>
                <w:sz w:val="24"/>
              </w:rPr>
              <w:t xml:space="preserve"> shall be reported</w:t>
            </w:r>
            <w:r w:rsidRPr="001562B3">
              <w:rPr>
                <w:rStyle w:val="FormatvorlageInstructionsTabelleText"/>
                <w:rFonts w:ascii="Times New Roman" w:hAnsi="Times New Roman"/>
                <w:sz w:val="24"/>
              </w:rPr>
              <w:t>.</w:t>
            </w:r>
          </w:p>
          <w:p w14:paraId="0FCAB71E" w14:textId="124EF6C2" w:rsidR="00C91ACB" w:rsidRPr="001562B3" w:rsidRDefault="0036208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Where applicable, t</w:t>
            </w:r>
            <w:r w:rsidR="00C91ACB" w:rsidRPr="001562B3">
              <w:rPr>
                <w:rStyle w:val="FormatvorlageInstructionsTabelleText"/>
                <w:rFonts w:ascii="Times New Roman" w:hAnsi="Times New Roman"/>
                <w:sz w:val="24"/>
              </w:rPr>
              <w:t xml:space="preserve">his </w:t>
            </w:r>
            <w:r w:rsidR="0005325E" w:rsidRPr="001562B3">
              <w:rPr>
                <w:rStyle w:val="FormatvorlageInstructionsTabelleText"/>
                <w:rFonts w:ascii="Times New Roman" w:hAnsi="Times New Roman"/>
                <w:sz w:val="24"/>
              </w:rPr>
              <w:t xml:space="preserve">column </w:t>
            </w:r>
            <w:r w:rsidR="00C91ACB" w:rsidRPr="001562B3">
              <w:rPr>
                <w:rStyle w:val="FormatvorlageInstructionsTabelleText"/>
                <w:rFonts w:ascii="Times New Roman" w:hAnsi="Times New Roman"/>
                <w:sz w:val="24"/>
              </w:rPr>
              <w:t>shall include also liabilities excluded from bail-in</w:t>
            </w:r>
            <w:r w:rsidR="00CA73FF" w:rsidRPr="001562B3">
              <w:rPr>
                <w:rStyle w:val="FormatvorlageInstructionsTabelleText"/>
                <w:rFonts w:ascii="Times New Roman" w:hAnsi="Times New Roman"/>
                <w:sz w:val="24"/>
              </w:rPr>
              <w:t xml:space="preserve"> to the extent they are ranking lower than or </w:t>
            </w:r>
            <w:r w:rsidR="00CA73FF" w:rsidRPr="001562B3">
              <w:rPr>
                <w:rStyle w:val="FormatvorlageInstructionsTabelleText"/>
                <w:rFonts w:ascii="Times New Roman" w:hAnsi="Times New Roman"/>
                <w:i/>
                <w:sz w:val="24"/>
              </w:rPr>
              <w:t>pari passu</w:t>
            </w:r>
            <w:r w:rsidR="00CA73FF" w:rsidRPr="001562B3">
              <w:rPr>
                <w:rStyle w:val="FormatvorlageInstructionsTabelleText"/>
                <w:rFonts w:ascii="Times New Roman" w:hAnsi="Times New Roman"/>
                <w:sz w:val="24"/>
              </w:rPr>
              <w:t xml:space="preserve"> with eligible liabilities.</w:t>
            </w:r>
          </w:p>
          <w:p w14:paraId="43425123" w14:textId="4EF643FC" w:rsidR="00586927" w:rsidRPr="001562B3" w:rsidRDefault="00586927" w:rsidP="004738AB">
            <w:pPr>
              <w:pStyle w:val="InstructionsText"/>
              <w:rPr>
                <w:rStyle w:val="FormatvorlageInstructionsTabelleText"/>
                <w:rFonts w:ascii="Times New Roman" w:hAnsi="Times New Roman"/>
                <w:sz w:val="24"/>
              </w:rPr>
            </w:pPr>
            <w:r w:rsidRPr="001562B3">
              <w:t>In case of entities referred to in the first sentence of paragraph 2</w:t>
            </w:r>
            <w:r w:rsidR="004738AB" w:rsidRPr="001562B3">
              <w:t>5</w:t>
            </w:r>
            <w:r w:rsidRPr="001562B3">
              <w:t xml:space="preserve">, this column shall be left empty, unless those entities choose to apply the derogation of the </w:t>
            </w:r>
            <w:r w:rsidR="0005325E" w:rsidRPr="001562B3">
              <w:t xml:space="preserve">last </w:t>
            </w:r>
            <w:r w:rsidRPr="001562B3">
              <w:t>sentence of paragraph 2</w:t>
            </w:r>
            <w:r w:rsidR="004738AB" w:rsidRPr="001562B3">
              <w:t>5</w:t>
            </w:r>
            <w:r w:rsidRPr="001562B3">
              <w:t>.</w:t>
            </w:r>
          </w:p>
        </w:tc>
      </w:tr>
      <w:tr w:rsidR="00C91ACB" w:rsidRPr="001562B3" w14:paraId="50DF17AB"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52E4589D"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0040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D285581" w14:textId="77777777"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excluded liabilities</w:t>
            </w:r>
          </w:p>
          <w:p w14:paraId="26F592C4" w14:textId="0CB68218" w:rsidR="00586927" w:rsidRPr="001562B3" w:rsidRDefault="00586927">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Amount of liabilities excluded pursuant to Article 72a(2) </w:t>
            </w:r>
            <w:r w:rsidR="00B11263" w:rsidRPr="001562B3">
              <w:t xml:space="preserve">of </w:t>
            </w:r>
            <w:r w:rsidR="00C47ED5" w:rsidRPr="001562B3">
              <w:t>Regulation (EU) No 575/2013</w:t>
            </w:r>
            <w:r w:rsidRPr="001562B3">
              <w:rPr>
                <w:rStyle w:val="FormatvorlageInstructionsTabelleText"/>
                <w:rFonts w:ascii="Times New Roman" w:hAnsi="Times New Roman"/>
                <w:sz w:val="24"/>
              </w:rPr>
              <w:t xml:space="preserve"> or Article 44(2)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w:t>
            </w:r>
          </w:p>
          <w:p w14:paraId="2F6500DE" w14:textId="0953A585" w:rsidR="00586927" w:rsidRPr="001562B3" w:rsidRDefault="00586927" w:rsidP="004738AB">
            <w:pPr>
              <w:pStyle w:val="InstructionsText"/>
              <w:rPr>
                <w:rStyle w:val="FormatvorlageInstructionsTabelleText"/>
                <w:rFonts w:ascii="Times New Roman" w:hAnsi="Times New Roman"/>
                <w:sz w:val="24"/>
                <w:lang w:eastAsia="en-US"/>
              </w:rPr>
            </w:pPr>
            <w:r w:rsidRPr="001562B3">
              <w:t>In case of entities referred to in the first sentence of paragraph 2</w:t>
            </w:r>
            <w:r w:rsidR="004738AB" w:rsidRPr="001562B3">
              <w:t>5</w:t>
            </w:r>
            <w:r w:rsidRPr="001562B3">
              <w:t>, this co</w:t>
            </w:r>
            <w:r w:rsidR="008458AF" w:rsidRPr="001562B3">
              <w:t>l</w:t>
            </w:r>
            <w:r w:rsidRPr="001562B3">
              <w:t>umn shall be left empty, unless those entities choose to apply the derogation of the second sentence of paragraph 2</w:t>
            </w:r>
            <w:r w:rsidR="004738AB" w:rsidRPr="001562B3">
              <w:t>5</w:t>
            </w:r>
            <w:r w:rsidRPr="001562B3">
              <w:t>.</w:t>
            </w:r>
          </w:p>
        </w:tc>
      </w:tr>
      <w:tr w:rsidR="00C91ACB" w:rsidRPr="001562B3" w14:paraId="56B3EF2B"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99BDEDA"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0050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BC121F9" w14:textId="05A308D7"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Liabilities and own funds less excluded liabilities</w:t>
            </w:r>
          </w:p>
          <w:p w14:paraId="0B40F998" w14:textId="6901A359" w:rsidR="00C91ACB" w:rsidRPr="001562B3" w:rsidRDefault="00C91ACB" w:rsidP="00CA73FF">
            <w:pPr>
              <w:pStyle w:val="Applicationdirecte"/>
              <w:spacing w:before="120"/>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The amount of </w:t>
            </w:r>
            <w:r w:rsidR="00CA73FF" w:rsidRPr="001562B3">
              <w:rPr>
                <w:rStyle w:val="FormatvorlageInstructionsTabelleText"/>
                <w:rFonts w:ascii="Times New Roman" w:hAnsi="Times New Roman"/>
                <w:sz w:val="24"/>
                <w:lang w:eastAsia="de-DE"/>
              </w:rPr>
              <w:t xml:space="preserve">liabilities and </w:t>
            </w:r>
            <w:r w:rsidRPr="001562B3">
              <w:rPr>
                <w:rStyle w:val="FormatvorlageInstructionsTabelleText"/>
                <w:rFonts w:ascii="Times New Roman" w:hAnsi="Times New Roman"/>
                <w:sz w:val="24"/>
                <w:lang w:eastAsia="de-DE"/>
              </w:rPr>
              <w:t>own funds, as reported in column 0030, shall be reported, reduced by the amount of excluded liabilities reported in column 0040.</w:t>
            </w:r>
          </w:p>
        </w:tc>
      </w:tr>
      <w:tr w:rsidR="00C91ACB" w:rsidRPr="001562B3" w14:paraId="1F85B970"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4FEB323E"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0060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CF34467" w14:textId="3EB19352" w:rsidR="00C91ACB" w:rsidRPr="001562B3" w:rsidRDefault="00C91ACB"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own funds and liabilities </w:t>
            </w:r>
            <w:r w:rsidR="00722C11" w:rsidRPr="001562B3">
              <w:rPr>
                <w:rStyle w:val="InstructionsTabelleberschrift"/>
                <w:rFonts w:ascii="Times New Roman" w:hAnsi="Times New Roman"/>
                <w:sz w:val="24"/>
              </w:rPr>
              <w:t xml:space="preserve">potentially </w:t>
            </w:r>
            <w:r w:rsidRPr="001562B3">
              <w:rPr>
                <w:rStyle w:val="InstructionsTabelleberschrift"/>
                <w:rFonts w:ascii="Times New Roman" w:hAnsi="Times New Roman"/>
                <w:sz w:val="24"/>
              </w:rPr>
              <w:t xml:space="preserve">eligible for meeting </w:t>
            </w:r>
            <w:r w:rsidR="00722C11" w:rsidRPr="001562B3">
              <w:rPr>
                <w:rStyle w:val="InstructionsTabelleberschrift"/>
                <w:rFonts w:ascii="Times New Roman" w:hAnsi="Times New Roman"/>
                <w:sz w:val="24"/>
              </w:rPr>
              <w:t>MREL</w:t>
            </w:r>
          </w:p>
          <w:p w14:paraId="6B93C8A8" w14:textId="20AF1719" w:rsidR="00C91ACB" w:rsidRPr="001562B3" w:rsidRDefault="00C91ACB" w:rsidP="00FC6662">
            <w:pPr>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The amount of own funds and liabilities eligible for the purpose of </w:t>
            </w:r>
            <w:r w:rsidR="00F21687" w:rsidRPr="001562B3">
              <w:rPr>
                <w:rStyle w:val="FormatvorlageInstructionsTabelleText"/>
                <w:rFonts w:ascii="Times New Roman" w:hAnsi="Times New Roman"/>
                <w:sz w:val="24"/>
                <w:lang w:eastAsia="de-DE"/>
              </w:rPr>
              <w:t xml:space="preserve">meeting the requirements of </w:t>
            </w:r>
            <w:r w:rsidRPr="001562B3">
              <w:rPr>
                <w:rStyle w:val="FormatvorlageInstructionsTabelleText"/>
                <w:rFonts w:ascii="Times New Roman" w:hAnsi="Times New Roman"/>
                <w:sz w:val="24"/>
                <w:lang w:eastAsia="de-DE"/>
              </w:rPr>
              <w:t>Article 45</w:t>
            </w:r>
            <w:r w:rsidR="00F21687" w:rsidRPr="001562B3">
              <w:rPr>
                <w:rStyle w:val="FormatvorlageInstructionsTabelleText"/>
                <w:rFonts w:ascii="Times New Roman" w:hAnsi="Times New Roman"/>
                <w:sz w:val="24"/>
                <w:lang w:eastAsia="de-DE"/>
              </w:rPr>
              <w:t xml:space="preserve"> </w:t>
            </w:r>
            <w:r w:rsidR="00FC6662" w:rsidRPr="001562B3">
              <w:rPr>
                <w:rStyle w:val="FormatvorlageInstructionsTabelleText"/>
                <w:rFonts w:ascii="Times New Roman" w:hAnsi="Times New Roman"/>
                <w:sz w:val="24"/>
                <w:lang w:eastAsia="de-DE"/>
              </w:rPr>
              <w:t>of Directive 2014/59/EU</w:t>
            </w:r>
            <w:r w:rsidR="00767AB5" w:rsidRPr="001562B3">
              <w:rPr>
                <w:rStyle w:val="FormatvorlageInstructionsTabelleText"/>
                <w:rFonts w:ascii="Times New Roman" w:hAnsi="Times New Roman"/>
                <w:sz w:val="24"/>
                <w:lang w:eastAsia="de-DE"/>
              </w:rPr>
              <w:t xml:space="preserve"> in accordance with Article</w:t>
            </w:r>
            <w:r w:rsidR="00F21687" w:rsidRPr="001562B3">
              <w:rPr>
                <w:rStyle w:val="FormatvorlageInstructionsTabelleText"/>
                <w:rFonts w:ascii="Times New Roman" w:hAnsi="Times New Roman"/>
                <w:sz w:val="24"/>
                <w:lang w:eastAsia="de-DE"/>
              </w:rPr>
              <w:t xml:space="preserve"> 45e</w:t>
            </w:r>
            <w:r w:rsidRPr="001562B3">
              <w:rPr>
                <w:rStyle w:val="FormatvorlageInstructionsTabelleText"/>
                <w:rFonts w:ascii="Times New Roman" w:hAnsi="Times New Roman"/>
                <w:sz w:val="24"/>
                <w:lang w:eastAsia="de-DE"/>
              </w:rPr>
              <w:t xml:space="preserve"> </w:t>
            </w:r>
            <w:r w:rsidR="00FC6662" w:rsidRPr="001562B3">
              <w:rPr>
                <w:rStyle w:val="FormatvorlageInstructionsTabelleText"/>
                <w:rFonts w:ascii="Times New Roman" w:hAnsi="Times New Roman"/>
                <w:sz w:val="24"/>
                <w:lang w:eastAsia="de-DE"/>
              </w:rPr>
              <w:t>of that Directive</w:t>
            </w:r>
            <w:r w:rsidRPr="001562B3">
              <w:rPr>
                <w:rStyle w:val="FormatvorlageInstructionsTabelleText"/>
                <w:rFonts w:ascii="Times New Roman" w:hAnsi="Times New Roman"/>
                <w:sz w:val="24"/>
                <w:lang w:eastAsia="de-DE"/>
              </w:rPr>
              <w:t>.</w:t>
            </w:r>
          </w:p>
        </w:tc>
      </w:tr>
      <w:tr w:rsidR="00C91ACB" w:rsidRPr="001562B3" w14:paraId="7FCA6AC8"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6827C072"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t>0070 – 0100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580ECF8C" w14:textId="77777777" w:rsidR="00C91ACB" w:rsidRPr="001562B3" w:rsidRDefault="00C91ACB" w:rsidP="008E501F">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b/>
                <w:sz w:val="24"/>
                <w:u w:val="single"/>
              </w:rPr>
              <w:t>of which: with a residual maturity of</w:t>
            </w:r>
          </w:p>
          <w:p w14:paraId="4B3D0A8C" w14:textId="7C6C7FB7" w:rsidR="00C91ACB" w:rsidRPr="001562B3" w:rsidDel="001B3CDA" w:rsidRDefault="00C91AC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The amount of own funds and liabilities eligible for the purpose of </w:t>
            </w:r>
            <w:r w:rsidR="00F21687" w:rsidRPr="001562B3">
              <w:rPr>
                <w:rStyle w:val="FormatvorlageInstructionsTabelleText"/>
                <w:rFonts w:ascii="Times New Roman" w:hAnsi="Times New Roman"/>
                <w:sz w:val="24"/>
              </w:rPr>
              <w:t xml:space="preserve">meeting the requirement of </w:t>
            </w:r>
            <w:r w:rsidRPr="001562B3">
              <w:rPr>
                <w:rStyle w:val="FormatvorlageInstructionsTabelleText"/>
                <w:rFonts w:ascii="Times New Roman" w:hAnsi="Times New Roman"/>
                <w:sz w:val="24"/>
              </w:rPr>
              <w:t>Article</w:t>
            </w:r>
            <w:r w:rsidR="00F21687" w:rsidRPr="001562B3">
              <w:rPr>
                <w:rStyle w:val="FormatvorlageInstructionsTabelleText"/>
                <w:rFonts w:ascii="Times New Roman" w:hAnsi="Times New Roman"/>
                <w:sz w:val="24"/>
              </w:rPr>
              <w:t>s</w:t>
            </w:r>
            <w:r w:rsidRPr="001562B3">
              <w:rPr>
                <w:rStyle w:val="FormatvorlageInstructionsTabelleText"/>
                <w:rFonts w:ascii="Times New Roman" w:hAnsi="Times New Roman"/>
                <w:sz w:val="24"/>
              </w:rPr>
              <w:t xml:space="preserve"> 45</w:t>
            </w:r>
            <w:r w:rsidR="00F21687" w:rsidRPr="001562B3">
              <w:rPr>
                <w:rStyle w:val="FormatvorlageInstructionsTabelleText"/>
                <w:rFonts w:ascii="Times New Roman" w:hAnsi="Times New Roman"/>
                <w:sz w:val="24"/>
              </w:rPr>
              <w:t xml:space="preserve"> </w:t>
            </w:r>
            <w:r w:rsidR="00FC6662" w:rsidRPr="001562B3">
              <w:rPr>
                <w:rStyle w:val="FormatvorlageInstructionsTabelleText"/>
                <w:rFonts w:ascii="Times New Roman" w:hAnsi="Times New Roman"/>
                <w:sz w:val="24"/>
              </w:rPr>
              <w:t>of Directive 2014/59/EU</w:t>
            </w:r>
            <w:r w:rsidR="00767AB5" w:rsidRPr="001562B3">
              <w:rPr>
                <w:rStyle w:val="FormatvorlageInstructionsTabelleText"/>
                <w:rFonts w:ascii="Times New Roman" w:hAnsi="Times New Roman"/>
                <w:sz w:val="24"/>
              </w:rPr>
              <w:t xml:space="preserve"> in accordance with Article </w:t>
            </w:r>
            <w:r w:rsidR="00F21687" w:rsidRPr="001562B3">
              <w:rPr>
                <w:rStyle w:val="FormatvorlageInstructionsTabelleText"/>
                <w:rFonts w:ascii="Times New Roman" w:hAnsi="Times New Roman"/>
                <w:sz w:val="24"/>
              </w:rPr>
              <w:t xml:space="preserve">45e </w:t>
            </w:r>
            <w:r w:rsidR="00FC6662" w:rsidRPr="001562B3">
              <w:rPr>
                <w:rStyle w:val="FormatvorlageInstructionsTabelleText"/>
                <w:rFonts w:ascii="Times New Roman" w:hAnsi="Times New Roman"/>
                <w:sz w:val="24"/>
              </w:rPr>
              <w:t>of that Directive</w:t>
            </w:r>
            <w:r w:rsidRPr="001562B3">
              <w:rPr>
                <w:rStyle w:val="FormatvorlageInstructionsTabelleText"/>
                <w:rFonts w:ascii="Times New Roman" w:hAnsi="Times New Roman"/>
                <w:sz w:val="24"/>
              </w:rPr>
              <w:t>, as reported in column 0060, shall be broken down by the residual maturity of the different instruments and items. Instruments and items of perpetual nature shall not be considered in this breakdown, but be reported separately in column 0110.</w:t>
            </w:r>
          </w:p>
        </w:tc>
      </w:tr>
      <w:tr w:rsidR="00C91ACB" w:rsidRPr="001562B3" w14:paraId="2F0374BA"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36F7744"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0070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63F21E1" w14:textId="77777777" w:rsidR="00C91ACB" w:rsidRPr="001562B3" w:rsidRDefault="00C91ACB" w:rsidP="008E501F">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 xml:space="preserve">≥ 1 year &lt; 2 years </w:t>
            </w:r>
          </w:p>
        </w:tc>
      </w:tr>
      <w:tr w:rsidR="00C91ACB" w:rsidRPr="001562B3" w14:paraId="0AC68E8A"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2A1E20E"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0080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76A0ECD" w14:textId="77777777" w:rsidR="00C91ACB" w:rsidRPr="001562B3" w:rsidRDefault="00C91ACB"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2 year &lt; 5 years</w:t>
            </w:r>
          </w:p>
        </w:tc>
      </w:tr>
      <w:tr w:rsidR="00C91ACB" w:rsidRPr="001562B3" w14:paraId="4AF13F7C"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7E570338"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0090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B23794C" w14:textId="77777777" w:rsidR="00C91ACB" w:rsidRPr="001562B3" w:rsidRDefault="00C91ACB"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5 years &lt; 10 years</w:t>
            </w:r>
          </w:p>
        </w:tc>
      </w:tr>
      <w:tr w:rsidR="00C91ACB" w:rsidRPr="001562B3" w14:paraId="613AFD04"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241D6106"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0100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61FE904" w14:textId="77777777" w:rsidR="00C91ACB" w:rsidRPr="001562B3" w:rsidRDefault="00C91ACB"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10 years</w:t>
            </w:r>
          </w:p>
        </w:tc>
      </w:tr>
      <w:tr w:rsidR="00C91ACB" w:rsidRPr="001562B3" w14:paraId="409E4342"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2F0975FE" w14:textId="77777777" w:rsidR="00C91ACB" w:rsidRPr="001562B3" w:rsidRDefault="00C91ACB"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9006E90" w14:textId="77777777" w:rsidR="00C91ACB" w:rsidRPr="001562B3" w:rsidRDefault="00C91ACB" w:rsidP="008E501F">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Of which: perpetual securities</w:t>
            </w:r>
          </w:p>
        </w:tc>
      </w:tr>
    </w:tbl>
    <w:p w14:paraId="1287169E" w14:textId="77777777" w:rsidR="00C91ACB" w:rsidRPr="001562B3" w:rsidRDefault="00C91ACB" w:rsidP="00C91ACB">
      <w:pPr>
        <w:rPr>
          <w:rStyle w:val="InstructionsTabelleText"/>
          <w:rFonts w:ascii="Times New Roman" w:hAnsi="Times New Roman"/>
          <w:sz w:val="24"/>
        </w:rPr>
      </w:pPr>
    </w:p>
    <w:p w14:paraId="1D4F60E9" w14:textId="5ED8140A" w:rsidR="00043DC2" w:rsidRPr="001562B3" w:rsidRDefault="00043DC2" w:rsidP="00C15B90">
      <w:pPr>
        <w:pStyle w:val="Numberedtilelevel1"/>
      </w:pPr>
      <w:bookmarkStart w:id="79" w:name="_Toc16868650"/>
      <w:bookmarkStart w:id="80" w:name="_Toc18593318"/>
      <w:bookmarkStart w:id="81" w:name="_Toc45558501"/>
      <w:bookmarkEnd w:id="79"/>
      <w:bookmarkEnd w:id="80"/>
      <w:r w:rsidRPr="001562B3">
        <w:t>M 0</w:t>
      </w:r>
      <w:r w:rsidR="00962025" w:rsidRPr="001562B3">
        <w:t>7</w:t>
      </w:r>
      <w:r w:rsidRPr="001562B3">
        <w:t xml:space="preserve">.00 – Instruments governed by third country law </w:t>
      </w:r>
      <w:r w:rsidR="00DA03B9" w:rsidRPr="001562B3">
        <w:t>(MTCI)</w:t>
      </w:r>
      <w:bookmarkEnd w:id="81"/>
    </w:p>
    <w:p w14:paraId="09459534" w14:textId="30C1202C" w:rsidR="00043DC2" w:rsidRPr="001562B3" w:rsidRDefault="00043DC2" w:rsidP="00873459">
      <w:pPr>
        <w:pStyle w:val="Numberedtilelevel1"/>
        <w:numPr>
          <w:ilvl w:val="1"/>
          <w:numId w:val="30"/>
        </w:numPr>
      </w:pPr>
      <w:bookmarkStart w:id="82" w:name="_Toc16868653"/>
      <w:bookmarkStart w:id="83" w:name="_Toc45558502"/>
      <w:r w:rsidRPr="001562B3">
        <w:t>General remarks</w:t>
      </w:r>
      <w:bookmarkEnd w:id="82"/>
      <w:bookmarkEnd w:id="83"/>
    </w:p>
    <w:p w14:paraId="38DE6937" w14:textId="1FE5439B" w:rsidR="00ED05AC" w:rsidRPr="001562B3" w:rsidRDefault="00962059" w:rsidP="001562B3">
      <w:pPr>
        <w:pStyle w:val="InstructionsText2"/>
      </w:pPr>
      <w:r w:rsidRPr="001562B3">
        <w:t>Tem</w:t>
      </w:r>
      <w:r w:rsidR="00DA4A88" w:rsidRPr="001562B3">
        <w:t>p</w:t>
      </w:r>
      <w:r w:rsidRPr="001562B3">
        <w:t>late M 0</w:t>
      </w:r>
      <w:r w:rsidR="0049555B" w:rsidRPr="001562B3">
        <w:t>7</w:t>
      </w:r>
      <w:r w:rsidRPr="001562B3">
        <w:t xml:space="preserve">.00 </w:t>
      </w:r>
      <w:r w:rsidR="00DA4A88" w:rsidRPr="001562B3">
        <w:t xml:space="preserve">provides a contract-by-contract breakdown of instruments that qualify as own funds and eligible liabilities for the purposes of MREL. Only instruments that are governed by </w:t>
      </w:r>
      <w:r w:rsidR="00CC6FEE" w:rsidRPr="001562B3">
        <w:t xml:space="preserve">the law of a third country </w:t>
      </w:r>
      <w:r w:rsidR="00DA4A88" w:rsidRPr="001562B3">
        <w:t>shall be reported in the template.</w:t>
      </w:r>
    </w:p>
    <w:p w14:paraId="058C983F" w14:textId="395F6621" w:rsidR="00810663" w:rsidRPr="001562B3" w:rsidRDefault="003677E2">
      <w:pPr>
        <w:pStyle w:val="InstructionsText2"/>
      </w:pPr>
      <w:r w:rsidRPr="001562B3">
        <w:t xml:space="preserve">In relation to eligible liabilities that are not subordinated to excluded liabilities, </w:t>
      </w:r>
      <w:r w:rsidR="0087315C" w:rsidRPr="001562B3">
        <w:t xml:space="preserve">entities </w:t>
      </w:r>
      <w:r w:rsidRPr="001562B3">
        <w:t xml:space="preserve">shall only report </w:t>
      </w:r>
      <w:r w:rsidR="00810663" w:rsidRPr="001562B3">
        <w:t>securities which are fungible, negotiable financial instruments, at the exclusion of loans and deposits.</w:t>
      </w:r>
    </w:p>
    <w:p w14:paraId="7F675B40" w14:textId="6125AF03" w:rsidR="00FC1379" w:rsidRPr="001562B3" w:rsidRDefault="00B40AC1" w:rsidP="00FC1379">
      <w:pPr>
        <w:pStyle w:val="InstructionsText2"/>
      </w:pPr>
      <w:r w:rsidRPr="001562B3">
        <w:t xml:space="preserve">In case of instruments partially qualifying for two different classes of own funds or eligible liabilities, the instrument shall be reported two times to reflect the amounts allocated to the different capital classes separately. </w:t>
      </w:r>
    </w:p>
    <w:p w14:paraId="4D79951A" w14:textId="26C7050A" w:rsidR="00043DC2" w:rsidRPr="001562B3" w:rsidRDefault="00ED05AC">
      <w:pPr>
        <w:pStyle w:val="InstructionsText2"/>
      </w:pPr>
      <w:r w:rsidRPr="001562B3">
        <w:t>The combination of columns 0020 (Code of the issuing entity)</w:t>
      </w:r>
      <w:r w:rsidR="00B40AC1" w:rsidRPr="001562B3">
        <w:t xml:space="preserve">, </w:t>
      </w:r>
      <w:r w:rsidR="003B72D9" w:rsidRPr="001562B3">
        <w:t>0040 (Contract identifier)</w:t>
      </w:r>
      <w:r w:rsidR="00B40AC1" w:rsidRPr="001562B3">
        <w:t xml:space="preserve"> and 0070 (Type of own funds or eligible liabilities)</w:t>
      </w:r>
      <w:r w:rsidR="003B72D9" w:rsidRPr="001562B3">
        <w:t xml:space="preserve"> </w:t>
      </w:r>
      <w:r w:rsidRPr="001562B3">
        <w:t xml:space="preserve">constitutes </w:t>
      </w:r>
      <w:r w:rsidR="00537499" w:rsidRPr="001562B3">
        <w:t xml:space="preserve">a </w:t>
      </w:r>
      <w:r w:rsidRPr="001562B3">
        <w:t>row identifier, which must be unique for each row reported in the template.</w:t>
      </w:r>
    </w:p>
    <w:p w14:paraId="4C59DC8A" w14:textId="30DAA347" w:rsidR="00043DC2" w:rsidRPr="001562B3" w:rsidRDefault="00043DC2" w:rsidP="00873459">
      <w:pPr>
        <w:pStyle w:val="Numberedtilelevel1"/>
        <w:numPr>
          <w:ilvl w:val="1"/>
          <w:numId w:val="30"/>
        </w:numPr>
      </w:pPr>
      <w:bookmarkStart w:id="84" w:name="_Toc16868654"/>
      <w:bookmarkStart w:id="85" w:name="_Toc45558503"/>
      <w:r w:rsidRPr="001562B3">
        <w:t>Instructions concerning specific positions</w:t>
      </w:r>
      <w:bookmarkEnd w:id="84"/>
      <w:bookmarkEnd w:id="85"/>
    </w:p>
    <w:tbl>
      <w:tblPr>
        <w:tblW w:w="8749" w:type="dxa"/>
        <w:tblInd w:w="539" w:type="dxa"/>
        <w:tblLayout w:type="fixed"/>
        <w:tblLook w:val="00A0" w:firstRow="1" w:lastRow="0" w:firstColumn="1" w:lastColumn="0" w:noHBand="0" w:noVBand="0"/>
      </w:tblPr>
      <w:tblGrid>
        <w:gridCol w:w="1129"/>
        <w:gridCol w:w="7620"/>
      </w:tblGrid>
      <w:tr w:rsidR="00043DC2" w:rsidRPr="001562B3" w14:paraId="5927B8D8"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D9D9D9"/>
          </w:tcPr>
          <w:p w14:paraId="5CB1DCA8" w14:textId="77777777" w:rsidR="00043DC2" w:rsidRPr="001562B3" w:rsidRDefault="00043DC2" w:rsidP="00E05895">
            <w:pPr>
              <w:pStyle w:val="InstructionsText"/>
            </w:pPr>
            <w:r w:rsidRPr="001562B3">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2E6AFAE4" w14:textId="77777777" w:rsidR="00043DC2" w:rsidRPr="001562B3" w:rsidRDefault="00043DC2" w:rsidP="008E501F">
            <w:pPr>
              <w:pStyle w:val="InstructionsText"/>
            </w:pPr>
            <w:r w:rsidRPr="001562B3">
              <w:t>Legal references and instructions</w:t>
            </w:r>
          </w:p>
        </w:tc>
      </w:tr>
      <w:tr w:rsidR="00043DC2" w:rsidRPr="001562B3" w14:paraId="560A8871"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63EB2343" w14:textId="1ABD60CC" w:rsidR="00043DC2" w:rsidRPr="001562B3" w:rsidRDefault="00043DC2" w:rsidP="00E05895">
            <w:pPr>
              <w:pStyle w:val="InstructionsText"/>
            </w:pPr>
            <w:r w:rsidRPr="001562B3">
              <w:rPr>
                <w:rStyle w:val="FormatvorlageInstructionsTabelleText"/>
                <w:rFonts w:ascii="Times New Roman" w:hAnsi="Times New Roman"/>
                <w:sz w:val="24"/>
              </w:rPr>
              <w:t>0010</w:t>
            </w:r>
            <w:r w:rsidR="00DA4A88" w:rsidRPr="001562B3">
              <w:rPr>
                <w:rStyle w:val="FormatvorlageInstructionsTabelleText"/>
                <w:rFonts w:ascii="Times New Roman" w:hAnsi="Times New Roman"/>
                <w:sz w:val="24"/>
              </w:rPr>
              <w:t xml:space="preserve"> - 0030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EB4B7A7" w14:textId="00787806" w:rsidR="00043DC2" w:rsidRPr="001562B3" w:rsidRDefault="00DA4A88"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Issuing entity</w:t>
            </w:r>
          </w:p>
          <w:p w14:paraId="05F6543E" w14:textId="28A11EDA" w:rsidR="00043DC2" w:rsidRPr="001562B3" w:rsidRDefault="00DA4A88">
            <w:pPr>
              <w:pStyle w:val="InstructionsText"/>
            </w:pPr>
            <w:r w:rsidRPr="001562B3">
              <w:rPr>
                <w:rStyle w:val="FormatvorlageInstructionsTabelleText"/>
                <w:rFonts w:ascii="Times New Roman" w:hAnsi="Times New Roman"/>
                <w:sz w:val="24"/>
              </w:rPr>
              <w:t>Where the information is reported with reference to a resolution group, the entity of the group that issued the respective instrument shall be indicated. Where the information is reported, with reference to a single resolution entity, the issuing entity shall be the reporting entity itself.</w:t>
            </w:r>
          </w:p>
        </w:tc>
      </w:tr>
      <w:tr w:rsidR="00ED05AC" w:rsidRPr="001562B3" w14:paraId="7B94B71C"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6D21408C" w14:textId="5F43A538" w:rsidR="00ED05AC" w:rsidRPr="001562B3" w:rsidRDefault="00ED05AC" w:rsidP="00E05895">
            <w:pPr>
              <w:pStyle w:val="InstructionsText"/>
            </w:pPr>
            <w:r w:rsidRPr="001562B3">
              <w:rPr>
                <w:rStyle w:val="FormatvorlageInstructionsTabelleText"/>
                <w:rFonts w:ascii="Times New Roman" w:hAnsi="Times New Roman"/>
                <w:sz w:val="24"/>
              </w:rPr>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B94D59A" w14:textId="53F5257D" w:rsidR="00ED05AC" w:rsidRPr="001562B3" w:rsidRDefault="00ED05AC"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Name</w:t>
            </w:r>
          </w:p>
          <w:p w14:paraId="2FB63179" w14:textId="5B49BA2B" w:rsidR="00ED05AC" w:rsidRPr="001562B3" w:rsidRDefault="00ED05AC" w:rsidP="008E501F">
            <w:pPr>
              <w:pStyle w:val="InstructionsText"/>
              <w:rPr>
                <w:b/>
              </w:rPr>
            </w:pPr>
            <w:r w:rsidRPr="001562B3">
              <w:rPr>
                <w:rStyle w:val="FormatvorlageInstructionsTabelleText"/>
                <w:rFonts w:ascii="Times New Roman" w:hAnsi="Times New Roman"/>
                <w:sz w:val="24"/>
              </w:rPr>
              <w:t>Name of the entity that issued the own funds instrument or the eligible liability instrument</w:t>
            </w:r>
          </w:p>
        </w:tc>
      </w:tr>
      <w:tr w:rsidR="00ED05AC" w:rsidRPr="001562B3" w14:paraId="02C19F56"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0C1D5505" w14:textId="071C625B" w:rsidR="00ED05AC" w:rsidRPr="001562B3" w:rsidRDefault="00ED05AC" w:rsidP="00E05895">
            <w:pPr>
              <w:pStyle w:val="InstructionsText"/>
            </w:pPr>
            <w:r w:rsidRPr="001562B3">
              <w:rPr>
                <w:rStyle w:val="FormatvorlageInstructionsTabelleText"/>
                <w:rFonts w:ascii="Times New Roman" w:hAnsi="Times New Roman"/>
                <w:sz w:val="24"/>
              </w:rPr>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9F2C07F" w14:textId="4279134F" w:rsidR="00ED05AC" w:rsidRPr="001562B3" w:rsidRDefault="00ED05AC"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Code</w:t>
            </w:r>
          </w:p>
          <w:p w14:paraId="2EE9B378" w14:textId="77777777" w:rsidR="00ED05AC" w:rsidRPr="001562B3" w:rsidRDefault="00ED05AC" w:rsidP="008E501F">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Code of the entity that issued the own funds instrument or the eligible liability instrument.</w:t>
            </w:r>
          </w:p>
          <w:p w14:paraId="5C534D19" w14:textId="03170FCB" w:rsidR="00ED05AC" w:rsidRPr="001562B3" w:rsidRDefault="0047023B">
            <w:pPr>
              <w:pStyle w:val="InstructionsText"/>
            </w:pPr>
            <w:r w:rsidRPr="001562B3">
              <w:t xml:space="preserve">The code as part of a row identifier must be unique for each reported entity. For institutions, the code shall be the LEI code. For other entities the code shall be the LEI code, or if not available, a national code. The code shall be </w:t>
            </w:r>
            <w:r w:rsidRPr="001562B3">
              <w:lastRenderedPageBreak/>
              <w:t>unique and used consistently across the templates and across time. The code shall always have a value.</w:t>
            </w:r>
          </w:p>
        </w:tc>
      </w:tr>
      <w:tr w:rsidR="00ED05AC" w:rsidRPr="001562B3" w14:paraId="743E2813"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6A1BB0E0" w14:textId="7F6FBCB0" w:rsidR="00ED05AC" w:rsidRPr="001562B3" w:rsidRDefault="00ED05AC" w:rsidP="00E05895">
            <w:pPr>
              <w:pStyle w:val="InstructionsText"/>
            </w:pPr>
            <w:r w:rsidRPr="001562B3">
              <w:rPr>
                <w:rStyle w:val="FormatvorlageInstructionsTabelleText"/>
                <w:rFonts w:ascii="Times New Roman" w:hAnsi="Times New Roman"/>
                <w:sz w:val="24"/>
              </w:rPr>
              <w:lastRenderedPageBreak/>
              <w:t>0030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BD481B6" w14:textId="02A48FF3" w:rsidR="00ED05AC" w:rsidRPr="001562B3" w:rsidRDefault="00ED05AC"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Type of code</w:t>
            </w:r>
          </w:p>
          <w:p w14:paraId="435D7AD5" w14:textId="3FA7BE57" w:rsidR="00ED05AC" w:rsidRPr="001562B3" w:rsidRDefault="0047023B">
            <w:pPr>
              <w:pStyle w:val="InstructionsText"/>
            </w:pPr>
            <w:r w:rsidRPr="001562B3">
              <w:t>The institutions shall identify the type of code reported in column 0020 as a ‘LEI code’ or ‘Non-LEI code’. The type of code shall always be reported.</w:t>
            </w:r>
          </w:p>
        </w:tc>
      </w:tr>
      <w:tr w:rsidR="00ED05AC" w:rsidRPr="001562B3" w14:paraId="77C64A55"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7F83DA85" w14:textId="7BA7757F" w:rsidR="00ED05AC" w:rsidRPr="001562B3" w:rsidRDefault="00ED05AC" w:rsidP="00E05895">
            <w:pPr>
              <w:pStyle w:val="InstructionsText"/>
            </w:pPr>
            <w:r w:rsidRPr="001562B3">
              <w:rPr>
                <w:rStyle w:val="FormatvorlageInstructionsTabelleText"/>
                <w:rFonts w:ascii="Times New Roman" w:hAnsi="Times New Roman"/>
                <w:sz w:val="24"/>
              </w:rPr>
              <w:t>0040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3838977" w14:textId="3B9D8CD3" w:rsidR="00ED05AC" w:rsidRPr="001562B3" w:rsidRDefault="00537499"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Contract </w:t>
            </w:r>
            <w:r w:rsidR="00ED05AC" w:rsidRPr="001562B3">
              <w:rPr>
                <w:rStyle w:val="InstructionsTabelleberschrift"/>
                <w:rFonts w:ascii="Times New Roman" w:hAnsi="Times New Roman"/>
                <w:sz w:val="24"/>
              </w:rPr>
              <w:t>identifier</w:t>
            </w:r>
          </w:p>
          <w:p w14:paraId="326C4E21" w14:textId="0DEE61DF" w:rsidR="00BA682D" w:rsidRPr="001562B3" w:rsidRDefault="009B0274" w:rsidP="00477B96">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w:t>
            </w:r>
            <w:r w:rsidR="00D765BC" w:rsidRPr="001562B3">
              <w:rPr>
                <w:rStyle w:val="FormatvorlageInstructionsTabelleText"/>
                <w:rFonts w:ascii="Times New Roman" w:hAnsi="Times New Roman"/>
                <w:sz w:val="24"/>
              </w:rPr>
              <w:t xml:space="preserve">contract </w:t>
            </w:r>
            <w:r w:rsidRPr="001562B3">
              <w:rPr>
                <w:rStyle w:val="FormatvorlageInstructionsTabelleText"/>
                <w:rFonts w:ascii="Times New Roman" w:hAnsi="Times New Roman"/>
                <w:sz w:val="24"/>
              </w:rPr>
              <w:t xml:space="preserve">identifier of the </w:t>
            </w:r>
            <w:r w:rsidR="005D3DC8" w:rsidRPr="001562B3">
              <w:rPr>
                <w:rStyle w:val="FormatvorlageInstructionsTabelleText"/>
                <w:rFonts w:ascii="Times New Roman" w:hAnsi="Times New Roman"/>
                <w:sz w:val="24"/>
              </w:rPr>
              <w:t>instrument</w:t>
            </w:r>
            <w:r w:rsidRPr="001562B3">
              <w:rPr>
                <w:rStyle w:val="FormatvorlageInstructionsTabelleText"/>
                <w:rFonts w:ascii="Times New Roman" w:hAnsi="Times New Roman"/>
                <w:sz w:val="24"/>
              </w:rPr>
              <w:t>, such as CUSIP, ISIN or Bloomberg identifier for private placement, shall be reported.</w:t>
            </w:r>
          </w:p>
          <w:p w14:paraId="00632D1C" w14:textId="24ADD3E6" w:rsidR="00ED05AC" w:rsidRPr="001562B3" w:rsidRDefault="00ED05AC">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This item is part of the row identifier.</w:t>
            </w:r>
          </w:p>
        </w:tc>
      </w:tr>
      <w:tr w:rsidR="00ED05AC" w:rsidRPr="001562B3" w14:paraId="75764429" w14:textId="77777777" w:rsidTr="00ED05AC">
        <w:tc>
          <w:tcPr>
            <w:tcW w:w="1129" w:type="dxa"/>
            <w:tcBorders>
              <w:top w:val="single" w:sz="4" w:space="0" w:color="auto"/>
              <w:left w:val="single" w:sz="4" w:space="0" w:color="auto"/>
              <w:bottom w:val="single" w:sz="4" w:space="0" w:color="auto"/>
              <w:right w:val="single" w:sz="4" w:space="0" w:color="auto"/>
            </w:tcBorders>
            <w:shd w:val="clear" w:color="auto" w:fill="auto"/>
          </w:tcPr>
          <w:p w14:paraId="61D01A7B" w14:textId="72E28233" w:rsidR="00ED05AC" w:rsidRPr="001562B3" w:rsidRDefault="00ED05AC" w:rsidP="00E05895">
            <w:pPr>
              <w:pStyle w:val="InstructionsText"/>
            </w:pPr>
            <w:r w:rsidRPr="001562B3">
              <w:rPr>
                <w:rStyle w:val="FormatvorlageInstructionsTabelleText"/>
                <w:rFonts w:ascii="Times New Roman" w:hAnsi="Times New Roman"/>
                <w:sz w:val="24"/>
              </w:rPr>
              <w:t>00</w:t>
            </w:r>
            <w:r w:rsidR="00BA7DE2"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794C1DF" w14:textId="5B2F630D" w:rsidR="00ED05AC" w:rsidRPr="001562B3" w:rsidRDefault="00BA7DE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Governing law (</w:t>
            </w:r>
            <w:r w:rsidR="007F0EF4" w:rsidRPr="001562B3">
              <w:rPr>
                <w:rStyle w:val="InstructionsTabelleberschrift"/>
                <w:rFonts w:ascii="Times New Roman" w:hAnsi="Times New Roman"/>
                <w:sz w:val="24"/>
              </w:rPr>
              <w:t xml:space="preserve">third </w:t>
            </w:r>
            <w:r w:rsidRPr="001562B3">
              <w:rPr>
                <w:rStyle w:val="InstructionsTabelleberschrift"/>
                <w:rFonts w:ascii="Times New Roman" w:hAnsi="Times New Roman"/>
                <w:sz w:val="24"/>
              </w:rPr>
              <w:t>country)</w:t>
            </w:r>
          </w:p>
          <w:p w14:paraId="163E775F" w14:textId="518162A9" w:rsidR="00ED05AC" w:rsidRPr="001562B3" w:rsidRDefault="007F0EF4">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The third country (countries other than the countries of the EEA) the law of which governs the contract, or parts of the contract, shall be indicated.</w:t>
            </w:r>
          </w:p>
        </w:tc>
      </w:tr>
      <w:tr w:rsidR="00ED05AC" w:rsidRPr="001562B3" w14:paraId="1EDC69DC" w14:textId="77777777" w:rsidTr="00ED05AC">
        <w:tc>
          <w:tcPr>
            <w:tcW w:w="1129" w:type="dxa"/>
            <w:tcBorders>
              <w:top w:val="single" w:sz="4" w:space="0" w:color="auto"/>
              <w:left w:val="single" w:sz="4" w:space="0" w:color="auto"/>
              <w:bottom w:val="single" w:sz="4" w:space="0" w:color="auto"/>
              <w:right w:val="single" w:sz="4" w:space="0" w:color="auto"/>
            </w:tcBorders>
            <w:shd w:val="clear" w:color="auto" w:fill="auto"/>
          </w:tcPr>
          <w:p w14:paraId="224A938D" w14:textId="286052CB" w:rsidR="00ED05AC" w:rsidRPr="001562B3" w:rsidRDefault="00ED05AC" w:rsidP="00E05895">
            <w:pPr>
              <w:pStyle w:val="InstructionsText"/>
            </w:pPr>
            <w:r w:rsidRPr="001562B3">
              <w:rPr>
                <w:rStyle w:val="FormatvorlageInstructionsTabelleText"/>
                <w:rFonts w:ascii="Times New Roman" w:hAnsi="Times New Roman"/>
                <w:sz w:val="24"/>
              </w:rPr>
              <w:t>00</w:t>
            </w:r>
            <w:r w:rsidR="00F713CE"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20B400C" w14:textId="4492A66E" w:rsidR="00ED05AC" w:rsidRPr="001562B3" w:rsidRDefault="00BA7DE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Contractual recognition of write down and conversion powers</w:t>
            </w:r>
          </w:p>
          <w:p w14:paraId="613A9113" w14:textId="06FBFAD8" w:rsidR="00ED05AC" w:rsidRPr="001562B3" w:rsidRDefault="00851D10" w:rsidP="008E501F">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It shall be indicated w</w:t>
            </w:r>
            <w:r w:rsidR="005D3DC8" w:rsidRPr="001562B3">
              <w:rPr>
                <w:rStyle w:val="FormatvorlageInstructionsTabelleText"/>
                <w:rFonts w:ascii="Times New Roman" w:hAnsi="Times New Roman"/>
                <w:sz w:val="24"/>
              </w:rPr>
              <w:t xml:space="preserve">hether the </w:t>
            </w:r>
            <w:r w:rsidR="001C3A19" w:rsidRPr="001562B3">
              <w:rPr>
                <w:rStyle w:val="FormatvorlageInstructionsTabelleText"/>
                <w:rFonts w:ascii="Times New Roman" w:hAnsi="Times New Roman"/>
                <w:sz w:val="24"/>
              </w:rPr>
              <w:t xml:space="preserve">contract contains the contractual terms referred to in Article 55(1) of </w:t>
            </w:r>
            <w:r w:rsidR="00FC6662" w:rsidRPr="001562B3">
              <w:rPr>
                <w:rStyle w:val="FormatvorlageInstructionsTabelleText"/>
                <w:rFonts w:ascii="Times New Roman" w:hAnsi="Times New Roman"/>
                <w:sz w:val="24"/>
              </w:rPr>
              <w:t>Directive 2014/59/EU</w:t>
            </w:r>
            <w:r w:rsidR="001C3A19" w:rsidRPr="001562B3">
              <w:rPr>
                <w:rStyle w:val="FormatvorlageInstructionsTabelleText"/>
                <w:rFonts w:ascii="Times New Roman" w:hAnsi="Times New Roman"/>
                <w:sz w:val="24"/>
              </w:rPr>
              <w:t xml:space="preserve">, points (p) and (q) of Article 52(1) and points (n) and (o) of Article 63 </w:t>
            </w:r>
            <w:r w:rsidR="00B11263" w:rsidRPr="001562B3">
              <w:t xml:space="preserve">of </w:t>
            </w:r>
            <w:r w:rsidR="00C47ED5" w:rsidRPr="001562B3">
              <w:t>Regulation (EU) No 575/2013</w:t>
            </w:r>
            <w:r w:rsidR="001C3A19" w:rsidRPr="001562B3">
              <w:rPr>
                <w:rStyle w:val="FormatvorlageInstructionsTabelleText"/>
                <w:rFonts w:ascii="Times New Roman" w:hAnsi="Times New Roman"/>
                <w:sz w:val="24"/>
              </w:rPr>
              <w:t xml:space="preserve">. </w:t>
            </w:r>
          </w:p>
        </w:tc>
      </w:tr>
      <w:tr w:rsidR="00BA7DE2" w:rsidRPr="001562B3" w14:paraId="3CFB6F54"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642421AD" w14:textId="26FEB500" w:rsidR="00BA7DE2" w:rsidRPr="001562B3" w:rsidRDefault="00BA7DE2" w:rsidP="00E05895">
            <w:pPr>
              <w:pStyle w:val="InstructionsText"/>
            </w:pPr>
            <w:r w:rsidRPr="001562B3">
              <w:rPr>
                <w:rStyle w:val="FormatvorlageInstructionsTabelleText"/>
                <w:rFonts w:ascii="Times New Roman" w:hAnsi="Times New Roman"/>
                <w:sz w:val="24"/>
              </w:rPr>
              <w:t>00</w:t>
            </w:r>
            <w:r w:rsidR="004A66E8"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0 - 00</w:t>
            </w:r>
            <w:r w:rsidR="004A66E8" w:rsidRPr="001562B3">
              <w:rPr>
                <w:rStyle w:val="FormatvorlageInstructionsTabelleText"/>
                <w:rFonts w:ascii="Times New Roman" w:hAnsi="Times New Roman"/>
                <w:sz w:val="24"/>
              </w:rPr>
              <w:t>8</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B5452DC" w14:textId="2E76298C" w:rsidR="00BA7DE2" w:rsidRPr="001562B3" w:rsidRDefault="00BA7DE2" w:rsidP="008E501F">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sz w:val="24"/>
              </w:rPr>
              <w:t>Regulatory treatment</w:t>
            </w:r>
          </w:p>
        </w:tc>
      </w:tr>
      <w:tr w:rsidR="00BA7DE2" w:rsidRPr="001562B3" w14:paraId="0AE4E91A"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36A6DBBD" w14:textId="14728C75" w:rsidR="00BA7DE2" w:rsidRPr="001562B3" w:rsidRDefault="00BA7DE2" w:rsidP="00E05895">
            <w:pPr>
              <w:pStyle w:val="InstructionsText"/>
            </w:pPr>
            <w:r w:rsidRPr="001562B3">
              <w:rPr>
                <w:rStyle w:val="FormatvorlageInstructionsTabelleText"/>
                <w:rFonts w:ascii="Times New Roman" w:hAnsi="Times New Roman"/>
                <w:sz w:val="24"/>
              </w:rPr>
              <w:t>00</w:t>
            </w:r>
            <w:r w:rsidR="004A66E8"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CD8E21E" w14:textId="77777777" w:rsidR="00BA7DE2" w:rsidRPr="001562B3" w:rsidRDefault="00BA7DE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Type of own funds or eligible liabilities</w:t>
            </w:r>
          </w:p>
          <w:p w14:paraId="779CE017" w14:textId="78E30545" w:rsidR="00D90C26" w:rsidRPr="001562B3" w:rsidRDefault="00D90C26">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Type of own funds or eligible liabilities, as which the instrument qualifies at the reference date. Transitional provisions on the eligibility of instruments shall be taken into consideration.</w:t>
            </w:r>
            <w:r w:rsidR="00A77540" w:rsidRPr="001562B3">
              <w:rPr>
                <w:rStyle w:val="FormatvorlageInstructionsTabelleText"/>
                <w:rFonts w:ascii="Times New Roman" w:hAnsi="Times New Roman"/>
                <w:sz w:val="24"/>
              </w:rPr>
              <w:t xml:space="preserve"> Instruments that qualify for multiple capital classes shall be reported once per applicable capital class.</w:t>
            </w:r>
          </w:p>
          <w:p w14:paraId="4891BE29" w14:textId="77777777" w:rsidR="00C55DCC" w:rsidRPr="001562B3" w:rsidRDefault="00D90C26">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type of own funds or eligible liabilities shall be one of the following:</w:t>
            </w:r>
          </w:p>
          <w:p w14:paraId="1630B549" w14:textId="45078CC0" w:rsidR="00D90C26" w:rsidRPr="001562B3" w:rsidRDefault="00D90C26">
            <w:pPr>
              <w:pStyle w:val="InstructionsText"/>
              <w:numPr>
                <w:ilvl w:val="0"/>
                <w:numId w:val="25"/>
              </w:numPr>
              <w:rPr>
                <w:rStyle w:val="FormatvorlageInstructionsTabelleText"/>
                <w:rFonts w:ascii="Times New Roman" w:hAnsi="Times New Roman"/>
                <w:sz w:val="24"/>
              </w:rPr>
            </w:pPr>
            <w:r w:rsidRPr="001562B3">
              <w:rPr>
                <w:rStyle w:val="FormatvorlageInstructionsTabelleText"/>
                <w:rFonts w:ascii="Times New Roman" w:hAnsi="Times New Roman"/>
                <w:sz w:val="24"/>
              </w:rPr>
              <w:t>CET1</w:t>
            </w:r>
          </w:p>
          <w:p w14:paraId="65A77421" w14:textId="4DAF7FA2" w:rsidR="00D90C26" w:rsidRPr="001562B3" w:rsidRDefault="00D90C26">
            <w:pPr>
              <w:pStyle w:val="InstructionsText"/>
              <w:numPr>
                <w:ilvl w:val="0"/>
                <w:numId w:val="25"/>
              </w:numPr>
              <w:rPr>
                <w:rStyle w:val="FormatvorlageInstructionsTabelleText"/>
                <w:rFonts w:ascii="Times New Roman" w:hAnsi="Times New Roman"/>
                <w:sz w:val="24"/>
              </w:rPr>
            </w:pPr>
            <w:r w:rsidRPr="001562B3">
              <w:rPr>
                <w:rStyle w:val="FormatvorlageInstructionsTabelleText"/>
                <w:rFonts w:ascii="Times New Roman" w:hAnsi="Times New Roman"/>
                <w:sz w:val="24"/>
              </w:rPr>
              <w:t>Additional Tier 1</w:t>
            </w:r>
          </w:p>
          <w:p w14:paraId="641F022F" w14:textId="60C05A8B" w:rsidR="00D90C26" w:rsidRPr="001562B3" w:rsidRDefault="00D90C26">
            <w:pPr>
              <w:pStyle w:val="InstructionsText"/>
              <w:numPr>
                <w:ilvl w:val="0"/>
                <w:numId w:val="25"/>
              </w:numPr>
              <w:rPr>
                <w:rStyle w:val="FormatvorlageInstructionsTabelleText"/>
                <w:rFonts w:ascii="Times New Roman" w:hAnsi="Times New Roman"/>
                <w:sz w:val="24"/>
              </w:rPr>
            </w:pPr>
            <w:r w:rsidRPr="001562B3">
              <w:rPr>
                <w:rStyle w:val="FormatvorlageInstructionsTabelleText"/>
                <w:rFonts w:ascii="Times New Roman" w:hAnsi="Times New Roman"/>
                <w:sz w:val="24"/>
              </w:rPr>
              <w:t>Tier 2</w:t>
            </w:r>
          </w:p>
          <w:p w14:paraId="362D821A" w14:textId="06BF6F83" w:rsidR="00E97A21" w:rsidRPr="001562B3" w:rsidRDefault="00D90C26" w:rsidP="00477B96">
            <w:pPr>
              <w:pStyle w:val="InstructionsText"/>
              <w:numPr>
                <w:ilvl w:val="0"/>
                <w:numId w:val="26"/>
              </w:numPr>
              <w:rPr>
                <w:rStyle w:val="InstructionsTabelleberschrift"/>
                <w:rFonts w:ascii="Times New Roman" w:hAnsi="Times New Roman"/>
                <w:sz w:val="24"/>
              </w:rPr>
            </w:pPr>
            <w:r w:rsidRPr="001562B3">
              <w:rPr>
                <w:rStyle w:val="FormatvorlageInstructionsTabelleText"/>
                <w:rFonts w:ascii="Times New Roman" w:hAnsi="Times New Roman"/>
                <w:sz w:val="24"/>
              </w:rPr>
              <w:t>Eligible liabilities</w:t>
            </w:r>
          </w:p>
        </w:tc>
      </w:tr>
      <w:tr w:rsidR="00BA7DE2" w:rsidRPr="001562B3" w14:paraId="4DE5928C"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039A39A7" w14:textId="0983149D" w:rsidR="00BA7DE2" w:rsidRPr="001562B3" w:rsidRDefault="00BA7DE2" w:rsidP="00E05895">
            <w:pPr>
              <w:pStyle w:val="InstructionsText"/>
            </w:pPr>
            <w:r w:rsidRPr="001562B3">
              <w:rPr>
                <w:rStyle w:val="FormatvorlageInstructionsTabelleText"/>
                <w:rFonts w:ascii="Times New Roman" w:hAnsi="Times New Roman"/>
                <w:sz w:val="24"/>
              </w:rPr>
              <w:t>00</w:t>
            </w:r>
            <w:r w:rsidR="004A66E8" w:rsidRPr="001562B3">
              <w:rPr>
                <w:rStyle w:val="FormatvorlageInstructionsTabelleText"/>
                <w:rFonts w:ascii="Times New Roman" w:hAnsi="Times New Roman"/>
                <w:sz w:val="24"/>
              </w:rPr>
              <w:t>8</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EA26A6C" w14:textId="34336278" w:rsidR="00BA7DE2" w:rsidRPr="001562B3" w:rsidRDefault="00BA7DE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Instrument type</w:t>
            </w:r>
          </w:p>
          <w:p w14:paraId="4DDA8CAD" w14:textId="77777777" w:rsidR="00BA7DE2" w:rsidRPr="001562B3" w:rsidRDefault="000B7865">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type of instrument to be specified depends on the governing law under which it is issued.</w:t>
            </w:r>
          </w:p>
          <w:p w14:paraId="24055387" w14:textId="305E1E7C" w:rsidR="00D90C26" w:rsidRPr="001562B3" w:rsidRDefault="000B7865">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In case of CET1 instruments, the type of instrument shall be selected from the list of CET1 instruments published by the EBA pursuant to Article 26(3) </w:t>
            </w:r>
            <w:r w:rsidR="00B11263" w:rsidRPr="001562B3">
              <w:t xml:space="preserve">of </w:t>
            </w:r>
            <w:r w:rsidR="00C47ED5" w:rsidRPr="001562B3">
              <w:t>Regulation (EU) No 575/2013</w:t>
            </w:r>
            <w:r w:rsidRPr="001562B3">
              <w:rPr>
                <w:rStyle w:val="InstructionsTabelleberschrift"/>
                <w:rFonts w:ascii="Times New Roman" w:hAnsi="Times New Roman"/>
                <w:b w:val="0"/>
                <w:sz w:val="24"/>
                <w:u w:val="none"/>
              </w:rPr>
              <w:t xml:space="preserve">. </w:t>
            </w:r>
          </w:p>
          <w:p w14:paraId="01B312D1" w14:textId="2CE02853" w:rsidR="00E97A21" w:rsidRPr="001562B3" w:rsidRDefault="000B7865" w:rsidP="00E97A21">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In case of own funds other than CET1</w:t>
            </w:r>
            <w:r w:rsidR="00247E0B" w:rsidRPr="001562B3">
              <w:rPr>
                <w:rStyle w:val="InstructionsTabelleberschrift"/>
                <w:rFonts w:ascii="Times New Roman" w:hAnsi="Times New Roman"/>
                <w:b w:val="0"/>
                <w:sz w:val="24"/>
                <w:u w:val="none"/>
              </w:rPr>
              <w:t>,</w:t>
            </w:r>
            <w:r w:rsidRPr="001562B3">
              <w:rPr>
                <w:rStyle w:val="InstructionsTabelleberschrift"/>
                <w:rFonts w:ascii="Times New Roman" w:hAnsi="Times New Roman"/>
                <w:b w:val="0"/>
                <w:sz w:val="24"/>
                <w:u w:val="none"/>
              </w:rPr>
              <w:t xml:space="preserve"> and eligible liabilities, the type of instrument shall be selected from a list of corresponding instruments published by EBA, competent authorities or resolution authorities, where such list</w:t>
            </w:r>
            <w:r w:rsidR="00247E0B" w:rsidRPr="001562B3">
              <w:rPr>
                <w:rStyle w:val="InstructionsTabelleberschrift"/>
                <w:rFonts w:ascii="Times New Roman" w:hAnsi="Times New Roman"/>
                <w:b w:val="0"/>
                <w:sz w:val="24"/>
                <w:u w:val="none"/>
              </w:rPr>
              <w:t xml:space="preserve"> is </w:t>
            </w:r>
            <w:r w:rsidRPr="001562B3">
              <w:rPr>
                <w:rStyle w:val="InstructionsTabelleberschrift"/>
                <w:rFonts w:ascii="Times New Roman" w:hAnsi="Times New Roman"/>
                <w:b w:val="0"/>
                <w:sz w:val="24"/>
                <w:u w:val="none"/>
              </w:rPr>
              <w:t xml:space="preserve">available. </w:t>
            </w:r>
            <w:r w:rsidR="00D90C26" w:rsidRPr="001562B3">
              <w:rPr>
                <w:rStyle w:val="InstructionsTabelleberschrift"/>
                <w:rFonts w:ascii="Times New Roman" w:hAnsi="Times New Roman"/>
                <w:b w:val="0"/>
                <w:sz w:val="24"/>
                <w:u w:val="none"/>
              </w:rPr>
              <w:t xml:space="preserve">Where no lists </w:t>
            </w:r>
            <w:r w:rsidR="00247E0B" w:rsidRPr="001562B3">
              <w:rPr>
                <w:rStyle w:val="InstructionsTabelleberschrift"/>
                <w:rFonts w:ascii="Times New Roman" w:hAnsi="Times New Roman"/>
                <w:b w:val="0"/>
                <w:sz w:val="24"/>
                <w:u w:val="none"/>
              </w:rPr>
              <w:t xml:space="preserve">is </w:t>
            </w:r>
            <w:r w:rsidR="00D90C26" w:rsidRPr="001562B3">
              <w:rPr>
                <w:rStyle w:val="InstructionsTabelleberschrift"/>
                <w:rFonts w:ascii="Times New Roman" w:hAnsi="Times New Roman"/>
                <w:b w:val="0"/>
                <w:sz w:val="24"/>
                <w:u w:val="none"/>
              </w:rPr>
              <w:t>available, the reporting entity shall specify the type of instruments itself.</w:t>
            </w:r>
          </w:p>
        </w:tc>
      </w:tr>
      <w:tr w:rsidR="00BA7DE2" w:rsidRPr="001562B3" w14:paraId="16D1DDAA"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60846794" w14:textId="63EFB260" w:rsidR="00BA7DE2" w:rsidRPr="001562B3" w:rsidRDefault="00BA7DE2" w:rsidP="00E05895">
            <w:pPr>
              <w:pStyle w:val="InstructionsText"/>
            </w:pPr>
            <w:r w:rsidRPr="001562B3">
              <w:rPr>
                <w:rStyle w:val="FormatvorlageInstructionsTabelleText"/>
                <w:rFonts w:ascii="Times New Roman" w:hAnsi="Times New Roman"/>
                <w:sz w:val="24"/>
              </w:rPr>
              <w:lastRenderedPageBreak/>
              <w:t>0</w:t>
            </w:r>
            <w:r w:rsidR="004A66E8" w:rsidRPr="001562B3">
              <w:rPr>
                <w:rStyle w:val="FormatvorlageInstructionsTabelleText"/>
                <w:rFonts w:ascii="Times New Roman" w:hAnsi="Times New Roman"/>
                <w:sz w:val="24"/>
              </w:rPr>
              <w:t>09</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E9389B6" w14:textId="68E8CD97" w:rsidR="00BA7DE2" w:rsidRPr="001562B3" w:rsidRDefault="00BA7DE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Amount</w:t>
            </w:r>
          </w:p>
          <w:p w14:paraId="157078AA" w14:textId="77810698" w:rsidR="00E97A21" w:rsidRPr="001562B3" w:rsidRDefault="00C55DCC">
            <w:pPr>
              <w:pStyle w:val="InstructionsText"/>
              <w:rPr>
                <w:rStyle w:val="InstructionsTabelleberschrift"/>
                <w:rFonts w:ascii="Times New Roman" w:hAnsi="Times New Roman"/>
                <w:b w:val="0"/>
                <w:sz w:val="24"/>
                <w:u w:val="none"/>
                <w:lang w:eastAsia="en-US"/>
              </w:rPr>
            </w:pPr>
            <w:r w:rsidRPr="001562B3">
              <w:rPr>
                <w:rStyle w:val="FormatvorlageInstructionsTabelleText"/>
                <w:rFonts w:ascii="Times New Roman" w:hAnsi="Times New Roman"/>
                <w:sz w:val="24"/>
              </w:rPr>
              <w:t xml:space="preserve">The amount recognised in own funds or eligible liabilities shall be </w:t>
            </w:r>
            <w:r w:rsidR="00FD6257" w:rsidRPr="001562B3">
              <w:rPr>
                <w:rStyle w:val="FormatvorlageInstructionsTabelleText"/>
                <w:rFonts w:ascii="Times New Roman" w:hAnsi="Times New Roman"/>
                <w:sz w:val="24"/>
              </w:rPr>
              <w:t>reported</w:t>
            </w:r>
            <w:r w:rsidRPr="001562B3">
              <w:rPr>
                <w:rStyle w:val="FormatvorlageInstructionsTabelleText"/>
                <w:rFonts w:ascii="Times New Roman" w:hAnsi="Times New Roman"/>
                <w:sz w:val="24"/>
              </w:rPr>
              <w:t xml:space="preserve"> considering the level the report refers to</w:t>
            </w:r>
            <w:r w:rsidR="003256D0"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in case of instruments </w:t>
            </w:r>
            <w:r w:rsidR="00FD6257" w:rsidRPr="001562B3">
              <w:rPr>
                <w:rStyle w:val="FormatvorlageInstructionsTabelleText"/>
                <w:rFonts w:ascii="Times New Roman" w:hAnsi="Times New Roman"/>
                <w:sz w:val="24"/>
              </w:rPr>
              <w:t>included</w:t>
            </w:r>
            <w:r w:rsidRPr="001562B3">
              <w:rPr>
                <w:rStyle w:val="FormatvorlageInstructionsTabelleText"/>
                <w:rFonts w:ascii="Times New Roman" w:hAnsi="Times New Roman"/>
                <w:sz w:val="24"/>
              </w:rPr>
              <w:t xml:space="preserve"> </w:t>
            </w:r>
            <w:r w:rsidR="00FD6257" w:rsidRPr="001562B3">
              <w:rPr>
                <w:rStyle w:val="FormatvorlageInstructionsTabelleText"/>
                <w:rFonts w:ascii="Times New Roman" w:hAnsi="Times New Roman"/>
                <w:sz w:val="24"/>
              </w:rPr>
              <w:t>at multiple levels. The amount shall be the amount relevant at</w:t>
            </w:r>
            <w:r w:rsidRPr="001562B3">
              <w:rPr>
                <w:rStyle w:val="FormatvorlageInstructionsTabelleText"/>
                <w:rFonts w:ascii="Times New Roman" w:hAnsi="Times New Roman"/>
                <w:sz w:val="24"/>
              </w:rPr>
              <w:t xml:space="preserve"> the reference</w:t>
            </w:r>
            <w:r w:rsidR="00FD6257" w:rsidRPr="001562B3">
              <w:rPr>
                <w:rStyle w:val="FormatvorlageInstructionsTabelleText"/>
                <w:rFonts w:ascii="Times New Roman" w:hAnsi="Times New Roman"/>
                <w:sz w:val="24"/>
              </w:rPr>
              <w:t xml:space="preserve"> date, considering the</w:t>
            </w:r>
            <w:r w:rsidRPr="001562B3">
              <w:rPr>
                <w:rStyle w:val="FormatvorlageInstructionsTabelleText"/>
                <w:rFonts w:ascii="Times New Roman" w:hAnsi="Times New Roman"/>
                <w:sz w:val="24"/>
              </w:rPr>
              <w:t xml:space="preserve"> effect of transitional provisions.</w:t>
            </w:r>
            <w:r w:rsidR="00FD6257" w:rsidRPr="001562B3">
              <w:rPr>
                <w:rStyle w:val="FormatvorlageInstructionsTabelleText"/>
                <w:rFonts w:ascii="Times New Roman" w:hAnsi="Times New Roman"/>
                <w:sz w:val="24"/>
              </w:rPr>
              <w:t xml:space="preserve"> </w:t>
            </w:r>
          </w:p>
        </w:tc>
      </w:tr>
      <w:tr w:rsidR="00BA7DE2" w:rsidRPr="001562B3" w14:paraId="6525546F"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4CF95482" w14:textId="01832B68" w:rsidR="00BA7DE2" w:rsidRPr="001562B3" w:rsidRDefault="00BA7DE2" w:rsidP="00E05895">
            <w:pPr>
              <w:pStyle w:val="InstructionsText"/>
            </w:pPr>
            <w:r w:rsidRPr="001562B3">
              <w:rPr>
                <w:rStyle w:val="FormatvorlageInstructionsTabelleText"/>
                <w:rFonts w:ascii="Times New Roman" w:hAnsi="Times New Roman"/>
                <w:sz w:val="24"/>
              </w:rPr>
              <w:t>01</w:t>
            </w:r>
            <w:r w:rsidR="004A66E8" w:rsidRPr="001562B3">
              <w:rPr>
                <w:rStyle w:val="FormatvorlageInstructionsTabelleText"/>
                <w:rFonts w:ascii="Times New Roman" w:hAnsi="Times New Roman"/>
                <w:sz w:val="24"/>
              </w:rPr>
              <w:t>0</w:t>
            </w:r>
            <w:r w:rsidRPr="001562B3">
              <w:rPr>
                <w:rStyle w:val="FormatvorlageInstructionsTabelleText"/>
                <w:rFonts w:ascii="Times New Roman" w:hAnsi="Times New Roman"/>
                <w:sz w:val="24"/>
              </w:rPr>
              <w:t>0</w:t>
            </w:r>
            <w:r w:rsidR="0087315C" w:rsidRPr="001562B3">
              <w:rPr>
                <w:rStyle w:val="FormatvorlageInstructionsTabelleText"/>
                <w:rFonts w:ascii="Times New Roman" w:hAnsi="Times New Roman"/>
                <w:sz w:val="24"/>
              </w:rPr>
              <w:t xml:space="preserve"> – 0110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532478C" w14:textId="2024E317" w:rsidR="00BA7DE2" w:rsidRPr="001562B3" w:rsidRDefault="00BA7DE2"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Rank in normal insolvency proceedings</w:t>
            </w:r>
          </w:p>
          <w:p w14:paraId="00049CE6" w14:textId="77777777" w:rsidR="0015243E" w:rsidRPr="001562B3" w:rsidRDefault="0015243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ranking of the instrument in normal insolvency proceedings shall be specified. </w:t>
            </w:r>
          </w:p>
          <w:p w14:paraId="41FD6A13" w14:textId="77777777" w:rsidR="00722C11" w:rsidRPr="001562B3" w:rsidRDefault="0015243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It shall consist of the two letter ISO code of the country the law of which governs the </w:t>
            </w:r>
            <w:r w:rsidR="00E37B58" w:rsidRPr="001562B3">
              <w:rPr>
                <w:rStyle w:val="FormatvorlageInstructionsTabelleText"/>
                <w:rFonts w:ascii="Times New Roman" w:hAnsi="Times New Roman"/>
                <w:sz w:val="24"/>
              </w:rPr>
              <w:t xml:space="preserve">ranking of the </w:t>
            </w:r>
            <w:r w:rsidRPr="001562B3">
              <w:rPr>
                <w:rStyle w:val="FormatvorlageInstructionsTabelleText"/>
                <w:rFonts w:ascii="Times New Roman" w:hAnsi="Times New Roman"/>
                <w:sz w:val="24"/>
              </w:rPr>
              <w:t>contract</w:t>
            </w:r>
            <w:r w:rsidR="0087315C" w:rsidRPr="001562B3">
              <w:rPr>
                <w:rStyle w:val="FormatvorlageInstructionsTabelleText"/>
                <w:rFonts w:ascii="Times New Roman" w:hAnsi="Times New Roman"/>
                <w:sz w:val="24"/>
              </w:rPr>
              <w:t xml:space="preserve"> (column 0100)</w:t>
            </w:r>
            <w:r w:rsidR="00E37B58" w:rsidRPr="001562B3">
              <w:rPr>
                <w:rStyle w:val="FormatvorlageInstructionsTabelleText"/>
                <w:rFonts w:ascii="Times New Roman" w:hAnsi="Times New Roman"/>
                <w:sz w:val="24"/>
              </w:rPr>
              <w:t>, which shall be the law of a Member State,</w:t>
            </w:r>
            <w:r w:rsidRPr="001562B3">
              <w:rPr>
                <w:rStyle w:val="FormatvorlageInstructionsTabelleText"/>
                <w:rFonts w:ascii="Times New Roman" w:hAnsi="Times New Roman"/>
                <w:sz w:val="24"/>
              </w:rPr>
              <w:t xml:space="preserve"> and the number of the relevant insolvency rank</w:t>
            </w:r>
            <w:r w:rsidR="0087315C" w:rsidRPr="001562B3">
              <w:rPr>
                <w:rStyle w:val="FormatvorlageInstructionsTabelleText"/>
                <w:rFonts w:ascii="Times New Roman" w:hAnsi="Times New Roman"/>
                <w:sz w:val="24"/>
              </w:rPr>
              <w:t xml:space="preserve"> (column 0110)</w:t>
            </w:r>
            <w:r w:rsidRPr="001562B3">
              <w:rPr>
                <w:rStyle w:val="FormatvorlageInstructionsTabelleText"/>
                <w:rFonts w:ascii="Times New Roman" w:hAnsi="Times New Roman"/>
                <w:sz w:val="24"/>
              </w:rPr>
              <w:t xml:space="preserve">. </w:t>
            </w:r>
          </w:p>
          <w:p w14:paraId="1F24E301" w14:textId="06E1D9AE" w:rsidR="00C23169" w:rsidRPr="001562B3" w:rsidRDefault="0015243E" w:rsidP="00C23169">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 xml:space="preserve">The relevant insolvency rank shall be determined based on the insolvency rankings published by resolution </w:t>
            </w:r>
            <w:r w:rsidR="00B826B4" w:rsidRPr="001562B3">
              <w:rPr>
                <w:rStyle w:val="FormatvorlageInstructionsTabelleText"/>
                <w:rFonts w:ascii="Times New Roman" w:hAnsi="Times New Roman"/>
                <w:sz w:val="24"/>
              </w:rPr>
              <w:t xml:space="preserve">or other </w:t>
            </w:r>
            <w:r w:rsidRPr="001562B3">
              <w:rPr>
                <w:rStyle w:val="FormatvorlageInstructionsTabelleText"/>
                <w:rFonts w:ascii="Times New Roman" w:hAnsi="Times New Roman"/>
                <w:sz w:val="24"/>
              </w:rPr>
              <w:t>authorities</w:t>
            </w:r>
            <w:r w:rsidR="00B826B4" w:rsidRPr="001562B3">
              <w:rPr>
                <w:rStyle w:val="FormatvorlageInstructionsTabelleText"/>
                <w:rFonts w:ascii="Times New Roman" w:hAnsi="Times New Roman"/>
                <w:sz w:val="24"/>
              </w:rPr>
              <w:t>, where such a standardised list is available</w:t>
            </w:r>
            <w:r w:rsidRPr="001562B3">
              <w:rPr>
                <w:rStyle w:val="FormatvorlageInstructionsTabelleText"/>
                <w:rFonts w:ascii="Times New Roman" w:hAnsi="Times New Roman"/>
                <w:sz w:val="24"/>
              </w:rPr>
              <w:t>.</w:t>
            </w:r>
          </w:p>
        </w:tc>
      </w:tr>
      <w:tr w:rsidR="00C814BF" w:rsidRPr="001562B3" w14:paraId="2B6CC2DC"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3A22952C" w14:textId="2C8B23BE" w:rsidR="00C814BF" w:rsidRPr="001562B3" w:rsidRDefault="00C814BF" w:rsidP="00E05895">
            <w:pPr>
              <w:pStyle w:val="InstructionsText"/>
            </w:pPr>
            <w:r w:rsidRPr="001562B3">
              <w:rPr>
                <w:rStyle w:val="FormatvorlageInstructionsTabelleText"/>
                <w:rFonts w:ascii="Times New Roman" w:hAnsi="Times New Roman"/>
                <w:sz w:val="24"/>
              </w:rPr>
              <w:t>01</w:t>
            </w:r>
            <w:r w:rsidR="00722C11"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5A34F44" w14:textId="691ECB95" w:rsidR="00C814BF" w:rsidRPr="001562B3" w:rsidRDefault="00C814BF"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Maturity</w:t>
            </w:r>
          </w:p>
          <w:p w14:paraId="5BC18DE0" w14:textId="111D094F" w:rsidR="00C814BF" w:rsidRPr="001562B3" w:rsidRDefault="00C814BF" w:rsidP="00C23169">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The maturity of the instrument shall be reported in the following format: dd/mm/yyyy. In case of perpetual instruments, </w:t>
            </w:r>
            <w:r w:rsidR="0090259E" w:rsidRPr="001562B3">
              <w:rPr>
                <w:rStyle w:val="FormatvorlageInstructionsTabelleText"/>
                <w:rFonts w:ascii="Times New Roman" w:hAnsi="Times New Roman"/>
                <w:sz w:val="24"/>
              </w:rPr>
              <w:t>the cell shall be left empty.</w:t>
            </w:r>
          </w:p>
        </w:tc>
      </w:tr>
      <w:tr w:rsidR="00C814BF" w:rsidRPr="001562B3" w14:paraId="2D3C1A56"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0E48BA34" w14:textId="70E6F302" w:rsidR="00C814BF" w:rsidRPr="001562B3" w:rsidRDefault="00C814BF" w:rsidP="00E05895">
            <w:pPr>
              <w:pStyle w:val="InstructionsText"/>
            </w:pPr>
            <w:r w:rsidRPr="001562B3">
              <w:rPr>
                <w:rStyle w:val="FormatvorlageInstructionsTabelleText"/>
                <w:rFonts w:ascii="Times New Roman" w:hAnsi="Times New Roman"/>
                <w:sz w:val="24"/>
              </w:rPr>
              <w:t>01</w:t>
            </w:r>
            <w:r w:rsidR="00722C11"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12A1D75" w14:textId="3E4DF5A2" w:rsidR="00C814BF" w:rsidRPr="001562B3" w:rsidRDefault="0090259E"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(First) Call date</w:t>
            </w:r>
          </w:p>
          <w:p w14:paraId="6C93237B" w14:textId="044F8666" w:rsidR="00F65BB7" w:rsidRPr="001562B3" w:rsidRDefault="0090259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Where the issuer possesses a call option, the first date at which the call can be exercised shall be reported.</w:t>
            </w:r>
          </w:p>
          <w:p w14:paraId="1F0D3195" w14:textId="0EC677E5" w:rsidR="00F65BB7" w:rsidRPr="001562B3" w:rsidRDefault="00F65BB7">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If the first call date has occurred prior to the reference date, that date shall be reported if the call is still exercisable. If it is not exercisable anymore, the next date at which the call be exercised shall be reported.</w:t>
            </w:r>
          </w:p>
          <w:p w14:paraId="180F0F72" w14:textId="0990A68B" w:rsidR="00C814BF" w:rsidRPr="001562B3" w:rsidRDefault="0090259E">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In case of issuer call options with unspecified exercise date or call options triggered by specific events, the conservatively estimated likely call date shall be </w:t>
            </w:r>
            <w:r w:rsidR="002C7993" w:rsidRPr="001562B3">
              <w:rPr>
                <w:rStyle w:val="FormatvorlageInstructionsTabelleText"/>
                <w:rFonts w:ascii="Times New Roman" w:hAnsi="Times New Roman"/>
                <w:sz w:val="24"/>
              </w:rPr>
              <w:t>reported</w:t>
            </w:r>
            <w:r w:rsidRPr="001562B3">
              <w:rPr>
                <w:rStyle w:val="FormatvorlageInstructionsTabelleText"/>
                <w:rFonts w:ascii="Times New Roman" w:hAnsi="Times New Roman"/>
                <w:sz w:val="24"/>
              </w:rPr>
              <w:t>.</w:t>
            </w:r>
          </w:p>
          <w:p w14:paraId="171C2174" w14:textId="43DB211C" w:rsidR="00C23169" w:rsidRPr="001562B3" w:rsidRDefault="00FC7E0D" w:rsidP="00C23169">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Regulatory or tax calls </w:t>
            </w:r>
            <w:r w:rsidR="002A2036" w:rsidRPr="001562B3">
              <w:rPr>
                <w:rStyle w:val="FormatvorlageInstructionsTabelleText"/>
                <w:rFonts w:ascii="Times New Roman" w:hAnsi="Times New Roman"/>
                <w:sz w:val="24"/>
              </w:rPr>
              <w:t>options</w:t>
            </w:r>
            <w:r w:rsidRPr="001562B3">
              <w:rPr>
                <w:rStyle w:val="FormatvorlageInstructionsTabelleText"/>
                <w:rFonts w:ascii="Times New Roman" w:hAnsi="Times New Roman"/>
                <w:sz w:val="24"/>
              </w:rPr>
              <w:t xml:space="preserve"> shall not be </w:t>
            </w:r>
            <w:r w:rsidR="000A3F45" w:rsidRPr="001562B3">
              <w:rPr>
                <w:rStyle w:val="FormatvorlageInstructionsTabelleText"/>
                <w:rFonts w:ascii="Times New Roman" w:hAnsi="Times New Roman"/>
                <w:sz w:val="24"/>
              </w:rPr>
              <w:t>considered for the purposes of</w:t>
            </w:r>
            <w:r w:rsidRPr="001562B3">
              <w:rPr>
                <w:rStyle w:val="FormatvorlageInstructionsTabelleText"/>
                <w:rFonts w:ascii="Times New Roman" w:hAnsi="Times New Roman"/>
                <w:sz w:val="24"/>
              </w:rPr>
              <w:t xml:space="preserve"> this column.</w:t>
            </w:r>
          </w:p>
        </w:tc>
      </w:tr>
      <w:tr w:rsidR="005E573A" w:rsidRPr="00486575" w14:paraId="00B4BF30"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58C2367C" w14:textId="67057C66" w:rsidR="005E573A" w:rsidRPr="001562B3" w:rsidRDefault="005E573A" w:rsidP="00E05895">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w:t>
            </w:r>
            <w:r w:rsidR="00722C11" w:rsidRPr="001562B3">
              <w:rPr>
                <w:rStyle w:val="FormatvorlageInstructionsTabelleText"/>
                <w:rFonts w:ascii="Times New Roman" w:hAnsi="Times New Roman"/>
                <w:sz w:val="24"/>
              </w:rPr>
              <w:t>4</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935B27A" w14:textId="0A8E16B4" w:rsidR="005E573A" w:rsidRPr="001562B3" w:rsidRDefault="005E573A" w:rsidP="008E501F">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Regulatory call</w:t>
            </w:r>
            <w:r w:rsidR="00442F6E" w:rsidRPr="001562B3">
              <w:rPr>
                <w:rStyle w:val="InstructionsTabelleberschrift"/>
                <w:rFonts w:ascii="Times New Roman" w:hAnsi="Times New Roman"/>
                <w:sz w:val="24"/>
              </w:rPr>
              <w:t xml:space="preserve"> (Y/N)</w:t>
            </w:r>
          </w:p>
          <w:p w14:paraId="2DB12A69" w14:textId="0ACA0878" w:rsidR="00C23169" w:rsidRPr="00486575" w:rsidRDefault="0087315C">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It shall be indicated w</w:t>
            </w:r>
            <w:r w:rsidR="005E573A" w:rsidRPr="001562B3">
              <w:rPr>
                <w:rStyle w:val="InstructionsTabelleberschrift"/>
                <w:rFonts w:ascii="Times New Roman" w:hAnsi="Times New Roman"/>
                <w:b w:val="0"/>
                <w:sz w:val="24"/>
                <w:u w:val="none"/>
              </w:rPr>
              <w:t xml:space="preserve">hether the </w:t>
            </w:r>
            <w:r w:rsidR="005E573A" w:rsidRPr="001562B3">
              <w:rPr>
                <w:rStyle w:val="FormatvorlageInstructionsTabelleText"/>
                <w:rFonts w:ascii="Times New Roman" w:hAnsi="Times New Roman"/>
                <w:sz w:val="24"/>
              </w:rPr>
              <w:t>issuer possesses a call option exercisable upon the occurrence of a regulatory event affecting the eligibility of the contract to MREL</w:t>
            </w:r>
            <w:r w:rsidR="00B83F8E" w:rsidRPr="001562B3">
              <w:rPr>
                <w:rStyle w:val="FormatvorlageInstructionsTabelleText"/>
                <w:rFonts w:ascii="Times New Roman" w:hAnsi="Times New Roman"/>
                <w:sz w:val="24"/>
              </w:rPr>
              <w:t>.</w:t>
            </w:r>
          </w:p>
        </w:tc>
      </w:tr>
    </w:tbl>
    <w:p w14:paraId="283DBBE4" w14:textId="2A62BC6F" w:rsidR="007C10D9" w:rsidRPr="00486575" w:rsidRDefault="007C10D9" w:rsidP="004A66E8">
      <w:pPr>
        <w:rPr>
          <w:rStyle w:val="InstructionsTabelleText"/>
          <w:rFonts w:ascii="Times New Roman" w:hAnsi="Times New Roman"/>
          <w:sz w:val="24"/>
        </w:rPr>
      </w:pPr>
    </w:p>
    <w:sectPr w:rsidR="007C10D9" w:rsidRPr="00486575" w:rsidSect="00B51F42">
      <w:footerReference w:type="even" r:id="rId10"/>
      <w:footerReference w:type="default" r:id="rId11"/>
      <w:headerReference w:type="first" r:id="rId12"/>
      <w:endnotePr>
        <w:numFmt w:val="decimal"/>
      </w:endnotePr>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E0AB3" w16cid:durableId="210F9F27"/>
  <w16cid:commentId w16cid:paraId="7229F5A8" w16cid:durableId="210F92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D6857" w14:textId="77777777" w:rsidR="009D2B1C" w:rsidRDefault="009D2B1C" w:rsidP="00D946DB">
      <w:pPr>
        <w:spacing w:before="0" w:after="0"/>
      </w:pPr>
      <w:r>
        <w:separator/>
      </w:r>
    </w:p>
  </w:endnote>
  <w:endnote w:type="continuationSeparator" w:id="0">
    <w:p w14:paraId="7FBF89A6" w14:textId="77777777" w:rsidR="009D2B1C" w:rsidRDefault="009D2B1C" w:rsidP="00D946DB">
      <w:pPr>
        <w:spacing w:before="0" w:after="0"/>
      </w:pPr>
      <w:r>
        <w:continuationSeparator/>
      </w:r>
    </w:p>
  </w:endnote>
  <w:endnote w:type="continuationNotice" w:id="1">
    <w:p w14:paraId="00F85D04" w14:textId="77777777" w:rsidR="009D2B1C" w:rsidRDefault="009D2B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40065"/>
      <w:docPartObj>
        <w:docPartGallery w:val="Page Numbers (Bottom of Page)"/>
        <w:docPartUnique/>
      </w:docPartObj>
    </w:sdtPr>
    <w:sdtEndPr>
      <w:rPr>
        <w:noProof/>
      </w:rPr>
    </w:sdtEndPr>
    <w:sdtContent>
      <w:p w14:paraId="43F42CE0" w14:textId="62812606" w:rsidR="009D2B1C" w:rsidRDefault="009D2B1C" w:rsidP="00684E72">
        <w:pPr>
          <w:pStyle w:val="Footer"/>
          <w:jc w:val="center"/>
        </w:pPr>
        <w:r>
          <w:fldChar w:fldCharType="begin"/>
        </w:r>
        <w:r>
          <w:instrText xml:space="preserve"> PAGE   \* MERGEFORMAT </w:instrText>
        </w:r>
        <w:r>
          <w:fldChar w:fldCharType="separate"/>
        </w:r>
        <w:r w:rsidR="00DB517D">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DC3A" w14:textId="77777777" w:rsidR="009D2B1C" w:rsidRDefault="009D2B1C">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47A2770F" w14:textId="77777777" w:rsidR="009D2B1C" w:rsidRDefault="009D2B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C299" w14:textId="3A824D57" w:rsidR="009D2B1C" w:rsidRPr="00ED1956" w:rsidRDefault="009D2B1C">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DB517D">
      <w:rPr>
        <w:rFonts w:ascii="Times New Roman" w:hAnsi="Times New Roman"/>
        <w:noProof/>
        <w:sz w:val="20"/>
        <w:szCs w:val="20"/>
      </w:rPr>
      <w:t>21</w:t>
    </w:r>
    <w:r w:rsidRPr="00ED1956">
      <w:rPr>
        <w:rFonts w:ascii="Times New Roman" w:hAnsi="Times New Roman"/>
        <w:sz w:val="20"/>
        <w:szCs w:val="20"/>
      </w:rPr>
      <w:fldChar w:fldCharType="end"/>
    </w:r>
  </w:p>
  <w:p w14:paraId="1DE3368F" w14:textId="77777777" w:rsidR="009D2B1C" w:rsidRPr="00A772B4" w:rsidRDefault="009D2B1C"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A497F" w14:textId="77777777" w:rsidR="009D2B1C" w:rsidRDefault="009D2B1C" w:rsidP="00D946DB">
      <w:pPr>
        <w:spacing w:before="0" w:after="0"/>
      </w:pPr>
      <w:r>
        <w:separator/>
      </w:r>
    </w:p>
  </w:footnote>
  <w:footnote w:type="continuationSeparator" w:id="0">
    <w:p w14:paraId="052B163D" w14:textId="77777777" w:rsidR="009D2B1C" w:rsidRDefault="009D2B1C" w:rsidP="00D946DB">
      <w:pPr>
        <w:spacing w:before="0" w:after="0"/>
      </w:pPr>
      <w:r>
        <w:continuationSeparator/>
      </w:r>
    </w:p>
  </w:footnote>
  <w:footnote w:type="continuationNotice" w:id="1">
    <w:p w14:paraId="76C32EE3" w14:textId="77777777" w:rsidR="009D2B1C" w:rsidRDefault="009D2B1C">
      <w:pPr>
        <w:spacing w:before="0" w:after="0"/>
      </w:pPr>
    </w:p>
  </w:footnote>
  <w:footnote w:id="2">
    <w:p w14:paraId="72185E6E" w14:textId="77777777" w:rsidR="009D2B1C" w:rsidRPr="00B33C46" w:rsidRDefault="009D2B1C" w:rsidP="006876BA">
      <w:pPr>
        <w:pStyle w:val="FootnoteText"/>
        <w:rPr>
          <w:lang w:val="en-IE"/>
        </w:rPr>
      </w:pPr>
      <w:r>
        <w:rPr>
          <w:rStyle w:val="FootnoteReference"/>
        </w:rPr>
        <w:footnoteRef/>
      </w:r>
      <w:r>
        <w:t xml:space="preserve">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w:t>
      </w:r>
      <w:r>
        <w:rPr>
          <w:lang w:val="en-IE"/>
        </w:rPr>
        <w:t>(</w:t>
      </w:r>
      <w:r>
        <w:t>OJ L 173, 12.6.2014, p. 190</w:t>
      </w:r>
      <w:r>
        <w:rPr>
          <w:lang w:val="en-IE"/>
        </w:rPr>
        <w:t>).</w:t>
      </w:r>
    </w:p>
  </w:footnote>
  <w:footnote w:id="3">
    <w:p w14:paraId="1E07EC4E" w14:textId="77777777" w:rsidR="009D2B1C" w:rsidRPr="00B33C46" w:rsidRDefault="009D2B1C" w:rsidP="006876BA">
      <w:pPr>
        <w:pStyle w:val="FootnoteText"/>
        <w:rPr>
          <w:lang w:val="en-IE"/>
        </w:rPr>
      </w:pPr>
      <w:r>
        <w:rPr>
          <w:rStyle w:val="FootnoteReference"/>
        </w:rPr>
        <w:footnoteRef/>
      </w:r>
      <w:r>
        <w:t xml:space="preserve"> Regulation (EU) No 575/2013 of the European Parliament and of the Council of 26 June 2013 on prudential requirements for credit institutions and investment firms and amending Regulation (EU) No 648/2012 </w:t>
      </w:r>
      <w:r>
        <w:rPr>
          <w:lang w:val="en-IE"/>
        </w:rPr>
        <w:t>(</w:t>
      </w:r>
      <w:r>
        <w:t>OJ L 176, 27.6.2013, p. 1</w:t>
      </w:r>
      <w:r>
        <w:rPr>
          <w:lang w:val="en-IE"/>
        </w:rPr>
        <w:t>).</w:t>
      </w:r>
    </w:p>
  </w:footnote>
  <w:footnote w:id="4">
    <w:p w14:paraId="1AE3BE26" w14:textId="5BB9534A" w:rsidR="009D2B1C" w:rsidRPr="001562B3" w:rsidRDefault="009D2B1C" w:rsidP="009D5DA0">
      <w:pPr>
        <w:pStyle w:val="FootnoteText"/>
        <w:rPr>
          <w:lang w:val="en-IE"/>
        </w:rPr>
      </w:pPr>
      <w:r>
        <w:rPr>
          <w:rStyle w:val="FootnoteReference"/>
        </w:rPr>
        <w:footnoteRef/>
      </w:r>
      <w:r>
        <w:t xml:space="preserve"> </w:t>
      </w:r>
      <w:r>
        <w:tab/>
        <w:t>Commission Implementing Regulation (EU) 2018/1624 of 23 October 2018 laying down implementing technical standards with regard to procedures and standard forms and templates for the provision of information for the purposes of resolution plans for credit institutions and investment firms pursuant to Directive 2014/59/EU of the European Parliament and of the Council, and repealing Commission Implementing Regulation (EU) 2016/1066 (OJ L 277, 7.11.2018, p. 1</w:t>
      </w:r>
      <w:r>
        <w:rPr>
          <w:lang w:val="en-IE"/>
        </w:rPr>
        <w:t>).</w:t>
      </w:r>
    </w:p>
  </w:footnote>
  <w:footnote w:id="5">
    <w:p w14:paraId="692FB9C1" w14:textId="77777777" w:rsidR="009D2B1C" w:rsidRPr="00B33C46" w:rsidRDefault="009D2B1C" w:rsidP="006876BA">
      <w:pPr>
        <w:pStyle w:val="FootnoteText"/>
        <w:rPr>
          <w:lang w:val="en-IE"/>
        </w:rPr>
      </w:pPr>
      <w:r>
        <w:rPr>
          <w:rStyle w:val="FootnoteReference"/>
        </w:rPr>
        <w:footnoteRef/>
      </w:r>
      <w:r>
        <w:t xml:space="preserve">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w:t>
      </w:r>
      <w:r>
        <w:rPr>
          <w:lang w:val="en-IE"/>
        </w:rPr>
        <w:t>(</w:t>
      </w:r>
      <w:r>
        <w:t>OJ L 176, 27.6.2013, p. 338</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EB19" w14:textId="352FC303" w:rsidR="009D2B1C" w:rsidRDefault="009D2B1C" w:rsidP="00684E72">
    <w:pPr>
      <w:pStyle w:val="Header"/>
      <w:jc w:val="center"/>
      <w:rPr>
        <w:lang w:val="en-GB"/>
      </w:rPr>
    </w:pPr>
    <w:r>
      <w:rPr>
        <w:lang w:val="en-GB"/>
      </w:rPr>
      <w:t>EN</w:t>
    </w:r>
  </w:p>
  <w:p w14:paraId="04590A15" w14:textId="7108A704" w:rsidR="009D2B1C" w:rsidRPr="00684E72" w:rsidRDefault="009D2B1C" w:rsidP="00684E72">
    <w:pPr>
      <w:pStyle w:val="Header"/>
      <w:jc w:val="center"/>
      <w:rPr>
        <w:lang w:val="en-GB"/>
      </w:rPr>
    </w:pPr>
    <w:r>
      <w:rPr>
        <w:lang w:val="en-GB"/>
      </w:rPr>
      <w:t>Annex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AC87" w14:textId="77777777" w:rsidR="009D2B1C" w:rsidRDefault="009D2B1C">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35F1A"/>
    <w:multiLevelType w:val="hybridMultilevel"/>
    <w:tmpl w:val="42843F52"/>
    <w:lvl w:ilvl="0" w:tplc="FCDAE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3" w15:restartNumberingAfterBreak="0">
    <w:nsid w:val="149D056D"/>
    <w:multiLevelType w:val="hybridMultilevel"/>
    <w:tmpl w:val="40F6A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97287"/>
    <w:multiLevelType w:val="multilevel"/>
    <w:tmpl w:val="7DFA3C5C"/>
    <w:lvl w:ilvl="0">
      <w:start w:val="1"/>
      <w:numFmt w:val="decimal"/>
      <w:pStyle w:val="Numberedtilele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F211A"/>
    <w:multiLevelType w:val="hybridMultilevel"/>
    <w:tmpl w:val="299CC482"/>
    <w:lvl w:ilvl="0" w:tplc="6BF2B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45D18"/>
    <w:multiLevelType w:val="hybridMultilevel"/>
    <w:tmpl w:val="3BE2C7B8"/>
    <w:lvl w:ilvl="0" w:tplc="D47C1E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1F497260"/>
    <w:multiLevelType w:val="hybridMultilevel"/>
    <w:tmpl w:val="32068DBA"/>
    <w:lvl w:ilvl="0" w:tplc="77C667F8">
      <w:start w:val="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77F6C"/>
    <w:multiLevelType w:val="hybridMultilevel"/>
    <w:tmpl w:val="5EDEBE54"/>
    <w:lvl w:ilvl="0" w:tplc="B40E2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4A3D6B"/>
    <w:multiLevelType w:val="hybridMultilevel"/>
    <w:tmpl w:val="AE94D732"/>
    <w:lvl w:ilvl="0" w:tplc="1B1AF91E">
      <w:start w:val="7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E4B17"/>
    <w:multiLevelType w:val="hybridMultilevel"/>
    <w:tmpl w:val="42843F52"/>
    <w:lvl w:ilvl="0" w:tplc="FCDAE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D7F02"/>
    <w:multiLevelType w:val="multilevel"/>
    <w:tmpl w:val="0407001D"/>
    <w:numStyleLink w:val="Formatvorlage3"/>
  </w:abstractNum>
  <w:abstractNum w:abstractNumId="14" w15:restartNumberingAfterBreak="0">
    <w:nsid w:val="33057CB8"/>
    <w:multiLevelType w:val="hybridMultilevel"/>
    <w:tmpl w:val="5FFCDC46"/>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5"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393379"/>
    <w:multiLevelType w:val="hybridMultilevel"/>
    <w:tmpl w:val="21E4A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1E1073F"/>
    <w:multiLevelType w:val="hybridMultilevel"/>
    <w:tmpl w:val="5EDEBE54"/>
    <w:lvl w:ilvl="0" w:tplc="B40E2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F5198"/>
    <w:multiLevelType w:val="hybridMultilevel"/>
    <w:tmpl w:val="5EDEBE54"/>
    <w:lvl w:ilvl="0" w:tplc="B40E2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13AEB"/>
    <w:multiLevelType w:val="hybridMultilevel"/>
    <w:tmpl w:val="F748321A"/>
    <w:lvl w:ilvl="0" w:tplc="1B1AF91E">
      <w:start w:val="72"/>
      <w:numFmt w:val="bullet"/>
      <w:lvlText w:val="-"/>
      <w:lvlJc w:val="left"/>
      <w:pPr>
        <w:ind w:left="720" w:hanging="360"/>
      </w:pPr>
      <w:rPr>
        <w:rFonts w:ascii="Times New Roman" w:eastAsia="Times New Roman" w:hAnsi="Times New Roman" w:cs="Times New Roman" w:hint="default"/>
      </w:rPr>
    </w:lvl>
    <w:lvl w:ilvl="1" w:tplc="77C667F8">
      <w:start w:val="40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227369"/>
    <w:multiLevelType w:val="hybridMultilevel"/>
    <w:tmpl w:val="8E7A791A"/>
    <w:lvl w:ilvl="0" w:tplc="4A2A8390">
      <w:start w:val="1"/>
      <w:numFmt w:val="decimal"/>
      <w:pStyle w:val="numberedparagraph"/>
      <w:lvlText w:val="%1."/>
      <w:lvlJc w:val="left"/>
      <w:pPr>
        <w:tabs>
          <w:tab w:val="num" w:pos="710"/>
        </w:tabs>
        <w:ind w:left="710" w:hanging="284"/>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5B9A7FCC"/>
    <w:multiLevelType w:val="hybridMultilevel"/>
    <w:tmpl w:val="592C6906"/>
    <w:lvl w:ilvl="0" w:tplc="EC2E668A">
      <w:numFmt w:val="bullet"/>
      <w:lvlText w:val="-"/>
      <w:lvlJc w:val="left"/>
      <w:pPr>
        <w:ind w:left="720" w:hanging="360"/>
      </w:pPr>
      <w:rPr>
        <w:rFonts w:ascii="Verdana" w:eastAsia="Arial"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D6A0277"/>
    <w:multiLevelType w:val="multilevel"/>
    <w:tmpl w:val="687840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6D4728"/>
    <w:multiLevelType w:val="hybridMultilevel"/>
    <w:tmpl w:val="03BEE07C"/>
    <w:lvl w:ilvl="0" w:tplc="77C667F8">
      <w:start w:val="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32" w15:restartNumberingAfterBreak="0">
    <w:nsid w:val="67BB4607"/>
    <w:multiLevelType w:val="hybridMultilevel"/>
    <w:tmpl w:val="8388598C"/>
    <w:lvl w:ilvl="0" w:tplc="7340D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5" w15:restartNumberingAfterBreak="0">
    <w:nsid w:val="6BCD57BB"/>
    <w:multiLevelType w:val="multilevel"/>
    <w:tmpl w:val="69AA11E8"/>
    <w:lvl w:ilvl="0">
      <w:start w:val="1"/>
      <w:numFmt w:val="decimal"/>
      <w:lvlText w:val="%1."/>
      <w:lvlJc w:val="left"/>
      <w:pPr>
        <w:ind w:left="0" w:firstLine="0"/>
      </w:pPr>
      <w:rPr>
        <w:rFonts w:asciiTheme="majorHAnsi" w:hAnsiTheme="majorHAnsi"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F734B1"/>
    <w:multiLevelType w:val="hybridMultilevel"/>
    <w:tmpl w:val="42843F52"/>
    <w:lvl w:ilvl="0" w:tplc="FCDAE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7"/>
  </w:num>
  <w:num w:numId="3">
    <w:abstractNumId w:val="37"/>
  </w:num>
  <w:num w:numId="4">
    <w:abstractNumId w:val="20"/>
  </w:num>
  <w:num w:numId="5">
    <w:abstractNumId w:val="33"/>
  </w:num>
  <w:num w:numId="6">
    <w:abstractNumId w:val="17"/>
  </w:num>
  <w:num w:numId="7">
    <w:abstractNumId w:val="36"/>
  </w:num>
  <w:num w:numId="8">
    <w:abstractNumId w:val="7"/>
  </w:num>
  <w:num w:numId="9">
    <w:abstractNumId w:val="30"/>
  </w:num>
  <w:num w:numId="10">
    <w:abstractNumId w:val="15"/>
  </w:num>
  <w:num w:numId="11">
    <w:abstractNumId w:val="23"/>
  </w:num>
  <w:num w:numId="12">
    <w:abstractNumId w:val="10"/>
  </w:num>
  <w:num w:numId="13">
    <w:abstractNumId w:val="31"/>
  </w:num>
  <w:num w:numId="14">
    <w:abstractNumId w:val="26"/>
  </w:num>
  <w:num w:numId="15">
    <w:abstractNumId w:val="14"/>
  </w:num>
  <w:num w:numId="16">
    <w:abstractNumId w:val="22"/>
  </w:num>
  <w:num w:numId="17">
    <w:abstractNumId w:val="13"/>
  </w:num>
  <w:num w:numId="18">
    <w:abstractNumId w:val="34"/>
  </w:num>
  <w:num w:numId="19">
    <w:abstractNumId w:val="2"/>
  </w:num>
  <w:num w:numId="20">
    <w:abstractNumId w:val="38"/>
  </w:num>
  <w:num w:numId="21">
    <w:abstractNumId w:val="35"/>
  </w:num>
  <w:num w:numId="22">
    <w:abstractNumId w:val="9"/>
  </w:num>
  <w:num w:numId="23">
    <w:abstractNumId w:val="5"/>
  </w:num>
  <w:num w:numId="24">
    <w:abstractNumId w:val="6"/>
  </w:num>
  <w:num w:numId="25">
    <w:abstractNumId w:val="29"/>
  </w:num>
  <w:num w:numId="26">
    <w:abstractNumId w:val="8"/>
  </w:num>
  <w:num w:numId="27">
    <w:abstractNumId w:val="19"/>
  </w:num>
  <w:num w:numId="28">
    <w:abstractNumId w:val="1"/>
  </w:num>
  <w:num w:numId="29">
    <w:abstractNumId w:val="11"/>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18"/>
  </w:num>
  <w:num w:numId="35">
    <w:abstractNumId w:val="21"/>
  </w:num>
  <w:num w:numId="36">
    <w:abstractNumId w:val="2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num>
  <w:num w:numId="41">
    <w:abstractNumId w:val="14"/>
  </w:num>
  <w:num w:numId="42">
    <w:abstractNumId w:val="25"/>
  </w:num>
  <w:num w:numId="43">
    <w:abstractNumId w:val="3"/>
  </w:num>
  <w:num w:numId="44">
    <w:abstractNumId w:val="16"/>
  </w:num>
  <w:num w:numId="45">
    <w:abstractNumId w:val="32"/>
  </w:num>
  <w:num w:numId="46">
    <w:abstractNumId w:val="4"/>
  </w:num>
  <w:num w:numId="47">
    <w:abstractNumId w:val="14"/>
  </w:num>
  <w:num w:numId="48">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2129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FigNum" w:val="1"/>
    <w:docVar w:name="LW_DocType" w:val="NORMAL"/>
  </w:docVars>
  <w:rsids>
    <w:rsidRoot w:val="00884FEB"/>
    <w:rsid w:val="00000191"/>
    <w:rsid w:val="000001EC"/>
    <w:rsid w:val="00000255"/>
    <w:rsid w:val="00000F70"/>
    <w:rsid w:val="000017F3"/>
    <w:rsid w:val="000020E5"/>
    <w:rsid w:val="00002933"/>
    <w:rsid w:val="00002E14"/>
    <w:rsid w:val="00004478"/>
    <w:rsid w:val="000044B7"/>
    <w:rsid w:val="00004978"/>
    <w:rsid w:val="00004FE8"/>
    <w:rsid w:val="00005078"/>
    <w:rsid w:val="00005765"/>
    <w:rsid w:val="00005FFC"/>
    <w:rsid w:val="00007605"/>
    <w:rsid w:val="00007D0D"/>
    <w:rsid w:val="00011BD0"/>
    <w:rsid w:val="000120EB"/>
    <w:rsid w:val="00014890"/>
    <w:rsid w:val="00014A29"/>
    <w:rsid w:val="00014DC3"/>
    <w:rsid w:val="0001693F"/>
    <w:rsid w:val="00017D49"/>
    <w:rsid w:val="00020200"/>
    <w:rsid w:val="00020516"/>
    <w:rsid w:val="00020857"/>
    <w:rsid w:val="00020AF9"/>
    <w:rsid w:val="0002157C"/>
    <w:rsid w:val="00023102"/>
    <w:rsid w:val="000232E2"/>
    <w:rsid w:val="00023383"/>
    <w:rsid w:val="000243CE"/>
    <w:rsid w:val="00025500"/>
    <w:rsid w:val="0002657F"/>
    <w:rsid w:val="00027235"/>
    <w:rsid w:val="0002765E"/>
    <w:rsid w:val="00031DC6"/>
    <w:rsid w:val="000326C1"/>
    <w:rsid w:val="00033B7C"/>
    <w:rsid w:val="00033C55"/>
    <w:rsid w:val="00034834"/>
    <w:rsid w:val="000359E1"/>
    <w:rsid w:val="000364CE"/>
    <w:rsid w:val="00037093"/>
    <w:rsid w:val="000377CC"/>
    <w:rsid w:val="00041480"/>
    <w:rsid w:val="000418B8"/>
    <w:rsid w:val="000433C4"/>
    <w:rsid w:val="00043DC2"/>
    <w:rsid w:val="0004432C"/>
    <w:rsid w:val="00045036"/>
    <w:rsid w:val="0004590F"/>
    <w:rsid w:val="000466F4"/>
    <w:rsid w:val="00046805"/>
    <w:rsid w:val="00052CAE"/>
    <w:rsid w:val="000530BC"/>
    <w:rsid w:val="0005325E"/>
    <w:rsid w:val="0005400A"/>
    <w:rsid w:val="000548A2"/>
    <w:rsid w:val="00054949"/>
    <w:rsid w:val="0005609F"/>
    <w:rsid w:val="000565B6"/>
    <w:rsid w:val="00056816"/>
    <w:rsid w:val="00056C0F"/>
    <w:rsid w:val="00057154"/>
    <w:rsid w:val="00057362"/>
    <w:rsid w:val="0005746D"/>
    <w:rsid w:val="0005754F"/>
    <w:rsid w:val="00061E48"/>
    <w:rsid w:val="00063085"/>
    <w:rsid w:val="00063B28"/>
    <w:rsid w:val="00063B3F"/>
    <w:rsid w:val="000652BA"/>
    <w:rsid w:val="0006666B"/>
    <w:rsid w:val="00067DC1"/>
    <w:rsid w:val="00067EEA"/>
    <w:rsid w:val="00070AF9"/>
    <w:rsid w:val="00070E18"/>
    <w:rsid w:val="00071341"/>
    <w:rsid w:val="000716F4"/>
    <w:rsid w:val="00072609"/>
    <w:rsid w:val="0007412E"/>
    <w:rsid w:val="00074EC6"/>
    <w:rsid w:val="000758FE"/>
    <w:rsid w:val="00076091"/>
    <w:rsid w:val="00076342"/>
    <w:rsid w:val="00076880"/>
    <w:rsid w:val="00076ADC"/>
    <w:rsid w:val="00077C5F"/>
    <w:rsid w:val="00077DC8"/>
    <w:rsid w:val="0008111C"/>
    <w:rsid w:val="0008143C"/>
    <w:rsid w:val="00082265"/>
    <w:rsid w:val="000828C6"/>
    <w:rsid w:val="000843B3"/>
    <w:rsid w:val="00084A4D"/>
    <w:rsid w:val="000858A9"/>
    <w:rsid w:val="00087700"/>
    <w:rsid w:val="00087E1A"/>
    <w:rsid w:val="000903FA"/>
    <w:rsid w:val="0009195D"/>
    <w:rsid w:val="00092F67"/>
    <w:rsid w:val="00093411"/>
    <w:rsid w:val="00093686"/>
    <w:rsid w:val="00093831"/>
    <w:rsid w:val="00094D25"/>
    <w:rsid w:val="00095191"/>
    <w:rsid w:val="00095D0D"/>
    <w:rsid w:val="00096566"/>
    <w:rsid w:val="00096942"/>
    <w:rsid w:val="0009761E"/>
    <w:rsid w:val="00097C81"/>
    <w:rsid w:val="00097E91"/>
    <w:rsid w:val="000A1955"/>
    <w:rsid w:val="000A3889"/>
    <w:rsid w:val="000A3B1A"/>
    <w:rsid w:val="000A3F45"/>
    <w:rsid w:val="000A4B61"/>
    <w:rsid w:val="000A4C10"/>
    <w:rsid w:val="000A5224"/>
    <w:rsid w:val="000A57BC"/>
    <w:rsid w:val="000A628F"/>
    <w:rsid w:val="000A7D27"/>
    <w:rsid w:val="000B0B09"/>
    <w:rsid w:val="000B0E46"/>
    <w:rsid w:val="000B0EBE"/>
    <w:rsid w:val="000B13A1"/>
    <w:rsid w:val="000B1772"/>
    <w:rsid w:val="000B2027"/>
    <w:rsid w:val="000B3C33"/>
    <w:rsid w:val="000B5B4D"/>
    <w:rsid w:val="000B5E2E"/>
    <w:rsid w:val="000B6A14"/>
    <w:rsid w:val="000B6D9D"/>
    <w:rsid w:val="000B6FC5"/>
    <w:rsid w:val="000B70E1"/>
    <w:rsid w:val="000B7865"/>
    <w:rsid w:val="000C0127"/>
    <w:rsid w:val="000C0A34"/>
    <w:rsid w:val="000C1AFD"/>
    <w:rsid w:val="000C24B5"/>
    <w:rsid w:val="000C30A6"/>
    <w:rsid w:val="000C4A6C"/>
    <w:rsid w:val="000C5A1A"/>
    <w:rsid w:val="000C5EA7"/>
    <w:rsid w:val="000C6C50"/>
    <w:rsid w:val="000C7632"/>
    <w:rsid w:val="000C7EAA"/>
    <w:rsid w:val="000D194E"/>
    <w:rsid w:val="000D1C6A"/>
    <w:rsid w:val="000D1DDF"/>
    <w:rsid w:val="000D220D"/>
    <w:rsid w:val="000D3CBC"/>
    <w:rsid w:val="000D4352"/>
    <w:rsid w:val="000D5110"/>
    <w:rsid w:val="000D5292"/>
    <w:rsid w:val="000D5958"/>
    <w:rsid w:val="000D5E51"/>
    <w:rsid w:val="000D6B9B"/>
    <w:rsid w:val="000D7F3B"/>
    <w:rsid w:val="000E093A"/>
    <w:rsid w:val="000E1572"/>
    <w:rsid w:val="000E29C9"/>
    <w:rsid w:val="000E3F99"/>
    <w:rsid w:val="000E6835"/>
    <w:rsid w:val="000E6B7E"/>
    <w:rsid w:val="000E7BA8"/>
    <w:rsid w:val="000E7F08"/>
    <w:rsid w:val="000F13F9"/>
    <w:rsid w:val="000F1CEA"/>
    <w:rsid w:val="000F211A"/>
    <w:rsid w:val="000F2EC8"/>
    <w:rsid w:val="000F2F09"/>
    <w:rsid w:val="000F33AF"/>
    <w:rsid w:val="000F46D5"/>
    <w:rsid w:val="000F4702"/>
    <w:rsid w:val="000F6A80"/>
    <w:rsid w:val="000F6B25"/>
    <w:rsid w:val="000F7045"/>
    <w:rsid w:val="000F70EC"/>
    <w:rsid w:val="000F7A4E"/>
    <w:rsid w:val="00100B94"/>
    <w:rsid w:val="0010177C"/>
    <w:rsid w:val="00101A46"/>
    <w:rsid w:val="00102048"/>
    <w:rsid w:val="00102C6F"/>
    <w:rsid w:val="00104370"/>
    <w:rsid w:val="0010455D"/>
    <w:rsid w:val="001048C4"/>
    <w:rsid w:val="00104A65"/>
    <w:rsid w:val="0010559F"/>
    <w:rsid w:val="0010605A"/>
    <w:rsid w:val="00106BFF"/>
    <w:rsid w:val="00106FC5"/>
    <w:rsid w:val="00110B0C"/>
    <w:rsid w:val="001119CD"/>
    <w:rsid w:val="00113E45"/>
    <w:rsid w:val="00113EA5"/>
    <w:rsid w:val="001151C1"/>
    <w:rsid w:val="0011539B"/>
    <w:rsid w:val="00115685"/>
    <w:rsid w:val="001156B4"/>
    <w:rsid w:val="0012049B"/>
    <w:rsid w:val="001219C2"/>
    <w:rsid w:val="0012244E"/>
    <w:rsid w:val="00124A44"/>
    <w:rsid w:val="00124B85"/>
    <w:rsid w:val="001250CC"/>
    <w:rsid w:val="00125707"/>
    <w:rsid w:val="00125D44"/>
    <w:rsid w:val="00125D94"/>
    <w:rsid w:val="001273B5"/>
    <w:rsid w:val="00130EEF"/>
    <w:rsid w:val="001323BF"/>
    <w:rsid w:val="00132778"/>
    <w:rsid w:val="00133107"/>
    <w:rsid w:val="001331F5"/>
    <w:rsid w:val="001333E0"/>
    <w:rsid w:val="00133AC1"/>
    <w:rsid w:val="0013414F"/>
    <w:rsid w:val="00136316"/>
    <w:rsid w:val="00137AC5"/>
    <w:rsid w:val="001402DB"/>
    <w:rsid w:val="001404DC"/>
    <w:rsid w:val="001409D9"/>
    <w:rsid w:val="00140F6E"/>
    <w:rsid w:val="00141DD1"/>
    <w:rsid w:val="00142215"/>
    <w:rsid w:val="00142917"/>
    <w:rsid w:val="001432EE"/>
    <w:rsid w:val="00144F03"/>
    <w:rsid w:val="00146D50"/>
    <w:rsid w:val="001474E0"/>
    <w:rsid w:val="0015093D"/>
    <w:rsid w:val="00151071"/>
    <w:rsid w:val="00151160"/>
    <w:rsid w:val="00151B44"/>
    <w:rsid w:val="00151D8A"/>
    <w:rsid w:val="0015243E"/>
    <w:rsid w:val="0015288B"/>
    <w:rsid w:val="00152B33"/>
    <w:rsid w:val="00153BEC"/>
    <w:rsid w:val="00154859"/>
    <w:rsid w:val="00155114"/>
    <w:rsid w:val="00155C3C"/>
    <w:rsid w:val="001562B3"/>
    <w:rsid w:val="00156555"/>
    <w:rsid w:val="001570C4"/>
    <w:rsid w:val="00157B19"/>
    <w:rsid w:val="0016072E"/>
    <w:rsid w:val="00161EDF"/>
    <w:rsid w:val="001628F4"/>
    <w:rsid w:val="00162CCF"/>
    <w:rsid w:val="0016365A"/>
    <w:rsid w:val="00163DBA"/>
    <w:rsid w:val="00164970"/>
    <w:rsid w:val="00164B62"/>
    <w:rsid w:val="00165D53"/>
    <w:rsid w:val="00167A14"/>
    <w:rsid w:val="00167E59"/>
    <w:rsid w:val="001721BD"/>
    <w:rsid w:val="001734AB"/>
    <w:rsid w:val="0017396B"/>
    <w:rsid w:val="0017440D"/>
    <w:rsid w:val="00174CBB"/>
    <w:rsid w:val="00175957"/>
    <w:rsid w:val="00176F16"/>
    <w:rsid w:val="00181174"/>
    <w:rsid w:val="00181888"/>
    <w:rsid w:val="001822DF"/>
    <w:rsid w:val="00182871"/>
    <w:rsid w:val="00183B7A"/>
    <w:rsid w:val="00183F97"/>
    <w:rsid w:val="00184B3F"/>
    <w:rsid w:val="00184E8A"/>
    <w:rsid w:val="0018533B"/>
    <w:rsid w:val="001854F6"/>
    <w:rsid w:val="00185877"/>
    <w:rsid w:val="0018613E"/>
    <w:rsid w:val="00187348"/>
    <w:rsid w:val="00187488"/>
    <w:rsid w:val="00190FA3"/>
    <w:rsid w:val="001919E9"/>
    <w:rsid w:val="001924F4"/>
    <w:rsid w:val="001926EF"/>
    <w:rsid w:val="00193AC4"/>
    <w:rsid w:val="001959EF"/>
    <w:rsid w:val="00196481"/>
    <w:rsid w:val="0019727D"/>
    <w:rsid w:val="001A032A"/>
    <w:rsid w:val="001A2115"/>
    <w:rsid w:val="001A3980"/>
    <w:rsid w:val="001A44B3"/>
    <w:rsid w:val="001A523B"/>
    <w:rsid w:val="001A531E"/>
    <w:rsid w:val="001A7742"/>
    <w:rsid w:val="001B140A"/>
    <w:rsid w:val="001B1531"/>
    <w:rsid w:val="001B1848"/>
    <w:rsid w:val="001B21AE"/>
    <w:rsid w:val="001B3CDA"/>
    <w:rsid w:val="001B44EE"/>
    <w:rsid w:val="001B4EA5"/>
    <w:rsid w:val="001B51A1"/>
    <w:rsid w:val="001B5499"/>
    <w:rsid w:val="001B5725"/>
    <w:rsid w:val="001B6ABE"/>
    <w:rsid w:val="001B6D4D"/>
    <w:rsid w:val="001B7D0F"/>
    <w:rsid w:val="001B7F1A"/>
    <w:rsid w:val="001C1392"/>
    <w:rsid w:val="001C2BA5"/>
    <w:rsid w:val="001C369A"/>
    <w:rsid w:val="001C3A19"/>
    <w:rsid w:val="001C3D30"/>
    <w:rsid w:val="001C5557"/>
    <w:rsid w:val="001C5CA8"/>
    <w:rsid w:val="001C6416"/>
    <w:rsid w:val="001C6D0D"/>
    <w:rsid w:val="001C74CC"/>
    <w:rsid w:val="001C7897"/>
    <w:rsid w:val="001C79CB"/>
    <w:rsid w:val="001C7AB7"/>
    <w:rsid w:val="001C7F2A"/>
    <w:rsid w:val="001D04B3"/>
    <w:rsid w:val="001D0B80"/>
    <w:rsid w:val="001D10FC"/>
    <w:rsid w:val="001D1F64"/>
    <w:rsid w:val="001D28F3"/>
    <w:rsid w:val="001D2FE6"/>
    <w:rsid w:val="001D3409"/>
    <w:rsid w:val="001D4848"/>
    <w:rsid w:val="001D4B9D"/>
    <w:rsid w:val="001D5403"/>
    <w:rsid w:val="001D7382"/>
    <w:rsid w:val="001D769F"/>
    <w:rsid w:val="001E01BA"/>
    <w:rsid w:val="001E1CA1"/>
    <w:rsid w:val="001E332C"/>
    <w:rsid w:val="001E38FD"/>
    <w:rsid w:val="001E39E5"/>
    <w:rsid w:val="001E440D"/>
    <w:rsid w:val="001E468D"/>
    <w:rsid w:val="001E4B39"/>
    <w:rsid w:val="001E5A75"/>
    <w:rsid w:val="001E6014"/>
    <w:rsid w:val="001E6127"/>
    <w:rsid w:val="001E64DB"/>
    <w:rsid w:val="001E6B9D"/>
    <w:rsid w:val="001E7AE4"/>
    <w:rsid w:val="001E7EA7"/>
    <w:rsid w:val="001F005F"/>
    <w:rsid w:val="001F0111"/>
    <w:rsid w:val="001F0D60"/>
    <w:rsid w:val="001F2830"/>
    <w:rsid w:val="001F2920"/>
    <w:rsid w:val="001F3BBE"/>
    <w:rsid w:val="001F4225"/>
    <w:rsid w:val="001F5AC3"/>
    <w:rsid w:val="001F73EA"/>
    <w:rsid w:val="001F761F"/>
    <w:rsid w:val="00200D6E"/>
    <w:rsid w:val="00201704"/>
    <w:rsid w:val="00201B28"/>
    <w:rsid w:val="00201F3E"/>
    <w:rsid w:val="00202198"/>
    <w:rsid w:val="00202742"/>
    <w:rsid w:val="002027E7"/>
    <w:rsid w:val="0020282E"/>
    <w:rsid w:val="0020559A"/>
    <w:rsid w:val="00205E57"/>
    <w:rsid w:val="00206687"/>
    <w:rsid w:val="00206D7E"/>
    <w:rsid w:val="00211293"/>
    <w:rsid w:val="0021140B"/>
    <w:rsid w:val="002117C1"/>
    <w:rsid w:val="00212908"/>
    <w:rsid w:val="00213102"/>
    <w:rsid w:val="0021389C"/>
    <w:rsid w:val="00213DC3"/>
    <w:rsid w:val="00213E0E"/>
    <w:rsid w:val="00215548"/>
    <w:rsid w:val="00216D67"/>
    <w:rsid w:val="0021767A"/>
    <w:rsid w:val="00220265"/>
    <w:rsid w:val="00221103"/>
    <w:rsid w:val="00221C2F"/>
    <w:rsid w:val="00222596"/>
    <w:rsid w:val="002229FF"/>
    <w:rsid w:val="00222AC6"/>
    <w:rsid w:val="00222CD3"/>
    <w:rsid w:val="00223FB6"/>
    <w:rsid w:val="00224016"/>
    <w:rsid w:val="00224828"/>
    <w:rsid w:val="002248E8"/>
    <w:rsid w:val="002249DB"/>
    <w:rsid w:val="00224FE5"/>
    <w:rsid w:val="0022597E"/>
    <w:rsid w:val="00225D42"/>
    <w:rsid w:val="002301C6"/>
    <w:rsid w:val="002305D2"/>
    <w:rsid w:val="00230BCF"/>
    <w:rsid w:val="00231C4F"/>
    <w:rsid w:val="00232217"/>
    <w:rsid w:val="00232702"/>
    <w:rsid w:val="00233A38"/>
    <w:rsid w:val="0023488F"/>
    <w:rsid w:val="00234E7D"/>
    <w:rsid w:val="0023571F"/>
    <w:rsid w:val="002357EA"/>
    <w:rsid w:val="00235897"/>
    <w:rsid w:val="002367E6"/>
    <w:rsid w:val="00236B09"/>
    <w:rsid w:val="00236E33"/>
    <w:rsid w:val="0023700C"/>
    <w:rsid w:val="002370CD"/>
    <w:rsid w:val="00237276"/>
    <w:rsid w:val="0023738B"/>
    <w:rsid w:val="0023769E"/>
    <w:rsid w:val="002376B2"/>
    <w:rsid w:val="00241190"/>
    <w:rsid w:val="00241845"/>
    <w:rsid w:val="002423CA"/>
    <w:rsid w:val="002450B6"/>
    <w:rsid w:val="00245325"/>
    <w:rsid w:val="00245E37"/>
    <w:rsid w:val="00246BCA"/>
    <w:rsid w:val="00247E0B"/>
    <w:rsid w:val="00250176"/>
    <w:rsid w:val="002506A3"/>
    <w:rsid w:val="00251CF4"/>
    <w:rsid w:val="00251F24"/>
    <w:rsid w:val="0025267A"/>
    <w:rsid w:val="0025290C"/>
    <w:rsid w:val="00253022"/>
    <w:rsid w:val="002540B2"/>
    <w:rsid w:val="002547C1"/>
    <w:rsid w:val="00254DF6"/>
    <w:rsid w:val="00255BA9"/>
    <w:rsid w:val="0025607F"/>
    <w:rsid w:val="002562F9"/>
    <w:rsid w:val="00257AAC"/>
    <w:rsid w:val="00257FBC"/>
    <w:rsid w:val="002609D6"/>
    <w:rsid w:val="00260AA2"/>
    <w:rsid w:val="00260FB3"/>
    <w:rsid w:val="002618F4"/>
    <w:rsid w:val="00261B63"/>
    <w:rsid w:val="002625C0"/>
    <w:rsid w:val="00262B48"/>
    <w:rsid w:val="00262C1B"/>
    <w:rsid w:val="00262D2E"/>
    <w:rsid w:val="002630FB"/>
    <w:rsid w:val="0026352F"/>
    <w:rsid w:val="002647D2"/>
    <w:rsid w:val="0026485D"/>
    <w:rsid w:val="002648B0"/>
    <w:rsid w:val="00264C8C"/>
    <w:rsid w:val="00265B83"/>
    <w:rsid w:val="002664C7"/>
    <w:rsid w:val="002678CE"/>
    <w:rsid w:val="00267A21"/>
    <w:rsid w:val="002701C8"/>
    <w:rsid w:val="00271A7B"/>
    <w:rsid w:val="00271C8B"/>
    <w:rsid w:val="00272F65"/>
    <w:rsid w:val="00273432"/>
    <w:rsid w:val="002735FE"/>
    <w:rsid w:val="00276720"/>
    <w:rsid w:val="00276B41"/>
    <w:rsid w:val="00277058"/>
    <w:rsid w:val="0027718F"/>
    <w:rsid w:val="002800B3"/>
    <w:rsid w:val="002805FD"/>
    <w:rsid w:val="0028072E"/>
    <w:rsid w:val="00280B99"/>
    <w:rsid w:val="00282BAF"/>
    <w:rsid w:val="00283B5F"/>
    <w:rsid w:val="0028511C"/>
    <w:rsid w:val="002854B5"/>
    <w:rsid w:val="00285E2F"/>
    <w:rsid w:val="0028628A"/>
    <w:rsid w:val="002906F5"/>
    <w:rsid w:val="00290CAD"/>
    <w:rsid w:val="002917CA"/>
    <w:rsid w:val="002920FF"/>
    <w:rsid w:val="00292409"/>
    <w:rsid w:val="00292A20"/>
    <w:rsid w:val="0029472F"/>
    <w:rsid w:val="00295225"/>
    <w:rsid w:val="00297074"/>
    <w:rsid w:val="002A04D3"/>
    <w:rsid w:val="002A1B49"/>
    <w:rsid w:val="002A2036"/>
    <w:rsid w:val="002A276F"/>
    <w:rsid w:val="002A35C9"/>
    <w:rsid w:val="002A4B85"/>
    <w:rsid w:val="002A4F17"/>
    <w:rsid w:val="002A528B"/>
    <w:rsid w:val="002A5969"/>
    <w:rsid w:val="002A6913"/>
    <w:rsid w:val="002A7C84"/>
    <w:rsid w:val="002B15B5"/>
    <w:rsid w:val="002B1600"/>
    <w:rsid w:val="002B2BA3"/>
    <w:rsid w:val="002B3E36"/>
    <w:rsid w:val="002B5403"/>
    <w:rsid w:val="002B5492"/>
    <w:rsid w:val="002B5B50"/>
    <w:rsid w:val="002B5CD1"/>
    <w:rsid w:val="002B5F2D"/>
    <w:rsid w:val="002B66BD"/>
    <w:rsid w:val="002B6980"/>
    <w:rsid w:val="002B76A4"/>
    <w:rsid w:val="002C0206"/>
    <w:rsid w:val="002C053E"/>
    <w:rsid w:val="002C06FD"/>
    <w:rsid w:val="002C1251"/>
    <w:rsid w:val="002C37D9"/>
    <w:rsid w:val="002C41F1"/>
    <w:rsid w:val="002C4E14"/>
    <w:rsid w:val="002C5671"/>
    <w:rsid w:val="002C6076"/>
    <w:rsid w:val="002C6263"/>
    <w:rsid w:val="002C674A"/>
    <w:rsid w:val="002C6E63"/>
    <w:rsid w:val="002C7993"/>
    <w:rsid w:val="002D2C75"/>
    <w:rsid w:val="002D3982"/>
    <w:rsid w:val="002D4561"/>
    <w:rsid w:val="002D45F0"/>
    <w:rsid w:val="002D4E10"/>
    <w:rsid w:val="002D4F6A"/>
    <w:rsid w:val="002D549E"/>
    <w:rsid w:val="002D5E59"/>
    <w:rsid w:val="002D6B9E"/>
    <w:rsid w:val="002D75D1"/>
    <w:rsid w:val="002E053A"/>
    <w:rsid w:val="002E0DDB"/>
    <w:rsid w:val="002E136A"/>
    <w:rsid w:val="002E2061"/>
    <w:rsid w:val="002E2164"/>
    <w:rsid w:val="002E2564"/>
    <w:rsid w:val="002E3720"/>
    <w:rsid w:val="002E4EB7"/>
    <w:rsid w:val="002E587F"/>
    <w:rsid w:val="002F07EA"/>
    <w:rsid w:val="002F0C15"/>
    <w:rsid w:val="002F1163"/>
    <w:rsid w:val="002F170E"/>
    <w:rsid w:val="002F1920"/>
    <w:rsid w:val="002F19BB"/>
    <w:rsid w:val="002F1E8D"/>
    <w:rsid w:val="002F2663"/>
    <w:rsid w:val="002F39A7"/>
    <w:rsid w:val="002F4769"/>
    <w:rsid w:val="002F4A67"/>
    <w:rsid w:val="002F4A87"/>
    <w:rsid w:val="002F5341"/>
    <w:rsid w:val="002F5571"/>
    <w:rsid w:val="002F7E28"/>
    <w:rsid w:val="00300224"/>
    <w:rsid w:val="00302D6F"/>
    <w:rsid w:val="00303127"/>
    <w:rsid w:val="0030442B"/>
    <w:rsid w:val="00304CA5"/>
    <w:rsid w:val="0030572F"/>
    <w:rsid w:val="00305E50"/>
    <w:rsid w:val="00306AD1"/>
    <w:rsid w:val="00306F71"/>
    <w:rsid w:val="00306F7F"/>
    <w:rsid w:val="00306F8E"/>
    <w:rsid w:val="00307CFC"/>
    <w:rsid w:val="00307F17"/>
    <w:rsid w:val="003105C6"/>
    <w:rsid w:val="00310F05"/>
    <w:rsid w:val="00310F96"/>
    <w:rsid w:val="00311119"/>
    <w:rsid w:val="00311B2D"/>
    <w:rsid w:val="00311E10"/>
    <w:rsid w:val="00312BA3"/>
    <w:rsid w:val="003132E6"/>
    <w:rsid w:val="003137B9"/>
    <w:rsid w:val="00313D20"/>
    <w:rsid w:val="003141F6"/>
    <w:rsid w:val="00314991"/>
    <w:rsid w:val="00320BB4"/>
    <w:rsid w:val="00321A3B"/>
    <w:rsid w:val="003220BD"/>
    <w:rsid w:val="003250B6"/>
    <w:rsid w:val="00325654"/>
    <w:rsid w:val="003256D0"/>
    <w:rsid w:val="003259DA"/>
    <w:rsid w:val="0032635E"/>
    <w:rsid w:val="00327CA4"/>
    <w:rsid w:val="003300FF"/>
    <w:rsid w:val="00330199"/>
    <w:rsid w:val="00330E4D"/>
    <w:rsid w:val="00330E8B"/>
    <w:rsid w:val="00331FE6"/>
    <w:rsid w:val="00333A44"/>
    <w:rsid w:val="00334093"/>
    <w:rsid w:val="003374C1"/>
    <w:rsid w:val="00337849"/>
    <w:rsid w:val="00337BEA"/>
    <w:rsid w:val="00340094"/>
    <w:rsid w:val="003400BB"/>
    <w:rsid w:val="00341BC3"/>
    <w:rsid w:val="00342B6A"/>
    <w:rsid w:val="003438E8"/>
    <w:rsid w:val="003459F8"/>
    <w:rsid w:val="00345A82"/>
    <w:rsid w:val="00345E53"/>
    <w:rsid w:val="00346C65"/>
    <w:rsid w:val="0034786E"/>
    <w:rsid w:val="00347FF9"/>
    <w:rsid w:val="00350DDB"/>
    <w:rsid w:val="00352C6E"/>
    <w:rsid w:val="00352FB3"/>
    <w:rsid w:val="00353D40"/>
    <w:rsid w:val="003556A3"/>
    <w:rsid w:val="00355F10"/>
    <w:rsid w:val="00356773"/>
    <w:rsid w:val="00357CD1"/>
    <w:rsid w:val="00357F63"/>
    <w:rsid w:val="00361119"/>
    <w:rsid w:val="003616A1"/>
    <w:rsid w:val="0036191E"/>
    <w:rsid w:val="003619EE"/>
    <w:rsid w:val="00361D60"/>
    <w:rsid w:val="0036208E"/>
    <w:rsid w:val="00363969"/>
    <w:rsid w:val="0036415F"/>
    <w:rsid w:val="003663B7"/>
    <w:rsid w:val="00366794"/>
    <w:rsid w:val="003677E2"/>
    <w:rsid w:val="00370D79"/>
    <w:rsid w:val="00371593"/>
    <w:rsid w:val="00371653"/>
    <w:rsid w:val="00373E3E"/>
    <w:rsid w:val="003751BB"/>
    <w:rsid w:val="00375C47"/>
    <w:rsid w:val="00380D47"/>
    <w:rsid w:val="003812AC"/>
    <w:rsid w:val="003813DF"/>
    <w:rsid w:val="0038147E"/>
    <w:rsid w:val="003826D9"/>
    <w:rsid w:val="00383D4B"/>
    <w:rsid w:val="00383FF2"/>
    <w:rsid w:val="00386492"/>
    <w:rsid w:val="00387544"/>
    <w:rsid w:val="003879CF"/>
    <w:rsid w:val="00387E40"/>
    <w:rsid w:val="003908C5"/>
    <w:rsid w:val="00390DDA"/>
    <w:rsid w:val="00391ABA"/>
    <w:rsid w:val="003927BE"/>
    <w:rsid w:val="00392C11"/>
    <w:rsid w:val="00392FFD"/>
    <w:rsid w:val="0039346B"/>
    <w:rsid w:val="00393539"/>
    <w:rsid w:val="00394410"/>
    <w:rsid w:val="00394496"/>
    <w:rsid w:val="00394FF1"/>
    <w:rsid w:val="003953B9"/>
    <w:rsid w:val="003953E6"/>
    <w:rsid w:val="0039673F"/>
    <w:rsid w:val="00397314"/>
    <w:rsid w:val="00397A77"/>
    <w:rsid w:val="00397CAE"/>
    <w:rsid w:val="003A0717"/>
    <w:rsid w:val="003A0835"/>
    <w:rsid w:val="003A0C05"/>
    <w:rsid w:val="003A127C"/>
    <w:rsid w:val="003A1469"/>
    <w:rsid w:val="003A1B96"/>
    <w:rsid w:val="003A200A"/>
    <w:rsid w:val="003A282B"/>
    <w:rsid w:val="003A3877"/>
    <w:rsid w:val="003A449C"/>
    <w:rsid w:val="003A497B"/>
    <w:rsid w:val="003A4C8B"/>
    <w:rsid w:val="003A5743"/>
    <w:rsid w:val="003A5D8C"/>
    <w:rsid w:val="003A7214"/>
    <w:rsid w:val="003B00F4"/>
    <w:rsid w:val="003B06B9"/>
    <w:rsid w:val="003B0B90"/>
    <w:rsid w:val="003B20D7"/>
    <w:rsid w:val="003B25F0"/>
    <w:rsid w:val="003B3112"/>
    <w:rsid w:val="003B3DBB"/>
    <w:rsid w:val="003B45A4"/>
    <w:rsid w:val="003B5D31"/>
    <w:rsid w:val="003B60E3"/>
    <w:rsid w:val="003B7060"/>
    <w:rsid w:val="003B72D9"/>
    <w:rsid w:val="003C050A"/>
    <w:rsid w:val="003C0FB5"/>
    <w:rsid w:val="003C1BB1"/>
    <w:rsid w:val="003C1F98"/>
    <w:rsid w:val="003C2409"/>
    <w:rsid w:val="003C2566"/>
    <w:rsid w:val="003C2C06"/>
    <w:rsid w:val="003C3168"/>
    <w:rsid w:val="003C3AAB"/>
    <w:rsid w:val="003C3B79"/>
    <w:rsid w:val="003C3FD5"/>
    <w:rsid w:val="003C4307"/>
    <w:rsid w:val="003C60B9"/>
    <w:rsid w:val="003C67DF"/>
    <w:rsid w:val="003C7853"/>
    <w:rsid w:val="003D10E9"/>
    <w:rsid w:val="003D1657"/>
    <w:rsid w:val="003D17D0"/>
    <w:rsid w:val="003D199D"/>
    <w:rsid w:val="003D293B"/>
    <w:rsid w:val="003D3CED"/>
    <w:rsid w:val="003D419A"/>
    <w:rsid w:val="003D431C"/>
    <w:rsid w:val="003D485B"/>
    <w:rsid w:val="003D56DE"/>
    <w:rsid w:val="003D7822"/>
    <w:rsid w:val="003D7F50"/>
    <w:rsid w:val="003E098F"/>
    <w:rsid w:val="003E0EFC"/>
    <w:rsid w:val="003E3102"/>
    <w:rsid w:val="003E4EF2"/>
    <w:rsid w:val="003E5145"/>
    <w:rsid w:val="003E52DA"/>
    <w:rsid w:val="003E7AB6"/>
    <w:rsid w:val="003F05A0"/>
    <w:rsid w:val="003F0C55"/>
    <w:rsid w:val="003F1103"/>
    <w:rsid w:val="003F15BB"/>
    <w:rsid w:val="003F17BB"/>
    <w:rsid w:val="003F221D"/>
    <w:rsid w:val="003F22AA"/>
    <w:rsid w:val="003F3523"/>
    <w:rsid w:val="003F4777"/>
    <w:rsid w:val="003F5CFF"/>
    <w:rsid w:val="003F6B24"/>
    <w:rsid w:val="003F7324"/>
    <w:rsid w:val="00401111"/>
    <w:rsid w:val="0040521E"/>
    <w:rsid w:val="00405C0A"/>
    <w:rsid w:val="00406456"/>
    <w:rsid w:val="00407110"/>
    <w:rsid w:val="00407936"/>
    <w:rsid w:val="00410796"/>
    <w:rsid w:val="004120DF"/>
    <w:rsid w:val="004125A1"/>
    <w:rsid w:val="004129D0"/>
    <w:rsid w:val="00412D43"/>
    <w:rsid w:val="00412D44"/>
    <w:rsid w:val="004133D9"/>
    <w:rsid w:val="00415A1B"/>
    <w:rsid w:val="00417984"/>
    <w:rsid w:val="00422449"/>
    <w:rsid w:val="00423556"/>
    <w:rsid w:val="00423B7A"/>
    <w:rsid w:val="00423F7E"/>
    <w:rsid w:val="00425F4C"/>
    <w:rsid w:val="0042766A"/>
    <w:rsid w:val="0043001B"/>
    <w:rsid w:val="004304C0"/>
    <w:rsid w:val="00430F6F"/>
    <w:rsid w:val="0043116E"/>
    <w:rsid w:val="0043168D"/>
    <w:rsid w:val="004317F7"/>
    <w:rsid w:val="0043231D"/>
    <w:rsid w:val="004350F2"/>
    <w:rsid w:val="004357B9"/>
    <w:rsid w:val="00436204"/>
    <w:rsid w:val="00436490"/>
    <w:rsid w:val="00436A46"/>
    <w:rsid w:val="004372AB"/>
    <w:rsid w:val="004377DA"/>
    <w:rsid w:val="004377E2"/>
    <w:rsid w:val="00437CF3"/>
    <w:rsid w:val="004408E7"/>
    <w:rsid w:val="00441D4D"/>
    <w:rsid w:val="00442F6E"/>
    <w:rsid w:val="00443003"/>
    <w:rsid w:val="00443BEC"/>
    <w:rsid w:val="00443DD0"/>
    <w:rsid w:val="00444CF3"/>
    <w:rsid w:val="00444DAC"/>
    <w:rsid w:val="00445E06"/>
    <w:rsid w:val="0045099E"/>
    <w:rsid w:val="00450A2E"/>
    <w:rsid w:val="00451220"/>
    <w:rsid w:val="00451B63"/>
    <w:rsid w:val="00452FEF"/>
    <w:rsid w:val="00453999"/>
    <w:rsid w:val="00453B42"/>
    <w:rsid w:val="00454082"/>
    <w:rsid w:val="00454139"/>
    <w:rsid w:val="00454476"/>
    <w:rsid w:val="00455364"/>
    <w:rsid w:val="004579E8"/>
    <w:rsid w:val="00457ABE"/>
    <w:rsid w:val="004600E4"/>
    <w:rsid w:val="004603C7"/>
    <w:rsid w:val="004608BE"/>
    <w:rsid w:val="00460A9C"/>
    <w:rsid w:val="00461A5A"/>
    <w:rsid w:val="004629A2"/>
    <w:rsid w:val="00462BAB"/>
    <w:rsid w:val="0046452F"/>
    <w:rsid w:val="00464DCB"/>
    <w:rsid w:val="00464F34"/>
    <w:rsid w:val="00465306"/>
    <w:rsid w:val="00467E41"/>
    <w:rsid w:val="00467F08"/>
    <w:rsid w:val="0047023B"/>
    <w:rsid w:val="00471A96"/>
    <w:rsid w:val="004738AB"/>
    <w:rsid w:val="00474B00"/>
    <w:rsid w:val="00474C49"/>
    <w:rsid w:val="0047503C"/>
    <w:rsid w:val="0047563E"/>
    <w:rsid w:val="00475B6A"/>
    <w:rsid w:val="0047602E"/>
    <w:rsid w:val="00476209"/>
    <w:rsid w:val="00476566"/>
    <w:rsid w:val="004766D4"/>
    <w:rsid w:val="0047693D"/>
    <w:rsid w:val="0047741E"/>
    <w:rsid w:val="00477B96"/>
    <w:rsid w:val="00477CB6"/>
    <w:rsid w:val="00480A69"/>
    <w:rsid w:val="0048116C"/>
    <w:rsid w:val="004812D2"/>
    <w:rsid w:val="0048143B"/>
    <w:rsid w:val="00481C25"/>
    <w:rsid w:val="00482729"/>
    <w:rsid w:val="004827E9"/>
    <w:rsid w:val="00483FC9"/>
    <w:rsid w:val="00484DDA"/>
    <w:rsid w:val="00486575"/>
    <w:rsid w:val="00486644"/>
    <w:rsid w:val="00486DA5"/>
    <w:rsid w:val="00487597"/>
    <w:rsid w:val="004901BE"/>
    <w:rsid w:val="004913CE"/>
    <w:rsid w:val="00491E48"/>
    <w:rsid w:val="00491F4D"/>
    <w:rsid w:val="00492D77"/>
    <w:rsid w:val="00493D5E"/>
    <w:rsid w:val="0049555B"/>
    <w:rsid w:val="00496C53"/>
    <w:rsid w:val="00496F3A"/>
    <w:rsid w:val="00496F5D"/>
    <w:rsid w:val="004970FA"/>
    <w:rsid w:val="00497D60"/>
    <w:rsid w:val="004A01BF"/>
    <w:rsid w:val="004A0447"/>
    <w:rsid w:val="004A0885"/>
    <w:rsid w:val="004A0D4A"/>
    <w:rsid w:val="004A11BD"/>
    <w:rsid w:val="004A3596"/>
    <w:rsid w:val="004A3A58"/>
    <w:rsid w:val="004A3B3D"/>
    <w:rsid w:val="004A4CA4"/>
    <w:rsid w:val="004A4EB9"/>
    <w:rsid w:val="004A5880"/>
    <w:rsid w:val="004A66E8"/>
    <w:rsid w:val="004A6C52"/>
    <w:rsid w:val="004A705D"/>
    <w:rsid w:val="004A7B60"/>
    <w:rsid w:val="004B031B"/>
    <w:rsid w:val="004B135C"/>
    <w:rsid w:val="004B26E4"/>
    <w:rsid w:val="004B2A17"/>
    <w:rsid w:val="004B38D3"/>
    <w:rsid w:val="004B38D7"/>
    <w:rsid w:val="004B3B58"/>
    <w:rsid w:val="004B4DF9"/>
    <w:rsid w:val="004B5870"/>
    <w:rsid w:val="004B67ED"/>
    <w:rsid w:val="004B7F4A"/>
    <w:rsid w:val="004C03BC"/>
    <w:rsid w:val="004C0508"/>
    <w:rsid w:val="004C15A0"/>
    <w:rsid w:val="004C1ACF"/>
    <w:rsid w:val="004C20E0"/>
    <w:rsid w:val="004C2312"/>
    <w:rsid w:val="004C4478"/>
    <w:rsid w:val="004C6E6F"/>
    <w:rsid w:val="004C74EC"/>
    <w:rsid w:val="004C7F82"/>
    <w:rsid w:val="004D057B"/>
    <w:rsid w:val="004D0C15"/>
    <w:rsid w:val="004D2031"/>
    <w:rsid w:val="004D2753"/>
    <w:rsid w:val="004D36B6"/>
    <w:rsid w:val="004D431D"/>
    <w:rsid w:val="004D4419"/>
    <w:rsid w:val="004D5161"/>
    <w:rsid w:val="004D63AE"/>
    <w:rsid w:val="004D6755"/>
    <w:rsid w:val="004D6C74"/>
    <w:rsid w:val="004D74CD"/>
    <w:rsid w:val="004D780C"/>
    <w:rsid w:val="004D78D3"/>
    <w:rsid w:val="004E0244"/>
    <w:rsid w:val="004E04BF"/>
    <w:rsid w:val="004E081B"/>
    <w:rsid w:val="004E0A91"/>
    <w:rsid w:val="004E28B1"/>
    <w:rsid w:val="004E2BE7"/>
    <w:rsid w:val="004E5001"/>
    <w:rsid w:val="004E5B02"/>
    <w:rsid w:val="004E6D5F"/>
    <w:rsid w:val="004E7936"/>
    <w:rsid w:val="004E7DF2"/>
    <w:rsid w:val="004F0D16"/>
    <w:rsid w:val="004F2B30"/>
    <w:rsid w:val="004F3766"/>
    <w:rsid w:val="004F4289"/>
    <w:rsid w:val="004F458D"/>
    <w:rsid w:val="004F4775"/>
    <w:rsid w:val="004F4BB8"/>
    <w:rsid w:val="004F50AF"/>
    <w:rsid w:val="00500917"/>
    <w:rsid w:val="00502363"/>
    <w:rsid w:val="00502FC6"/>
    <w:rsid w:val="00503601"/>
    <w:rsid w:val="0050394C"/>
    <w:rsid w:val="0050399F"/>
    <w:rsid w:val="00503F93"/>
    <w:rsid w:val="00504020"/>
    <w:rsid w:val="00504A16"/>
    <w:rsid w:val="005050CE"/>
    <w:rsid w:val="00505B5C"/>
    <w:rsid w:val="00505FD3"/>
    <w:rsid w:val="005067A1"/>
    <w:rsid w:val="005130D9"/>
    <w:rsid w:val="005135D6"/>
    <w:rsid w:val="0051375E"/>
    <w:rsid w:val="00513822"/>
    <w:rsid w:val="00514158"/>
    <w:rsid w:val="00514783"/>
    <w:rsid w:val="00514EEA"/>
    <w:rsid w:val="00521D56"/>
    <w:rsid w:val="00522067"/>
    <w:rsid w:val="00522C4A"/>
    <w:rsid w:val="00522F33"/>
    <w:rsid w:val="0052367C"/>
    <w:rsid w:val="00523DD6"/>
    <w:rsid w:val="0052529D"/>
    <w:rsid w:val="0053078D"/>
    <w:rsid w:val="00530BA1"/>
    <w:rsid w:val="00530FC7"/>
    <w:rsid w:val="00531FC9"/>
    <w:rsid w:val="0053327A"/>
    <w:rsid w:val="00533D6A"/>
    <w:rsid w:val="00533E20"/>
    <w:rsid w:val="00533E53"/>
    <w:rsid w:val="005342A5"/>
    <w:rsid w:val="00535350"/>
    <w:rsid w:val="00535A98"/>
    <w:rsid w:val="00536320"/>
    <w:rsid w:val="00536B6D"/>
    <w:rsid w:val="0053702D"/>
    <w:rsid w:val="00537499"/>
    <w:rsid w:val="005429A0"/>
    <w:rsid w:val="00542C33"/>
    <w:rsid w:val="00542EAE"/>
    <w:rsid w:val="00543DBD"/>
    <w:rsid w:val="00544DA4"/>
    <w:rsid w:val="00547047"/>
    <w:rsid w:val="00550113"/>
    <w:rsid w:val="005511AD"/>
    <w:rsid w:val="00551271"/>
    <w:rsid w:val="0055245C"/>
    <w:rsid w:val="005528C1"/>
    <w:rsid w:val="00552A83"/>
    <w:rsid w:val="00552E3E"/>
    <w:rsid w:val="00554886"/>
    <w:rsid w:val="00554A32"/>
    <w:rsid w:val="0055657F"/>
    <w:rsid w:val="0055791B"/>
    <w:rsid w:val="00557D09"/>
    <w:rsid w:val="00560A14"/>
    <w:rsid w:val="005617F7"/>
    <w:rsid w:val="00562181"/>
    <w:rsid w:val="00563313"/>
    <w:rsid w:val="005643EA"/>
    <w:rsid w:val="00564A89"/>
    <w:rsid w:val="00565031"/>
    <w:rsid w:val="005666F4"/>
    <w:rsid w:val="00571BB5"/>
    <w:rsid w:val="005723E9"/>
    <w:rsid w:val="00572C82"/>
    <w:rsid w:val="0057350E"/>
    <w:rsid w:val="00573DB4"/>
    <w:rsid w:val="005748DD"/>
    <w:rsid w:val="00576215"/>
    <w:rsid w:val="0057632A"/>
    <w:rsid w:val="005808DE"/>
    <w:rsid w:val="00581FA5"/>
    <w:rsid w:val="00582923"/>
    <w:rsid w:val="00584165"/>
    <w:rsid w:val="00585408"/>
    <w:rsid w:val="00585466"/>
    <w:rsid w:val="0058617B"/>
    <w:rsid w:val="00586844"/>
    <w:rsid w:val="00586927"/>
    <w:rsid w:val="005911AC"/>
    <w:rsid w:val="00592C0C"/>
    <w:rsid w:val="00593E1F"/>
    <w:rsid w:val="0059657D"/>
    <w:rsid w:val="00596FA9"/>
    <w:rsid w:val="00597698"/>
    <w:rsid w:val="00597BBC"/>
    <w:rsid w:val="005A020C"/>
    <w:rsid w:val="005A0227"/>
    <w:rsid w:val="005A18FB"/>
    <w:rsid w:val="005A2182"/>
    <w:rsid w:val="005A2363"/>
    <w:rsid w:val="005A43B1"/>
    <w:rsid w:val="005A4C7A"/>
    <w:rsid w:val="005A6305"/>
    <w:rsid w:val="005A7CA9"/>
    <w:rsid w:val="005B02DE"/>
    <w:rsid w:val="005B0463"/>
    <w:rsid w:val="005B09E4"/>
    <w:rsid w:val="005B0C8D"/>
    <w:rsid w:val="005B13A0"/>
    <w:rsid w:val="005B321D"/>
    <w:rsid w:val="005B3B7C"/>
    <w:rsid w:val="005B3F5D"/>
    <w:rsid w:val="005B4D65"/>
    <w:rsid w:val="005B54BB"/>
    <w:rsid w:val="005B5D85"/>
    <w:rsid w:val="005B6489"/>
    <w:rsid w:val="005C192C"/>
    <w:rsid w:val="005C1BC9"/>
    <w:rsid w:val="005C1F76"/>
    <w:rsid w:val="005C287F"/>
    <w:rsid w:val="005C2A1D"/>
    <w:rsid w:val="005C2A68"/>
    <w:rsid w:val="005C3BEA"/>
    <w:rsid w:val="005C3D80"/>
    <w:rsid w:val="005C517E"/>
    <w:rsid w:val="005C5625"/>
    <w:rsid w:val="005C6CF7"/>
    <w:rsid w:val="005C6DEB"/>
    <w:rsid w:val="005C73C9"/>
    <w:rsid w:val="005C7A91"/>
    <w:rsid w:val="005D12A7"/>
    <w:rsid w:val="005D1979"/>
    <w:rsid w:val="005D2F62"/>
    <w:rsid w:val="005D3318"/>
    <w:rsid w:val="005D35A0"/>
    <w:rsid w:val="005D3DC8"/>
    <w:rsid w:val="005D3E00"/>
    <w:rsid w:val="005D40D9"/>
    <w:rsid w:val="005D5914"/>
    <w:rsid w:val="005E0301"/>
    <w:rsid w:val="005E03B8"/>
    <w:rsid w:val="005E0917"/>
    <w:rsid w:val="005E3471"/>
    <w:rsid w:val="005E4BEC"/>
    <w:rsid w:val="005E4D01"/>
    <w:rsid w:val="005E573A"/>
    <w:rsid w:val="005E7DF2"/>
    <w:rsid w:val="005F05ED"/>
    <w:rsid w:val="005F1095"/>
    <w:rsid w:val="005F12F9"/>
    <w:rsid w:val="005F18D0"/>
    <w:rsid w:val="005F1957"/>
    <w:rsid w:val="005F3409"/>
    <w:rsid w:val="005F39A4"/>
    <w:rsid w:val="005F5B6B"/>
    <w:rsid w:val="005F5D42"/>
    <w:rsid w:val="005F5DF8"/>
    <w:rsid w:val="005F608F"/>
    <w:rsid w:val="005F6354"/>
    <w:rsid w:val="005F6603"/>
    <w:rsid w:val="005F6FDF"/>
    <w:rsid w:val="00600733"/>
    <w:rsid w:val="0060089D"/>
    <w:rsid w:val="00601450"/>
    <w:rsid w:val="006015FF"/>
    <w:rsid w:val="0060179C"/>
    <w:rsid w:val="00601C56"/>
    <w:rsid w:val="006022CB"/>
    <w:rsid w:val="00602FA5"/>
    <w:rsid w:val="0060396C"/>
    <w:rsid w:val="00604AF7"/>
    <w:rsid w:val="00605A9A"/>
    <w:rsid w:val="00605F23"/>
    <w:rsid w:val="0060673F"/>
    <w:rsid w:val="00606885"/>
    <w:rsid w:val="00606D8C"/>
    <w:rsid w:val="0060723F"/>
    <w:rsid w:val="00607523"/>
    <w:rsid w:val="006108B8"/>
    <w:rsid w:val="00610920"/>
    <w:rsid w:val="00610B56"/>
    <w:rsid w:val="00611073"/>
    <w:rsid w:val="0061165D"/>
    <w:rsid w:val="0061204C"/>
    <w:rsid w:val="0061222C"/>
    <w:rsid w:val="0061248F"/>
    <w:rsid w:val="00612780"/>
    <w:rsid w:val="006128D7"/>
    <w:rsid w:val="00612E23"/>
    <w:rsid w:val="0061482E"/>
    <w:rsid w:val="00614F6B"/>
    <w:rsid w:val="0061552A"/>
    <w:rsid w:val="00616264"/>
    <w:rsid w:val="00616690"/>
    <w:rsid w:val="00616E90"/>
    <w:rsid w:val="006178CF"/>
    <w:rsid w:val="00620AB3"/>
    <w:rsid w:val="00622B37"/>
    <w:rsid w:val="00622DF8"/>
    <w:rsid w:val="00623BD2"/>
    <w:rsid w:val="0062558D"/>
    <w:rsid w:val="00625DF9"/>
    <w:rsid w:val="006269F7"/>
    <w:rsid w:val="00627143"/>
    <w:rsid w:val="00630711"/>
    <w:rsid w:val="006317A9"/>
    <w:rsid w:val="00631A23"/>
    <w:rsid w:val="0063337F"/>
    <w:rsid w:val="00633D3C"/>
    <w:rsid w:val="00633DEB"/>
    <w:rsid w:val="0063493E"/>
    <w:rsid w:val="006364E5"/>
    <w:rsid w:val="00640475"/>
    <w:rsid w:val="00641F79"/>
    <w:rsid w:val="00643011"/>
    <w:rsid w:val="00643362"/>
    <w:rsid w:val="0064497A"/>
    <w:rsid w:val="00644EEB"/>
    <w:rsid w:val="006452A4"/>
    <w:rsid w:val="00645573"/>
    <w:rsid w:val="006455B0"/>
    <w:rsid w:val="00646287"/>
    <w:rsid w:val="00646D1B"/>
    <w:rsid w:val="006477B8"/>
    <w:rsid w:val="00647F9C"/>
    <w:rsid w:val="00650358"/>
    <w:rsid w:val="00650A08"/>
    <w:rsid w:val="00650D5A"/>
    <w:rsid w:val="00650DB8"/>
    <w:rsid w:val="00651C18"/>
    <w:rsid w:val="006529BF"/>
    <w:rsid w:val="00652DF7"/>
    <w:rsid w:val="00652F11"/>
    <w:rsid w:val="00656BF0"/>
    <w:rsid w:val="00660913"/>
    <w:rsid w:val="0066173C"/>
    <w:rsid w:val="0066186C"/>
    <w:rsid w:val="00662545"/>
    <w:rsid w:val="0066272A"/>
    <w:rsid w:val="00663444"/>
    <w:rsid w:val="006646B6"/>
    <w:rsid w:val="006660B9"/>
    <w:rsid w:val="00666996"/>
    <w:rsid w:val="00667FF5"/>
    <w:rsid w:val="0067016F"/>
    <w:rsid w:val="00672D2A"/>
    <w:rsid w:val="006741F4"/>
    <w:rsid w:val="006746DB"/>
    <w:rsid w:val="006750B8"/>
    <w:rsid w:val="00675D2F"/>
    <w:rsid w:val="00676B42"/>
    <w:rsid w:val="00676B98"/>
    <w:rsid w:val="006771CE"/>
    <w:rsid w:val="006778A2"/>
    <w:rsid w:val="00681382"/>
    <w:rsid w:val="0068160C"/>
    <w:rsid w:val="00684E72"/>
    <w:rsid w:val="00685080"/>
    <w:rsid w:val="00685182"/>
    <w:rsid w:val="006852D5"/>
    <w:rsid w:val="0068594D"/>
    <w:rsid w:val="00685956"/>
    <w:rsid w:val="006866E8"/>
    <w:rsid w:val="006876BA"/>
    <w:rsid w:val="006876CB"/>
    <w:rsid w:val="00687C18"/>
    <w:rsid w:val="00690D01"/>
    <w:rsid w:val="006916DC"/>
    <w:rsid w:val="00691F9C"/>
    <w:rsid w:val="006921A5"/>
    <w:rsid w:val="00692A55"/>
    <w:rsid w:val="00692B10"/>
    <w:rsid w:val="0069572F"/>
    <w:rsid w:val="00695924"/>
    <w:rsid w:val="006966FF"/>
    <w:rsid w:val="00696F12"/>
    <w:rsid w:val="006972E8"/>
    <w:rsid w:val="006A01F5"/>
    <w:rsid w:val="006A14F6"/>
    <w:rsid w:val="006A20A0"/>
    <w:rsid w:val="006A228A"/>
    <w:rsid w:val="006A3201"/>
    <w:rsid w:val="006A357B"/>
    <w:rsid w:val="006A3A82"/>
    <w:rsid w:val="006A4119"/>
    <w:rsid w:val="006A4B1B"/>
    <w:rsid w:val="006A6CCF"/>
    <w:rsid w:val="006A70CB"/>
    <w:rsid w:val="006A7AEE"/>
    <w:rsid w:val="006B08A5"/>
    <w:rsid w:val="006B19A0"/>
    <w:rsid w:val="006B1A77"/>
    <w:rsid w:val="006B2A31"/>
    <w:rsid w:val="006B339C"/>
    <w:rsid w:val="006B36C2"/>
    <w:rsid w:val="006B3EA8"/>
    <w:rsid w:val="006B4AC8"/>
    <w:rsid w:val="006B55D6"/>
    <w:rsid w:val="006B5A2B"/>
    <w:rsid w:val="006B5BA8"/>
    <w:rsid w:val="006B5DEC"/>
    <w:rsid w:val="006B7228"/>
    <w:rsid w:val="006B72F3"/>
    <w:rsid w:val="006C0691"/>
    <w:rsid w:val="006C0915"/>
    <w:rsid w:val="006C11BB"/>
    <w:rsid w:val="006C163A"/>
    <w:rsid w:val="006C1FB5"/>
    <w:rsid w:val="006C308D"/>
    <w:rsid w:val="006C3FF9"/>
    <w:rsid w:val="006C4136"/>
    <w:rsid w:val="006C4174"/>
    <w:rsid w:val="006C45C6"/>
    <w:rsid w:val="006C4D76"/>
    <w:rsid w:val="006C52E6"/>
    <w:rsid w:val="006C64A3"/>
    <w:rsid w:val="006C66DB"/>
    <w:rsid w:val="006C6D3F"/>
    <w:rsid w:val="006C6EE0"/>
    <w:rsid w:val="006C7201"/>
    <w:rsid w:val="006D09C9"/>
    <w:rsid w:val="006D0B3A"/>
    <w:rsid w:val="006D0C99"/>
    <w:rsid w:val="006D35FC"/>
    <w:rsid w:val="006D3B1A"/>
    <w:rsid w:val="006D3CCE"/>
    <w:rsid w:val="006D49F3"/>
    <w:rsid w:val="006D665A"/>
    <w:rsid w:val="006D6AE0"/>
    <w:rsid w:val="006E01DA"/>
    <w:rsid w:val="006E033E"/>
    <w:rsid w:val="006E0809"/>
    <w:rsid w:val="006E126B"/>
    <w:rsid w:val="006E33C8"/>
    <w:rsid w:val="006E3440"/>
    <w:rsid w:val="006E3D86"/>
    <w:rsid w:val="006E52E7"/>
    <w:rsid w:val="006E5D07"/>
    <w:rsid w:val="006E6778"/>
    <w:rsid w:val="006E6AEF"/>
    <w:rsid w:val="006F0E89"/>
    <w:rsid w:val="006F14A2"/>
    <w:rsid w:val="006F1AA3"/>
    <w:rsid w:val="006F2637"/>
    <w:rsid w:val="006F2989"/>
    <w:rsid w:val="006F3626"/>
    <w:rsid w:val="006F503D"/>
    <w:rsid w:val="006F53D7"/>
    <w:rsid w:val="007004FE"/>
    <w:rsid w:val="00700DE8"/>
    <w:rsid w:val="00700DFD"/>
    <w:rsid w:val="00703C87"/>
    <w:rsid w:val="007056F7"/>
    <w:rsid w:val="007065FE"/>
    <w:rsid w:val="00706D25"/>
    <w:rsid w:val="007106FB"/>
    <w:rsid w:val="007111B3"/>
    <w:rsid w:val="00711F3A"/>
    <w:rsid w:val="007121C9"/>
    <w:rsid w:val="00712B6C"/>
    <w:rsid w:val="0071377A"/>
    <w:rsid w:val="00713E91"/>
    <w:rsid w:val="00716241"/>
    <w:rsid w:val="00720227"/>
    <w:rsid w:val="007205EC"/>
    <w:rsid w:val="00720ADC"/>
    <w:rsid w:val="00720E2E"/>
    <w:rsid w:val="00721A22"/>
    <w:rsid w:val="00721CEA"/>
    <w:rsid w:val="0072265E"/>
    <w:rsid w:val="00722A10"/>
    <w:rsid w:val="00722C11"/>
    <w:rsid w:val="00722D90"/>
    <w:rsid w:val="007233B1"/>
    <w:rsid w:val="007241D3"/>
    <w:rsid w:val="007247ED"/>
    <w:rsid w:val="007248BD"/>
    <w:rsid w:val="007260DA"/>
    <w:rsid w:val="00727756"/>
    <w:rsid w:val="00730040"/>
    <w:rsid w:val="0073242B"/>
    <w:rsid w:val="00732881"/>
    <w:rsid w:val="00732D6D"/>
    <w:rsid w:val="00733B77"/>
    <w:rsid w:val="007345D3"/>
    <w:rsid w:val="0073473E"/>
    <w:rsid w:val="0073581C"/>
    <w:rsid w:val="00736AD5"/>
    <w:rsid w:val="00736D07"/>
    <w:rsid w:val="00736D27"/>
    <w:rsid w:val="00736F34"/>
    <w:rsid w:val="00740250"/>
    <w:rsid w:val="00741167"/>
    <w:rsid w:val="00741BA6"/>
    <w:rsid w:val="007420C6"/>
    <w:rsid w:val="007434D0"/>
    <w:rsid w:val="00744DAA"/>
    <w:rsid w:val="00744F64"/>
    <w:rsid w:val="00745142"/>
    <w:rsid w:val="00745369"/>
    <w:rsid w:val="007463E2"/>
    <w:rsid w:val="007466A4"/>
    <w:rsid w:val="007475A3"/>
    <w:rsid w:val="007503D4"/>
    <w:rsid w:val="0075112B"/>
    <w:rsid w:val="00751540"/>
    <w:rsid w:val="007520D8"/>
    <w:rsid w:val="00752B94"/>
    <w:rsid w:val="0075517F"/>
    <w:rsid w:val="007557A8"/>
    <w:rsid w:val="0075700F"/>
    <w:rsid w:val="00757707"/>
    <w:rsid w:val="00757C76"/>
    <w:rsid w:val="007608E4"/>
    <w:rsid w:val="007615A8"/>
    <w:rsid w:val="00761856"/>
    <w:rsid w:val="00761891"/>
    <w:rsid w:val="0076235F"/>
    <w:rsid w:val="0076257F"/>
    <w:rsid w:val="00762AE8"/>
    <w:rsid w:val="00763A4B"/>
    <w:rsid w:val="007647CC"/>
    <w:rsid w:val="00764E61"/>
    <w:rsid w:val="00765008"/>
    <w:rsid w:val="007674DE"/>
    <w:rsid w:val="007676ED"/>
    <w:rsid w:val="007679BF"/>
    <w:rsid w:val="00767AB5"/>
    <w:rsid w:val="007705C1"/>
    <w:rsid w:val="007705FD"/>
    <w:rsid w:val="00770830"/>
    <w:rsid w:val="00770EAF"/>
    <w:rsid w:val="007711E7"/>
    <w:rsid w:val="00771E97"/>
    <w:rsid w:val="0077276E"/>
    <w:rsid w:val="00772EE7"/>
    <w:rsid w:val="0077559A"/>
    <w:rsid w:val="00775CD1"/>
    <w:rsid w:val="00776A1B"/>
    <w:rsid w:val="0078015D"/>
    <w:rsid w:val="00780B8F"/>
    <w:rsid w:val="00781160"/>
    <w:rsid w:val="00781AA0"/>
    <w:rsid w:val="007826D1"/>
    <w:rsid w:val="007827A3"/>
    <w:rsid w:val="00782EE3"/>
    <w:rsid w:val="00783881"/>
    <w:rsid w:val="00783DA7"/>
    <w:rsid w:val="00784477"/>
    <w:rsid w:val="0078506A"/>
    <w:rsid w:val="00785132"/>
    <w:rsid w:val="00785E60"/>
    <w:rsid w:val="00785F3E"/>
    <w:rsid w:val="007864CA"/>
    <w:rsid w:val="00787028"/>
    <w:rsid w:val="0078788E"/>
    <w:rsid w:val="00787CDE"/>
    <w:rsid w:val="00791DA9"/>
    <w:rsid w:val="007941D8"/>
    <w:rsid w:val="00795EC6"/>
    <w:rsid w:val="007969A4"/>
    <w:rsid w:val="00797715"/>
    <w:rsid w:val="00797C89"/>
    <w:rsid w:val="007A0406"/>
    <w:rsid w:val="007A1067"/>
    <w:rsid w:val="007A1D61"/>
    <w:rsid w:val="007A1E2E"/>
    <w:rsid w:val="007A212A"/>
    <w:rsid w:val="007A40CB"/>
    <w:rsid w:val="007A49AC"/>
    <w:rsid w:val="007A4CFD"/>
    <w:rsid w:val="007A6537"/>
    <w:rsid w:val="007B0068"/>
    <w:rsid w:val="007B025E"/>
    <w:rsid w:val="007B0AC3"/>
    <w:rsid w:val="007B16A3"/>
    <w:rsid w:val="007B22C7"/>
    <w:rsid w:val="007B2300"/>
    <w:rsid w:val="007B4F0B"/>
    <w:rsid w:val="007B4FD3"/>
    <w:rsid w:val="007B5523"/>
    <w:rsid w:val="007B5E16"/>
    <w:rsid w:val="007C099C"/>
    <w:rsid w:val="007C10D9"/>
    <w:rsid w:val="007C3317"/>
    <w:rsid w:val="007C3B71"/>
    <w:rsid w:val="007C4C33"/>
    <w:rsid w:val="007C5DF2"/>
    <w:rsid w:val="007C6E66"/>
    <w:rsid w:val="007C795D"/>
    <w:rsid w:val="007D127B"/>
    <w:rsid w:val="007D143F"/>
    <w:rsid w:val="007D1696"/>
    <w:rsid w:val="007D183F"/>
    <w:rsid w:val="007D2AEF"/>
    <w:rsid w:val="007D2CE6"/>
    <w:rsid w:val="007D41F2"/>
    <w:rsid w:val="007D4FF8"/>
    <w:rsid w:val="007D63B3"/>
    <w:rsid w:val="007D6456"/>
    <w:rsid w:val="007D7D73"/>
    <w:rsid w:val="007E16E5"/>
    <w:rsid w:val="007E18BB"/>
    <w:rsid w:val="007E2B33"/>
    <w:rsid w:val="007E33D4"/>
    <w:rsid w:val="007E39E6"/>
    <w:rsid w:val="007E3DCF"/>
    <w:rsid w:val="007E475F"/>
    <w:rsid w:val="007E6F35"/>
    <w:rsid w:val="007E7340"/>
    <w:rsid w:val="007F0442"/>
    <w:rsid w:val="007F0EF4"/>
    <w:rsid w:val="007F360A"/>
    <w:rsid w:val="007F514E"/>
    <w:rsid w:val="007F5225"/>
    <w:rsid w:val="007F5488"/>
    <w:rsid w:val="007F54C6"/>
    <w:rsid w:val="007F6D99"/>
    <w:rsid w:val="007F7831"/>
    <w:rsid w:val="007F7A60"/>
    <w:rsid w:val="007F7DC5"/>
    <w:rsid w:val="008004DF"/>
    <w:rsid w:val="008015A0"/>
    <w:rsid w:val="00802421"/>
    <w:rsid w:val="008024B2"/>
    <w:rsid w:val="00802FF0"/>
    <w:rsid w:val="00804F18"/>
    <w:rsid w:val="00805255"/>
    <w:rsid w:val="00806C14"/>
    <w:rsid w:val="00806F1D"/>
    <w:rsid w:val="00807F72"/>
    <w:rsid w:val="00810663"/>
    <w:rsid w:val="00810D53"/>
    <w:rsid w:val="00810F87"/>
    <w:rsid w:val="0081176B"/>
    <w:rsid w:val="00812582"/>
    <w:rsid w:val="008136B4"/>
    <w:rsid w:val="00816B32"/>
    <w:rsid w:val="00816F2D"/>
    <w:rsid w:val="00820E23"/>
    <w:rsid w:val="0082105B"/>
    <w:rsid w:val="008225A6"/>
    <w:rsid w:val="0082305C"/>
    <w:rsid w:val="008248E0"/>
    <w:rsid w:val="00830F86"/>
    <w:rsid w:val="00831053"/>
    <w:rsid w:val="00831A5A"/>
    <w:rsid w:val="0083278B"/>
    <w:rsid w:val="0083285E"/>
    <w:rsid w:val="00833ACC"/>
    <w:rsid w:val="00833F8E"/>
    <w:rsid w:val="008343BD"/>
    <w:rsid w:val="0083444D"/>
    <w:rsid w:val="00835B6A"/>
    <w:rsid w:val="00836845"/>
    <w:rsid w:val="0083794B"/>
    <w:rsid w:val="00841322"/>
    <w:rsid w:val="008420D9"/>
    <w:rsid w:val="008427C5"/>
    <w:rsid w:val="00842A5C"/>
    <w:rsid w:val="00842D24"/>
    <w:rsid w:val="00844689"/>
    <w:rsid w:val="008449BB"/>
    <w:rsid w:val="00845545"/>
    <w:rsid w:val="008458AF"/>
    <w:rsid w:val="00846A7D"/>
    <w:rsid w:val="008501ED"/>
    <w:rsid w:val="008503E1"/>
    <w:rsid w:val="00850C75"/>
    <w:rsid w:val="00851D10"/>
    <w:rsid w:val="00853AB5"/>
    <w:rsid w:val="00854E5A"/>
    <w:rsid w:val="0085520E"/>
    <w:rsid w:val="00855A44"/>
    <w:rsid w:val="00855D5F"/>
    <w:rsid w:val="008561CE"/>
    <w:rsid w:val="00856854"/>
    <w:rsid w:val="0085692D"/>
    <w:rsid w:val="00856E42"/>
    <w:rsid w:val="0086119A"/>
    <w:rsid w:val="00866027"/>
    <w:rsid w:val="008661DA"/>
    <w:rsid w:val="0086634C"/>
    <w:rsid w:val="00867A16"/>
    <w:rsid w:val="00867C6A"/>
    <w:rsid w:val="00867EDC"/>
    <w:rsid w:val="00870531"/>
    <w:rsid w:val="008710CA"/>
    <w:rsid w:val="00871877"/>
    <w:rsid w:val="00871CAF"/>
    <w:rsid w:val="008726CA"/>
    <w:rsid w:val="0087315C"/>
    <w:rsid w:val="00873459"/>
    <w:rsid w:val="008737EA"/>
    <w:rsid w:val="00873855"/>
    <w:rsid w:val="00873BC6"/>
    <w:rsid w:val="0087411F"/>
    <w:rsid w:val="008744A5"/>
    <w:rsid w:val="008745D3"/>
    <w:rsid w:val="0087489F"/>
    <w:rsid w:val="00874F0C"/>
    <w:rsid w:val="00875044"/>
    <w:rsid w:val="008751EA"/>
    <w:rsid w:val="00875C7F"/>
    <w:rsid w:val="00880883"/>
    <w:rsid w:val="00880C00"/>
    <w:rsid w:val="008815DE"/>
    <w:rsid w:val="0088172D"/>
    <w:rsid w:val="008824B3"/>
    <w:rsid w:val="008824DB"/>
    <w:rsid w:val="00884B2C"/>
    <w:rsid w:val="00884FEB"/>
    <w:rsid w:val="00885185"/>
    <w:rsid w:val="00885309"/>
    <w:rsid w:val="0088630E"/>
    <w:rsid w:val="00887637"/>
    <w:rsid w:val="00887A83"/>
    <w:rsid w:val="0089010B"/>
    <w:rsid w:val="00893133"/>
    <w:rsid w:val="008932B5"/>
    <w:rsid w:val="00894221"/>
    <w:rsid w:val="00894CE9"/>
    <w:rsid w:val="008968A4"/>
    <w:rsid w:val="00897034"/>
    <w:rsid w:val="00897812"/>
    <w:rsid w:val="008A0F2E"/>
    <w:rsid w:val="008A1195"/>
    <w:rsid w:val="008A1A1E"/>
    <w:rsid w:val="008A1C51"/>
    <w:rsid w:val="008A301C"/>
    <w:rsid w:val="008A3152"/>
    <w:rsid w:val="008A49E8"/>
    <w:rsid w:val="008A4E68"/>
    <w:rsid w:val="008A509C"/>
    <w:rsid w:val="008A5DBC"/>
    <w:rsid w:val="008A61B3"/>
    <w:rsid w:val="008A72E9"/>
    <w:rsid w:val="008A7A5D"/>
    <w:rsid w:val="008B1A0F"/>
    <w:rsid w:val="008B2119"/>
    <w:rsid w:val="008B2F5E"/>
    <w:rsid w:val="008B37B1"/>
    <w:rsid w:val="008B6066"/>
    <w:rsid w:val="008B695F"/>
    <w:rsid w:val="008B7267"/>
    <w:rsid w:val="008B73EE"/>
    <w:rsid w:val="008C017D"/>
    <w:rsid w:val="008C09FE"/>
    <w:rsid w:val="008C0FD4"/>
    <w:rsid w:val="008C122C"/>
    <w:rsid w:val="008C1E88"/>
    <w:rsid w:val="008C2DC4"/>
    <w:rsid w:val="008C4736"/>
    <w:rsid w:val="008C5233"/>
    <w:rsid w:val="008C5F07"/>
    <w:rsid w:val="008C624D"/>
    <w:rsid w:val="008C6A9B"/>
    <w:rsid w:val="008C6E0B"/>
    <w:rsid w:val="008D2210"/>
    <w:rsid w:val="008D274F"/>
    <w:rsid w:val="008D30F0"/>
    <w:rsid w:val="008D4535"/>
    <w:rsid w:val="008D53B8"/>
    <w:rsid w:val="008D6256"/>
    <w:rsid w:val="008D6581"/>
    <w:rsid w:val="008D6A41"/>
    <w:rsid w:val="008D7D83"/>
    <w:rsid w:val="008E0E86"/>
    <w:rsid w:val="008E0F08"/>
    <w:rsid w:val="008E10EF"/>
    <w:rsid w:val="008E20BD"/>
    <w:rsid w:val="008E3CA9"/>
    <w:rsid w:val="008E420D"/>
    <w:rsid w:val="008E4344"/>
    <w:rsid w:val="008E47D2"/>
    <w:rsid w:val="008E501F"/>
    <w:rsid w:val="008E5ADB"/>
    <w:rsid w:val="008E61F1"/>
    <w:rsid w:val="008E638A"/>
    <w:rsid w:val="008E6E73"/>
    <w:rsid w:val="008F14C3"/>
    <w:rsid w:val="008F1D51"/>
    <w:rsid w:val="008F1F48"/>
    <w:rsid w:val="008F2D4E"/>
    <w:rsid w:val="008F42E6"/>
    <w:rsid w:val="008F50DF"/>
    <w:rsid w:val="008F54B0"/>
    <w:rsid w:val="008F5BFE"/>
    <w:rsid w:val="00900C1D"/>
    <w:rsid w:val="009013D1"/>
    <w:rsid w:val="00901501"/>
    <w:rsid w:val="0090259E"/>
    <w:rsid w:val="00902941"/>
    <w:rsid w:val="00902E77"/>
    <w:rsid w:val="00902EFC"/>
    <w:rsid w:val="0090537F"/>
    <w:rsid w:val="00905EA9"/>
    <w:rsid w:val="009068C9"/>
    <w:rsid w:val="00907115"/>
    <w:rsid w:val="00907513"/>
    <w:rsid w:val="00910210"/>
    <w:rsid w:val="009118EE"/>
    <w:rsid w:val="00912B8D"/>
    <w:rsid w:val="00912DF5"/>
    <w:rsid w:val="0091347F"/>
    <w:rsid w:val="00913681"/>
    <w:rsid w:val="00913BC8"/>
    <w:rsid w:val="00920491"/>
    <w:rsid w:val="0092291C"/>
    <w:rsid w:val="009237BC"/>
    <w:rsid w:val="009247A0"/>
    <w:rsid w:val="00924EEF"/>
    <w:rsid w:val="00924FE7"/>
    <w:rsid w:val="009270FE"/>
    <w:rsid w:val="00927A7A"/>
    <w:rsid w:val="00927A8B"/>
    <w:rsid w:val="0093055F"/>
    <w:rsid w:val="009308DB"/>
    <w:rsid w:val="00931528"/>
    <w:rsid w:val="009339C1"/>
    <w:rsid w:val="0093427F"/>
    <w:rsid w:val="00934BDB"/>
    <w:rsid w:val="00934F04"/>
    <w:rsid w:val="00936395"/>
    <w:rsid w:val="00936BB3"/>
    <w:rsid w:val="00936DD1"/>
    <w:rsid w:val="00937126"/>
    <w:rsid w:val="009371BA"/>
    <w:rsid w:val="0094162B"/>
    <w:rsid w:val="00941843"/>
    <w:rsid w:val="00942368"/>
    <w:rsid w:val="009433BC"/>
    <w:rsid w:val="00944530"/>
    <w:rsid w:val="00947028"/>
    <w:rsid w:val="00947A01"/>
    <w:rsid w:val="00950950"/>
    <w:rsid w:val="00954485"/>
    <w:rsid w:val="009558C4"/>
    <w:rsid w:val="00955AA6"/>
    <w:rsid w:val="00955C81"/>
    <w:rsid w:val="00955F25"/>
    <w:rsid w:val="00956D80"/>
    <w:rsid w:val="00960886"/>
    <w:rsid w:val="00960B47"/>
    <w:rsid w:val="00960EBC"/>
    <w:rsid w:val="00961CBF"/>
    <w:rsid w:val="00962025"/>
    <w:rsid w:val="00962059"/>
    <w:rsid w:val="0096378F"/>
    <w:rsid w:val="00964E1D"/>
    <w:rsid w:val="00965272"/>
    <w:rsid w:val="00965D27"/>
    <w:rsid w:val="00966663"/>
    <w:rsid w:val="00967868"/>
    <w:rsid w:val="00967FAE"/>
    <w:rsid w:val="00971A2C"/>
    <w:rsid w:val="009720F9"/>
    <w:rsid w:val="00972A1C"/>
    <w:rsid w:val="00972CE2"/>
    <w:rsid w:val="00973707"/>
    <w:rsid w:val="00973B8E"/>
    <w:rsid w:val="00974150"/>
    <w:rsid w:val="009744C1"/>
    <w:rsid w:val="00974E3F"/>
    <w:rsid w:val="00975018"/>
    <w:rsid w:val="00975CA2"/>
    <w:rsid w:val="00975F7F"/>
    <w:rsid w:val="009769DE"/>
    <w:rsid w:val="00981540"/>
    <w:rsid w:val="0098182F"/>
    <w:rsid w:val="0098245F"/>
    <w:rsid w:val="00982A9F"/>
    <w:rsid w:val="00983FAC"/>
    <w:rsid w:val="00984A5C"/>
    <w:rsid w:val="00985397"/>
    <w:rsid w:val="00986CC0"/>
    <w:rsid w:val="00986FA9"/>
    <w:rsid w:val="0098778D"/>
    <w:rsid w:val="00987F68"/>
    <w:rsid w:val="00991C37"/>
    <w:rsid w:val="00991D59"/>
    <w:rsid w:val="009921F0"/>
    <w:rsid w:val="0099270E"/>
    <w:rsid w:val="00995A7F"/>
    <w:rsid w:val="00995B12"/>
    <w:rsid w:val="0099694B"/>
    <w:rsid w:val="0099697D"/>
    <w:rsid w:val="00997A59"/>
    <w:rsid w:val="00997D96"/>
    <w:rsid w:val="009A1317"/>
    <w:rsid w:val="009A1A9B"/>
    <w:rsid w:val="009A1D5B"/>
    <w:rsid w:val="009A208E"/>
    <w:rsid w:val="009A2864"/>
    <w:rsid w:val="009A2ACF"/>
    <w:rsid w:val="009A2E43"/>
    <w:rsid w:val="009A3874"/>
    <w:rsid w:val="009A39ED"/>
    <w:rsid w:val="009A455A"/>
    <w:rsid w:val="009A47E2"/>
    <w:rsid w:val="009A4B3E"/>
    <w:rsid w:val="009A4CD1"/>
    <w:rsid w:val="009A6E08"/>
    <w:rsid w:val="009A7A38"/>
    <w:rsid w:val="009B0274"/>
    <w:rsid w:val="009B0942"/>
    <w:rsid w:val="009B09F5"/>
    <w:rsid w:val="009B0E38"/>
    <w:rsid w:val="009B355E"/>
    <w:rsid w:val="009B511B"/>
    <w:rsid w:val="009B526D"/>
    <w:rsid w:val="009B591B"/>
    <w:rsid w:val="009B6CE4"/>
    <w:rsid w:val="009B72BC"/>
    <w:rsid w:val="009C001E"/>
    <w:rsid w:val="009C083D"/>
    <w:rsid w:val="009C0B11"/>
    <w:rsid w:val="009C1330"/>
    <w:rsid w:val="009C2C58"/>
    <w:rsid w:val="009C33B1"/>
    <w:rsid w:val="009C3801"/>
    <w:rsid w:val="009C3D16"/>
    <w:rsid w:val="009C3DD6"/>
    <w:rsid w:val="009C4291"/>
    <w:rsid w:val="009C44E7"/>
    <w:rsid w:val="009C4702"/>
    <w:rsid w:val="009C5582"/>
    <w:rsid w:val="009C7899"/>
    <w:rsid w:val="009C7D6A"/>
    <w:rsid w:val="009D2B1C"/>
    <w:rsid w:val="009D3244"/>
    <w:rsid w:val="009D50E7"/>
    <w:rsid w:val="009D5501"/>
    <w:rsid w:val="009D5D1A"/>
    <w:rsid w:val="009D5D7B"/>
    <w:rsid w:val="009D5DA0"/>
    <w:rsid w:val="009D6EDB"/>
    <w:rsid w:val="009D6FD5"/>
    <w:rsid w:val="009D7A03"/>
    <w:rsid w:val="009D7A90"/>
    <w:rsid w:val="009E189F"/>
    <w:rsid w:val="009E283E"/>
    <w:rsid w:val="009E2BBD"/>
    <w:rsid w:val="009E439F"/>
    <w:rsid w:val="009E4FA0"/>
    <w:rsid w:val="009E563E"/>
    <w:rsid w:val="009E5DCC"/>
    <w:rsid w:val="009E655E"/>
    <w:rsid w:val="009E718A"/>
    <w:rsid w:val="009E7D4D"/>
    <w:rsid w:val="009F0569"/>
    <w:rsid w:val="009F1084"/>
    <w:rsid w:val="009F2B54"/>
    <w:rsid w:val="009F3AD0"/>
    <w:rsid w:val="009F43AC"/>
    <w:rsid w:val="009F5250"/>
    <w:rsid w:val="009F5262"/>
    <w:rsid w:val="009F6790"/>
    <w:rsid w:val="009F78B4"/>
    <w:rsid w:val="009F7C08"/>
    <w:rsid w:val="009F7D90"/>
    <w:rsid w:val="00A0108C"/>
    <w:rsid w:val="00A01653"/>
    <w:rsid w:val="00A01C72"/>
    <w:rsid w:val="00A01D02"/>
    <w:rsid w:val="00A02850"/>
    <w:rsid w:val="00A0358A"/>
    <w:rsid w:val="00A03C89"/>
    <w:rsid w:val="00A03DC9"/>
    <w:rsid w:val="00A045D1"/>
    <w:rsid w:val="00A0483F"/>
    <w:rsid w:val="00A04CFA"/>
    <w:rsid w:val="00A06840"/>
    <w:rsid w:val="00A10395"/>
    <w:rsid w:val="00A10C90"/>
    <w:rsid w:val="00A11445"/>
    <w:rsid w:val="00A12B66"/>
    <w:rsid w:val="00A136CD"/>
    <w:rsid w:val="00A1438B"/>
    <w:rsid w:val="00A1449E"/>
    <w:rsid w:val="00A17C9B"/>
    <w:rsid w:val="00A22DB7"/>
    <w:rsid w:val="00A231C1"/>
    <w:rsid w:val="00A232F8"/>
    <w:rsid w:val="00A241AB"/>
    <w:rsid w:val="00A24751"/>
    <w:rsid w:val="00A248E2"/>
    <w:rsid w:val="00A26662"/>
    <w:rsid w:val="00A2674E"/>
    <w:rsid w:val="00A26E3F"/>
    <w:rsid w:val="00A27C27"/>
    <w:rsid w:val="00A31125"/>
    <w:rsid w:val="00A320B1"/>
    <w:rsid w:val="00A325F5"/>
    <w:rsid w:val="00A33695"/>
    <w:rsid w:val="00A33C55"/>
    <w:rsid w:val="00A34026"/>
    <w:rsid w:val="00A369B8"/>
    <w:rsid w:val="00A402A8"/>
    <w:rsid w:val="00A4281F"/>
    <w:rsid w:val="00A4309F"/>
    <w:rsid w:val="00A4319E"/>
    <w:rsid w:val="00A452E1"/>
    <w:rsid w:val="00A45607"/>
    <w:rsid w:val="00A47334"/>
    <w:rsid w:val="00A50EB7"/>
    <w:rsid w:val="00A514FC"/>
    <w:rsid w:val="00A51AA9"/>
    <w:rsid w:val="00A5221E"/>
    <w:rsid w:val="00A52E52"/>
    <w:rsid w:val="00A53C11"/>
    <w:rsid w:val="00A57558"/>
    <w:rsid w:val="00A60195"/>
    <w:rsid w:val="00A612E2"/>
    <w:rsid w:val="00A63011"/>
    <w:rsid w:val="00A6394C"/>
    <w:rsid w:val="00A64421"/>
    <w:rsid w:val="00A65357"/>
    <w:rsid w:val="00A6683C"/>
    <w:rsid w:val="00A66EC6"/>
    <w:rsid w:val="00A6706B"/>
    <w:rsid w:val="00A675D9"/>
    <w:rsid w:val="00A70159"/>
    <w:rsid w:val="00A70245"/>
    <w:rsid w:val="00A70C88"/>
    <w:rsid w:val="00A70DFB"/>
    <w:rsid w:val="00A72DF3"/>
    <w:rsid w:val="00A73282"/>
    <w:rsid w:val="00A7376F"/>
    <w:rsid w:val="00A74006"/>
    <w:rsid w:val="00A74B40"/>
    <w:rsid w:val="00A74D8D"/>
    <w:rsid w:val="00A76381"/>
    <w:rsid w:val="00A772B4"/>
    <w:rsid w:val="00A774C1"/>
    <w:rsid w:val="00A77540"/>
    <w:rsid w:val="00A801A9"/>
    <w:rsid w:val="00A80A02"/>
    <w:rsid w:val="00A80C2E"/>
    <w:rsid w:val="00A82A25"/>
    <w:rsid w:val="00A82B62"/>
    <w:rsid w:val="00A840BE"/>
    <w:rsid w:val="00A840D5"/>
    <w:rsid w:val="00A855F0"/>
    <w:rsid w:val="00A85CE0"/>
    <w:rsid w:val="00A85E91"/>
    <w:rsid w:val="00A86139"/>
    <w:rsid w:val="00A86EB4"/>
    <w:rsid w:val="00A90154"/>
    <w:rsid w:val="00A903BA"/>
    <w:rsid w:val="00A90BDF"/>
    <w:rsid w:val="00A92639"/>
    <w:rsid w:val="00A92CFF"/>
    <w:rsid w:val="00A94FBC"/>
    <w:rsid w:val="00A9559C"/>
    <w:rsid w:val="00A95FD0"/>
    <w:rsid w:val="00AA02BE"/>
    <w:rsid w:val="00AA0466"/>
    <w:rsid w:val="00AA1B66"/>
    <w:rsid w:val="00AA3189"/>
    <w:rsid w:val="00AA629F"/>
    <w:rsid w:val="00AA6A66"/>
    <w:rsid w:val="00AA71A4"/>
    <w:rsid w:val="00AA7658"/>
    <w:rsid w:val="00AB01A1"/>
    <w:rsid w:val="00AB0412"/>
    <w:rsid w:val="00AB1C4B"/>
    <w:rsid w:val="00AB2C97"/>
    <w:rsid w:val="00AB2F46"/>
    <w:rsid w:val="00AB393F"/>
    <w:rsid w:val="00AB3FE1"/>
    <w:rsid w:val="00AB4E51"/>
    <w:rsid w:val="00AB63E5"/>
    <w:rsid w:val="00AB67AA"/>
    <w:rsid w:val="00AB6AB2"/>
    <w:rsid w:val="00AB7B8D"/>
    <w:rsid w:val="00AB7EF6"/>
    <w:rsid w:val="00AC06B8"/>
    <w:rsid w:val="00AC0C9F"/>
    <w:rsid w:val="00AC0F2C"/>
    <w:rsid w:val="00AC14E2"/>
    <w:rsid w:val="00AC3054"/>
    <w:rsid w:val="00AC4299"/>
    <w:rsid w:val="00AC4E3A"/>
    <w:rsid w:val="00AC5975"/>
    <w:rsid w:val="00AC5D72"/>
    <w:rsid w:val="00AC5F45"/>
    <w:rsid w:val="00AC6255"/>
    <w:rsid w:val="00AC62BD"/>
    <w:rsid w:val="00AC654C"/>
    <w:rsid w:val="00AC6570"/>
    <w:rsid w:val="00AC6EB9"/>
    <w:rsid w:val="00AC7107"/>
    <w:rsid w:val="00AC758B"/>
    <w:rsid w:val="00AD061B"/>
    <w:rsid w:val="00AD0C6F"/>
    <w:rsid w:val="00AD1A08"/>
    <w:rsid w:val="00AD1A17"/>
    <w:rsid w:val="00AD2DA9"/>
    <w:rsid w:val="00AD3F9D"/>
    <w:rsid w:val="00AD4571"/>
    <w:rsid w:val="00AD4B38"/>
    <w:rsid w:val="00AD4D15"/>
    <w:rsid w:val="00AD6FA4"/>
    <w:rsid w:val="00AD70F1"/>
    <w:rsid w:val="00AE0C1B"/>
    <w:rsid w:val="00AE1CD7"/>
    <w:rsid w:val="00AE3D79"/>
    <w:rsid w:val="00AE4EBA"/>
    <w:rsid w:val="00AE7CD3"/>
    <w:rsid w:val="00AF003B"/>
    <w:rsid w:val="00AF07E2"/>
    <w:rsid w:val="00AF0CC9"/>
    <w:rsid w:val="00AF1037"/>
    <w:rsid w:val="00AF17C8"/>
    <w:rsid w:val="00AF1E50"/>
    <w:rsid w:val="00AF1F57"/>
    <w:rsid w:val="00AF3C10"/>
    <w:rsid w:val="00AF3D7A"/>
    <w:rsid w:val="00AF4ED2"/>
    <w:rsid w:val="00AF51F7"/>
    <w:rsid w:val="00AF62BC"/>
    <w:rsid w:val="00AF672F"/>
    <w:rsid w:val="00AF7902"/>
    <w:rsid w:val="00AF7FA5"/>
    <w:rsid w:val="00B006E9"/>
    <w:rsid w:val="00B01163"/>
    <w:rsid w:val="00B012C5"/>
    <w:rsid w:val="00B024AD"/>
    <w:rsid w:val="00B03D47"/>
    <w:rsid w:val="00B04161"/>
    <w:rsid w:val="00B048F1"/>
    <w:rsid w:val="00B049B4"/>
    <w:rsid w:val="00B04D23"/>
    <w:rsid w:val="00B057CA"/>
    <w:rsid w:val="00B06699"/>
    <w:rsid w:val="00B06D10"/>
    <w:rsid w:val="00B11263"/>
    <w:rsid w:val="00B1149D"/>
    <w:rsid w:val="00B11505"/>
    <w:rsid w:val="00B11D0D"/>
    <w:rsid w:val="00B12EA6"/>
    <w:rsid w:val="00B14540"/>
    <w:rsid w:val="00B145A2"/>
    <w:rsid w:val="00B15280"/>
    <w:rsid w:val="00B15DB6"/>
    <w:rsid w:val="00B169DB"/>
    <w:rsid w:val="00B17100"/>
    <w:rsid w:val="00B171C0"/>
    <w:rsid w:val="00B17999"/>
    <w:rsid w:val="00B20E5D"/>
    <w:rsid w:val="00B21DE2"/>
    <w:rsid w:val="00B21E50"/>
    <w:rsid w:val="00B22110"/>
    <w:rsid w:val="00B221EC"/>
    <w:rsid w:val="00B23005"/>
    <w:rsid w:val="00B24942"/>
    <w:rsid w:val="00B24B16"/>
    <w:rsid w:val="00B24D96"/>
    <w:rsid w:val="00B24EDD"/>
    <w:rsid w:val="00B253EA"/>
    <w:rsid w:val="00B26927"/>
    <w:rsid w:val="00B30046"/>
    <w:rsid w:val="00B31D8A"/>
    <w:rsid w:val="00B32366"/>
    <w:rsid w:val="00B32AFB"/>
    <w:rsid w:val="00B33C46"/>
    <w:rsid w:val="00B34605"/>
    <w:rsid w:val="00B34B0B"/>
    <w:rsid w:val="00B34B77"/>
    <w:rsid w:val="00B34DD6"/>
    <w:rsid w:val="00B35F80"/>
    <w:rsid w:val="00B36BA6"/>
    <w:rsid w:val="00B36EAA"/>
    <w:rsid w:val="00B37815"/>
    <w:rsid w:val="00B40AC1"/>
    <w:rsid w:val="00B4177D"/>
    <w:rsid w:val="00B431BD"/>
    <w:rsid w:val="00B439B1"/>
    <w:rsid w:val="00B43C2A"/>
    <w:rsid w:val="00B4423C"/>
    <w:rsid w:val="00B442BD"/>
    <w:rsid w:val="00B44EEC"/>
    <w:rsid w:val="00B4512A"/>
    <w:rsid w:val="00B4591B"/>
    <w:rsid w:val="00B46B93"/>
    <w:rsid w:val="00B47F0C"/>
    <w:rsid w:val="00B50194"/>
    <w:rsid w:val="00B51127"/>
    <w:rsid w:val="00B51CC6"/>
    <w:rsid w:val="00B51EFF"/>
    <w:rsid w:val="00B51F42"/>
    <w:rsid w:val="00B522A4"/>
    <w:rsid w:val="00B52872"/>
    <w:rsid w:val="00B53030"/>
    <w:rsid w:val="00B53939"/>
    <w:rsid w:val="00B542AB"/>
    <w:rsid w:val="00B55EB1"/>
    <w:rsid w:val="00B62635"/>
    <w:rsid w:val="00B62F3B"/>
    <w:rsid w:val="00B70274"/>
    <w:rsid w:val="00B71DAC"/>
    <w:rsid w:val="00B7260A"/>
    <w:rsid w:val="00B72E87"/>
    <w:rsid w:val="00B730C7"/>
    <w:rsid w:val="00B7350E"/>
    <w:rsid w:val="00B74792"/>
    <w:rsid w:val="00B74827"/>
    <w:rsid w:val="00B759BA"/>
    <w:rsid w:val="00B775C4"/>
    <w:rsid w:val="00B811B0"/>
    <w:rsid w:val="00B816A3"/>
    <w:rsid w:val="00B8194C"/>
    <w:rsid w:val="00B822A4"/>
    <w:rsid w:val="00B826B4"/>
    <w:rsid w:val="00B827DB"/>
    <w:rsid w:val="00B83833"/>
    <w:rsid w:val="00B83834"/>
    <w:rsid w:val="00B83F8E"/>
    <w:rsid w:val="00B846EC"/>
    <w:rsid w:val="00B8560C"/>
    <w:rsid w:val="00B8575F"/>
    <w:rsid w:val="00B86114"/>
    <w:rsid w:val="00B863DF"/>
    <w:rsid w:val="00B86CA9"/>
    <w:rsid w:val="00B87C80"/>
    <w:rsid w:val="00B90E57"/>
    <w:rsid w:val="00B90F63"/>
    <w:rsid w:val="00B91440"/>
    <w:rsid w:val="00B93FA1"/>
    <w:rsid w:val="00B94302"/>
    <w:rsid w:val="00B95468"/>
    <w:rsid w:val="00B96FBD"/>
    <w:rsid w:val="00B976CF"/>
    <w:rsid w:val="00B97F1B"/>
    <w:rsid w:val="00BA0077"/>
    <w:rsid w:val="00BA1C6C"/>
    <w:rsid w:val="00BA2095"/>
    <w:rsid w:val="00BA2863"/>
    <w:rsid w:val="00BA325A"/>
    <w:rsid w:val="00BA3D22"/>
    <w:rsid w:val="00BA4811"/>
    <w:rsid w:val="00BA58FE"/>
    <w:rsid w:val="00BA5C1F"/>
    <w:rsid w:val="00BA6384"/>
    <w:rsid w:val="00BA682D"/>
    <w:rsid w:val="00BA6E03"/>
    <w:rsid w:val="00BA7CE0"/>
    <w:rsid w:val="00BA7DE2"/>
    <w:rsid w:val="00BB169C"/>
    <w:rsid w:val="00BB3176"/>
    <w:rsid w:val="00BB3BE4"/>
    <w:rsid w:val="00BB3CBE"/>
    <w:rsid w:val="00BB50BB"/>
    <w:rsid w:val="00BB526F"/>
    <w:rsid w:val="00BB5B5D"/>
    <w:rsid w:val="00BB6397"/>
    <w:rsid w:val="00BB73C8"/>
    <w:rsid w:val="00BB7E19"/>
    <w:rsid w:val="00BC068F"/>
    <w:rsid w:val="00BC0A7F"/>
    <w:rsid w:val="00BC0D5A"/>
    <w:rsid w:val="00BC1220"/>
    <w:rsid w:val="00BC2C58"/>
    <w:rsid w:val="00BC39D0"/>
    <w:rsid w:val="00BC3F13"/>
    <w:rsid w:val="00BC3F58"/>
    <w:rsid w:val="00BC47BF"/>
    <w:rsid w:val="00BC4F1C"/>
    <w:rsid w:val="00BC61CD"/>
    <w:rsid w:val="00BC658A"/>
    <w:rsid w:val="00BC6F41"/>
    <w:rsid w:val="00BC793E"/>
    <w:rsid w:val="00BD1023"/>
    <w:rsid w:val="00BD1379"/>
    <w:rsid w:val="00BD191F"/>
    <w:rsid w:val="00BD2647"/>
    <w:rsid w:val="00BD36DE"/>
    <w:rsid w:val="00BD4614"/>
    <w:rsid w:val="00BD52C3"/>
    <w:rsid w:val="00BD5485"/>
    <w:rsid w:val="00BD661B"/>
    <w:rsid w:val="00BD687C"/>
    <w:rsid w:val="00BD75D1"/>
    <w:rsid w:val="00BE0183"/>
    <w:rsid w:val="00BE04C0"/>
    <w:rsid w:val="00BE0A45"/>
    <w:rsid w:val="00BE1233"/>
    <w:rsid w:val="00BE1311"/>
    <w:rsid w:val="00BE19C2"/>
    <w:rsid w:val="00BE2AE0"/>
    <w:rsid w:val="00BE358B"/>
    <w:rsid w:val="00BE3EAB"/>
    <w:rsid w:val="00BE4109"/>
    <w:rsid w:val="00BE447B"/>
    <w:rsid w:val="00BE4782"/>
    <w:rsid w:val="00BE47D8"/>
    <w:rsid w:val="00BE4FD9"/>
    <w:rsid w:val="00BE557E"/>
    <w:rsid w:val="00BE5CFB"/>
    <w:rsid w:val="00BE5D73"/>
    <w:rsid w:val="00BE6146"/>
    <w:rsid w:val="00BE64F7"/>
    <w:rsid w:val="00BE6DFE"/>
    <w:rsid w:val="00BE7A52"/>
    <w:rsid w:val="00BF124A"/>
    <w:rsid w:val="00BF4770"/>
    <w:rsid w:val="00BF4FD2"/>
    <w:rsid w:val="00BF540A"/>
    <w:rsid w:val="00BF62F9"/>
    <w:rsid w:val="00BF6EC1"/>
    <w:rsid w:val="00BF7257"/>
    <w:rsid w:val="00BF7EB4"/>
    <w:rsid w:val="00C017D1"/>
    <w:rsid w:val="00C018FD"/>
    <w:rsid w:val="00C029BC"/>
    <w:rsid w:val="00C02FF7"/>
    <w:rsid w:val="00C04D37"/>
    <w:rsid w:val="00C05556"/>
    <w:rsid w:val="00C056AC"/>
    <w:rsid w:val="00C05941"/>
    <w:rsid w:val="00C05D2A"/>
    <w:rsid w:val="00C0657C"/>
    <w:rsid w:val="00C074C4"/>
    <w:rsid w:val="00C07658"/>
    <w:rsid w:val="00C10CD4"/>
    <w:rsid w:val="00C11B8D"/>
    <w:rsid w:val="00C11CA5"/>
    <w:rsid w:val="00C12AE0"/>
    <w:rsid w:val="00C12B35"/>
    <w:rsid w:val="00C12FEB"/>
    <w:rsid w:val="00C13D76"/>
    <w:rsid w:val="00C140C6"/>
    <w:rsid w:val="00C144EF"/>
    <w:rsid w:val="00C1534E"/>
    <w:rsid w:val="00C15B90"/>
    <w:rsid w:val="00C211DC"/>
    <w:rsid w:val="00C2135F"/>
    <w:rsid w:val="00C23169"/>
    <w:rsid w:val="00C233C6"/>
    <w:rsid w:val="00C23D4E"/>
    <w:rsid w:val="00C25670"/>
    <w:rsid w:val="00C2636B"/>
    <w:rsid w:val="00C271AC"/>
    <w:rsid w:val="00C277FB"/>
    <w:rsid w:val="00C27CEA"/>
    <w:rsid w:val="00C30639"/>
    <w:rsid w:val="00C306B3"/>
    <w:rsid w:val="00C306F6"/>
    <w:rsid w:val="00C3194E"/>
    <w:rsid w:val="00C31BBB"/>
    <w:rsid w:val="00C345ED"/>
    <w:rsid w:val="00C34837"/>
    <w:rsid w:val="00C348B3"/>
    <w:rsid w:val="00C356C8"/>
    <w:rsid w:val="00C367B4"/>
    <w:rsid w:val="00C36B2D"/>
    <w:rsid w:val="00C37581"/>
    <w:rsid w:val="00C375F3"/>
    <w:rsid w:val="00C37615"/>
    <w:rsid w:val="00C37B29"/>
    <w:rsid w:val="00C40D60"/>
    <w:rsid w:val="00C414C9"/>
    <w:rsid w:val="00C43A7D"/>
    <w:rsid w:val="00C4425F"/>
    <w:rsid w:val="00C46DB1"/>
    <w:rsid w:val="00C4706F"/>
    <w:rsid w:val="00C47BD3"/>
    <w:rsid w:val="00C47ED5"/>
    <w:rsid w:val="00C504D3"/>
    <w:rsid w:val="00C533EB"/>
    <w:rsid w:val="00C53B22"/>
    <w:rsid w:val="00C542A9"/>
    <w:rsid w:val="00C54763"/>
    <w:rsid w:val="00C55649"/>
    <w:rsid w:val="00C55DCC"/>
    <w:rsid w:val="00C563A1"/>
    <w:rsid w:val="00C576F8"/>
    <w:rsid w:val="00C57F07"/>
    <w:rsid w:val="00C60A1B"/>
    <w:rsid w:val="00C61FF5"/>
    <w:rsid w:val="00C62CD3"/>
    <w:rsid w:val="00C635CF"/>
    <w:rsid w:val="00C635FD"/>
    <w:rsid w:val="00C64027"/>
    <w:rsid w:val="00C66473"/>
    <w:rsid w:val="00C67004"/>
    <w:rsid w:val="00C707EE"/>
    <w:rsid w:val="00C717C8"/>
    <w:rsid w:val="00C7187C"/>
    <w:rsid w:val="00C71AF2"/>
    <w:rsid w:val="00C71B86"/>
    <w:rsid w:val="00C71D62"/>
    <w:rsid w:val="00C723EA"/>
    <w:rsid w:val="00C725CB"/>
    <w:rsid w:val="00C731CE"/>
    <w:rsid w:val="00C74C49"/>
    <w:rsid w:val="00C76E4A"/>
    <w:rsid w:val="00C80731"/>
    <w:rsid w:val="00C80811"/>
    <w:rsid w:val="00C80C5A"/>
    <w:rsid w:val="00C814BF"/>
    <w:rsid w:val="00C82529"/>
    <w:rsid w:val="00C8279E"/>
    <w:rsid w:val="00C84BAF"/>
    <w:rsid w:val="00C84C64"/>
    <w:rsid w:val="00C8571F"/>
    <w:rsid w:val="00C8643E"/>
    <w:rsid w:val="00C86E5A"/>
    <w:rsid w:val="00C87CEE"/>
    <w:rsid w:val="00C9009E"/>
    <w:rsid w:val="00C90338"/>
    <w:rsid w:val="00C904F7"/>
    <w:rsid w:val="00C917B0"/>
    <w:rsid w:val="00C91ACB"/>
    <w:rsid w:val="00C91DC9"/>
    <w:rsid w:val="00C9299D"/>
    <w:rsid w:val="00C93697"/>
    <w:rsid w:val="00C93FC2"/>
    <w:rsid w:val="00C941FF"/>
    <w:rsid w:val="00C94AFD"/>
    <w:rsid w:val="00C95414"/>
    <w:rsid w:val="00C95E48"/>
    <w:rsid w:val="00C960CE"/>
    <w:rsid w:val="00C96468"/>
    <w:rsid w:val="00C9673B"/>
    <w:rsid w:val="00C973FB"/>
    <w:rsid w:val="00CA04FD"/>
    <w:rsid w:val="00CA0C40"/>
    <w:rsid w:val="00CA126C"/>
    <w:rsid w:val="00CA13B9"/>
    <w:rsid w:val="00CA270D"/>
    <w:rsid w:val="00CA2E80"/>
    <w:rsid w:val="00CA2E92"/>
    <w:rsid w:val="00CA61EE"/>
    <w:rsid w:val="00CA6F54"/>
    <w:rsid w:val="00CA73FF"/>
    <w:rsid w:val="00CB1F27"/>
    <w:rsid w:val="00CB256D"/>
    <w:rsid w:val="00CB484B"/>
    <w:rsid w:val="00CB4E0C"/>
    <w:rsid w:val="00CB5059"/>
    <w:rsid w:val="00CB6C8D"/>
    <w:rsid w:val="00CB71A7"/>
    <w:rsid w:val="00CB7F46"/>
    <w:rsid w:val="00CC2508"/>
    <w:rsid w:val="00CC26A6"/>
    <w:rsid w:val="00CC2F2F"/>
    <w:rsid w:val="00CC301F"/>
    <w:rsid w:val="00CC432E"/>
    <w:rsid w:val="00CC47A1"/>
    <w:rsid w:val="00CC4F4F"/>
    <w:rsid w:val="00CC4F94"/>
    <w:rsid w:val="00CC6811"/>
    <w:rsid w:val="00CC6FEE"/>
    <w:rsid w:val="00CC7195"/>
    <w:rsid w:val="00CC7A43"/>
    <w:rsid w:val="00CD1420"/>
    <w:rsid w:val="00CD1B30"/>
    <w:rsid w:val="00CD385E"/>
    <w:rsid w:val="00CD386D"/>
    <w:rsid w:val="00CD3F0E"/>
    <w:rsid w:val="00CD5154"/>
    <w:rsid w:val="00CD51BC"/>
    <w:rsid w:val="00CD58AA"/>
    <w:rsid w:val="00CD7887"/>
    <w:rsid w:val="00CD7AB6"/>
    <w:rsid w:val="00CD7D5B"/>
    <w:rsid w:val="00CD7ED8"/>
    <w:rsid w:val="00CE1093"/>
    <w:rsid w:val="00CE2B78"/>
    <w:rsid w:val="00CE31F7"/>
    <w:rsid w:val="00CE44FE"/>
    <w:rsid w:val="00CE47AF"/>
    <w:rsid w:val="00CE4C49"/>
    <w:rsid w:val="00CE56D5"/>
    <w:rsid w:val="00CE5ACF"/>
    <w:rsid w:val="00CE68B9"/>
    <w:rsid w:val="00CE7347"/>
    <w:rsid w:val="00CE7F91"/>
    <w:rsid w:val="00CF0568"/>
    <w:rsid w:val="00CF2D64"/>
    <w:rsid w:val="00CF40EE"/>
    <w:rsid w:val="00CF5466"/>
    <w:rsid w:val="00CF6C51"/>
    <w:rsid w:val="00CF6D85"/>
    <w:rsid w:val="00D0066E"/>
    <w:rsid w:val="00D024BD"/>
    <w:rsid w:val="00D02770"/>
    <w:rsid w:val="00D02E89"/>
    <w:rsid w:val="00D054C0"/>
    <w:rsid w:val="00D05A24"/>
    <w:rsid w:val="00D05A94"/>
    <w:rsid w:val="00D06F70"/>
    <w:rsid w:val="00D10700"/>
    <w:rsid w:val="00D11D41"/>
    <w:rsid w:val="00D1223C"/>
    <w:rsid w:val="00D1229B"/>
    <w:rsid w:val="00D1373E"/>
    <w:rsid w:val="00D14A32"/>
    <w:rsid w:val="00D14EE0"/>
    <w:rsid w:val="00D15808"/>
    <w:rsid w:val="00D16489"/>
    <w:rsid w:val="00D1690D"/>
    <w:rsid w:val="00D16FBF"/>
    <w:rsid w:val="00D1786A"/>
    <w:rsid w:val="00D2018B"/>
    <w:rsid w:val="00D20799"/>
    <w:rsid w:val="00D209AF"/>
    <w:rsid w:val="00D20C67"/>
    <w:rsid w:val="00D212FE"/>
    <w:rsid w:val="00D226E9"/>
    <w:rsid w:val="00D2428D"/>
    <w:rsid w:val="00D2506C"/>
    <w:rsid w:val="00D27C0D"/>
    <w:rsid w:val="00D27F99"/>
    <w:rsid w:val="00D300D9"/>
    <w:rsid w:val="00D301E1"/>
    <w:rsid w:val="00D30A68"/>
    <w:rsid w:val="00D30BE6"/>
    <w:rsid w:val="00D30C04"/>
    <w:rsid w:val="00D30F76"/>
    <w:rsid w:val="00D314D5"/>
    <w:rsid w:val="00D31C7A"/>
    <w:rsid w:val="00D32447"/>
    <w:rsid w:val="00D33AA1"/>
    <w:rsid w:val="00D34F75"/>
    <w:rsid w:val="00D35BD5"/>
    <w:rsid w:val="00D35C30"/>
    <w:rsid w:val="00D36501"/>
    <w:rsid w:val="00D3686E"/>
    <w:rsid w:val="00D37718"/>
    <w:rsid w:val="00D37AA2"/>
    <w:rsid w:val="00D412C0"/>
    <w:rsid w:val="00D4194D"/>
    <w:rsid w:val="00D41CA6"/>
    <w:rsid w:val="00D42AB8"/>
    <w:rsid w:val="00D4457C"/>
    <w:rsid w:val="00D459F5"/>
    <w:rsid w:val="00D45B15"/>
    <w:rsid w:val="00D47551"/>
    <w:rsid w:val="00D47D10"/>
    <w:rsid w:val="00D51A17"/>
    <w:rsid w:val="00D52387"/>
    <w:rsid w:val="00D5285D"/>
    <w:rsid w:val="00D5286B"/>
    <w:rsid w:val="00D52A13"/>
    <w:rsid w:val="00D52FC3"/>
    <w:rsid w:val="00D52FEA"/>
    <w:rsid w:val="00D533DD"/>
    <w:rsid w:val="00D5433B"/>
    <w:rsid w:val="00D54975"/>
    <w:rsid w:val="00D54C42"/>
    <w:rsid w:val="00D56AF5"/>
    <w:rsid w:val="00D60795"/>
    <w:rsid w:val="00D60F96"/>
    <w:rsid w:val="00D61651"/>
    <w:rsid w:val="00D61796"/>
    <w:rsid w:val="00D634CB"/>
    <w:rsid w:val="00D643B4"/>
    <w:rsid w:val="00D6494A"/>
    <w:rsid w:val="00D64ADE"/>
    <w:rsid w:val="00D64B66"/>
    <w:rsid w:val="00D6532A"/>
    <w:rsid w:val="00D6607A"/>
    <w:rsid w:val="00D66CAA"/>
    <w:rsid w:val="00D66F32"/>
    <w:rsid w:val="00D66F87"/>
    <w:rsid w:val="00D67483"/>
    <w:rsid w:val="00D70AD1"/>
    <w:rsid w:val="00D70F07"/>
    <w:rsid w:val="00D7242F"/>
    <w:rsid w:val="00D742A8"/>
    <w:rsid w:val="00D74308"/>
    <w:rsid w:val="00D75438"/>
    <w:rsid w:val="00D765BC"/>
    <w:rsid w:val="00D77799"/>
    <w:rsid w:val="00D77DB0"/>
    <w:rsid w:val="00D8068D"/>
    <w:rsid w:val="00D8096D"/>
    <w:rsid w:val="00D81422"/>
    <w:rsid w:val="00D81B67"/>
    <w:rsid w:val="00D81C35"/>
    <w:rsid w:val="00D8254C"/>
    <w:rsid w:val="00D826AC"/>
    <w:rsid w:val="00D82913"/>
    <w:rsid w:val="00D82A56"/>
    <w:rsid w:val="00D82B60"/>
    <w:rsid w:val="00D8369E"/>
    <w:rsid w:val="00D83C2E"/>
    <w:rsid w:val="00D8416E"/>
    <w:rsid w:val="00D84EB7"/>
    <w:rsid w:val="00D8545A"/>
    <w:rsid w:val="00D85AC7"/>
    <w:rsid w:val="00D87BAB"/>
    <w:rsid w:val="00D90BFF"/>
    <w:rsid w:val="00D90C26"/>
    <w:rsid w:val="00D92396"/>
    <w:rsid w:val="00D93057"/>
    <w:rsid w:val="00D935F5"/>
    <w:rsid w:val="00D946DB"/>
    <w:rsid w:val="00D94B63"/>
    <w:rsid w:val="00D94DDD"/>
    <w:rsid w:val="00D95045"/>
    <w:rsid w:val="00D9516E"/>
    <w:rsid w:val="00D96E61"/>
    <w:rsid w:val="00DA03B9"/>
    <w:rsid w:val="00DA040A"/>
    <w:rsid w:val="00DA0B84"/>
    <w:rsid w:val="00DA0DB4"/>
    <w:rsid w:val="00DA1253"/>
    <w:rsid w:val="00DA1525"/>
    <w:rsid w:val="00DA2649"/>
    <w:rsid w:val="00DA3B36"/>
    <w:rsid w:val="00DA4727"/>
    <w:rsid w:val="00DA4A2F"/>
    <w:rsid w:val="00DA4A88"/>
    <w:rsid w:val="00DA4AAA"/>
    <w:rsid w:val="00DA5CBD"/>
    <w:rsid w:val="00DA652C"/>
    <w:rsid w:val="00DA6CB8"/>
    <w:rsid w:val="00DA77E1"/>
    <w:rsid w:val="00DB0274"/>
    <w:rsid w:val="00DB091C"/>
    <w:rsid w:val="00DB0F07"/>
    <w:rsid w:val="00DB12E7"/>
    <w:rsid w:val="00DB2266"/>
    <w:rsid w:val="00DB2DD0"/>
    <w:rsid w:val="00DB3B68"/>
    <w:rsid w:val="00DB3EEA"/>
    <w:rsid w:val="00DB40CA"/>
    <w:rsid w:val="00DB422E"/>
    <w:rsid w:val="00DB517D"/>
    <w:rsid w:val="00DB5503"/>
    <w:rsid w:val="00DB6D12"/>
    <w:rsid w:val="00DC03E0"/>
    <w:rsid w:val="00DC0817"/>
    <w:rsid w:val="00DC09EA"/>
    <w:rsid w:val="00DC1FD1"/>
    <w:rsid w:val="00DC2D05"/>
    <w:rsid w:val="00DC3A83"/>
    <w:rsid w:val="00DC3B38"/>
    <w:rsid w:val="00DC3F43"/>
    <w:rsid w:val="00DC40DA"/>
    <w:rsid w:val="00DC4984"/>
    <w:rsid w:val="00DC4CE4"/>
    <w:rsid w:val="00DC5558"/>
    <w:rsid w:val="00DC5721"/>
    <w:rsid w:val="00DD0332"/>
    <w:rsid w:val="00DD07FF"/>
    <w:rsid w:val="00DD092D"/>
    <w:rsid w:val="00DD156E"/>
    <w:rsid w:val="00DD1906"/>
    <w:rsid w:val="00DD2C1E"/>
    <w:rsid w:val="00DD41BE"/>
    <w:rsid w:val="00DD4CFC"/>
    <w:rsid w:val="00DD4DA2"/>
    <w:rsid w:val="00DD50DC"/>
    <w:rsid w:val="00DD5F87"/>
    <w:rsid w:val="00DD60DF"/>
    <w:rsid w:val="00DD6D54"/>
    <w:rsid w:val="00DD6F35"/>
    <w:rsid w:val="00DD72AA"/>
    <w:rsid w:val="00DE0157"/>
    <w:rsid w:val="00DE0962"/>
    <w:rsid w:val="00DE163F"/>
    <w:rsid w:val="00DE1B16"/>
    <w:rsid w:val="00DE21B5"/>
    <w:rsid w:val="00DE230A"/>
    <w:rsid w:val="00DE26F2"/>
    <w:rsid w:val="00DE3106"/>
    <w:rsid w:val="00DE3389"/>
    <w:rsid w:val="00DE3B73"/>
    <w:rsid w:val="00DE4001"/>
    <w:rsid w:val="00DE489B"/>
    <w:rsid w:val="00DE48EF"/>
    <w:rsid w:val="00DE4EF2"/>
    <w:rsid w:val="00DE5052"/>
    <w:rsid w:val="00DE5A31"/>
    <w:rsid w:val="00DE644D"/>
    <w:rsid w:val="00DF30EB"/>
    <w:rsid w:val="00DF4739"/>
    <w:rsid w:val="00DF65DF"/>
    <w:rsid w:val="00DF6F5A"/>
    <w:rsid w:val="00DF70AE"/>
    <w:rsid w:val="00E00268"/>
    <w:rsid w:val="00E007DC"/>
    <w:rsid w:val="00E0175F"/>
    <w:rsid w:val="00E01D5F"/>
    <w:rsid w:val="00E01F9D"/>
    <w:rsid w:val="00E02652"/>
    <w:rsid w:val="00E02F76"/>
    <w:rsid w:val="00E050F3"/>
    <w:rsid w:val="00E052A9"/>
    <w:rsid w:val="00E05895"/>
    <w:rsid w:val="00E0639C"/>
    <w:rsid w:val="00E06628"/>
    <w:rsid w:val="00E06E19"/>
    <w:rsid w:val="00E07C8E"/>
    <w:rsid w:val="00E10726"/>
    <w:rsid w:val="00E11F7B"/>
    <w:rsid w:val="00E13A0F"/>
    <w:rsid w:val="00E143FD"/>
    <w:rsid w:val="00E14C4D"/>
    <w:rsid w:val="00E1696D"/>
    <w:rsid w:val="00E170AA"/>
    <w:rsid w:val="00E1750A"/>
    <w:rsid w:val="00E2178E"/>
    <w:rsid w:val="00E230A0"/>
    <w:rsid w:val="00E2347D"/>
    <w:rsid w:val="00E2447E"/>
    <w:rsid w:val="00E249EF"/>
    <w:rsid w:val="00E25862"/>
    <w:rsid w:val="00E26954"/>
    <w:rsid w:val="00E26CB6"/>
    <w:rsid w:val="00E274D8"/>
    <w:rsid w:val="00E27969"/>
    <w:rsid w:val="00E32046"/>
    <w:rsid w:val="00E32DA2"/>
    <w:rsid w:val="00E32F4D"/>
    <w:rsid w:val="00E33BF7"/>
    <w:rsid w:val="00E340D7"/>
    <w:rsid w:val="00E35F88"/>
    <w:rsid w:val="00E37B58"/>
    <w:rsid w:val="00E4095F"/>
    <w:rsid w:val="00E4198D"/>
    <w:rsid w:val="00E41A58"/>
    <w:rsid w:val="00E41E4F"/>
    <w:rsid w:val="00E42A4D"/>
    <w:rsid w:val="00E43CD2"/>
    <w:rsid w:val="00E440D2"/>
    <w:rsid w:val="00E45961"/>
    <w:rsid w:val="00E45B9B"/>
    <w:rsid w:val="00E45F52"/>
    <w:rsid w:val="00E46936"/>
    <w:rsid w:val="00E47B54"/>
    <w:rsid w:val="00E47CCD"/>
    <w:rsid w:val="00E509EA"/>
    <w:rsid w:val="00E50E79"/>
    <w:rsid w:val="00E53E55"/>
    <w:rsid w:val="00E543B2"/>
    <w:rsid w:val="00E54B05"/>
    <w:rsid w:val="00E55589"/>
    <w:rsid w:val="00E60B53"/>
    <w:rsid w:val="00E60C82"/>
    <w:rsid w:val="00E61840"/>
    <w:rsid w:val="00E62525"/>
    <w:rsid w:val="00E6335C"/>
    <w:rsid w:val="00E6373B"/>
    <w:rsid w:val="00E63DC8"/>
    <w:rsid w:val="00E645F5"/>
    <w:rsid w:val="00E64ADB"/>
    <w:rsid w:val="00E66040"/>
    <w:rsid w:val="00E6616A"/>
    <w:rsid w:val="00E67F16"/>
    <w:rsid w:val="00E70AB0"/>
    <w:rsid w:val="00E70D08"/>
    <w:rsid w:val="00E721D9"/>
    <w:rsid w:val="00E72618"/>
    <w:rsid w:val="00E73F4B"/>
    <w:rsid w:val="00E74C2C"/>
    <w:rsid w:val="00E75993"/>
    <w:rsid w:val="00E80172"/>
    <w:rsid w:val="00E80304"/>
    <w:rsid w:val="00E804CC"/>
    <w:rsid w:val="00E81DB9"/>
    <w:rsid w:val="00E81F69"/>
    <w:rsid w:val="00E822F7"/>
    <w:rsid w:val="00E8231C"/>
    <w:rsid w:val="00E8262F"/>
    <w:rsid w:val="00E84C8E"/>
    <w:rsid w:val="00E85358"/>
    <w:rsid w:val="00E863C1"/>
    <w:rsid w:val="00E86518"/>
    <w:rsid w:val="00E86638"/>
    <w:rsid w:val="00E871FE"/>
    <w:rsid w:val="00E87B6C"/>
    <w:rsid w:val="00E909DE"/>
    <w:rsid w:val="00E90A45"/>
    <w:rsid w:val="00E92C04"/>
    <w:rsid w:val="00E93AB5"/>
    <w:rsid w:val="00E96A85"/>
    <w:rsid w:val="00E9758A"/>
    <w:rsid w:val="00E9791D"/>
    <w:rsid w:val="00E979E9"/>
    <w:rsid w:val="00E97A21"/>
    <w:rsid w:val="00E97CD2"/>
    <w:rsid w:val="00EA050A"/>
    <w:rsid w:val="00EA0BAB"/>
    <w:rsid w:val="00EA0FDF"/>
    <w:rsid w:val="00EA11F0"/>
    <w:rsid w:val="00EA1973"/>
    <w:rsid w:val="00EA28E5"/>
    <w:rsid w:val="00EA3FEF"/>
    <w:rsid w:val="00EA4108"/>
    <w:rsid w:val="00EA419C"/>
    <w:rsid w:val="00EA56D1"/>
    <w:rsid w:val="00EB154B"/>
    <w:rsid w:val="00EB1DBE"/>
    <w:rsid w:val="00EB5013"/>
    <w:rsid w:val="00EB52AC"/>
    <w:rsid w:val="00EB5804"/>
    <w:rsid w:val="00EB5C9A"/>
    <w:rsid w:val="00EB6224"/>
    <w:rsid w:val="00EB62C2"/>
    <w:rsid w:val="00EB663A"/>
    <w:rsid w:val="00EB6DEA"/>
    <w:rsid w:val="00EB6E04"/>
    <w:rsid w:val="00EB7528"/>
    <w:rsid w:val="00EB7CE1"/>
    <w:rsid w:val="00EC036E"/>
    <w:rsid w:val="00EC0513"/>
    <w:rsid w:val="00EC0B74"/>
    <w:rsid w:val="00EC19AE"/>
    <w:rsid w:val="00EC3749"/>
    <w:rsid w:val="00EC5046"/>
    <w:rsid w:val="00EC5080"/>
    <w:rsid w:val="00EC53E0"/>
    <w:rsid w:val="00EC57C6"/>
    <w:rsid w:val="00EC5FA2"/>
    <w:rsid w:val="00ED05AC"/>
    <w:rsid w:val="00ED1956"/>
    <w:rsid w:val="00ED4629"/>
    <w:rsid w:val="00ED52BC"/>
    <w:rsid w:val="00ED55F7"/>
    <w:rsid w:val="00ED66A4"/>
    <w:rsid w:val="00ED78AD"/>
    <w:rsid w:val="00ED7C8E"/>
    <w:rsid w:val="00EE0B9D"/>
    <w:rsid w:val="00EE2205"/>
    <w:rsid w:val="00EE2BDA"/>
    <w:rsid w:val="00EE34F2"/>
    <w:rsid w:val="00EE51BC"/>
    <w:rsid w:val="00EE5691"/>
    <w:rsid w:val="00EE5E64"/>
    <w:rsid w:val="00EE63B4"/>
    <w:rsid w:val="00EE7A06"/>
    <w:rsid w:val="00EF0C0C"/>
    <w:rsid w:val="00EF0DA4"/>
    <w:rsid w:val="00EF134E"/>
    <w:rsid w:val="00EF1BBD"/>
    <w:rsid w:val="00EF36D2"/>
    <w:rsid w:val="00EF3B99"/>
    <w:rsid w:val="00EF3F40"/>
    <w:rsid w:val="00EF4251"/>
    <w:rsid w:val="00F006CF"/>
    <w:rsid w:val="00F00A38"/>
    <w:rsid w:val="00F015E6"/>
    <w:rsid w:val="00F02411"/>
    <w:rsid w:val="00F0322C"/>
    <w:rsid w:val="00F0398B"/>
    <w:rsid w:val="00F052D1"/>
    <w:rsid w:val="00F1041F"/>
    <w:rsid w:val="00F1062E"/>
    <w:rsid w:val="00F11185"/>
    <w:rsid w:val="00F117D1"/>
    <w:rsid w:val="00F12D77"/>
    <w:rsid w:val="00F12EA3"/>
    <w:rsid w:val="00F14306"/>
    <w:rsid w:val="00F1455C"/>
    <w:rsid w:val="00F14B07"/>
    <w:rsid w:val="00F177C6"/>
    <w:rsid w:val="00F20F1C"/>
    <w:rsid w:val="00F215C7"/>
    <w:rsid w:val="00F21687"/>
    <w:rsid w:val="00F2228C"/>
    <w:rsid w:val="00F22648"/>
    <w:rsid w:val="00F22876"/>
    <w:rsid w:val="00F249CD"/>
    <w:rsid w:val="00F26B14"/>
    <w:rsid w:val="00F271B3"/>
    <w:rsid w:val="00F30076"/>
    <w:rsid w:val="00F315FD"/>
    <w:rsid w:val="00F325B9"/>
    <w:rsid w:val="00F32D09"/>
    <w:rsid w:val="00F3521D"/>
    <w:rsid w:val="00F356CE"/>
    <w:rsid w:val="00F358AF"/>
    <w:rsid w:val="00F36308"/>
    <w:rsid w:val="00F36F98"/>
    <w:rsid w:val="00F423F0"/>
    <w:rsid w:val="00F4393C"/>
    <w:rsid w:val="00F45359"/>
    <w:rsid w:val="00F46113"/>
    <w:rsid w:val="00F463F5"/>
    <w:rsid w:val="00F47628"/>
    <w:rsid w:val="00F47A9F"/>
    <w:rsid w:val="00F50709"/>
    <w:rsid w:val="00F513FD"/>
    <w:rsid w:val="00F525AD"/>
    <w:rsid w:val="00F52DF6"/>
    <w:rsid w:val="00F52FC6"/>
    <w:rsid w:val="00F535E7"/>
    <w:rsid w:val="00F5381F"/>
    <w:rsid w:val="00F5524C"/>
    <w:rsid w:val="00F5604A"/>
    <w:rsid w:val="00F56546"/>
    <w:rsid w:val="00F56641"/>
    <w:rsid w:val="00F56956"/>
    <w:rsid w:val="00F57636"/>
    <w:rsid w:val="00F57838"/>
    <w:rsid w:val="00F57ED1"/>
    <w:rsid w:val="00F60315"/>
    <w:rsid w:val="00F60F37"/>
    <w:rsid w:val="00F61095"/>
    <w:rsid w:val="00F61378"/>
    <w:rsid w:val="00F620A2"/>
    <w:rsid w:val="00F63080"/>
    <w:rsid w:val="00F63BA7"/>
    <w:rsid w:val="00F65282"/>
    <w:rsid w:val="00F65304"/>
    <w:rsid w:val="00F65BB7"/>
    <w:rsid w:val="00F66294"/>
    <w:rsid w:val="00F66830"/>
    <w:rsid w:val="00F67634"/>
    <w:rsid w:val="00F70643"/>
    <w:rsid w:val="00F713CE"/>
    <w:rsid w:val="00F71DF2"/>
    <w:rsid w:val="00F72178"/>
    <w:rsid w:val="00F72CE7"/>
    <w:rsid w:val="00F73BBA"/>
    <w:rsid w:val="00F753F4"/>
    <w:rsid w:val="00F75FD2"/>
    <w:rsid w:val="00F777C7"/>
    <w:rsid w:val="00F800B6"/>
    <w:rsid w:val="00F8071F"/>
    <w:rsid w:val="00F80886"/>
    <w:rsid w:val="00F811F8"/>
    <w:rsid w:val="00F84B2D"/>
    <w:rsid w:val="00F85D06"/>
    <w:rsid w:val="00F85F2F"/>
    <w:rsid w:val="00F85FAF"/>
    <w:rsid w:val="00F86360"/>
    <w:rsid w:val="00F87E46"/>
    <w:rsid w:val="00F913DC"/>
    <w:rsid w:val="00F9145F"/>
    <w:rsid w:val="00F91E30"/>
    <w:rsid w:val="00F93400"/>
    <w:rsid w:val="00F93B5F"/>
    <w:rsid w:val="00F942C9"/>
    <w:rsid w:val="00F94369"/>
    <w:rsid w:val="00F9591C"/>
    <w:rsid w:val="00FA3858"/>
    <w:rsid w:val="00FA3865"/>
    <w:rsid w:val="00FA46C8"/>
    <w:rsid w:val="00FA4E19"/>
    <w:rsid w:val="00FA610E"/>
    <w:rsid w:val="00FA6E69"/>
    <w:rsid w:val="00FA77E4"/>
    <w:rsid w:val="00FA7DAE"/>
    <w:rsid w:val="00FB1578"/>
    <w:rsid w:val="00FB199D"/>
    <w:rsid w:val="00FB1C26"/>
    <w:rsid w:val="00FB1D44"/>
    <w:rsid w:val="00FB25EE"/>
    <w:rsid w:val="00FB2B1A"/>
    <w:rsid w:val="00FB2CD7"/>
    <w:rsid w:val="00FB2E7B"/>
    <w:rsid w:val="00FB4960"/>
    <w:rsid w:val="00FB523F"/>
    <w:rsid w:val="00FB5258"/>
    <w:rsid w:val="00FB5522"/>
    <w:rsid w:val="00FB5985"/>
    <w:rsid w:val="00FC019F"/>
    <w:rsid w:val="00FC0624"/>
    <w:rsid w:val="00FC063F"/>
    <w:rsid w:val="00FC0B81"/>
    <w:rsid w:val="00FC1030"/>
    <w:rsid w:val="00FC11E0"/>
    <w:rsid w:val="00FC1379"/>
    <w:rsid w:val="00FC1715"/>
    <w:rsid w:val="00FC20DD"/>
    <w:rsid w:val="00FC371D"/>
    <w:rsid w:val="00FC41EC"/>
    <w:rsid w:val="00FC4D06"/>
    <w:rsid w:val="00FC6662"/>
    <w:rsid w:val="00FC6D7A"/>
    <w:rsid w:val="00FC7D64"/>
    <w:rsid w:val="00FC7E0D"/>
    <w:rsid w:val="00FD0193"/>
    <w:rsid w:val="00FD0FAA"/>
    <w:rsid w:val="00FD16F5"/>
    <w:rsid w:val="00FD239F"/>
    <w:rsid w:val="00FD35F5"/>
    <w:rsid w:val="00FD37B7"/>
    <w:rsid w:val="00FD380B"/>
    <w:rsid w:val="00FD3883"/>
    <w:rsid w:val="00FD43BF"/>
    <w:rsid w:val="00FD457C"/>
    <w:rsid w:val="00FD54FC"/>
    <w:rsid w:val="00FD5ABD"/>
    <w:rsid w:val="00FD6257"/>
    <w:rsid w:val="00FD6CCB"/>
    <w:rsid w:val="00FD6D27"/>
    <w:rsid w:val="00FD7524"/>
    <w:rsid w:val="00FD7960"/>
    <w:rsid w:val="00FD7E66"/>
    <w:rsid w:val="00FD7FB3"/>
    <w:rsid w:val="00FE052A"/>
    <w:rsid w:val="00FE219F"/>
    <w:rsid w:val="00FE21F5"/>
    <w:rsid w:val="00FE30C1"/>
    <w:rsid w:val="00FE3BD8"/>
    <w:rsid w:val="00FE43D5"/>
    <w:rsid w:val="00FE4AE0"/>
    <w:rsid w:val="00FE4D22"/>
    <w:rsid w:val="00FE54F4"/>
    <w:rsid w:val="00FE656D"/>
    <w:rsid w:val="00FE6995"/>
    <w:rsid w:val="00FE69AC"/>
    <w:rsid w:val="00FE6CFB"/>
    <w:rsid w:val="00FE74A3"/>
    <w:rsid w:val="00FF0040"/>
    <w:rsid w:val="00FF0E1F"/>
    <w:rsid w:val="00FF1422"/>
    <w:rsid w:val="00FF208F"/>
    <w:rsid w:val="00FF2658"/>
    <w:rsid w:val="00FF2D0E"/>
    <w:rsid w:val="00FF36A5"/>
    <w:rsid w:val="00FF3B3B"/>
    <w:rsid w:val="00FF655D"/>
    <w:rsid w:val="00FF75CC"/>
    <w:rsid w:val="00FF7F3B"/>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o:shapelayout v:ext="edit">
      <o:idmap v:ext="edit" data="1"/>
    </o:shapelayout>
  </w:shapeDefaults>
  <w:decimalSymbol w:val=","/>
  <w:listSeparator w:val=";"/>
  <w14:docId w14:val="521295A0"/>
  <w15:docId w15:val="{EB4EE4AC-CD30-A24E-A7F9-6C2C0DA9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6E126B"/>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E05895"/>
    <w:pPr>
      <w:spacing w:before="0"/>
      <w:jc w:val="left"/>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E05895"/>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46452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 w:type="paragraph" w:customStyle="1" w:styleId="TableParagraph">
    <w:name w:val="Table Paragraph"/>
    <w:basedOn w:val="Normal"/>
    <w:uiPriority w:val="1"/>
    <w:qFormat/>
    <w:rsid w:val="007674DE"/>
    <w:pPr>
      <w:widowControl w:val="0"/>
      <w:spacing w:before="0" w:after="0"/>
      <w:jc w:val="left"/>
    </w:pPr>
    <w:rPr>
      <w:rFonts w:asciiTheme="minorHAnsi" w:eastAsiaTheme="minorHAnsi" w:hAnsiTheme="minorHAnsi" w:cstheme="minorBidi"/>
      <w:sz w:val="22"/>
      <w:szCs w:val="22"/>
      <w:lang w:val="en-US"/>
    </w:rPr>
  </w:style>
  <w:style w:type="paragraph" w:customStyle="1" w:styleId="Applicationdirecte">
    <w:name w:val="Application directe"/>
    <w:basedOn w:val="Normal"/>
    <w:next w:val="Normal"/>
    <w:rsid w:val="007520D8"/>
    <w:pPr>
      <w:spacing w:before="480"/>
    </w:pPr>
    <w:rPr>
      <w:rFonts w:ascii="Times New Roman" w:hAnsi="Times New Roman"/>
      <w:sz w:val="24"/>
    </w:rPr>
  </w:style>
  <w:style w:type="paragraph" w:customStyle="1" w:styleId="Numberedtilelevel1">
    <w:name w:val="Numbered tile level 1"/>
    <w:basedOn w:val="Instructionsberschrift2"/>
    <w:qFormat/>
    <w:rsid w:val="002A276F"/>
    <w:pPr>
      <w:numPr>
        <w:numId w:val="30"/>
      </w:numPr>
    </w:pPr>
    <w:rPr>
      <w:rFonts w:ascii="Times New Roman" w:hAnsi="Times New Roman" w:cs="Times New Roman"/>
      <w:sz w:val="24"/>
      <w:u w:val="none"/>
      <w:lang w:val="en-GB"/>
    </w:rPr>
  </w:style>
  <w:style w:type="paragraph" w:customStyle="1" w:styleId="Numberedtitlelevel2">
    <w:name w:val="Numbered title level 2"/>
    <w:basedOn w:val="Normal"/>
    <w:next w:val="Normal"/>
    <w:qFormat/>
    <w:rsid w:val="007520D8"/>
    <w:pPr>
      <w:numPr>
        <w:ilvl w:val="1"/>
        <w:numId w:val="21"/>
      </w:numPr>
      <w:spacing w:before="240" w:after="240"/>
      <w:jc w:val="left"/>
    </w:pPr>
    <w:rPr>
      <w:rFonts w:asciiTheme="majorHAnsi" w:eastAsiaTheme="majorEastAsia" w:hAnsiTheme="majorHAnsi" w:cstheme="majorBidi"/>
      <w:bCs/>
      <w:color w:val="1F497D" w:themeColor="text2"/>
      <w:sz w:val="32"/>
      <w:lang w:val="en-US"/>
    </w:rPr>
  </w:style>
  <w:style w:type="paragraph" w:customStyle="1" w:styleId="Numberedtitlelevel3">
    <w:name w:val="Numbered title level 3"/>
    <w:basedOn w:val="Normal"/>
    <w:next w:val="Normal"/>
    <w:qFormat/>
    <w:rsid w:val="007520D8"/>
    <w:pPr>
      <w:numPr>
        <w:ilvl w:val="2"/>
        <w:numId w:val="21"/>
      </w:numPr>
      <w:spacing w:before="240" w:after="240"/>
      <w:jc w:val="left"/>
    </w:pPr>
    <w:rPr>
      <w:rFonts w:asciiTheme="minorHAnsi" w:eastAsiaTheme="minorEastAsia" w:hAnsiTheme="minorHAnsi" w:cstheme="minorBidi"/>
      <w:b/>
      <w:color w:val="1F497D" w:themeColor="text2"/>
      <w:sz w:val="24"/>
      <w:lang w:val="en-US"/>
    </w:rPr>
  </w:style>
  <w:style w:type="paragraph" w:customStyle="1" w:styleId="Fait">
    <w:name w:val="Fait à"/>
    <w:basedOn w:val="Normal"/>
    <w:next w:val="Normal"/>
    <w:rsid w:val="007520D8"/>
    <w:pPr>
      <w:keepNext/>
      <w:spacing w:after="0"/>
    </w:pPr>
    <w:rPr>
      <w:rFonts w:ascii="Times New Roman" w:hAnsi="Times New Roman"/>
      <w:sz w:val="24"/>
    </w:rPr>
  </w:style>
  <w:style w:type="paragraph" w:customStyle="1" w:styleId="numberedparagraph">
    <w:name w:val="numbered paragraph"/>
    <w:basedOn w:val="Normal"/>
    <w:rsid w:val="00C07658"/>
    <w:pPr>
      <w:numPr>
        <w:numId w:val="32"/>
      </w:numPr>
      <w:spacing w:before="240" w:line="276" w:lineRule="auto"/>
    </w:pPr>
    <w:rPr>
      <w:rFonts w:asciiTheme="minorHAnsi" w:eastAsiaTheme="minorEastAsia" w:hAnsiTheme="minorHAnsi" w:cstheme="minorBidi"/>
      <w:sz w:val="22"/>
      <w:szCs w:val="22"/>
      <w:lang w:val="en-US"/>
    </w:rPr>
  </w:style>
  <w:style w:type="character" w:styleId="BookTitle">
    <w:name w:val="Book Title"/>
    <w:basedOn w:val="DefaultParagraphFont"/>
    <w:uiPriority w:val="33"/>
    <w:qFormat/>
    <w:rsid w:val="004D057B"/>
    <w:rPr>
      <w:b/>
      <w:bCs/>
      <w:smallCaps/>
    </w:rPr>
  </w:style>
  <w:style w:type="paragraph" w:customStyle="1" w:styleId="body">
    <w:name w:val="body"/>
    <w:qFormat/>
    <w:rsid w:val="004A4EB9"/>
    <w:pPr>
      <w:spacing w:before="240" w:after="120" w:line="276" w:lineRule="auto"/>
      <w:jc w:val="both"/>
    </w:pPr>
    <w:rPr>
      <w:rFonts w:asciiTheme="minorHAnsi" w:eastAsiaTheme="minorEastAsia" w:hAnsiTheme="minorHAnsi" w:cstheme="minorBidi"/>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315">
      <w:bodyDiv w:val="1"/>
      <w:marLeft w:val="0"/>
      <w:marRight w:val="0"/>
      <w:marTop w:val="0"/>
      <w:marBottom w:val="0"/>
      <w:divBdr>
        <w:top w:val="none" w:sz="0" w:space="0" w:color="auto"/>
        <w:left w:val="none" w:sz="0" w:space="0" w:color="auto"/>
        <w:bottom w:val="none" w:sz="0" w:space="0" w:color="auto"/>
        <w:right w:val="none" w:sz="0" w:space="0" w:color="auto"/>
      </w:divBdr>
    </w:div>
    <w:div w:id="275718742">
      <w:bodyDiv w:val="1"/>
      <w:marLeft w:val="0"/>
      <w:marRight w:val="0"/>
      <w:marTop w:val="0"/>
      <w:marBottom w:val="0"/>
      <w:divBdr>
        <w:top w:val="none" w:sz="0" w:space="0" w:color="auto"/>
        <w:left w:val="none" w:sz="0" w:space="0" w:color="auto"/>
        <w:bottom w:val="none" w:sz="0" w:space="0" w:color="auto"/>
        <w:right w:val="none" w:sz="0" w:space="0" w:color="auto"/>
      </w:divBdr>
    </w:div>
    <w:div w:id="350453413">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1101756854">
      <w:bodyDiv w:val="1"/>
      <w:marLeft w:val="0"/>
      <w:marRight w:val="0"/>
      <w:marTop w:val="0"/>
      <w:marBottom w:val="0"/>
      <w:divBdr>
        <w:top w:val="none" w:sz="0" w:space="0" w:color="auto"/>
        <w:left w:val="none" w:sz="0" w:space="0" w:color="auto"/>
        <w:bottom w:val="none" w:sz="0" w:space="0" w:color="auto"/>
        <w:right w:val="none" w:sz="0" w:space="0" w:color="auto"/>
      </w:divBdr>
    </w:div>
    <w:div w:id="1181554224">
      <w:bodyDiv w:val="1"/>
      <w:marLeft w:val="0"/>
      <w:marRight w:val="0"/>
      <w:marTop w:val="0"/>
      <w:marBottom w:val="0"/>
      <w:divBdr>
        <w:top w:val="none" w:sz="0" w:space="0" w:color="auto"/>
        <w:left w:val="none" w:sz="0" w:space="0" w:color="auto"/>
        <w:bottom w:val="none" w:sz="0" w:space="0" w:color="auto"/>
        <w:right w:val="none" w:sz="0" w:space="0" w:color="auto"/>
      </w:divBdr>
    </w:div>
    <w:div w:id="1234513057">
      <w:bodyDiv w:val="1"/>
      <w:marLeft w:val="0"/>
      <w:marRight w:val="0"/>
      <w:marTop w:val="0"/>
      <w:marBottom w:val="0"/>
      <w:divBdr>
        <w:top w:val="none" w:sz="0" w:space="0" w:color="auto"/>
        <w:left w:val="none" w:sz="0" w:space="0" w:color="auto"/>
        <w:bottom w:val="none" w:sz="0" w:space="0" w:color="auto"/>
        <w:right w:val="none" w:sz="0" w:space="0" w:color="auto"/>
      </w:divBdr>
    </w:div>
    <w:div w:id="1356882120">
      <w:bodyDiv w:val="1"/>
      <w:marLeft w:val="0"/>
      <w:marRight w:val="0"/>
      <w:marTop w:val="0"/>
      <w:marBottom w:val="0"/>
      <w:divBdr>
        <w:top w:val="none" w:sz="0" w:space="0" w:color="auto"/>
        <w:left w:val="none" w:sz="0" w:space="0" w:color="auto"/>
        <w:bottom w:val="none" w:sz="0" w:space="0" w:color="auto"/>
        <w:right w:val="none" w:sz="0" w:space="0" w:color="auto"/>
      </w:divBdr>
    </w:div>
    <w:div w:id="1947809343">
      <w:bodyDiv w:val="1"/>
      <w:marLeft w:val="0"/>
      <w:marRight w:val="0"/>
      <w:marTop w:val="0"/>
      <w:marBottom w:val="0"/>
      <w:divBdr>
        <w:top w:val="none" w:sz="0" w:space="0" w:color="auto"/>
        <w:left w:val="none" w:sz="0" w:space="0" w:color="auto"/>
        <w:bottom w:val="none" w:sz="0" w:space="0" w:color="auto"/>
        <w:right w:val="none" w:sz="0" w:space="0" w:color="auto"/>
      </w:divBdr>
    </w:div>
    <w:div w:id="2000496602">
      <w:bodyDiv w:val="1"/>
      <w:marLeft w:val="0"/>
      <w:marRight w:val="0"/>
      <w:marTop w:val="0"/>
      <w:marBottom w:val="0"/>
      <w:divBdr>
        <w:top w:val="none" w:sz="0" w:space="0" w:color="auto"/>
        <w:left w:val="none" w:sz="0" w:space="0" w:color="auto"/>
        <w:bottom w:val="none" w:sz="0" w:space="0" w:color="auto"/>
        <w:right w:val="none" w:sz="0" w:space="0" w:color="auto"/>
      </w:divBdr>
    </w:div>
    <w:div w:id="20792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7CBAC-19D3-4070-91F7-E303AF84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10442</Words>
  <Characters>55011</Characters>
  <Application>Microsoft Office Word</Application>
  <DocSecurity>0</DocSecurity>
  <Lines>1341</Lines>
  <Paragraphs>839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64614</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GRIKSAS Gintaras (FISMA)</dc:creator>
  <cp:lastModifiedBy>VAPPER Rea (FISMA)</cp:lastModifiedBy>
  <cp:revision>2</cp:revision>
  <cp:lastPrinted>2018-06-07T11:13:00Z</cp:lastPrinted>
  <dcterms:created xsi:type="dcterms:W3CDTF">2021-05-18T08:57:00Z</dcterms:created>
  <dcterms:modified xsi:type="dcterms:W3CDTF">2021-05-18T08:57:00Z</dcterms:modified>
</cp:coreProperties>
</file>