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FBDAA" w14:textId="325443EF" w:rsidR="00C87CEE" w:rsidRPr="00F4528F" w:rsidRDefault="009F0F81" w:rsidP="00D64B66">
      <w:pPr>
        <w:pStyle w:val="Titrearticle"/>
        <w:keepNext w:val="0"/>
        <w:outlineLvl w:val="0"/>
        <w:rPr>
          <w:i w:val="0"/>
          <w:lang w:val="en-US"/>
        </w:rPr>
      </w:pPr>
      <w:bookmarkStart w:id="0" w:name="_Toc262568021"/>
      <w:bookmarkStart w:id="1" w:name="_Toc295829847"/>
      <w:r w:rsidRPr="00F4528F">
        <w:rPr>
          <w:i w:val="0"/>
          <w:lang w:val="en-US"/>
        </w:rPr>
        <w:t xml:space="preserve">ANNEX </w:t>
      </w:r>
      <w:r w:rsidR="00713F52" w:rsidRPr="00F4528F">
        <w:rPr>
          <w:i w:val="0"/>
          <w:lang w:val="en-US"/>
        </w:rPr>
        <w:t>V</w:t>
      </w:r>
      <w:r w:rsidRPr="00F4528F">
        <w:rPr>
          <w:i w:val="0"/>
          <w:lang w:val="en-US"/>
        </w:rPr>
        <w:t>II</w:t>
      </w:r>
    </w:p>
    <w:p w14:paraId="26FC133A" w14:textId="59A74890" w:rsidR="00C87CEE" w:rsidRPr="00F4528F" w:rsidRDefault="00713F52" w:rsidP="00C87CEE">
      <w:pPr>
        <w:jc w:val="center"/>
        <w:rPr>
          <w:rFonts w:ascii="Times New Roman" w:hAnsi="Times New Roman"/>
          <w:b/>
          <w:sz w:val="24"/>
          <w:lang w:eastAsia="de-DE"/>
        </w:rPr>
      </w:pPr>
      <w:r w:rsidRPr="00F4528F">
        <w:rPr>
          <w:rFonts w:ascii="Times New Roman" w:hAnsi="Times New Roman"/>
          <w:b/>
          <w:sz w:val="24"/>
          <w:lang w:eastAsia="de-DE"/>
        </w:rPr>
        <w:t xml:space="preserve">INSTRUCTIONS FOR </w:t>
      </w:r>
      <w:r w:rsidR="009F0F81" w:rsidRPr="00F4528F">
        <w:rPr>
          <w:rFonts w:ascii="Times New Roman" w:hAnsi="Times New Roman"/>
          <w:b/>
          <w:sz w:val="24"/>
          <w:lang w:eastAsia="de-DE"/>
        </w:rPr>
        <w:t xml:space="preserve">REPORTING ON </w:t>
      </w:r>
      <w:r w:rsidRPr="00F4528F">
        <w:rPr>
          <w:rFonts w:ascii="Times New Roman" w:hAnsi="Times New Roman"/>
          <w:b/>
          <w:sz w:val="24"/>
          <w:lang w:eastAsia="de-DE"/>
        </w:rPr>
        <w:t>LOSSES STEMMING FROM LENDING COLLATERALISED BY IMMOVABLE PROPERTY</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lastRenderedPageBreak/>
        <w:t>1.</w:t>
      </w:r>
      <w:r w:rsidRPr="008A4E00">
        <w:rPr>
          <w:rFonts w:ascii="Times New Roman" w:hAnsi="Times New Roman" w:cs="Times New Roman"/>
          <w:sz w:val="24"/>
          <w:u w:val="none"/>
        </w:rPr>
        <w:tab/>
      </w:r>
      <w:r w:rsidR="009F0F81" w:rsidRPr="008A4E00">
        <w:rPr>
          <w:rFonts w:ascii="Times New Roman" w:hAnsi="Times New Roman" w:cs="Times New Roman"/>
          <w:sz w:val="24"/>
          <w:u w:val="none"/>
        </w:rPr>
        <w:t xml:space="preserve">This Annex contains instructions </w:t>
      </w:r>
      <w:r w:rsidR="00713F52" w:rsidRPr="008A4E00">
        <w:rPr>
          <w:rFonts w:ascii="Times New Roman" w:hAnsi="Times New Roman" w:cs="Times New Roman"/>
          <w:sz w:val="24"/>
          <w:u w:val="none"/>
        </w:rPr>
        <w:t>in relation to</w:t>
      </w:r>
      <w:r w:rsidR="009F0F81" w:rsidRPr="008A4E00">
        <w:rPr>
          <w:rFonts w:ascii="Times New Roman" w:hAnsi="Times New Roman" w:cs="Times New Roman"/>
          <w:sz w:val="24"/>
          <w:u w:val="none"/>
        </w:rPr>
        <w:t xml:space="preserve"> the </w:t>
      </w:r>
      <w:r w:rsidR="00C06D30" w:rsidRPr="008A4E00">
        <w:rPr>
          <w:rFonts w:ascii="Times New Roman" w:hAnsi="Times New Roman" w:cs="Times New Roman"/>
          <w:sz w:val="24"/>
          <w:u w:val="none"/>
        </w:rPr>
        <w:t xml:space="preserve">templates </w:t>
      </w:r>
      <w:r w:rsidR="009F0F81" w:rsidRPr="008A4E00">
        <w:rPr>
          <w:rFonts w:ascii="Times New Roman" w:hAnsi="Times New Roman" w:cs="Times New Roman"/>
          <w:sz w:val="24"/>
          <w:u w:val="none"/>
        </w:rPr>
        <w:t xml:space="preserve">included in Annex </w:t>
      </w:r>
      <w:r w:rsidR="00713F52" w:rsidRPr="008A4E00">
        <w:rPr>
          <w:rFonts w:ascii="Times New Roman" w:hAnsi="Times New Roman" w:cs="Times New Roman"/>
          <w:sz w:val="24"/>
          <w:u w:val="none"/>
        </w:rPr>
        <w:t>V</w:t>
      </w:r>
      <w:r w:rsidR="009F0F81" w:rsidRPr="008A4E00">
        <w:rPr>
          <w:rFonts w:ascii="Times New Roman" w:hAnsi="Times New Roman" w:cs="Times New Roman"/>
          <w:sz w:val="24"/>
          <w:u w:val="none"/>
        </w:rPr>
        <w:t xml:space="preserve">I </w:t>
      </w:r>
      <w:r w:rsidR="00C06D30" w:rsidRPr="008A4E00">
        <w:rPr>
          <w:rFonts w:ascii="Times New Roman" w:hAnsi="Times New Roman" w:cs="Times New Roman"/>
          <w:sz w:val="24"/>
          <w:u w:val="none"/>
        </w:rPr>
        <w:t>t</w:t>
      </w:r>
      <w:r w:rsidR="00F4528F">
        <w:rPr>
          <w:rFonts w:ascii="Times New Roman" w:hAnsi="Times New Roman" w:cs="Times New Roman"/>
          <w:sz w:val="24"/>
          <w:u w:val="none"/>
        </w:rPr>
        <w:t>o</w:t>
      </w:r>
      <w:r w:rsidR="00C06D30" w:rsidRPr="008A4E00">
        <w:rPr>
          <w:rFonts w:ascii="Times New Roman" w:hAnsi="Times New Roman" w:cs="Times New Roman"/>
          <w:sz w:val="24"/>
          <w:u w:val="none"/>
        </w:rPr>
        <w:t xml:space="preserve"> </w:t>
      </w:r>
      <w:r w:rsidR="009F0F81" w:rsidRPr="008A4E00">
        <w:rPr>
          <w:rFonts w:ascii="Times New Roman" w:hAnsi="Times New Roman" w:cs="Times New Roman"/>
          <w:sz w:val="24"/>
          <w:u w:val="none"/>
        </w:rPr>
        <w:t>this Regulation.</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713F52" w:rsidRPr="008A4E00">
        <w:rPr>
          <w:rFonts w:ascii="Times New Roman" w:hAnsi="Times New Roman" w:cs="Times New Roman"/>
          <w:sz w:val="24"/>
          <w:u w:val="none"/>
        </w:rPr>
        <w:t xml:space="preserve">All the general instructions included in Part I of Annex II </w:t>
      </w:r>
      <w:r w:rsidR="00F4528F">
        <w:rPr>
          <w:rFonts w:ascii="Times New Roman" w:hAnsi="Times New Roman" w:cs="Times New Roman"/>
          <w:sz w:val="24"/>
          <w:u w:val="none"/>
        </w:rPr>
        <w:t>to</w:t>
      </w:r>
      <w:r w:rsidR="00713F52" w:rsidRPr="008A4E00">
        <w:rPr>
          <w:rFonts w:ascii="Times New Roman" w:hAnsi="Times New Roman" w:cs="Times New Roman"/>
          <w:sz w:val="24"/>
          <w:u w:val="none"/>
        </w:rPr>
        <w:t xml:space="preserve"> this </w:t>
      </w:r>
      <w:r w:rsidR="00F4528F">
        <w:rPr>
          <w:rFonts w:ascii="Times New Roman" w:hAnsi="Times New Roman" w:cs="Times New Roman"/>
          <w:sz w:val="24"/>
          <w:u w:val="none"/>
        </w:rPr>
        <w:t>R</w:t>
      </w:r>
      <w:r w:rsidR="00713F52" w:rsidRPr="008A4E00">
        <w:rPr>
          <w:rFonts w:ascii="Times New Roman" w:hAnsi="Times New Roman" w:cs="Times New Roman"/>
          <w:sz w:val="24"/>
          <w:u w:val="none"/>
        </w:rPr>
        <w:t>egulation shall also apply.</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1.</w:t>
      </w:r>
      <w:r w:rsidRPr="008A4E00">
        <w:rPr>
          <w:rFonts w:ascii="Times New Roman" w:hAnsi="Times New Roman" w:cs="Times New Roman"/>
          <w:sz w:val="24"/>
          <w:u w:val="none"/>
        </w:rPr>
        <w:tab/>
      </w:r>
      <w:r w:rsidR="00325A59" w:rsidRPr="008A4E00">
        <w:rPr>
          <w:rFonts w:ascii="Times New Roman" w:hAnsi="Times New Roman" w:cs="Times New Roman"/>
          <w:sz w:val="24"/>
        </w:rPr>
        <w:t>Reporting scope</w:t>
      </w:r>
    </w:p>
    <w:p w14:paraId="359D7D30" w14:textId="515F3014" w:rsidR="000907F9" w:rsidRPr="008A4E00" w:rsidRDefault="001E7A23" w:rsidP="002B6F88">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ED1CE1">
        <w:rPr>
          <w:rFonts w:ascii="Times New Roman" w:hAnsi="Times New Roman" w:cs="Times New Roman"/>
          <w:sz w:val="24"/>
          <w:u w:val="none"/>
        </w:rPr>
        <w:t>I</w:t>
      </w:r>
      <w:r w:rsidR="00FB175F" w:rsidRPr="008A4E00">
        <w:rPr>
          <w:rFonts w:ascii="Times New Roman" w:hAnsi="Times New Roman" w:cs="Times New Roman"/>
          <w:sz w:val="24"/>
          <w:u w:val="none"/>
        </w:rPr>
        <w:t xml:space="preserve">nstitutions </w:t>
      </w:r>
      <w:r w:rsidR="00ED1CE1">
        <w:rPr>
          <w:rFonts w:ascii="Times New Roman" w:hAnsi="Times New Roman" w:cs="Times New Roman"/>
          <w:sz w:val="24"/>
          <w:u w:val="none"/>
        </w:rPr>
        <w:t xml:space="preserve">that </w:t>
      </w:r>
      <w:r w:rsidR="00FB175F" w:rsidRPr="008A4E00">
        <w:rPr>
          <w:rFonts w:ascii="Times New Roman" w:hAnsi="Times New Roman" w:cs="Times New Roman"/>
          <w:sz w:val="24"/>
          <w:u w:val="none"/>
        </w:rPr>
        <w:t>us</w:t>
      </w:r>
      <w:r w:rsidR="00ED1CE1">
        <w:rPr>
          <w:rFonts w:ascii="Times New Roman" w:hAnsi="Times New Roman" w:cs="Times New Roman"/>
          <w:sz w:val="24"/>
          <w:u w:val="none"/>
        </w:rPr>
        <w:t>e</w:t>
      </w:r>
      <w:r w:rsidR="00FB175F" w:rsidRPr="008A4E00">
        <w:rPr>
          <w:rFonts w:ascii="Times New Roman" w:hAnsi="Times New Roman" w:cs="Times New Roman"/>
          <w:sz w:val="24"/>
          <w:u w:val="none"/>
        </w:rPr>
        <w:t xml:space="preserve"> immovable property </w:t>
      </w:r>
      <w:r w:rsidR="003D108A">
        <w:rPr>
          <w:rFonts w:ascii="Times New Roman" w:hAnsi="Times New Roman" w:cs="Times New Roman"/>
          <w:sz w:val="24"/>
          <w:u w:val="none"/>
        </w:rPr>
        <w:t xml:space="preserve">in accordance with </w:t>
      </w:r>
      <w:r w:rsidR="00FB175F" w:rsidRPr="008A4E00">
        <w:rPr>
          <w:rFonts w:ascii="Times New Roman" w:hAnsi="Times New Roman" w:cs="Times New Roman"/>
          <w:sz w:val="24"/>
          <w:u w:val="none"/>
        </w:rPr>
        <w:t xml:space="preserve">Part Three, Title II </w:t>
      </w:r>
      <w:r w:rsidR="0057435E" w:rsidRPr="008A4E00">
        <w:rPr>
          <w:rFonts w:ascii="Times New Roman" w:hAnsi="Times New Roman" w:cs="Times New Roman"/>
          <w:sz w:val="24"/>
          <w:u w:val="none"/>
        </w:rPr>
        <w:t>of CRR</w:t>
      </w:r>
      <w:r w:rsidR="00ED1CE1">
        <w:rPr>
          <w:rFonts w:ascii="Times New Roman" w:hAnsi="Times New Roman" w:cs="Times New Roman"/>
          <w:sz w:val="24"/>
          <w:u w:val="none"/>
        </w:rPr>
        <w:t xml:space="preserve"> shall report the data specified in Article 430a(1) CRR</w:t>
      </w:r>
      <w:r w:rsidR="0057435E" w:rsidRPr="008A4E00">
        <w:rPr>
          <w:rFonts w:ascii="Times New Roman" w:hAnsi="Times New Roman" w:cs="Times New Roman"/>
          <w:sz w:val="24"/>
          <w:u w:val="none"/>
        </w:rPr>
        <w:t xml:space="preserve">.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A35584" w:rsidRPr="008A4E00">
        <w:rPr>
          <w:rFonts w:ascii="Times New Roman" w:hAnsi="Times New Roman" w:cs="Times New Roman"/>
          <w:sz w:val="24"/>
          <w:u w:val="none"/>
        </w:rPr>
        <w:t>The template cover</w:t>
      </w:r>
      <w:r w:rsidR="00B5171B" w:rsidRPr="008A4E00">
        <w:rPr>
          <w:rFonts w:ascii="Times New Roman" w:hAnsi="Times New Roman" w:cs="Times New Roman"/>
          <w:sz w:val="24"/>
          <w:u w:val="none"/>
        </w:rPr>
        <w:t>s</w:t>
      </w:r>
      <w:r w:rsidR="00A35584" w:rsidRPr="008A4E00">
        <w:rPr>
          <w:rFonts w:ascii="Times New Roman" w:hAnsi="Times New Roman" w:cs="Times New Roman"/>
          <w:sz w:val="24"/>
          <w:u w:val="none"/>
        </w:rPr>
        <w:t xml:space="preserve"> all national markets an institution/group of institution</w:t>
      </w:r>
      <w:r w:rsidR="00DC5E71">
        <w:rPr>
          <w:rFonts w:ascii="Times New Roman" w:hAnsi="Times New Roman" w:cs="Times New Roman"/>
          <w:sz w:val="24"/>
          <w:u w:val="none"/>
        </w:rPr>
        <w:t>s</w:t>
      </w:r>
      <w:r w:rsidR="00A35584" w:rsidRPr="008A4E00">
        <w:rPr>
          <w:rFonts w:ascii="Times New Roman" w:hAnsi="Times New Roman" w:cs="Times New Roman"/>
          <w:sz w:val="24"/>
          <w:u w:val="none"/>
        </w:rPr>
        <w:t xml:space="preserve"> is exposed to</w:t>
      </w:r>
      <w:r w:rsidR="00FA5CA1" w:rsidRPr="008A4E00">
        <w:rPr>
          <w:rFonts w:ascii="Times New Roman" w:hAnsi="Times New Roman" w:cs="Times New Roman"/>
          <w:sz w:val="24"/>
          <w:u w:val="none"/>
        </w:rPr>
        <w:t xml:space="preserve"> (see Article </w:t>
      </w:r>
      <w:r w:rsidR="00C06D30" w:rsidRPr="008A4E00">
        <w:rPr>
          <w:rFonts w:ascii="Times New Roman" w:hAnsi="Times New Roman" w:cs="Times New Roman"/>
          <w:sz w:val="24"/>
          <w:u w:val="none"/>
        </w:rPr>
        <w:t>430a</w:t>
      </w:r>
      <w:r w:rsidR="00FA5CA1" w:rsidRPr="008A4E00">
        <w:rPr>
          <w:rFonts w:ascii="Times New Roman" w:hAnsi="Times New Roman" w:cs="Times New Roman"/>
          <w:sz w:val="24"/>
          <w:u w:val="none"/>
        </w:rPr>
        <w:t>(1) CRR)</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In a</w:t>
      </w:r>
      <w:r w:rsidR="00A35584" w:rsidRPr="008A4E00">
        <w:rPr>
          <w:rFonts w:ascii="Times New Roman" w:hAnsi="Times New Roman" w:cs="Times New Roman"/>
          <w:sz w:val="24"/>
          <w:u w:val="none"/>
        </w:rPr>
        <w:t>ccord</w:t>
      </w:r>
      <w:r w:rsidR="00C60BE1" w:rsidRPr="008A4E00">
        <w:rPr>
          <w:rFonts w:ascii="Times New Roman" w:hAnsi="Times New Roman" w:cs="Times New Roman"/>
          <w:sz w:val="24"/>
          <w:u w:val="none"/>
        </w:rPr>
        <w:t>ance</w:t>
      </w:r>
      <w:r w:rsidR="00A35584" w:rsidRPr="008A4E00">
        <w:rPr>
          <w:rFonts w:ascii="Times New Roman" w:hAnsi="Times New Roman" w:cs="Times New Roman"/>
          <w:sz w:val="24"/>
          <w:u w:val="none"/>
        </w:rPr>
        <w:t xml:space="preserve"> </w:t>
      </w:r>
      <w:r w:rsidR="00C60BE1" w:rsidRPr="008A4E00">
        <w:rPr>
          <w:rFonts w:ascii="Times New Roman" w:hAnsi="Times New Roman" w:cs="Times New Roman"/>
          <w:sz w:val="24"/>
          <w:u w:val="none"/>
        </w:rPr>
        <w:t>with</w:t>
      </w:r>
      <w:r w:rsidR="00A35584"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the third sentence of </w:t>
      </w:r>
      <w:r w:rsidR="00A35584" w:rsidRPr="008A4E00">
        <w:rPr>
          <w:rFonts w:ascii="Times New Roman" w:hAnsi="Times New Roman" w:cs="Times New Roman"/>
          <w:sz w:val="24"/>
          <w:u w:val="none"/>
        </w:rPr>
        <w:t xml:space="preserve">Article </w:t>
      </w:r>
      <w:r w:rsidR="00F4528F">
        <w:rPr>
          <w:rFonts w:ascii="Times New Roman" w:hAnsi="Times New Roman" w:cs="Times New Roman"/>
          <w:sz w:val="24"/>
          <w:u w:val="none"/>
        </w:rPr>
        <w:t>430a</w:t>
      </w:r>
      <w:r w:rsidR="00422064" w:rsidRPr="008A4E00">
        <w:rPr>
          <w:rFonts w:ascii="Times New Roman" w:hAnsi="Times New Roman" w:cs="Times New Roman"/>
          <w:sz w:val="24"/>
          <w:u w:val="none"/>
        </w:rPr>
        <w:t>(</w:t>
      </w:r>
      <w:r w:rsidR="00A35584" w:rsidRPr="008A4E00">
        <w:rPr>
          <w:rFonts w:ascii="Times New Roman" w:hAnsi="Times New Roman" w:cs="Times New Roman"/>
          <w:sz w:val="24"/>
          <w:u w:val="none"/>
        </w:rPr>
        <w:t>2</w:t>
      </w:r>
      <w:r w:rsidR="00422064" w:rsidRPr="008A4E00">
        <w:rPr>
          <w:rFonts w:ascii="Times New Roman" w:hAnsi="Times New Roman" w:cs="Times New Roman"/>
          <w:sz w:val="24"/>
          <w:u w:val="none"/>
        </w:rPr>
        <w:t>)</w:t>
      </w:r>
      <w:r w:rsidR="00A35584" w:rsidRPr="008A4E00">
        <w:rPr>
          <w:rFonts w:ascii="Times New Roman" w:hAnsi="Times New Roman" w:cs="Times New Roman"/>
          <w:sz w:val="24"/>
          <w:u w:val="none"/>
        </w:rPr>
        <w:t xml:space="preserve"> the data </w:t>
      </w:r>
      <w:r w:rsidR="00A1207F" w:rsidRPr="008A4E00">
        <w:rPr>
          <w:rFonts w:ascii="Times New Roman" w:hAnsi="Times New Roman" w:cs="Times New Roman"/>
          <w:sz w:val="24"/>
          <w:u w:val="none"/>
        </w:rPr>
        <w:t xml:space="preserve">shall </w:t>
      </w:r>
      <w:r w:rsidR="00A35584" w:rsidRPr="008A4E00">
        <w:rPr>
          <w:rFonts w:ascii="Times New Roman" w:hAnsi="Times New Roman" w:cs="Times New Roman"/>
          <w:sz w:val="24"/>
          <w:u w:val="none"/>
        </w:rPr>
        <w:t xml:space="preserve">be reported for each property market </w:t>
      </w:r>
      <w:r w:rsidR="00FA5CA1" w:rsidRPr="008A4E00">
        <w:rPr>
          <w:rFonts w:ascii="Times New Roman" w:hAnsi="Times New Roman" w:cs="Times New Roman"/>
          <w:sz w:val="24"/>
          <w:u w:val="none"/>
        </w:rPr>
        <w:t xml:space="preserve">within the </w:t>
      </w:r>
      <w:r w:rsidR="00C62E09" w:rsidRPr="008A4E00">
        <w:rPr>
          <w:rFonts w:ascii="Times New Roman" w:hAnsi="Times New Roman" w:cs="Times New Roman"/>
          <w:sz w:val="24"/>
          <w:u w:val="none"/>
        </w:rPr>
        <w:t xml:space="preserve">Union </w:t>
      </w:r>
      <w:r w:rsidR="00A35584" w:rsidRPr="008A4E00">
        <w:rPr>
          <w:rFonts w:ascii="Times New Roman" w:hAnsi="Times New Roman" w:cs="Times New Roman"/>
          <w:sz w:val="24"/>
          <w:u w:val="none"/>
        </w:rPr>
        <w:t>separately.</w:t>
      </w:r>
      <w:r w:rsidR="00FA5CA1" w:rsidRPr="008A4E00">
        <w:rPr>
          <w:rFonts w:ascii="Times New Roman" w:hAnsi="Times New Roman" w:cs="Times New Roman"/>
          <w:sz w:val="24"/>
          <w:u w:val="none"/>
        </w:rPr>
        <w:t xml:space="preserve">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2.</w:t>
      </w:r>
      <w:r w:rsidRPr="008A4E00">
        <w:rPr>
          <w:rFonts w:ascii="Times New Roman" w:hAnsi="Times New Roman" w:cs="Times New Roman"/>
          <w:sz w:val="24"/>
          <w:u w:val="none"/>
        </w:rPr>
        <w:tab/>
      </w:r>
      <w:r w:rsidR="00363FCE" w:rsidRPr="008A4E00">
        <w:rPr>
          <w:rFonts w:ascii="Times New Roman" w:hAnsi="Times New Roman" w:cs="Times New Roman"/>
          <w:sz w:val="24"/>
        </w:rPr>
        <w:t>Definitions</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5.</w:t>
      </w:r>
      <w:r w:rsidRPr="008A4E00">
        <w:rPr>
          <w:rFonts w:ascii="Times New Roman" w:hAnsi="Times New Roman" w:cs="Times New Roman"/>
          <w:sz w:val="24"/>
          <w:u w:val="none"/>
        </w:rPr>
        <w:tab/>
      </w:r>
      <w:r w:rsidR="00DC5E71">
        <w:rPr>
          <w:rFonts w:ascii="Times New Roman" w:hAnsi="Times New Roman" w:cs="Times New Roman"/>
          <w:sz w:val="24"/>
          <w:u w:val="none"/>
        </w:rPr>
        <w:t>‘</w:t>
      </w:r>
      <w:r w:rsidR="0072061E">
        <w:rPr>
          <w:rFonts w:ascii="Times New Roman" w:hAnsi="Times New Roman" w:cs="Times New Roman"/>
          <w:sz w:val="24"/>
          <w:u w:val="none"/>
        </w:rPr>
        <w:t>Loss</w:t>
      </w:r>
      <w:r w:rsidR="00DC5E71">
        <w:rPr>
          <w:rFonts w:ascii="Times New Roman" w:hAnsi="Times New Roman" w:cs="Times New Roman"/>
          <w:sz w:val="24"/>
          <w:u w:val="none"/>
        </w:rPr>
        <w:t>’</w:t>
      </w:r>
      <w:r w:rsidR="0072061E">
        <w:rPr>
          <w:rFonts w:ascii="Times New Roman" w:hAnsi="Times New Roman" w:cs="Times New Roman"/>
          <w:sz w:val="24"/>
          <w:u w:val="none"/>
        </w:rPr>
        <w:t xml:space="preserve"> shall mean </w:t>
      </w:r>
      <w:r w:rsidR="00980064">
        <w:rPr>
          <w:rFonts w:ascii="Times New Roman" w:hAnsi="Times New Roman" w:cs="Times New Roman"/>
          <w:sz w:val="24"/>
          <w:u w:val="none"/>
        </w:rPr>
        <w:t xml:space="preserve">the </w:t>
      </w:r>
      <w:r w:rsidR="0072061E">
        <w:rPr>
          <w:rFonts w:ascii="Times New Roman" w:hAnsi="Times New Roman" w:cs="Times New Roman"/>
          <w:sz w:val="24"/>
          <w:u w:val="none"/>
        </w:rPr>
        <w:t xml:space="preserve">loss </w:t>
      </w:r>
      <w:r w:rsidR="00920D63" w:rsidRPr="008A4E00">
        <w:rPr>
          <w:rFonts w:ascii="Times New Roman" w:hAnsi="Times New Roman" w:cs="Times New Roman"/>
          <w:sz w:val="24"/>
          <w:u w:val="none"/>
        </w:rPr>
        <w:t xml:space="preserve">defined in </w:t>
      </w:r>
      <w:r w:rsidR="004A4CEC" w:rsidRPr="008A4E00">
        <w:rPr>
          <w:rFonts w:ascii="Times New Roman" w:hAnsi="Times New Roman" w:cs="Times New Roman"/>
          <w:sz w:val="24"/>
          <w:u w:val="none"/>
        </w:rPr>
        <w:t xml:space="preserve">point (2) of </w:t>
      </w:r>
      <w:r w:rsidR="00920D63" w:rsidRPr="008A4E00">
        <w:rPr>
          <w:rFonts w:ascii="Times New Roman" w:hAnsi="Times New Roman" w:cs="Times New Roman"/>
          <w:sz w:val="24"/>
          <w:u w:val="none"/>
        </w:rPr>
        <w:t xml:space="preserve">Article </w:t>
      </w:r>
      <w:r w:rsidR="00422064" w:rsidRPr="008A4E00">
        <w:rPr>
          <w:rFonts w:ascii="Times New Roman" w:hAnsi="Times New Roman" w:cs="Times New Roman"/>
          <w:sz w:val="24"/>
          <w:u w:val="none"/>
        </w:rPr>
        <w:t>5</w:t>
      </w:r>
      <w:r w:rsidR="00920D63" w:rsidRPr="008A4E00">
        <w:rPr>
          <w:rFonts w:ascii="Times New Roman" w:hAnsi="Times New Roman" w:cs="Times New Roman"/>
          <w:sz w:val="24"/>
          <w:u w:val="none"/>
        </w:rPr>
        <w:t xml:space="preserve"> CRR, including losses stemming from leased property. </w:t>
      </w:r>
      <w:r w:rsidR="00920D63" w:rsidRPr="008A4E00">
        <w:rPr>
          <w:rStyle w:val="InstructionsTabelleText"/>
          <w:rFonts w:ascii="Times New Roman" w:hAnsi="Times New Roman"/>
          <w:sz w:val="24"/>
          <w:u w:val="none"/>
        </w:rPr>
        <w:t>The recovery flows stemming from other sources (e.g. bank guarantees, li</w:t>
      </w:r>
      <w:r w:rsidR="00E133A7" w:rsidRPr="008A4E00">
        <w:rPr>
          <w:rStyle w:val="InstructionsTabelleText"/>
          <w:rFonts w:ascii="Times New Roman" w:hAnsi="Times New Roman"/>
          <w:sz w:val="24"/>
          <w:u w:val="none"/>
        </w:rPr>
        <w:t>f</w:t>
      </w:r>
      <w:r w:rsidR="00920D63" w:rsidRPr="008A4E00">
        <w:rPr>
          <w:rStyle w:val="InstructionsTabelleText"/>
          <w:rFonts w:ascii="Times New Roman" w:hAnsi="Times New Roman"/>
          <w:sz w:val="24"/>
          <w:u w:val="none"/>
        </w:rPr>
        <w:t xml:space="preserve">e insurance, etc) </w:t>
      </w:r>
      <w:r w:rsidR="00DD2656" w:rsidRPr="008A4E00">
        <w:rPr>
          <w:rStyle w:val="InstructionsTabelleText"/>
          <w:rFonts w:ascii="Times New Roman" w:hAnsi="Times New Roman"/>
          <w:sz w:val="24"/>
          <w:u w:val="none"/>
        </w:rPr>
        <w:t>shall</w:t>
      </w:r>
      <w:r w:rsidR="00920D63" w:rsidRPr="008A4E00">
        <w:rPr>
          <w:rStyle w:val="InstructionsTabelleText"/>
          <w:rFonts w:ascii="Times New Roman" w:hAnsi="Times New Roman"/>
          <w:sz w:val="24"/>
          <w:u w:val="none"/>
        </w:rPr>
        <w:t xml:space="preserve"> not be recognised </w:t>
      </w:r>
      <w:r w:rsidR="00B97547">
        <w:rPr>
          <w:rStyle w:val="InstructionsTabelleText"/>
          <w:rFonts w:ascii="Times New Roman" w:hAnsi="Times New Roman"/>
          <w:sz w:val="24"/>
          <w:u w:val="none"/>
        </w:rPr>
        <w:t xml:space="preserve">as </w:t>
      </w:r>
      <w:r w:rsidR="00DC5E71">
        <w:rPr>
          <w:rStyle w:val="InstructionsTabelleText"/>
          <w:rFonts w:ascii="Times New Roman" w:hAnsi="Times New Roman"/>
          <w:sz w:val="24"/>
          <w:u w:val="none"/>
        </w:rPr>
        <w:t xml:space="preserve">reducing the </w:t>
      </w:r>
      <w:r w:rsidR="00B97547">
        <w:rPr>
          <w:rStyle w:val="InstructionsTabelleText"/>
          <w:rFonts w:ascii="Times New Roman" w:hAnsi="Times New Roman"/>
          <w:sz w:val="24"/>
          <w:u w:val="none"/>
        </w:rPr>
        <w:t xml:space="preserve">losses </w:t>
      </w:r>
      <w:r w:rsidR="00920D63" w:rsidRPr="008A4E00">
        <w:rPr>
          <w:rStyle w:val="InstructionsTabelleText"/>
          <w:rFonts w:ascii="Times New Roman" w:hAnsi="Times New Roman"/>
          <w:sz w:val="24"/>
          <w:u w:val="none"/>
        </w:rPr>
        <w:t>when calculating losses stemming from immovable property.</w:t>
      </w:r>
      <w:r w:rsidR="00E048CD" w:rsidRPr="008A4E00">
        <w:rPr>
          <w:rStyle w:val="InstructionsTabelleText"/>
          <w:rFonts w:ascii="Times New Roman" w:hAnsi="Times New Roman"/>
          <w:sz w:val="24"/>
          <w:u w:val="none"/>
        </w:rPr>
        <w:t xml:space="preserve"> </w:t>
      </w:r>
      <w:r w:rsidR="00E048CD" w:rsidRPr="008A4E00">
        <w:rPr>
          <w:rFonts w:ascii="Times New Roman" w:hAnsi="Times New Roman" w:cs="Times New Roman"/>
          <w:sz w:val="24"/>
          <w:u w:val="none"/>
        </w:rPr>
        <w:t>Losses of one position shall not be netted with the profit of a successful recovery of another position.</w:t>
      </w:r>
    </w:p>
    <w:p w14:paraId="6F0824D8" w14:textId="5D50FACE"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6.</w:t>
      </w:r>
      <w:r w:rsidRPr="008A4E00">
        <w:rPr>
          <w:rFonts w:ascii="Times New Roman" w:hAnsi="Times New Roman" w:cs="Times New Roman"/>
          <w:sz w:val="24"/>
          <w:u w:val="none"/>
        </w:rPr>
        <w:tab/>
      </w:r>
      <w:r w:rsidR="009E7878">
        <w:rPr>
          <w:rFonts w:ascii="Times New Roman" w:hAnsi="Times New Roman" w:cs="Times New Roman"/>
          <w:sz w:val="24"/>
          <w:u w:val="none"/>
        </w:rPr>
        <w:t>T</w:t>
      </w:r>
      <w:r w:rsidR="00373A71" w:rsidRPr="008A4E00">
        <w:rPr>
          <w:rFonts w:ascii="Times New Roman" w:hAnsi="Times New Roman" w:cs="Times New Roman"/>
          <w:sz w:val="24"/>
          <w:u w:val="none"/>
        </w:rPr>
        <w:t xml:space="preserve">he calculation of economic loss </w:t>
      </w:r>
      <w:r w:rsidR="0072061E" w:rsidRPr="008A4E00">
        <w:rPr>
          <w:rFonts w:ascii="Times New Roman" w:hAnsi="Times New Roman" w:cs="Times New Roman"/>
          <w:sz w:val="24"/>
          <w:u w:val="none"/>
        </w:rPr>
        <w:t>sh</w:t>
      </w:r>
      <w:r w:rsidR="0072061E">
        <w:rPr>
          <w:rFonts w:ascii="Times New Roman" w:hAnsi="Times New Roman" w:cs="Times New Roman"/>
          <w:sz w:val="24"/>
          <w:u w:val="none"/>
        </w:rPr>
        <w:t>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start from outstanding exposure value at </w:t>
      </w:r>
      <w:r w:rsidR="00CF25FB">
        <w:rPr>
          <w:rFonts w:ascii="Times New Roman" w:hAnsi="Times New Roman" w:cs="Times New Roman"/>
          <w:sz w:val="24"/>
          <w:u w:val="none"/>
        </w:rPr>
        <w:t xml:space="preserve">the </w:t>
      </w:r>
      <w:r w:rsidR="00373A71" w:rsidRPr="008A4E00">
        <w:rPr>
          <w:rFonts w:ascii="Times New Roman" w:hAnsi="Times New Roman" w:cs="Times New Roman"/>
          <w:sz w:val="24"/>
          <w:u w:val="none"/>
        </w:rPr>
        <w:t>reporting date and sh</w:t>
      </w:r>
      <w:r w:rsidR="0072061E">
        <w:rPr>
          <w:rFonts w:ascii="Times New Roman" w:hAnsi="Times New Roman" w:cs="Times New Roman"/>
          <w:sz w:val="24"/>
          <w:u w:val="none"/>
        </w:rPr>
        <w:t>all</w:t>
      </w:r>
      <w:r w:rsidR="00373A71" w:rsidRPr="008A4E00">
        <w:rPr>
          <w:rFonts w:ascii="Times New Roman" w:hAnsi="Times New Roman" w:cs="Times New Roman"/>
          <w:sz w:val="24"/>
          <w:u w:val="none"/>
        </w:rPr>
        <w:t xml:space="preserve"> include at least: (i) proceeds from collateral realisation; (ii) direct costs (including interest rates payments and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costs linked to the liquidation of</w:t>
      </w:r>
      <w:r w:rsidR="00D818F5">
        <w:rPr>
          <w:rFonts w:ascii="Times New Roman" w:hAnsi="Times New Roman" w:cs="Times New Roman"/>
          <w:sz w:val="24"/>
          <w:u w:val="none"/>
        </w:rPr>
        <w:t xml:space="preserve"> </w:t>
      </w:r>
      <w:r w:rsidR="00373A71" w:rsidRPr="008A4E00">
        <w:rPr>
          <w:rFonts w:ascii="Times New Roman" w:hAnsi="Times New Roman" w:cs="Times New Roman"/>
          <w:sz w:val="24"/>
          <w:u w:val="none"/>
        </w:rPr>
        <w:lastRenderedPageBreak/>
        <w:t>the collateral); and (iii)</w:t>
      </w:r>
      <w:r w:rsid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indirect costs (including operating costs of the </w:t>
      </w:r>
      <w:r w:rsidR="00281D57" w:rsidRPr="00141BC0">
        <w:rPr>
          <w:rFonts w:ascii="Times New Roman" w:hAnsi="Times New Roman" w:cs="Times New Roman"/>
          <w:sz w:val="24"/>
          <w:u w:val="none"/>
        </w:rPr>
        <w:t>recovery</w:t>
      </w:r>
      <w:r w:rsidR="00281D57"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 xml:space="preserve">unit). All components </w:t>
      </w:r>
      <w:r w:rsidR="0072061E">
        <w:rPr>
          <w:rFonts w:ascii="Times New Roman" w:hAnsi="Times New Roman" w:cs="Times New Roman"/>
          <w:sz w:val="24"/>
          <w:u w:val="none"/>
        </w:rPr>
        <w:t>shall</w:t>
      </w:r>
      <w:r w:rsidR="0072061E" w:rsidRPr="008A4E00">
        <w:rPr>
          <w:rFonts w:ascii="Times New Roman" w:hAnsi="Times New Roman" w:cs="Times New Roman"/>
          <w:sz w:val="24"/>
          <w:u w:val="none"/>
        </w:rPr>
        <w:t xml:space="preserve"> </w:t>
      </w:r>
      <w:r w:rsidR="00373A71" w:rsidRPr="008A4E00">
        <w:rPr>
          <w:rFonts w:ascii="Times New Roman" w:hAnsi="Times New Roman" w:cs="Times New Roman"/>
          <w:sz w:val="24"/>
          <w:u w:val="none"/>
        </w:rPr>
        <w:t>be discounted to the reporting reference date.</w:t>
      </w:r>
    </w:p>
    <w:p w14:paraId="267A70A6" w14:textId="7EBE8E02"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7.</w:t>
      </w:r>
      <w:r w:rsidRPr="008A4E00">
        <w:rPr>
          <w:rFonts w:ascii="Times New Roman" w:hAnsi="Times New Roman" w:cs="Times New Roman"/>
          <w:sz w:val="24"/>
          <w:u w:val="none"/>
        </w:rPr>
        <w:tab/>
      </w:r>
      <w:r w:rsidR="004345C2" w:rsidRPr="008A4E00">
        <w:rPr>
          <w:rFonts w:ascii="Times New Roman" w:hAnsi="Times New Roman" w:cs="Times New Roman"/>
          <w:sz w:val="24"/>
          <w:u w:val="none"/>
        </w:rPr>
        <w:t xml:space="preserve">The exposure value </w:t>
      </w:r>
      <w:r w:rsidR="0072061E">
        <w:rPr>
          <w:rFonts w:ascii="Times New Roman" w:hAnsi="Times New Roman" w:cs="Times New Roman"/>
          <w:sz w:val="24"/>
          <w:u w:val="none"/>
        </w:rPr>
        <w:t>shall be determined in accordance with</w:t>
      </w:r>
      <w:r w:rsidR="0072061E" w:rsidRPr="008A4E00">
        <w:rPr>
          <w:rFonts w:ascii="Times New Roman" w:hAnsi="Times New Roman" w:cs="Times New Roman"/>
          <w:sz w:val="24"/>
          <w:u w:val="none"/>
        </w:rPr>
        <w:t xml:space="preserve"> </w:t>
      </w:r>
      <w:r w:rsidR="004345C2" w:rsidRPr="008A4E00">
        <w:rPr>
          <w:rFonts w:ascii="Times New Roman" w:hAnsi="Times New Roman" w:cs="Times New Roman"/>
          <w:sz w:val="24"/>
          <w:u w:val="none"/>
        </w:rPr>
        <w:t xml:space="preserve">the rules stipulated in </w:t>
      </w:r>
      <w:r w:rsidR="004A4CEC" w:rsidRPr="008A4E00">
        <w:rPr>
          <w:rFonts w:ascii="Times New Roman" w:hAnsi="Times New Roman" w:cs="Times New Roman"/>
          <w:sz w:val="24"/>
          <w:u w:val="none"/>
        </w:rPr>
        <w:t xml:space="preserve">Title II of </w:t>
      </w:r>
      <w:r w:rsidR="004345C2" w:rsidRPr="008A4E00">
        <w:rPr>
          <w:rFonts w:ascii="Times New Roman" w:hAnsi="Times New Roman" w:cs="Times New Roman"/>
          <w:sz w:val="24"/>
          <w:u w:val="none"/>
        </w:rPr>
        <w:t>Part Three CRR (see Chapter 2 for institutions using the standardised approach, and Chapter 3 for institutions using the IRB approach).</w:t>
      </w:r>
    </w:p>
    <w:p w14:paraId="424065A6" w14:textId="263C349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8.</w:t>
      </w:r>
      <w:r w:rsidRPr="008A4E00">
        <w:rPr>
          <w:rFonts w:ascii="Times New Roman" w:hAnsi="Times New Roman" w:cs="Times New Roman"/>
          <w:sz w:val="24"/>
          <w:u w:val="none"/>
        </w:rPr>
        <w:tab/>
      </w:r>
      <w:r w:rsidR="004345C2" w:rsidRPr="008A4E00">
        <w:rPr>
          <w:rFonts w:ascii="Times New Roman" w:hAnsi="Times New Roman" w:cs="Times New Roman"/>
          <w:sz w:val="24"/>
          <w:u w:val="none"/>
        </w:rPr>
        <w:t>The property value</w:t>
      </w:r>
      <w:r w:rsidR="00997789">
        <w:rPr>
          <w:rFonts w:ascii="Times New Roman" w:hAnsi="Times New Roman" w:cs="Times New Roman"/>
          <w:sz w:val="24"/>
          <w:u w:val="none"/>
        </w:rPr>
        <w:t xml:space="preserve"> </w:t>
      </w:r>
      <w:r w:rsidR="00F6799F">
        <w:rPr>
          <w:rFonts w:ascii="Times New Roman" w:hAnsi="Times New Roman" w:cs="Times New Roman"/>
          <w:sz w:val="24"/>
          <w:u w:val="none"/>
        </w:rPr>
        <w:t>shall be determined in accordance with</w:t>
      </w:r>
      <w:r w:rsidR="00F6799F" w:rsidRPr="008A4E00">
        <w:rPr>
          <w:rFonts w:ascii="Times New Roman" w:hAnsi="Times New Roman" w:cs="Times New Roman"/>
          <w:sz w:val="24"/>
          <w:u w:val="none"/>
        </w:rPr>
        <w:t xml:space="preserve"> </w:t>
      </w:r>
      <w:r w:rsidR="006A7489" w:rsidRPr="008A4E00">
        <w:rPr>
          <w:rStyle w:val="InstructionsTabelleText"/>
          <w:rFonts w:ascii="Times New Roman" w:hAnsi="Times New Roman"/>
          <w:sz w:val="24"/>
        </w:rPr>
        <w:t>point (74</w:t>
      </w:r>
      <w:r w:rsidR="006A7489">
        <w:rPr>
          <w:rStyle w:val="InstructionsTabelleText"/>
          <w:rFonts w:ascii="Times New Roman" w:hAnsi="Times New Roman"/>
          <w:sz w:val="24"/>
        </w:rPr>
        <w:t>a</w:t>
      </w:r>
      <w:r w:rsidR="006A7489" w:rsidRPr="008A4E00">
        <w:rPr>
          <w:rStyle w:val="InstructionsTabelleText"/>
          <w:rFonts w:ascii="Times New Roman" w:hAnsi="Times New Roman"/>
          <w:sz w:val="24"/>
        </w:rPr>
        <w:t>) of Article 4</w:t>
      </w:r>
      <w:r w:rsidR="006A7489">
        <w:rPr>
          <w:rStyle w:val="InstructionsTabelleText"/>
          <w:rFonts w:ascii="Times New Roman" w:hAnsi="Times New Roman"/>
          <w:sz w:val="24"/>
        </w:rPr>
        <w:t>(1)</w:t>
      </w:r>
      <w:r w:rsidR="006A7489" w:rsidRPr="008A4E00">
        <w:rPr>
          <w:rStyle w:val="InstructionsTabelleText"/>
          <w:rFonts w:ascii="Times New Roman" w:hAnsi="Times New Roman"/>
          <w:sz w:val="24"/>
        </w:rPr>
        <w:t xml:space="preserve"> CRR</w:t>
      </w:r>
      <w:r w:rsidR="00F6799F">
        <w:rPr>
          <w:rFonts w:ascii="Times New Roman" w:hAnsi="Times New Roman" w:cs="Times New Roman"/>
          <w:sz w:val="24"/>
          <w:u w:val="none"/>
        </w:rPr>
        <w:t>.</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9.</w:t>
      </w:r>
      <w:r w:rsidRPr="008A4E00">
        <w:rPr>
          <w:rFonts w:ascii="Times New Roman" w:hAnsi="Times New Roman" w:cs="Times New Roman"/>
          <w:sz w:val="24"/>
          <w:u w:val="none"/>
        </w:rPr>
        <w:tab/>
      </w:r>
      <w:r w:rsidR="00840FC0" w:rsidRPr="008A4E00">
        <w:rPr>
          <w:rFonts w:ascii="Times New Roman" w:hAnsi="Times New Roman" w:cs="Times New Roman"/>
          <w:sz w:val="24"/>
          <w:u w:val="none"/>
        </w:rPr>
        <w:t xml:space="preserve">F/X effect: </w:t>
      </w:r>
      <w:r w:rsidR="00CF25FB">
        <w:rPr>
          <w:rFonts w:ascii="Times New Roman" w:hAnsi="Times New Roman" w:cs="Times New Roman"/>
          <w:sz w:val="24"/>
          <w:u w:val="none"/>
        </w:rPr>
        <w:t>Amounts shall be converted to</w:t>
      </w:r>
      <w:r w:rsidR="00F6799F">
        <w:rPr>
          <w:rFonts w:ascii="Times New Roman" w:hAnsi="Times New Roman" w:cs="Times New Roman"/>
          <w:sz w:val="24"/>
          <w:u w:val="none"/>
        </w:rPr>
        <w:t xml:space="preserve"> t</w:t>
      </w:r>
      <w:r w:rsidR="00840FC0" w:rsidRPr="008A4E00">
        <w:rPr>
          <w:rFonts w:ascii="Times New Roman" w:hAnsi="Times New Roman" w:cs="Times New Roman"/>
          <w:sz w:val="24"/>
          <w:u w:val="none"/>
        </w:rPr>
        <w:t>he reporting currency</w:t>
      </w:r>
      <w:r w:rsidR="00F6799F">
        <w:rPr>
          <w:rFonts w:ascii="Times New Roman" w:hAnsi="Times New Roman" w:cs="Times New Roman"/>
          <w:sz w:val="24"/>
          <w:u w:val="none"/>
        </w:rPr>
        <w:t xml:space="preserve"> </w:t>
      </w:r>
      <w:r w:rsidR="00840FC0" w:rsidRPr="008A4E00">
        <w:rPr>
          <w:rFonts w:ascii="Times New Roman" w:hAnsi="Times New Roman" w:cs="Times New Roman"/>
          <w:sz w:val="24"/>
          <w:u w:val="none"/>
        </w:rPr>
        <w:t>us</w:t>
      </w:r>
      <w:r w:rsidR="00F6799F">
        <w:rPr>
          <w:rFonts w:ascii="Times New Roman" w:hAnsi="Times New Roman" w:cs="Times New Roman"/>
          <w:sz w:val="24"/>
          <w:u w:val="none"/>
        </w:rPr>
        <w:t>ing</w:t>
      </w:r>
      <w:r w:rsidR="00840FC0" w:rsidRPr="008A4E00">
        <w:rPr>
          <w:rFonts w:ascii="Times New Roman" w:hAnsi="Times New Roman" w:cs="Times New Roman"/>
          <w:sz w:val="24"/>
          <w:u w:val="none"/>
        </w:rPr>
        <w:t xml:space="preserve"> the exchange rate at the reporting date.</w:t>
      </w:r>
      <w:r w:rsidR="00BE16D7" w:rsidRPr="008A4E00">
        <w:rPr>
          <w:rFonts w:ascii="Times New Roman" w:hAnsi="Times New Roman" w:cs="Times New Roman"/>
          <w:sz w:val="24"/>
          <w:u w:val="none"/>
        </w:rPr>
        <w:t xml:space="preserve"> Moreover, the estimates of the economic losses should consider the F/X effect if the exposure or collateral is denominated in </w:t>
      </w:r>
      <w:r w:rsidR="00895A26">
        <w:rPr>
          <w:rFonts w:ascii="Times New Roman" w:hAnsi="Times New Roman" w:cs="Times New Roman"/>
          <w:sz w:val="24"/>
          <w:u w:val="none"/>
        </w:rPr>
        <w:t xml:space="preserve">a </w:t>
      </w:r>
      <w:r w:rsidR="00BE16D7" w:rsidRPr="008A4E00">
        <w:rPr>
          <w:rFonts w:ascii="Times New Roman" w:hAnsi="Times New Roman" w:cs="Times New Roman"/>
          <w:sz w:val="24"/>
          <w:u w:val="none"/>
        </w:rPr>
        <w:t>different currency.</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3.</w:t>
      </w:r>
      <w:r w:rsidRPr="008A4E00">
        <w:rPr>
          <w:rFonts w:ascii="Times New Roman" w:hAnsi="Times New Roman" w:cs="Times New Roman"/>
          <w:sz w:val="24"/>
          <w:u w:val="none"/>
        </w:rPr>
        <w:tab/>
      </w:r>
      <w:r w:rsidR="00363FCE" w:rsidRPr="008A4E00">
        <w:rPr>
          <w:rFonts w:ascii="Times New Roman" w:hAnsi="Times New Roman" w:cs="Times New Roman"/>
          <w:sz w:val="24"/>
        </w:rPr>
        <w:t>Geographical breakdown</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10.</w:t>
      </w:r>
      <w:r w:rsidRPr="008A4E00">
        <w:rPr>
          <w:rFonts w:ascii="Times New Roman" w:hAnsi="Times New Roman" w:cs="Times New Roman"/>
          <w:sz w:val="24"/>
          <w:u w:val="none"/>
        </w:rPr>
        <w:tab/>
      </w:r>
      <w:r w:rsidR="00C14552">
        <w:rPr>
          <w:rFonts w:ascii="Times New Roman" w:hAnsi="Times New Roman" w:cs="Times New Roman"/>
          <w:sz w:val="24"/>
          <w:u w:val="none"/>
        </w:rPr>
        <w:t>I</w:t>
      </w:r>
      <w:r w:rsidR="00406A75">
        <w:rPr>
          <w:rFonts w:ascii="Times New Roman" w:hAnsi="Times New Roman" w:cs="Times New Roman"/>
          <w:sz w:val="24"/>
          <w:u w:val="none"/>
        </w:rPr>
        <w:t>nstitutions shall report</w:t>
      </w:r>
      <w:r w:rsidR="002779CE" w:rsidRPr="008A4E00">
        <w:rPr>
          <w:rFonts w:ascii="Times New Roman" w:hAnsi="Times New Roman" w:cs="Times New Roman"/>
          <w:sz w:val="24"/>
          <w:u w:val="none"/>
        </w:rPr>
        <w:t xml:space="preserve"> the following templates:</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a)</w:t>
      </w:r>
      <w:r w:rsidRPr="008A4E00">
        <w:rPr>
          <w:rFonts w:ascii="Times New Roman" w:hAnsi="Times New Roman" w:cs="Times New Roman"/>
          <w:sz w:val="24"/>
          <w:u w:val="none"/>
        </w:rPr>
        <w:tab/>
      </w:r>
      <w:r w:rsidR="002779CE" w:rsidRPr="008A4E00">
        <w:rPr>
          <w:rFonts w:ascii="Times New Roman" w:hAnsi="Times New Roman" w:cs="Times New Roman"/>
          <w:sz w:val="24"/>
          <w:u w:val="none"/>
        </w:rPr>
        <w:t>one total template</w:t>
      </w:r>
      <w:r w:rsidR="00406A75">
        <w:rPr>
          <w:rFonts w:ascii="Times New Roman" w:hAnsi="Times New Roman" w:cs="Times New Roman"/>
          <w:sz w:val="24"/>
          <w:u w:val="none"/>
        </w:rPr>
        <w:t>;</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b)</w:t>
      </w:r>
      <w:r w:rsidRPr="008A4E00">
        <w:rPr>
          <w:rFonts w:ascii="Times New Roman" w:hAnsi="Times New Roman" w:cs="Times New Roman"/>
          <w:sz w:val="24"/>
          <w:u w:val="none"/>
        </w:rPr>
        <w:tab/>
      </w:r>
      <w:r w:rsidR="002779CE" w:rsidRPr="008A4E00">
        <w:rPr>
          <w:rFonts w:ascii="Times New Roman" w:hAnsi="Times New Roman" w:cs="Times New Roman"/>
          <w:sz w:val="24"/>
          <w:u w:val="none"/>
        </w:rPr>
        <w:t xml:space="preserve">one template for each national market in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the institution is exposed to, and</w:t>
      </w:r>
      <w:r w:rsidR="00406A75">
        <w:rPr>
          <w:rFonts w:ascii="Times New Roman" w:hAnsi="Times New Roman" w:cs="Times New Roman"/>
          <w:sz w:val="24"/>
          <w:u w:val="none"/>
        </w:rPr>
        <w:t>;</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c)</w:t>
      </w:r>
      <w:r w:rsidRPr="008A4E00">
        <w:rPr>
          <w:rFonts w:ascii="Times New Roman" w:hAnsi="Times New Roman" w:cs="Times New Roman"/>
          <w:sz w:val="24"/>
          <w:u w:val="none"/>
        </w:rPr>
        <w:tab/>
      </w:r>
      <w:r w:rsidR="002779CE" w:rsidRPr="008A4E00">
        <w:rPr>
          <w:rFonts w:ascii="Times New Roman" w:hAnsi="Times New Roman" w:cs="Times New Roman"/>
          <w:sz w:val="24"/>
          <w:u w:val="none"/>
        </w:rPr>
        <w:t xml:space="preserve">one template aggregating the data for all national markets outside the </w:t>
      </w:r>
      <w:r w:rsidR="00770527" w:rsidRPr="008A4E00">
        <w:rPr>
          <w:rFonts w:ascii="Times New Roman" w:hAnsi="Times New Roman" w:cs="Times New Roman"/>
          <w:sz w:val="24"/>
          <w:u w:val="none"/>
        </w:rPr>
        <w:t xml:space="preserve">Union </w:t>
      </w:r>
      <w:r w:rsidR="002779CE" w:rsidRPr="008A4E00">
        <w:rPr>
          <w:rFonts w:ascii="Times New Roman" w:hAnsi="Times New Roman" w:cs="Times New Roman"/>
          <w:sz w:val="24"/>
          <w:u w:val="none"/>
        </w:rPr>
        <w:t xml:space="preserve">the institution is exposed to.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sidRPr="008A4E00">
        <w:rPr>
          <w:rFonts w:ascii="Times New Roman" w:hAnsi="Times New Roman" w:cs="Times New Roman"/>
          <w:sz w:val="24"/>
          <w:u w:val="none"/>
        </w:rPr>
        <w:t>4.</w:t>
      </w:r>
      <w:r w:rsidRPr="008A4E00">
        <w:rPr>
          <w:rFonts w:ascii="Times New Roman" w:hAnsi="Times New Roman" w:cs="Times New Roman"/>
          <w:sz w:val="24"/>
          <w:u w:val="none"/>
        </w:rPr>
        <w:tab/>
      </w:r>
      <w:r w:rsidR="00363FCE" w:rsidRPr="008A4E00">
        <w:rPr>
          <w:rFonts w:ascii="Times New Roman" w:hAnsi="Times New Roman" w:cs="Times New Roman"/>
          <w:sz w:val="24"/>
        </w:rPr>
        <w:t xml:space="preserve">Reporting of </w:t>
      </w:r>
      <w:r w:rsidR="00DD2656" w:rsidRPr="008A4E00">
        <w:rPr>
          <w:rFonts w:ascii="Times New Roman" w:hAnsi="Times New Roman" w:cs="Times New Roman"/>
          <w:sz w:val="24"/>
        </w:rPr>
        <w:t xml:space="preserve">exposures and </w:t>
      </w:r>
      <w:r w:rsidR="00363FCE" w:rsidRPr="008A4E00">
        <w:rPr>
          <w:rFonts w:ascii="Times New Roman" w:hAnsi="Times New Roman" w:cs="Times New Roman"/>
          <w:sz w:val="24"/>
        </w:rPr>
        <w:t>losses</w:t>
      </w:r>
    </w:p>
    <w:p w14:paraId="7DA3503A" w14:textId="02BE28D2" w:rsidR="007E3047" w:rsidRDefault="001E7A23" w:rsidP="00E27BC7">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11.</w:t>
      </w:r>
      <w:r w:rsidRPr="008A4E00">
        <w:rPr>
          <w:rFonts w:ascii="Times New Roman" w:hAnsi="Times New Roman" w:cs="Times New Roman"/>
          <w:sz w:val="24"/>
          <w:u w:val="none"/>
        </w:rPr>
        <w:tab/>
      </w:r>
      <w:r w:rsidR="003B784B">
        <w:rPr>
          <w:rFonts w:ascii="Times New Roman" w:hAnsi="Times New Roman" w:cs="Times New Roman"/>
          <w:sz w:val="24"/>
          <w:u w:val="none"/>
        </w:rPr>
        <w:t>The exposures and losse</w:t>
      </w:r>
      <w:r w:rsidR="007E3047">
        <w:rPr>
          <w:rFonts w:ascii="Times New Roman" w:hAnsi="Times New Roman" w:cs="Times New Roman"/>
          <w:sz w:val="24"/>
          <w:u w:val="none"/>
        </w:rPr>
        <w:t>s shall</w:t>
      </w:r>
      <w:r w:rsidR="00A22F1F">
        <w:rPr>
          <w:rFonts w:ascii="Times New Roman" w:hAnsi="Times New Roman" w:cs="Times New Roman"/>
          <w:sz w:val="24"/>
          <w:u w:val="none"/>
        </w:rPr>
        <w:t xml:space="preserve"> be</w:t>
      </w:r>
      <w:r w:rsidR="007E3047">
        <w:rPr>
          <w:rFonts w:ascii="Times New Roman" w:hAnsi="Times New Roman" w:cs="Times New Roman"/>
          <w:sz w:val="24"/>
          <w:u w:val="none"/>
        </w:rPr>
        <w:t xml:space="preserve"> </w:t>
      </w:r>
      <w:r w:rsidR="00B53D48">
        <w:rPr>
          <w:rFonts w:ascii="Times New Roman" w:hAnsi="Times New Roman" w:cs="Times New Roman"/>
          <w:sz w:val="24"/>
          <w:u w:val="none"/>
        </w:rPr>
        <w:t xml:space="preserve">reported </w:t>
      </w:r>
      <w:r w:rsidR="003F2C1B">
        <w:rPr>
          <w:rFonts w:ascii="Times New Roman" w:hAnsi="Times New Roman" w:cs="Times New Roman"/>
          <w:sz w:val="24"/>
          <w:u w:val="none"/>
        </w:rPr>
        <w:t>as follows</w:t>
      </w:r>
      <w:r w:rsidR="007E3047">
        <w:rPr>
          <w:rFonts w:ascii="Times New Roman" w:hAnsi="Times New Roman" w:cs="Times New Roman"/>
          <w:sz w:val="24"/>
          <w:u w:val="none"/>
        </w:rPr>
        <w:t>:</w:t>
      </w:r>
    </w:p>
    <w:p w14:paraId="0806F39A" w14:textId="1CB7007F" w:rsidR="00E27BC7" w:rsidRDefault="00415BAF"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Col. 0010: </w:t>
      </w:r>
      <w:r w:rsidR="00E27BC7">
        <w:rPr>
          <w:rFonts w:ascii="Times New Roman" w:hAnsi="Times New Roman" w:cs="Times New Roman"/>
          <w:sz w:val="24"/>
          <w:u w:val="none"/>
        </w:rPr>
        <w:t xml:space="preserve">Losses reported according to Article 430a(1), points (a) and (d), </w:t>
      </w:r>
      <w:r w:rsidR="003B166F">
        <w:rPr>
          <w:rFonts w:ascii="Times New Roman" w:hAnsi="Times New Roman" w:cs="Times New Roman"/>
          <w:sz w:val="24"/>
          <w:u w:val="none"/>
        </w:rPr>
        <w:t xml:space="preserve">are losses stemming from exposures </w:t>
      </w:r>
      <w:r w:rsidR="009D1D65">
        <w:rPr>
          <w:rFonts w:ascii="Times New Roman" w:hAnsi="Times New Roman" w:cs="Times New Roman"/>
          <w:sz w:val="24"/>
          <w:u w:val="none"/>
        </w:rPr>
        <w:t>for which an institution has recogni</w:t>
      </w:r>
      <w:r w:rsidR="000326ED">
        <w:rPr>
          <w:rFonts w:ascii="Times New Roman" w:hAnsi="Times New Roman" w:cs="Times New Roman"/>
          <w:sz w:val="24"/>
          <w:u w:val="none"/>
        </w:rPr>
        <w:t>s</w:t>
      </w:r>
      <w:r w:rsidR="009D1D65">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B90541">
        <w:rPr>
          <w:rFonts w:ascii="Times New Roman" w:hAnsi="Times New Roman" w:cs="Times New Roman"/>
          <w:sz w:val="24"/>
          <w:u w:val="none"/>
        </w:rPr>
        <w:t>commercial property as collateral</w:t>
      </w:r>
      <w:r w:rsidR="004E6287">
        <w:rPr>
          <w:rFonts w:ascii="Times New Roman" w:hAnsi="Times New Roman" w:cs="Times New Roman"/>
          <w:sz w:val="24"/>
          <w:u w:val="none"/>
        </w:rPr>
        <w:t>, in each case</w:t>
      </w:r>
      <w:r w:rsidR="009D6955">
        <w:rPr>
          <w:rFonts w:ascii="Times New Roman" w:hAnsi="Times New Roman" w:cs="Times New Roman"/>
          <w:sz w:val="24"/>
          <w:u w:val="none"/>
        </w:rPr>
        <w:t>, up to</w:t>
      </w:r>
      <w:r w:rsidR="00E27BC7">
        <w:rPr>
          <w:rFonts w:ascii="Times New Roman" w:hAnsi="Times New Roman" w:cs="Times New Roman"/>
          <w:sz w:val="24"/>
          <w:u w:val="none"/>
        </w:rPr>
        <w:t xml:space="preserve"> the lower of the pledged amount and 55% of the property value</w:t>
      </w:r>
      <w:r w:rsidR="00AD7510">
        <w:rPr>
          <w:rFonts w:ascii="Times New Roman" w:hAnsi="Times New Roman" w:cs="Times New Roman"/>
          <w:sz w:val="24"/>
          <w:u w:val="none"/>
        </w:rPr>
        <w:t>, unless otherwise deci</w:t>
      </w:r>
      <w:r w:rsidR="00773564">
        <w:rPr>
          <w:rFonts w:ascii="Times New Roman" w:hAnsi="Times New Roman" w:cs="Times New Roman"/>
          <w:sz w:val="24"/>
          <w:u w:val="none"/>
        </w:rPr>
        <w:t>ded under Article 124(7), where applicable</w:t>
      </w:r>
      <w:r w:rsidR="00E27BC7">
        <w:rPr>
          <w:rFonts w:ascii="Times New Roman" w:hAnsi="Times New Roman" w:cs="Times New Roman"/>
          <w:sz w:val="24"/>
          <w:u w:val="none"/>
        </w:rPr>
        <w:t>. The</w:t>
      </w:r>
      <w:r w:rsidR="009C4A52">
        <w:rPr>
          <w:rFonts w:ascii="Times New Roman" w:hAnsi="Times New Roman" w:cs="Times New Roman"/>
          <w:sz w:val="24"/>
          <w:u w:val="none"/>
        </w:rPr>
        <w:t xml:space="preserve"> </w:t>
      </w:r>
      <w:r w:rsidR="00E23B2B">
        <w:rPr>
          <w:rFonts w:ascii="Times New Roman" w:hAnsi="Times New Roman" w:cs="Times New Roman"/>
          <w:sz w:val="24"/>
          <w:u w:val="none"/>
        </w:rPr>
        <w:t xml:space="preserve">losses </w:t>
      </w:r>
      <w:r w:rsidR="008B5777">
        <w:rPr>
          <w:rFonts w:ascii="Times New Roman" w:hAnsi="Times New Roman" w:cs="Times New Roman"/>
          <w:sz w:val="24"/>
          <w:u w:val="none"/>
        </w:rPr>
        <w:t>stem from</w:t>
      </w:r>
      <w:r w:rsidR="00B52E63">
        <w:rPr>
          <w:rFonts w:ascii="Times New Roman" w:hAnsi="Times New Roman" w:cs="Times New Roman"/>
          <w:sz w:val="24"/>
          <w:u w:val="none"/>
        </w:rPr>
        <w:t xml:space="preserve"> exposures</w:t>
      </w:r>
      <w:r w:rsidR="00B743FB">
        <w:rPr>
          <w:rFonts w:ascii="Times New Roman" w:hAnsi="Times New Roman" w:cs="Times New Roman"/>
          <w:sz w:val="24"/>
          <w:u w:val="none"/>
        </w:rPr>
        <w:t xml:space="preserve"> determined in accordance with</w:t>
      </w:r>
      <w:r w:rsidR="00B743FB" w:rsidRPr="008A4E00">
        <w:rPr>
          <w:rFonts w:ascii="Times New Roman" w:hAnsi="Times New Roman" w:cs="Times New Roman"/>
          <w:sz w:val="24"/>
          <w:u w:val="none"/>
        </w:rPr>
        <w:t xml:space="preserve"> the rules stipulated in Title II of Part Three CRR</w:t>
      </w:r>
      <w:r w:rsidR="00B0317F">
        <w:rPr>
          <w:rFonts w:ascii="Times New Roman" w:hAnsi="Times New Roman" w:cs="Times New Roman"/>
          <w:sz w:val="24"/>
          <w:u w:val="none"/>
        </w:rPr>
        <w:t>.</w:t>
      </w:r>
    </w:p>
    <w:p w14:paraId="0DBC1AB6" w14:textId="13CAEF65" w:rsidR="00E27BC7"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Col. 0030: </w:t>
      </w:r>
      <w:r w:rsidR="00E27BC7">
        <w:rPr>
          <w:rFonts w:ascii="Times New Roman" w:hAnsi="Times New Roman" w:cs="Times New Roman"/>
          <w:sz w:val="24"/>
          <w:u w:val="none"/>
        </w:rPr>
        <w:t>Losses reported according to Article 430a(1), points (b) and (e), are</w:t>
      </w:r>
      <w:r w:rsidR="00711602">
        <w:rPr>
          <w:rFonts w:ascii="Times New Roman" w:hAnsi="Times New Roman" w:cs="Times New Roman"/>
          <w:sz w:val="24"/>
          <w:u w:val="none"/>
        </w:rPr>
        <w:t xml:space="preserve"> losses </w:t>
      </w:r>
      <w:r w:rsidR="00AB3FB6">
        <w:rPr>
          <w:rFonts w:ascii="Times New Roman" w:hAnsi="Times New Roman" w:cs="Times New Roman"/>
          <w:sz w:val="24"/>
          <w:u w:val="none"/>
        </w:rPr>
        <w:t>stemming from exposures for which an institution has recogni</w:t>
      </w:r>
      <w:r w:rsidR="00E13A03">
        <w:rPr>
          <w:rFonts w:ascii="Times New Roman" w:hAnsi="Times New Roman" w:cs="Times New Roman"/>
          <w:sz w:val="24"/>
          <w:u w:val="none"/>
        </w:rPr>
        <w:t>s</w:t>
      </w:r>
      <w:r w:rsidR="00AB3FB6">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AB3FB6">
        <w:rPr>
          <w:rFonts w:ascii="Times New Roman" w:hAnsi="Times New Roman" w:cs="Times New Roman"/>
          <w:sz w:val="24"/>
          <w:u w:val="none"/>
        </w:rPr>
        <w:t>commercial property</w:t>
      </w:r>
      <w:r w:rsidR="00BC6C9C">
        <w:rPr>
          <w:rFonts w:ascii="Times New Roman" w:hAnsi="Times New Roman" w:cs="Times New Roman"/>
          <w:sz w:val="24"/>
          <w:u w:val="none"/>
        </w:rPr>
        <w:t xml:space="preserve"> as collateral</w:t>
      </w:r>
      <w:r w:rsidR="009D352D">
        <w:rPr>
          <w:rFonts w:ascii="Times New Roman" w:hAnsi="Times New Roman" w:cs="Times New Roman"/>
          <w:sz w:val="24"/>
          <w:u w:val="none"/>
        </w:rPr>
        <w:t>, in each case</w:t>
      </w:r>
      <w:r w:rsidR="00BF7593">
        <w:rPr>
          <w:rFonts w:ascii="Times New Roman" w:hAnsi="Times New Roman" w:cs="Times New Roman"/>
          <w:sz w:val="24"/>
          <w:u w:val="none"/>
        </w:rPr>
        <w:t xml:space="preserve">, up to </w:t>
      </w:r>
      <w:r w:rsidR="00E27BC7">
        <w:rPr>
          <w:rFonts w:ascii="Times New Roman" w:hAnsi="Times New Roman" w:cs="Times New Roman"/>
          <w:sz w:val="24"/>
          <w:u w:val="none"/>
        </w:rPr>
        <w:t>the lower of the pledged amount and 100% of the property value.</w:t>
      </w:r>
      <w:r w:rsidR="00B0317F">
        <w:rPr>
          <w:rFonts w:ascii="Times New Roman" w:hAnsi="Times New Roman" w:cs="Times New Roman"/>
          <w:sz w:val="24"/>
          <w:u w:val="none"/>
        </w:rPr>
        <w:t xml:space="preserve"> The losses </w:t>
      </w:r>
      <w:r w:rsidR="008B5777">
        <w:rPr>
          <w:rFonts w:ascii="Times New Roman" w:hAnsi="Times New Roman" w:cs="Times New Roman"/>
          <w:sz w:val="24"/>
          <w:u w:val="none"/>
        </w:rPr>
        <w:t>stem from</w:t>
      </w:r>
      <w:r w:rsidR="00B0317F">
        <w:rPr>
          <w:rFonts w:ascii="Times New Roman" w:hAnsi="Times New Roman" w:cs="Times New Roman"/>
          <w:sz w:val="24"/>
          <w:u w:val="none"/>
        </w:rPr>
        <w:t xml:space="preserve"> exposures determined in accordance with</w:t>
      </w:r>
      <w:r w:rsidR="00B0317F" w:rsidRPr="008A4E00">
        <w:rPr>
          <w:rFonts w:ascii="Times New Roman" w:hAnsi="Times New Roman" w:cs="Times New Roman"/>
          <w:sz w:val="24"/>
          <w:u w:val="none"/>
        </w:rPr>
        <w:t xml:space="preserve"> the rules stipulated in Title II of Part Three CRR</w:t>
      </w:r>
      <w:r w:rsidR="002145FC">
        <w:rPr>
          <w:rFonts w:ascii="Times New Roman" w:hAnsi="Times New Roman" w:cs="Times New Roman"/>
          <w:sz w:val="24"/>
          <w:u w:val="none"/>
        </w:rPr>
        <w:t>.</w:t>
      </w:r>
    </w:p>
    <w:p w14:paraId="2C15211F" w14:textId="72DDC12B" w:rsidR="009E21CF" w:rsidRPr="00820370"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Col. 0050: </w:t>
      </w:r>
      <w:r w:rsidR="00E27BC7">
        <w:rPr>
          <w:rFonts w:ascii="Times New Roman" w:hAnsi="Times New Roman" w:cs="Times New Roman"/>
          <w:sz w:val="24"/>
          <w:u w:val="none"/>
        </w:rPr>
        <w:t xml:space="preserve">Exposure values </w:t>
      </w:r>
      <w:r w:rsidR="007B003C">
        <w:rPr>
          <w:rFonts w:ascii="Times New Roman" w:hAnsi="Times New Roman" w:cs="Times New Roman"/>
          <w:sz w:val="24"/>
          <w:u w:val="none"/>
        </w:rPr>
        <w:t xml:space="preserve">of outstanding exposures </w:t>
      </w:r>
      <w:r w:rsidR="00E27BC7">
        <w:rPr>
          <w:rFonts w:ascii="Times New Roman" w:hAnsi="Times New Roman" w:cs="Times New Roman"/>
          <w:sz w:val="24"/>
          <w:u w:val="none"/>
        </w:rPr>
        <w:t xml:space="preserve">reported according to Article 430a(1), points (c) and (f), </w:t>
      </w:r>
      <w:r w:rsidR="00934788">
        <w:rPr>
          <w:rFonts w:ascii="Times New Roman" w:hAnsi="Times New Roman" w:cs="Times New Roman"/>
          <w:sz w:val="24"/>
          <w:u w:val="none"/>
        </w:rPr>
        <w:t>are exp</w:t>
      </w:r>
      <w:r w:rsidR="00E3319C">
        <w:rPr>
          <w:rFonts w:ascii="Times New Roman" w:hAnsi="Times New Roman" w:cs="Times New Roman"/>
          <w:sz w:val="24"/>
          <w:u w:val="none"/>
        </w:rPr>
        <w:t>osures for which the bank has recogni</w:t>
      </w:r>
      <w:r w:rsidR="004B4BB9">
        <w:rPr>
          <w:rFonts w:ascii="Times New Roman" w:hAnsi="Times New Roman" w:cs="Times New Roman"/>
          <w:sz w:val="24"/>
          <w:u w:val="none"/>
        </w:rPr>
        <w:t>s</w:t>
      </w:r>
      <w:r w:rsidR="00E3319C">
        <w:rPr>
          <w:rFonts w:ascii="Times New Roman" w:hAnsi="Times New Roman" w:cs="Times New Roman"/>
          <w:sz w:val="24"/>
          <w:u w:val="none"/>
        </w:rPr>
        <w:t>ed residential</w:t>
      </w:r>
      <w:r w:rsidR="00511DAB">
        <w:rPr>
          <w:rFonts w:ascii="Times New Roman" w:hAnsi="Times New Roman" w:cs="Times New Roman"/>
          <w:sz w:val="24"/>
          <w:u w:val="none"/>
        </w:rPr>
        <w:t xml:space="preserve"> or </w:t>
      </w:r>
      <w:r w:rsidR="00E3319C">
        <w:rPr>
          <w:rFonts w:ascii="Times New Roman" w:hAnsi="Times New Roman" w:cs="Times New Roman"/>
          <w:sz w:val="24"/>
          <w:u w:val="none"/>
        </w:rPr>
        <w:t>commercial property</w:t>
      </w:r>
      <w:r w:rsidR="00CA6079">
        <w:rPr>
          <w:rFonts w:ascii="Times New Roman" w:hAnsi="Times New Roman" w:cs="Times New Roman"/>
          <w:sz w:val="24"/>
          <w:u w:val="none"/>
        </w:rPr>
        <w:t xml:space="preserve"> as collateral</w:t>
      </w:r>
      <w:r w:rsidR="00111EB1">
        <w:rPr>
          <w:rFonts w:ascii="Times New Roman" w:hAnsi="Times New Roman" w:cs="Times New Roman"/>
          <w:sz w:val="24"/>
          <w:u w:val="none"/>
        </w:rPr>
        <w:t>, in each case</w:t>
      </w:r>
      <w:r w:rsidR="00AC5EA4">
        <w:rPr>
          <w:rFonts w:ascii="Times New Roman" w:hAnsi="Times New Roman" w:cs="Times New Roman"/>
          <w:sz w:val="24"/>
          <w:u w:val="none"/>
        </w:rPr>
        <w:t xml:space="preserve">, </w:t>
      </w:r>
      <w:r w:rsidR="00111EB1">
        <w:rPr>
          <w:rFonts w:ascii="Times New Roman" w:hAnsi="Times New Roman" w:cs="Times New Roman"/>
          <w:sz w:val="24"/>
          <w:u w:val="none"/>
        </w:rPr>
        <w:t>up to t</w:t>
      </w:r>
      <w:r w:rsidR="00E27BC7">
        <w:rPr>
          <w:rFonts w:ascii="Times New Roman" w:hAnsi="Times New Roman" w:cs="Times New Roman"/>
          <w:sz w:val="24"/>
          <w:u w:val="none"/>
        </w:rPr>
        <w:t>he lower of the pledged amount and 100% of the property value.</w:t>
      </w:r>
      <w:r w:rsidR="008B5777">
        <w:rPr>
          <w:rFonts w:ascii="Times New Roman" w:hAnsi="Times New Roman" w:cs="Times New Roman"/>
          <w:sz w:val="24"/>
          <w:u w:val="none"/>
        </w:rPr>
        <w:t xml:space="preserve"> The </w:t>
      </w:r>
      <w:r w:rsidR="002A242A">
        <w:rPr>
          <w:rFonts w:ascii="Times New Roman" w:hAnsi="Times New Roman" w:cs="Times New Roman"/>
          <w:sz w:val="24"/>
          <w:u w:val="none"/>
        </w:rPr>
        <w:t>exposure values are</w:t>
      </w:r>
      <w:r w:rsidR="008B5777">
        <w:rPr>
          <w:rFonts w:ascii="Times New Roman" w:hAnsi="Times New Roman" w:cs="Times New Roman"/>
          <w:sz w:val="24"/>
          <w:u w:val="none"/>
        </w:rPr>
        <w:t xml:space="preserve"> determined in accordance with</w:t>
      </w:r>
      <w:r w:rsidR="008B5777" w:rsidRPr="008A4E00">
        <w:rPr>
          <w:rFonts w:ascii="Times New Roman" w:hAnsi="Times New Roman" w:cs="Times New Roman"/>
          <w:sz w:val="24"/>
          <w:u w:val="none"/>
        </w:rPr>
        <w:t xml:space="preserve"> the rules stipulated in Title II of Part Three CRR</w:t>
      </w:r>
      <w:r w:rsidR="008B5777">
        <w:rPr>
          <w:rFonts w:ascii="Times New Roman" w:hAnsi="Times New Roman" w:cs="Times New Roman"/>
          <w:sz w:val="24"/>
          <w:u w:val="none"/>
        </w:rPr>
        <w:t>.</w:t>
      </w:r>
    </w:p>
    <w:p w14:paraId="75C4E60E" w14:textId="23B10F38" w:rsidR="003F65EC" w:rsidRDefault="00DD2656" w:rsidP="00DD6D4C">
      <w:pPr>
        <w:pStyle w:val="Instructionsberschrift2"/>
        <w:numPr>
          <w:ilvl w:val="0"/>
          <w:numId w:val="37"/>
        </w:numPr>
        <w:ind w:left="709"/>
        <w:rPr>
          <w:rFonts w:ascii="Times New Roman" w:hAnsi="Times New Roman" w:cs="Times New Roman"/>
          <w:sz w:val="24"/>
          <w:u w:val="none"/>
        </w:rPr>
      </w:pPr>
      <w:r w:rsidRPr="008A4E00">
        <w:rPr>
          <w:rFonts w:ascii="Times New Roman" w:hAnsi="Times New Roman" w:cs="Times New Roman"/>
          <w:sz w:val="24"/>
          <w:u w:val="none"/>
        </w:rPr>
        <w:t>All exposures</w:t>
      </w:r>
      <w:r w:rsidR="00587BFA">
        <w:rPr>
          <w:rFonts w:ascii="Times New Roman" w:hAnsi="Times New Roman" w:cs="Times New Roman"/>
          <w:sz w:val="24"/>
          <w:u w:val="none"/>
        </w:rPr>
        <w:t xml:space="preserve"> secured by </w:t>
      </w:r>
      <w:r w:rsidR="005F16BE">
        <w:rPr>
          <w:rFonts w:ascii="Times New Roman" w:hAnsi="Times New Roman" w:cs="Times New Roman"/>
          <w:sz w:val="24"/>
          <w:u w:val="none"/>
        </w:rPr>
        <w:t xml:space="preserve">residential and commercial </w:t>
      </w:r>
      <w:r w:rsidR="004A5FA6">
        <w:rPr>
          <w:rFonts w:ascii="Times New Roman" w:hAnsi="Times New Roman" w:cs="Times New Roman"/>
          <w:sz w:val="24"/>
          <w:u w:val="none"/>
        </w:rPr>
        <w:t xml:space="preserve">immovable </w:t>
      </w:r>
      <w:r w:rsidR="005F16BE">
        <w:rPr>
          <w:rFonts w:ascii="Times New Roman" w:hAnsi="Times New Roman" w:cs="Times New Roman"/>
          <w:sz w:val="24"/>
          <w:u w:val="none"/>
        </w:rPr>
        <w:t>property</w:t>
      </w:r>
      <w:r w:rsidRPr="008A4E00">
        <w:rPr>
          <w:rFonts w:ascii="Times New Roman" w:hAnsi="Times New Roman" w:cs="Times New Roman"/>
          <w:sz w:val="24"/>
          <w:u w:val="none"/>
        </w:rPr>
        <w:t xml:space="preserve"> that are </w:t>
      </w:r>
      <w:r w:rsidR="002A076F">
        <w:rPr>
          <w:rFonts w:ascii="Times New Roman" w:hAnsi="Times New Roman" w:cs="Times New Roman"/>
          <w:sz w:val="24"/>
          <w:u w:val="none"/>
        </w:rPr>
        <w:t>subject to requirements in</w:t>
      </w:r>
      <w:r w:rsidRPr="008A4E00">
        <w:rPr>
          <w:rFonts w:ascii="Times New Roman" w:hAnsi="Times New Roman" w:cs="Times New Roman"/>
          <w:sz w:val="24"/>
          <w:u w:val="none"/>
        </w:rPr>
        <w:t xml:space="preserve"> </w:t>
      </w:r>
      <w:r w:rsidR="004A4CEC" w:rsidRPr="008A4E00">
        <w:rPr>
          <w:rFonts w:ascii="Times New Roman" w:hAnsi="Times New Roman" w:cs="Times New Roman"/>
          <w:sz w:val="24"/>
          <w:u w:val="none"/>
        </w:rPr>
        <w:t xml:space="preserve">Title II of </w:t>
      </w:r>
      <w:r w:rsidRPr="008A4E00">
        <w:rPr>
          <w:rFonts w:ascii="Times New Roman" w:hAnsi="Times New Roman" w:cs="Times New Roman"/>
          <w:sz w:val="24"/>
          <w:u w:val="none"/>
        </w:rPr>
        <w:t xml:space="preserve">Part Three CRR </w:t>
      </w:r>
      <w:r w:rsidR="00B31A22" w:rsidRPr="008A4E00">
        <w:rPr>
          <w:rFonts w:ascii="Times New Roman" w:hAnsi="Times New Roman" w:cs="Times New Roman"/>
          <w:sz w:val="24"/>
          <w:u w:val="none"/>
        </w:rPr>
        <w:t xml:space="preserve">and </w:t>
      </w:r>
      <w:r w:rsidR="00B31A22" w:rsidRPr="00E87EA1">
        <w:rPr>
          <w:rFonts w:ascii="Times New Roman" w:hAnsi="Times New Roman" w:cs="Times New Roman"/>
          <w:sz w:val="24"/>
          <w:u w:val="none"/>
        </w:rPr>
        <w:t xml:space="preserve">where </w:t>
      </w:r>
      <w:r w:rsidR="00DC53C0">
        <w:rPr>
          <w:rFonts w:ascii="Times New Roman" w:hAnsi="Times New Roman" w:cs="Times New Roman"/>
          <w:sz w:val="24"/>
          <w:u w:val="none"/>
        </w:rPr>
        <w:t xml:space="preserve">recognizing </w:t>
      </w:r>
      <w:r w:rsidR="00B31A22" w:rsidRPr="00E87EA1">
        <w:rPr>
          <w:rFonts w:ascii="Times New Roman" w:hAnsi="Times New Roman" w:cs="Times New Roman"/>
          <w:sz w:val="24"/>
          <w:u w:val="none"/>
        </w:rPr>
        <w:t xml:space="preserve">the collateral </w:t>
      </w:r>
      <w:r w:rsidR="00FC19B1">
        <w:rPr>
          <w:rFonts w:ascii="Times New Roman" w:hAnsi="Times New Roman" w:cs="Times New Roman"/>
          <w:sz w:val="24"/>
          <w:u w:val="none"/>
        </w:rPr>
        <w:t>would lead</w:t>
      </w:r>
      <w:r w:rsidR="00B31A22" w:rsidRPr="00E87EA1">
        <w:rPr>
          <w:rFonts w:ascii="Times New Roman" w:hAnsi="Times New Roman" w:cs="Times New Roman"/>
          <w:sz w:val="24"/>
          <w:u w:val="none"/>
        </w:rPr>
        <w:t xml:space="preserve"> to </w:t>
      </w:r>
      <w:r w:rsidR="00FC19B1">
        <w:rPr>
          <w:rFonts w:ascii="Times New Roman" w:hAnsi="Times New Roman" w:cs="Times New Roman"/>
          <w:sz w:val="24"/>
          <w:u w:val="none"/>
        </w:rPr>
        <w:t>a reduction of</w:t>
      </w:r>
      <w:r w:rsidR="00FC19B1" w:rsidRPr="00E87EA1">
        <w:rPr>
          <w:rFonts w:ascii="Times New Roman" w:hAnsi="Times New Roman" w:cs="Times New Roman"/>
          <w:sz w:val="24"/>
          <w:u w:val="none"/>
        </w:rPr>
        <w:t xml:space="preserve"> </w:t>
      </w:r>
      <w:r w:rsidR="00A122F8" w:rsidRPr="00E87EA1">
        <w:rPr>
          <w:rFonts w:ascii="Times New Roman" w:hAnsi="Times New Roman" w:cs="Times New Roman"/>
          <w:sz w:val="24"/>
          <w:u w:val="none"/>
        </w:rPr>
        <w:t>the risk-weighted exposure amount</w:t>
      </w:r>
      <w:r w:rsidR="00257DD0">
        <w:rPr>
          <w:rFonts w:ascii="Times New Roman" w:hAnsi="Times New Roman" w:cs="Times New Roman"/>
          <w:sz w:val="24"/>
          <w:u w:val="none"/>
        </w:rPr>
        <w:t>,</w:t>
      </w:r>
      <w:r w:rsidR="00B31A22" w:rsidRPr="008A4E00">
        <w:rPr>
          <w:rFonts w:ascii="Times New Roman" w:hAnsi="Times New Roman" w:cs="Times New Roman"/>
          <w:sz w:val="24"/>
          <w:u w:val="none"/>
        </w:rPr>
        <w:t xml:space="preserve"> </w:t>
      </w:r>
      <w:r w:rsidR="00930971">
        <w:rPr>
          <w:rFonts w:ascii="Times New Roman" w:hAnsi="Times New Roman" w:cs="Times New Roman"/>
          <w:sz w:val="24"/>
          <w:u w:val="none"/>
        </w:rPr>
        <w:t>even if this reduction is overridden by a decision of the competent or designated authority</w:t>
      </w:r>
      <w:r w:rsidR="00257DD0">
        <w:rPr>
          <w:rFonts w:ascii="Times New Roman" w:hAnsi="Times New Roman" w:cs="Times New Roman"/>
          <w:sz w:val="24"/>
          <w:u w:val="none"/>
        </w:rPr>
        <w:t xml:space="preserve"> where Article 124(7) is used, </w:t>
      </w:r>
      <w:r w:rsidR="002A076F">
        <w:rPr>
          <w:rFonts w:ascii="Times New Roman" w:hAnsi="Times New Roman" w:cs="Times New Roman"/>
          <w:sz w:val="24"/>
          <w:u w:val="none"/>
        </w:rPr>
        <w:t>shall be</w:t>
      </w:r>
      <w:r w:rsidR="002A076F" w:rsidRPr="008A4E00">
        <w:rPr>
          <w:rFonts w:ascii="Times New Roman" w:hAnsi="Times New Roman" w:cs="Times New Roman"/>
          <w:sz w:val="24"/>
          <w:u w:val="none"/>
        </w:rPr>
        <w:t xml:space="preserve"> </w:t>
      </w:r>
      <w:r w:rsidRPr="008A4E00">
        <w:rPr>
          <w:rFonts w:ascii="Times New Roman" w:hAnsi="Times New Roman" w:cs="Times New Roman"/>
          <w:sz w:val="24"/>
          <w:u w:val="none"/>
        </w:rPr>
        <w:t xml:space="preserve">reported in </w:t>
      </w:r>
      <w:r w:rsidR="002A076F">
        <w:rPr>
          <w:rFonts w:ascii="Times New Roman" w:hAnsi="Times New Roman" w:cs="Times New Roman"/>
          <w:sz w:val="24"/>
          <w:u w:val="none"/>
        </w:rPr>
        <w:t>template C 15.00</w:t>
      </w:r>
      <w:r w:rsidRPr="008A4E00">
        <w:rPr>
          <w:rFonts w:ascii="Times New Roman" w:hAnsi="Times New Roman" w:cs="Times New Roman"/>
          <w:sz w:val="24"/>
          <w:u w:val="none"/>
        </w:rPr>
        <w:t xml:space="preserve">. </w:t>
      </w:r>
      <w:r w:rsidR="00B31A22" w:rsidRPr="008A4E00">
        <w:rPr>
          <w:rFonts w:ascii="Times New Roman" w:hAnsi="Times New Roman" w:cs="Times New Roman"/>
          <w:sz w:val="24"/>
          <w:u w:val="none"/>
        </w:rPr>
        <w:t xml:space="preserve">This also means that </w:t>
      </w:r>
      <w:r w:rsidR="00895A26" w:rsidRPr="006E2EB4">
        <w:rPr>
          <w:rFonts w:ascii="Times New Roman" w:hAnsi="Times New Roman" w:cs="Times New Roman"/>
          <w:sz w:val="24"/>
          <w:u w:val="none"/>
        </w:rPr>
        <w:t xml:space="preserve">the exposures </w:t>
      </w:r>
      <w:r w:rsidR="00895A26" w:rsidRPr="006E2EB4">
        <w:rPr>
          <w:rFonts w:ascii="Times New Roman" w:hAnsi="Times New Roman" w:cs="Times New Roman"/>
          <w:sz w:val="24"/>
          <w:u w:val="none"/>
        </w:rPr>
        <w:lastRenderedPageBreak/>
        <w:t xml:space="preserve">and losses concerned must not </w:t>
      </w:r>
      <w:r w:rsidR="00400DDB">
        <w:rPr>
          <w:rFonts w:ascii="Times New Roman" w:hAnsi="Times New Roman" w:cs="Times New Roman"/>
          <w:sz w:val="24"/>
          <w:u w:val="none"/>
        </w:rPr>
        <w:t xml:space="preserve">be </w:t>
      </w:r>
      <w:r w:rsidR="00895A26" w:rsidRPr="006E2EB4">
        <w:rPr>
          <w:rFonts w:ascii="Times New Roman" w:hAnsi="Times New Roman" w:cs="Times New Roman"/>
          <w:sz w:val="24"/>
          <w:u w:val="none"/>
        </w:rPr>
        <w:t>reported</w:t>
      </w:r>
      <w:r w:rsidR="00895A26" w:rsidRPr="00895A26">
        <w:rPr>
          <w:rFonts w:ascii="Times New Roman" w:hAnsi="Times New Roman" w:cs="Times New Roman"/>
          <w:sz w:val="24"/>
          <w:u w:val="none"/>
        </w:rPr>
        <w:t xml:space="preserve"> </w:t>
      </w:r>
      <w:r w:rsidR="00895A26">
        <w:rPr>
          <w:rFonts w:ascii="Times New Roman" w:hAnsi="Times New Roman" w:cs="Times New Roman"/>
          <w:sz w:val="24"/>
          <w:u w:val="none"/>
        </w:rPr>
        <w:t>if</w:t>
      </w:r>
      <w:r w:rsidRPr="008A4E00">
        <w:rPr>
          <w:rFonts w:ascii="Times New Roman" w:hAnsi="Times New Roman" w:cs="Times New Roman"/>
          <w:sz w:val="24"/>
          <w:u w:val="none"/>
        </w:rPr>
        <w:t xml:space="preserve"> the</w:t>
      </w:r>
      <w:r w:rsidR="00E17F31" w:rsidRPr="008A4E00">
        <w:rPr>
          <w:rFonts w:ascii="Times New Roman" w:hAnsi="Times New Roman" w:cs="Times New Roman"/>
          <w:sz w:val="24"/>
          <w:u w:val="none"/>
        </w:rPr>
        <w:t xml:space="preserve"> risk mitigation effect of </w:t>
      </w:r>
      <w:r w:rsidR="00895A26">
        <w:rPr>
          <w:rFonts w:ascii="Times New Roman" w:hAnsi="Times New Roman" w:cs="Times New Roman"/>
          <w:sz w:val="24"/>
          <w:u w:val="none"/>
        </w:rPr>
        <w:t xml:space="preserve">the </w:t>
      </w:r>
      <w:r w:rsidR="00E17F31" w:rsidRPr="008A4E00">
        <w:rPr>
          <w:rFonts w:ascii="Times New Roman" w:hAnsi="Times New Roman" w:cs="Times New Roman"/>
          <w:sz w:val="24"/>
          <w:u w:val="none"/>
        </w:rPr>
        <w:t>immovable property is only used for internal purposes (i.e. under Pillar 2) or for large exposures (see Part Four CRR).</w:t>
      </w:r>
      <w:r w:rsidR="00D33B36">
        <w:rPr>
          <w:rFonts w:ascii="Times New Roman" w:hAnsi="Times New Roman" w:cs="Times New Roman"/>
          <w:sz w:val="24"/>
          <w:u w:val="none"/>
        </w:rPr>
        <w:t xml:space="preserve"> </w:t>
      </w:r>
      <w:r w:rsidR="00175E85" w:rsidRPr="00B25770">
        <w:rPr>
          <w:rFonts w:ascii="Times New Roman" w:hAnsi="Times New Roman" w:cs="Times New Roman"/>
          <w:sz w:val="24"/>
          <w:u w:val="none"/>
        </w:rPr>
        <w:t>In particular</w:t>
      </w:r>
      <w:r w:rsidR="00BA3836">
        <w:rPr>
          <w:rFonts w:ascii="Times New Roman" w:hAnsi="Times New Roman" w:cs="Times New Roman"/>
          <w:sz w:val="24"/>
          <w:u w:val="none"/>
        </w:rPr>
        <w:t>,</w:t>
      </w:r>
      <w:r w:rsidR="00175E85" w:rsidRPr="00B25770">
        <w:rPr>
          <w:rFonts w:ascii="Times New Roman" w:hAnsi="Times New Roman" w:cs="Times New Roman"/>
          <w:sz w:val="24"/>
          <w:u w:val="none"/>
        </w:rPr>
        <w:t xml:space="preserve"> exposures pursuant under Art. 124 (1) CRR shall not be reported.</w:t>
      </w:r>
      <w:r w:rsidR="00940F49">
        <w:rPr>
          <w:rFonts w:ascii="Times New Roman" w:hAnsi="Times New Roman" w:cs="Times New Roman"/>
          <w:sz w:val="24"/>
          <w:u w:val="none"/>
        </w:rPr>
        <w:t xml:space="preserve"> </w:t>
      </w:r>
      <w:r w:rsidR="003859C7">
        <w:rPr>
          <w:rFonts w:ascii="Times New Roman" w:hAnsi="Times New Roman" w:cs="Times New Roman"/>
          <w:sz w:val="24"/>
          <w:u w:val="none"/>
        </w:rPr>
        <w:t>The exposure shall still be reported even if it has defaulted</w:t>
      </w:r>
      <w:r w:rsidR="00670A5E">
        <w:rPr>
          <w:rFonts w:ascii="Times New Roman" w:hAnsi="Times New Roman" w:cs="Times New Roman"/>
          <w:sz w:val="24"/>
          <w:u w:val="none"/>
        </w:rPr>
        <w:t>.</w:t>
      </w:r>
    </w:p>
    <w:p w14:paraId="355D0107" w14:textId="726095BC" w:rsidR="008C6A88" w:rsidRPr="008A4E00" w:rsidRDefault="004C41D1"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cs="Times New Roman"/>
          <w:sz w:val="24"/>
          <w:u w:val="none"/>
        </w:rPr>
        <w:t xml:space="preserve">In accordance with </w:t>
      </w:r>
      <w:r w:rsidR="00F9369B">
        <w:rPr>
          <w:rFonts w:ascii="Times New Roman" w:hAnsi="Times New Roman" w:cs="Times New Roman"/>
          <w:sz w:val="24"/>
          <w:u w:val="none"/>
        </w:rPr>
        <w:t>Article 430a(1)</w:t>
      </w:r>
      <w:r w:rsidR="00B72188">
        <w:rPr>
          <w:rFonts w:ascii="Times New Roman" w:hAnsi="Times New Roman" w:cs="Times New Roman"/>
          <w:sz w:val="24"/>
          <w:u w:val="none"/>
        </w:rPr>
        <w:t xml:space="preserve">, points </w:t>
      </w:r>
      <w:r w:rsidR="001F13DC">
        <w:rPr>
          <w:rFonts w:ascii="Times New Roman" w:hAnsi="Times New Roman" w:cs="Times New Roman"/>
          <w:sz w:val="24"/>
          <w:u w:val="none"/>
        </w:rPr>
        <w:t>(a)</w:t>
      </w:r>
      <w:r w:rsidR="00B72188">
        <w:rPr>
          <w:rFonts w:ascii="Times New Roman" w:hAnsi="Times New Roman" w:cs="Times New Roman"/>
          <w:sz w:val="24"/>
          <w:u w:val="none"/>
        </w:rPr>
        <w:t xml:space="preserve"> and (d)</w:t>
      </w:r>
      <w:r w:rsidR="00CB72F9">
        <w:rPr>
          <w:rFonts w:ascii="Times New Roman" w:hAnsi="Times New Roman" w:cs="Times New Roman"/>
          <w:sz w:val="24"/>
          <w:u w:val="none"/>
        </w:rPr>
        <w:t>, w</w:t>
      </w:r>
      <w:r w:rsidR="00E027A6">
        <w:rPr>
          <w:rFonts w:ascii="Times New Roman" w:hAnsi="Times New Roman" w:cs="Times New Roman"/>
          <w:sz w:val="24"/>
          <w:u w:val="none"/>
        </w:rPr>
        <w:t xml:space="preserve">here </w:t>
      </w:r>
      <w:r w:rsidR="00FA2372">
        <w:rPr>
          <w:rFonts w:ascii="Times New Roman" w:hAnsi="Times New Roman" w:cs="Times New Roman"/>
          <w:sz w:val="24"/>
          <w:u w:val="none"/>
        </w:rPr>
        <w:t xml:space="preserve">Article 124(7) </w:t>
      </w:r>
      <w:r w:rsidR="00D15F38">
        <w:rPr>
          <w:rFonts w:ascii="Times New Roman" w:hAnsi="Times New Roman" w:cs="Times New Roman"/>
          <w:sz w:val="24"/>
          <w:u w:val="none"/>
        </w:rPr>
        <w:t>is used</w:t>
      </w:r>
      <w:r w:rsidR="00DD2B80">
        <w:rPr>
          <w:rFonts w:ascii="Times New Roman" w:hAnsi="Times New Roman" w:cs="Times New Roman"/>
          <w:sz w:val="24"/>
          <w:u w:val="none"/>
        </w:rPr>
        <w:t xml:space="preserve">, </w:t>
      </w:r>
      <w:r w:rsidR="006444FA">
        <w:rPr>
          <w:rFonts w:ascii="Times New Roman" w:hAnsi="Times New Roman" w:cs="Times New Roman"/>
          <w:sz w:val="24"/>
          <w:u w:val="none"/>
        </w:rPr>
        <w:t xml:space="preserve">the data shall be reported </w:t>
      </w:r>
      <w:r w:rsidR="00387AB9">
        <w:rPr>
          <w:rFonts w:ascii="Times New Roman" w:hAnsi="Times New Roman" w:cs="Times New Roman"/>
          <w:sz w:val="24"/>
          <w:u w:val="none"/>
        </w:rPr>
        <w:t xml:space="preserve">in column 0010 </w:t>
      </w:r>
      <w:r w:rsidR="00C942C4">
        <w:rPr>
          <w:rFonts w:ascii="Times New Roman" w:hAnsi="Times New Roman" w:cs="Times New Roman"/>
          <w:sz w:val="24"/>
          <w:u w:val="none"/>
        </w:rPr>
        <w:t>in accordance with the</w:t>
      </w:r>
      <w:r w:rsidR="004927EA">
        <w:rPr>
          <w:rFonts w:ascii="Times New Roman" w:hAnsi="Times New Roman" w:cs="Times New Roman"/>
          <w:sz w:val="24"/>
          <w:u w:val="none"/>
        </w:rPr>
        <w:t xml:space="preserve"> adjusted</w:t>
      </w:r>
      <w:r w:rsidR="00C942C4">
        <w:rPr>
          <w:rFonts w:ascii="Times New Roman" w:hAnsi="Times New Roman" w:cs="Times New Roman"/>
          <w:sz w:val="24"/>
          <w:u w:val="none"/>
        </w:rPr>
        <w:t xml:space="preserve"> </w:t>
      </w:r>
      <w:r w:rsidR="00F40C76">
        <w:rPr>
          <w:rFonts w:ascii="Times New Roman" w:hAnsi="Times New Roman" w:cs="Times New Roman"/>
          <w:sz w:val="24"/>
          <w:u w:val="none"/>
        </w:rPr>
        <w:t>reference percentages</w:t>
      </w:r>
      <w:r w:rsidR="008274E7">
        <w:rPr>
          <w:rFonts w:ascii="Times New Roman" w:hAnsi="Times New Roman" w:cs="Times New Roman"/>
          <w:sz w:val="24"/>
          <w:u w:val="none"/>
        </w:rPr>
        <w:t xml:space="preserve">, </w:t>
      </w:r>
      <w:r w:rsidR="00D146A5">
        <w:rPr>
          <w:rFonts w:ascii="Times New Roman" w:hAnsi="Times New Roman" w:cs="Times New Roman"/>
          <w:sz w:val="24"/>
          <w:u w:val="none"/>
        </w:rPr>
        <w:t>where</w:t>
      </w:r>
      <w:r w:rsidR="000F4EF7">
        <w:rPr>
          <w:rFonts w:ascii="Times New Roman" w:hAnsi="Times New Roman" w:cs="Times New Roman"/>
          <w:sz w:val="24"/>
          <w:u w:val="none"/>
        </w:rPr>
        <w:t xml:space="preserve"> applicable.</w:t>
      </w:r>
      <w:r w:rsidR="006B10DE">
        <w:rPr>
          <w:rFonts w:ascii="Times New Roman" w:hAnsi="Times New Roman" w:cs="Times New Roman"/>
          <w:sz w:val="24"/>
          <w:u w:val="none"/>
        </w:rPr>
        <w:t xml:space="preserve"> </w:t>
      </w:r>
      <w:r w:rsidR="00734FC1">
        <w:rPr>
          <w:rFonts w:ascii="Times New Roman" w:hAnsi="Times New Roman" w:cs="Times New Roman"/>
          <w:sz w:val="24"/>
          <w:u w:val="none"/>
        </w:rPr>
        <w:t xml:space="preserve">The data </w:t>
      </w:r>
      <w:r w:rsidR="008A054E">
        <w:rPr>
          <w:rFonts w:ascii="Times New Roman" w:hAnsi="Times New Roman" w:cs="Times New Roman"/>
          <w:sz w:val="24"/>
          <w:u w:val="none"/>
        </w:rPr>
        <w:t xml:space="preserve">shall be reported in columns 0030-0050 in accordance with </w:t>
      </w:r>
      <w:r w:rsidR="00C04AB6">
        <w:rPr>
          <w:rFonts w:ascii="Times New Roman" w:hAnsi="Times New Roman" w:cs="Times New Roman"/>
          <w:sz w:val="24"/>
          <w:u w:val="none"/>
        </w:rPr>
        <w:t xml:space="preserve">Article 430a(1), points </w:t>
      </w:r>
      <w:r w:rsidR="00410FAC">
        <w:rPr>
          <w:rFonts w:ascii="Times New Roman" w:hAnsi="Times New Roman" w:cs="Times New Roman"/>
          <w:sz w:val="24"/>
          <w:u w:val="none"/>
        </w:rPr>
        <w:t>(b), (c), (e) and (f).</w:t>
      </w:r>
      <w:r w:rsidR="00387AB9">
        <w:rPr>
          <w:rFonts w:ascii="Times New Roman" w:hAnsi="Times New Roman" w:cs="Times New Roman"/>
          <w:sz w:val="24"/>
          <w:u w:val="none"/>
        </w:rPr>
        <w:t xml:space="preserve"> </w:t>
      </w:r>
    </w:p>
    <w:p w14:paraId="476B3438" w14:textId="4EA61BBD" w:rsidR="000471B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12.</w:t>
      </w:r>
      <w:r w:rsidRPr="008A4E00">
        <w:rPr>
          <w:rFonts w:ascii="Times New Roman" w:hAnsi="Times New Roman" w:cs="Times New Roman"/>
          <w:sz w:val="24"/>
          <w:u w:val="none"/>
        </w:rPr>
        <w:tab/>
      </w:r>
      <w:r w:rsidR="009F4E0B" w:rsidRPr="008A4E00">
        <w:rPr>
          <w:rFonts w:ascii="Times New Roman" w:hAnsi="Times New Roman" w:cs="Times New Roman"/>
          <w:sz w:val="24"/>
          <w:u w:val="none"/>
        </w:rPr>
        <w:t xml:space="preserve">Losses: </w:t>
      </w:r>
      <w:r w:rsidR="00B31A22" w:rsidRPr="008A4E00">
        <w:rPr>
          <w:rFonts w:ascii="Times New Roman" w:hAnsi="Times New Roman" w:cs="Times New Roman"/>
          <w:sz w:val="24"/>
          <w:u w:val="none"/>
        </w:rPr>
        <w:t xml:space="preserve">The institution which has the exposure by the end of the reporting period shall report the losses. </w:t>
      </w:r>
      <w:r w:rsidR="00E17F31" w:rsidRPr="008A4E00">
        <w:rPr>
          <w:rFonts w:ascii="Times New Roman" w:hAnsi="Times New Roman" w:cs="Times New Roman"/>
          <w:sz w:val="24"/>
          <w:u w:val="none"/>
        </w:rPr>
        <w:t xml:space="preserve">Losses </w:t>
      </w:r>
      <w:r w:rsidR="00B00AEB" w:rsidRPr="008A4E00">
        <w:rPr>
          <w:rFonts w:ascii="Times New Roman" w:hAnsi="Times New Roman" w:cs="Times New Roman"/>
          <w:sz w:val="24"/>
          <w:u w:val="none"/>
        </w:rPr>
        <w:t>shall</w:t>
      </w:r>
      <w:r w:rsidR="00E17F31" w:rsidRPr="008A4E00">
        <w:rPr>
          <w:rFonts w:ascii="Times New Roman" w:hAnsi="Times New Roman" w:cs="Times New Roman"/>
          <w:sz w:val="24"/>
          <w:u w:val="none"/>
        </w:rPr>
        <w:t xml:space="preserve"> be reported as soon as provisions are to be booked </w:t>
      </w:r>
      <w:r w:rsidR="00C60BE1" w:rsidRPr="008A4E00">
        <w:rPr>
          <w:rFonts w:ascii="Times New Roman" w:hAnsi="Times New Roman" w:cs="Times New Roman"/>
          <w:sz w:val="24"/>
          <w:u w:val="none"/>
        </w:rPr>
        <w:t xml:space="preserve">in </w:t>
      </w:r>
      <w:r w:rsidR="00E17F31" w:rsidRPr="008A4E00">
        <w:rPr>
          <w:rFonts w:ascii="Times New Roman" w:hAnsi="Times New Roman" w:cs="Times New Roman"/>
          <w:sz w:val="24"/>
          <w:u w:val="none"/>
        </w:rPr>
        <w:t>accord</w:t>
      </w:r>
      <w:r w:rsidR="00C60BE1" w:rsidRPr="008A4E00">
        <w:rPr>
          <w:rFonts w:ascii="Times New Roman" w:hAnsi="Times New Roman" w:cs="Times New Roman"/>
          <w:sz w:val="24"/>
          <w:u w:val="none"/>
        </w:rPr>
        <w:t>ance with</w:t>
      </w:r>
      <w:r w:rsidR="00E17F31" w:rsidRPr="008A4E00">
        <w:rPr>
          <w:rFonts w:ascii="Times New Roman" w:hAnsi="Times New Roman" w:cs="Times New Roman"/>
          <w:sz w:val="24"/>
          <w:u w:val="none"/>
        </w:rPr>
        <w:t xml:space="preserve"> accounting rules.</w:t>
      </w:r>
      <w:r w:rsidR="009F4E0B" w:rsidRPr="008A4E00">
        <w:rPr>
          <w:rFonts w:ascii="Times New Roman" w:hAnsi="Times New Roman" w:cs="Times New Roman"/>
          <w:sz w:val="24"/>
          <w:u w:val="none"/>
        </w:rPr>
        <w:t xml:space="preserve"> </w:t>
      </w:r>
      <w:r w:rsidR="002A076F">
        <w:rPr>
          <w:rFonts w:ascii="Times New Roman" w:hAnsi="Times New Roman" w:cs="Times New Roman"/>
          <w:sz w:val="24"/>
          <w:u w:val="none"/>
        </w:rPr>
        <w:t xml:space="preserve">The </w:t>
      </w:r>
      <w:r w:rsidR="00E1378D" w:rsidRPr="008A4E00">
        <w:rPr>
          <w:rFonts w:ascii="Times New Roman" w:hAnsi="Times New Roman" w:cs="Times New Roman"/>
          <w:sz w:val="24"/>
          <w:u w:val="none"/>
        </w:rPr>
        <w:t>estimated losses sh</w:t>
      </w:r>
      <w:r w:rsidR="002A076F">
        <w:rPr>
          <w:rFonts w:ascii="Times New Roman" w:hAnsi="Times New Roman" w:cs="Times New Roman"/>
          <w:sz w:val="24"/>
          <w:u w:val="none"/>
        </w:rPr>
        <w:t>all also</w:t>
      </w:r>
      <w:r w:rsidR="00E1378D" w:rsidRPr="008A4E00">
        <w:rPr>
          <w:rFonts w:ascii="Times New Roman" w:hAnsi="Times New Roman" w:cs="Times New Roman"/>
          <w:sz w:val="24"/>
          <w:u w:val="none"/>
        </w:rPr>
        <w:t xml:space="preserve"> be reported.</w:t>
      </w:r>
      <w:r w:rsidR="009F4E0B" w:rsidRPr="008A4E00">
        <w:rPr>
          <w:rFonts w:ascii="Times New Roman" w:hAnsi="Times New Roman" w:cs="Times New Roman"/>
          <w:sz w:val="24"/>
          <w:u w:val="none"/>
        </w:rPr>
        <w:t xml:space="preserve"> </w:t>
      </w:r>
      <w:r w:rsidR="00A64C0C" w:rsidRPr="008A4E00">
        <w:rPr>
          <w:rFonts w:ascii="Times New Roman" w:hAnsi="Times New Roman" w:cs="Times New Roman"/>
          <w:sz w:val="24"/>
          <w:u w:val="none"/>
        </w:rPr>
        <w:t>Loss</w:t>
      </w:r>
      <w:r w:rsidR="002A076F">
        <w:rPr>
          <w:rFonts w:ascii="Times New Roman" w:hAnsi="Times New Roman" w:cs="Times New Roman"/>
          <w:sz w:val="24"/>
          <w:u w:val="none"/>
        </w:rPr>
        <w:t>es</w:t>
      </w:r>
      <w:r w:rsidR="00A64C0C" w:rsidRPr="008A4E00">
        <w:rPr>
          <w:rFonts w:ascii="Times New Roman" w:hAnsi="Times New Roman" w:cs="Times New Roman"/>
          <w:sz w:val="24"/>
          <w:u w:val="none"/>
        </w:rPr>
        <w:t xml:space="preserve"> </w:t>
      </w:r>
      <w:r w:rsidR="005A79D0" w:rsidRPr="00C26136">
        <w:rPr>
          <w:rFonts w:ascii="Times New Roman" w:hAnsi="Times New Roman" w:cs="Times New Roman"/>
          <w:sz w:val="24"/>
          <w:u w:val="none"/>
        </w:rPr>
        <w:t>from exposures collateralised by immovable property</w:t>
      </w:r>
      <w:r w:rsidR="005A79D0" w:rsidRPr="005A79D0">
        <w:rPr>
          <w:rFonts w:ascii="Times New Roman" w:hAnsi="Times New Roman" w:cs="Times New Roman"/>
          <w:sz w:val="24"/>
          <w:u w:val="none"/>
        </w:rPr>
        <w:t xml:space="preserve"> </w:t>
      </w:r>
      <w:r w:rsidR="00A64C0C" w:rsidRPr="008A4E00">
        <w:rPr>
          <w:rFonts w:ascii="Times New Roman" w:hAnsi="Times New Roman" w:cs="Times New Roman"/>
          <w:sz w:val="24"/>
          <w:u w:val="none"/>
        </w:rPr>
        <w:t>shall</w:t>
      </w:r>
      <w:r w:rsidR="00CB70A8" w:rsidRPr="008A4E00">
        <w:rPr>
          <w:rFonts w:ascii="Times New Roman" w:hAnsi="Times New Roman" w:cs="Times New Roman"/>
          <w:sz w:val="24"/>
          <w:u w:val="none"/>
        </w:rPr>
        <w:t xml:space="preserve"> be </w:t>
      </w:r>
      <w:r w:rsidR="002A076F">
        <w:rPr>
          <w:rFonts w:ascii="Times New Roman" w:hAnsi="Times New Roman" w:cs="Times New Roman"/>
          <w:sz w:val="24"/>
          <w:u w:val="none"/>
        </w:rPr>
        <w:t>calculated</w:t>
      </w:r>
      <w:r w:rsidR="002A076F" w:rsidRPr="008A4E00">
        <w:rPr>
          <w:rFonts w:ascii="Times New Roman" w:hAnsi="Times New Roman" w:cs="Times New Roman"/>
          <w:sz w:val="24"/>
          <w:u w:val="none"/>
        </w:rPr>
        <w:t xml:space="preserve"> </w:t>
      </w:r>
      <w:r w:rsidR="00CB70A8" w:rsidRPr="008A4E00">
        <w:rPr>
          <w:rFonts w:ascii="Times New Roman" w:hAnsi="Times New Roman" w:cs="Times New Roman"/>
          <w:sz w:val="24"/>
          <w:u w:val="none"/>
        </w:rPr>
        <w:t>on a loan-by-loan basis</w:t>
      </w:r>
      <w:r w:rsidR="005A79D0">
        <w:rPr>
          <w:rFonts w:ascii="Times New Roman" w:hAnsi="Times New Roman" w:cs="Times New Roman"/>
          <w:sz w:val="24"/>
          <w:u w:val="none"/>
        </w:rPr>
        <w:t xml:space="preserve"> and aggregated for reporting purposes</w:t>
      </w:r>
      <w:r w:rsidR="00B00AEB" w:rsidRPr="008A4E00">
        <w:rPr>
          <w:rFonts w:ascii="Times New Roman" w:hAnsi="Times New Roman" w:cs="Times New Roman"/>
          <w:sz w:val="24"/>
          <w:u w:val="none"/>
        </w:rPr>
        <w:t>.</w:t>
      </w:r>
    </w:p>
    <w:p w14:paraId="76BF16A4" w14:textId="7F12AD7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13.</w:t>
      </w:r>
      <w:r w:rsidRPr="008A4E00">
        <w:rPr>
          <w:rFonts w:ascii="Times New Roman" w:hAnsi="Times New Roman" w:cs="Times New Roman"/>
          <w:sz w:val="24"/>
          <w:u w:val="none"/>
        </w:rPr>
        <w:tab/>
      </w:r>
      <w:r w:rsidR="008D7ACC" w:rsidRPr="008A4E00">
        <w:rPr>
          <w:rFonts w:ascii="Times New Roman" w:hAnsi="Times New Roman" w:cs="Times New Roman"/>
          <w:sz w:val="24"/>
          <w:u w:val="none"/>
        </w:rPr>
        <w:t xml:space="preserve">Reference date: The exposure value </w:t>
      </w:r>
      <w:r w:rsidR="00A122F8" w:rsidRPr="008A4E00">
        <w:rPr>
          <w:rFonts w:ascii="Times New Roman" w:hAnsi="Times New Roman" w:cs="Times New Roman"/>
          <w:sz w:val="24"/>
          <w:u w:val="none"/>
        </w:rPr>
        <w:t xml:space="preserve">at </w:t>
      </w:r>
      <w:r w:rsidR="00933CEB">
        <w:rPr>
          <w:rFonts w:ascii="Times New Roman" w:hAnsi="Times New Roman" w:cs="Times New Roman"/>
          <w:sz w:val="24"/>
          <w:u w:val="none"/>
        </w:rPr>
        <w:t xml:space="preserve">the reference date </w:t>
      </w:r>
      <w:r w:rsidR="008D72DD">
        <w:rPr>
          <w:rFonts w:ascii="Times New Roman" w:hAnsi="Times New Roman" w:cs="Times New Roman"/>
          <w:sz w:val="24"/>
          <w:u w:val="none"/>
        </w:rPr>
        <w:t>shall</w:t>
      </w:r>
      <w:r w:rsidR="008D72DD" w:rsidRPr="008A4E00">
        <w:rPr>
          <w:rFonts w:ascii="Times New Roman" w:hAnsi="Times New Roman" w:cs="Times New Roman"/>
          <w:sz w:val="24"/>
          <w:u w:val="none"/>
        </w:rPr>
        <w:t xml:space="preserve"> </w:t>
      </w:r>
      <w:r w:rsidR="008D7ACC" w:rsidRPr="008A4E00">
        <w:rPr>
          <w:rFonts w:ascii="Times New Roman" w:hAnsi="Times New Roman" w:cs="Times New Roman"/>
          <w:sz w:val="24"/>
          <w:u w:val="none"/>
        </w:rPr>
        <w:t>be used</w:t>
      </w:r>
      <w:r w:rsidR="009F2A4F">
        <w:rPr>
          <w:rFonts w:ascii="Times New Roman" w:hAnsi="Times New Roman" w:cs="Times New Roman"/>
          <w:sz w:val="24"/>
          <w:u w:val="none"/>
        </w:rPr>
        <w:t>. For exposures</w:t>
      </w:r>
      <w:r w:rsidR="00BD3607">
        <w:rPr>
          <w:rFonts w:ascii="Times New Roman" w:hAnsi="Times New Roman" w:cs="Times New Roman"/>
          <w:sz w:val="24"/>
          <w:u w:val="none"/>
        </w:rPr>
        <w:t xml:space="preserve"> having defaulted during the period, the exposure value at default shall be used. </w:t>
      </w:r>
      <w:r w:rsidR="005D6364">
        <w:rPr>
          <w:rFonts w:ascii="Times New Roman" w:hAnsi="Times New Roman" w:cs="Times New Roman"/>
          <w:sz w:val="24"/>
          <w:u w:val="none"/>
        </w:rPr>
        <w:t xml:space="preserve">For exposures having defaulted during past periods, </w:t>
      </w:r>
      <w:r w:rsidR="00800D4D">
        <w:rPr>
          <w:rFonts w:ascii="Times New Roman" w:hAnsi="Times New Roman" w:cs="Times New Roman"/>
          <w:sz w:val="24"/>
          <w:u w:val="none"/>
        </w:rPr>
        <w:t xml:space="preserve">the exposure value at the </w:t>
      </w:r>
      <w:r w:rsidR="0023744A">
        <w:rPr>
          <w:rFonts w:ascii="Times New Roman" w:hAnsi="Times New Roman" w:cs="Times New Roman"/>
          <w:sz w:val="24"/>
          <w:u w:val="none"/>
        </w:rPr>
        <w:t xml:space="preserve">reference </w:t>
      </w:r>
      <w:r w:rsidR="00800D4D">
        <w:rPr>
          <w:rFonts w:ascii="Times New Roman" w:hAnsi="Times New Roman" w:cs="Times New Roman"/>
          <w:sz w:val="24"/>
          <w:u w:val="none"/>
        </w:rPr>
        <w:t>date shall be used.</w:t>
      </w:r>
    </w:p>
    <w:p w14:paraId="1BD48AAA" w14:textId="51EA7723"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a)</w:t>
      </w:r>
      <w:r w:rsidRPr="008A4E00">
        <w:rPr>
          <w:rFonts w:ascii="Times New Roman" w:hAnsi="Times New Roman"/>
          <w:bCs/>
          <w:sz w:val="24"/>
          <w:szCs w:val="24"/>
          <w:u w:val="none"/>
        </w:rPr>
        <w:tab/>
      </w:r>
      <w:r w:rsidR="008D7ACC" w:rsidRPr="008A4E00">
        <w:rPr>
          <w:rFonts w:ascii="Times New Roman" w:hAnsi="Times New Roman"/>
          <w:bCs/>
          <w:sz w:val="24"/>
          <w:szCs w:val="24"/>
          <w:u w:val="none"/>
        </w:rPr>
        <w:t>Losses sh</w:t>
      </w:r>
      <w:r w:rsidR="00281D57">
        <w:rPr>
          <w:rFonts w:ascii="Times New Roman" w:hAnsi="Times New Roman"/>
          <w:bCs/>
          <w:sz w:val="24"/>
          <w:szCs w:val="24"/>
          <w:u w:val="none"/>
        </w:rPr>
        <w:t>all</w:t>
      </w:r>
      <w:r w:rsidR="008D7ACC" w:rsidRPr="008A4E00">
        <w:rPr>
          <w:rFonts w:ascii="Times New Roman" w:hAnsi="Times New Roman"/>
          <w:bCs/>
          <w:sz w:val="24"/>
          <w:szCs w:val="24"/>
          <w:u w:val="none"/>
        </w:rPr>
        <w:t xml:space="preserve"> be reported for all defaults on loans secured by real estate property that occur during the reporting period </w:t>
      </w:r>
      <w:r w:rsidR="00543CDC" w:rsidRPr="008A4E00">
        <w:rPr>
          <w:rFonts w:ascii="Times New Roman" w:hAnsi="Times New Roman"/>
          <w:bCs/>
          <w:sz w:val="24"/>
          <w:szCs w:val="24"/>
          <w:u w:val="none"/>
        </w:rPr>
        <w:t>and</w:t>
      </w:r>
      <w:r w:rsidR="008D7ACC" w:rsidRPr="008A4E00">
        <w:rPr>
          <w:rFonts w:ascii="Times New Roman" w:hAnsi="Times New Roman"/>
          <w:bCs/>
          <w:sz w:val="24"/>
          <w:szCs w:val="24"/>
          <w:u w:val="none"/>
        </w:rPr>
        <w:t xml:space="preserve"> irrespective of whether the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w:t>
      </w:r>
      <w:r w:rsidR="00FF5C6D">
        <w:rPr>
          <w:rFonts w:ascii="Times New Roman" w:hAnsi="Times New Roman"/>
          <w:bCs/>
          <w:sz w:val="24"/>
          <w:szCs w:val="24"/>
          <w:u w:val="none"/>
        </w:rPr>
        <w:t xml:space="preserve">has been </w:t>
      </w:r>
      <w:r w:rsidR="008D7ACC" w:rsidRPr="008A4E00">
        <w:rPr>
          <w:rFonts w:ascii="Times New Roman" w:hAnsi="Times New Roman"/>
          <w:bCs/>
          <w:sz w:val="24"/>
          <w:szCs w:val="24"/>
          <w:u w:val="none"/>
        </w:rPr>
        <w:t xml:space="preserve">completed. </w:t>
      </w:r>
      <w:r w:rsidR="00835C71">
        <w:rPr>
          <w:rFonts w:ascii="Times New Roman" w:hAnsi="Times New Roman"/>
          <w:bCs/>
          <w:sz w:val="24"/>
          <w:szCs w:val="24"/>
          <w:u w:val="none"/>
        </w:rPr>
        <w:t>L</w:t>
      </w:r>
      <w:r w:rsidR="00543CDC" w:rsidRPr="008A4E00">
        <w:rPr>
          <w:rFonts w:ascii="Times New Roman" w:hAnsi="Times New Roman"/>
          <w:bCs/>
          <w:sz w:val="24"/>
          <w:szCs w:val="24"/>
          <w:u w:val="none"/>
        </w:rPr>
        <w:t>oss</w:t>
      </w:r>
      <w:r w:rsidR="0075401D">
        <w:rPr>
          <w:rFonts w:ascii="Times New Roman" w:hAnsi="Times New Roman"/>
          <w:bCs/>
          <w:sz w:val="24"/>
          <w:szCs w:val="24"/>
          <w:u w:val="none"/>
        </w:rPr>
        <w:t>es to be</w:t>
      </w:r>
      <w:r w:rsidR="00543CDC" w:rsidRPr="008A4E00">
        <w:rPr>
          <w:rFonts w:ascii="Times New Roman" w:hAnsi="Times New Roman"/>
          <w:bCs/>
          <w:sz w:val="24"/>
          <w:szCs w:val="24"/>
          <w:u w:val="none"/>
        </w:rPr>
        <w:t xml:space="preserve"> reported as of 31 December shall refer to the whole calendar year. </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b)</w:t>
      </w:r>
      <w:r w:rsidRPr="008A4E00">
        <w:rPr>
          <w:rFonts w:ascii="Times New Roman" w:hAnsi="Times New Roman"/>
          <w:bCs/>
          <w:sz w:val="24"/>
          <w:szCs w:val="24"/>
          <w:u w:val="none"/>
        </w:rPr>
        <w:tab/>
      </w:r>
      <w:r w:rsidR="008D7ACC" w:rsidRPr="008A4E00">
        <w:rPr>
          <w:rFonts w:ascii="Times New Roman" w:hAnsi="Times New Roman"/>
          <w:bCs/>
          <w:sz w:val="24"/>
          <w:szCs w:val="24"/>
          <w:u w:val="none"/>
        </w:rPr>
        <w:t xml:space="preserve">For all defaults observed within the reporting period, there are three scenarios: (i) defaulted loan can be restructured so that it is no longer treated as in default (no loss observed); (ii) realization of all collateral is completed (completed </w:t>
      </w:r>
      <w:r w:rsidR="00175742" w:rsidRPr="00141BC0">
        <w:rPr>
          <w:rFonts w:ascii="Times New Roman" w:hAnsi="Times New Roman"/>
          <w:bCs/>
          <w:sz w:val="24"/>
          <w:szCs w:val="24"/>
          <w:u w:val="none"/>
        </w:rPr>
        <w:t>recovery</w:t>
      </w:r>
      <w:r w:rsidR="008D7ACC" w:rsidRPr="008A4E00">
        <w:rPr>
          <w:rFonts w:ascii="Times New Roman" w:hAnsi="Times New Roman"/>
          <w:bCs/>
          <w:sz w:val="24"/>
          <w:szCs w:val="24"/>
          <w:u w:val="none"/>
        </w:rPr>
        <w:t xml:space="preserve">, actual loss known); or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 xml:space="preserve">(loss estimates to be used). Loss reporting shall include only losses stemming from scenario (ii) realisation of collateral (observed losses) and scenario (iii) incomplete </w:t>
      </w:r>
      <w:r w:rsidR="00175742" w:rsidRPr="00141BC0">
        <w:rPr>
          <w:rFonts w:ascii="Times New Roman" w:hAnsi="Times New Roman"/>
          <w:bCs/>
          <w:sz w:val="24"/>
          <w:szCs w:val="24"/>
          <w:u w:val="none"/>
        </w:rPr>
        <w:t>recovery</w:t>
      </w:r>
      <w:r w:rsidR="00175742" w:rsidRPr="008A4E00">
        <w:rPr>
          <w:rFonts w:ascii="Times New Roman" w:hAnsi="Times New Roman"/>
          <w:bCs/>
          <w:sz w:val="24"/>
          <w:szCs w:val="24"/>
          <w:u w:val="none"/>
        </w:rPr>
        <w:t xml:space="preserve"> </w:t>
      </w:r>
      <w:r w:rsidR="008D7ACC" w:rsidRPr="008A4E00">
        <w:rPr>
          <w:rFonts w:ascii="Times New Roman" w:hAnsi="Times New Roman"/>
          <w:bCs/>
          <w:sz w:val="24"/>
          <w:szCs w:val="24"/>
          <w:u w:val="none"/>
        </w:rPr>
        <w:t>(estimates of losses).</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8A4E00">
        <w:rPr>
          <w:rFonts w:ascii="Times New Roman" w:hAnsi="Times New Roman"/>
          <w:bCs/>
          <w:sz w:val="24"/>
          <w:szCs w:val="24"/>
          <w:u w:val="none"/>
        </w:rPr>
        <w:t>c)</w:t>
      </w:r>
      <w:r w:rsidRPr="008A4E00">
        <w:rPr>
          <w:rFonts w:ascii="Times New Roman" w:hAnsi="Times New Roman"/>
          <w:bCs/>
          <w:sz w:val="24"/>
          <w:szCs w:val="24"/>
          <w:u w:val="none"/>
        </w:rPr>
        <w:tab/>
      </w:r>
      <w:r w:rsidR="00302E9C" w:rsidRPr="008A4E00">
        <w:rPr>
          <w:rFonts w:ascii="Times New Roman" w:hAnsi="Times New Roman"/>
          <w:bCs/>
          <w:sz w:val="24"/>
          <w:szCs w:val="24"/>
          <w:u w:val="none"/>
        </w:rPr>
        <w:t>As losses shall be reported only for exposures having defaulted during the reporting period, changes to losses of exposures having defaulted during previous reporting periods will not be reflected in the reported data</w:t>
      </w:r>
      <w:r w:rsidR="00281D57">
        <w:rPr>
          <w:rFonts w:ascii="Times New Roman" w:hAnsi="Times New Roman"/>
          <w:bCs/>
          <w:sz w:val="24"/>
          <w:szCs w:val="24"/>
          <w:u w:val="none"/>
        </w:rPr>
        <w:t>,</w:t>
      </w:r>
      <w:r w:rsidR="00302E9C" w:rsidRPr="008A4E00">
        <w:rPr>
          <w:rFonts w:ascii="Times New Roman" w:hAnsi="Times New Roman"/>
          <w:bCs/>
          <w:sz w:val="24"/>
          <w:szCs w:val="24"/>
          <w:u w:val="none"/>
        </w:rPr>
        <w:t xml:space="preserve"> </w:t>
      </w:r>
      <w:r w:rsidR="00281D57">
        <w:rPr>
          <w:rFonts w:ascii="Times New Roman" w:hAnsi="Times New Roman"/>
          <w:bCs/>
          <w:sz w:val="24"/>
          <w:szCs w:val="24"/>
          <w:u w:val="none"/>
        </w:rPr>
        <w:t>i</w:t>
      </w:r>
      <w:r w:rsidR="00302E9C" w:rsidRPr="008A4E00">
        <w:rPr>
          <w:rFonts w:ascii="Times New Roman" w:hAnsi="Times New Roman"/>
          <w:bCs/>
          <w:sz w:val="24"/>
          <w:szCs w:val="24"/>
          <w:u w:val="none"/>
        </w:rPr>
        <w:t>.e. proceeds from the realisation of the collateral at a later reporting period or lower realised costs than previously estimated shall not be reported.</w:t>
      </w:r>
    </w:p>
    <w:p w14:paraId="41BE913E" w14:textId="29C16A5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14.</w:t>
      </w:r>
      <w:r w:rsidRPr="008A4E00">
        <w:rPr>
          <w:rFonts w:ascii="Times New Roman" w:hAnsi="Times New Roman" w:cs="Times New Roman"/>
          <w:sz w:val="24"/>
          <w:u w:val="none"/>
        </w:rPr>
        <w:tab/>
      </w:r>
      <w:r w:rsidR="00417752" w:rsidRPr="008A4E00">
        <w:rPr>
          <w:rFonts w:ascii="Times New Roman" w:hAnsi="Times New Roman" w:cs="Times New Roman"/>
          <w:sz w:val="24"/>
          <w:u w:val="none"/>
        </w:rPr>
        <w:t>Role of the valuation of the property: The latest valuation of the property before the default date of the exposure is needed as reference for reporting the part of exposure secured by mortgages on immovable property. After default, the property might be re-valued. This new value should however not be relevant for identifying the part of the exposure which was originally secured</w:t>
      </w:r>
      <w:r w:rsidR="00932D3E">
        <w:rPr>
          <w:rFonts w:ascii="Times New Roman" w:hAnsi="Times New Roman" w:cs="Times New Roman"/>
          <w:sz w:val="24"/>
          <w:u w:val="none"/>
        </w:rPr>
        <w:t xml:space="preserve"> </w:t>
      </w:r>
      <w:r w:rsidR="00932D3E" w:rsidRPr="00A35438">
        <w:rPr>
          <w:rStyle w:val="InstructionsTabelleText"/>
          <w:rFonts w:ascii="Times New Roman" w:hAnsi="Times New Roman"/>
          <w:sz w:val="24"/>
          <w:u w:val="none"/>
        </w:rPr>
        <w:t>up to the part of the exposure value that is secured up to the lower of the pledged amount and 55% of the property value,</w:t>
      </w:r>
      <w:r w:rsidR="00932D3E" w:rsidRPr="00A35438">
        <w:rPr>
          <w:rStyle w:val="InstructionsTabelleText"/>
          <w:u w:val="none"/>
        </w:rPr>
        <w:t xml:space="preserve"> </w:t>
      </w:r>
      <w:r w:rsidR="00932D3E" w:rsidRPr="00A35438">
        <w:rPr>
          <w:rFonts w:ascii="Times New Roman" w:hAnsi="Times New Roman"/>
          <w:sz w:val="24"/>
          <w:u w:val="none"/>
        </w:rPr>
        <w:t>unless otherwise decided under Article 124(7)</w:t>
      </w:r>
      <w:r w:rsidR="00417752" w:rsidRPr="005418AC">
        <w:rPr>
          <w:rFonts w:ascii="Times New Roman" w:hAnsi="Times New Roman" w:cs="Times New Roman"/>
          <w:sz w:val="24"/>
          <w:u w:val="none"/>
        </w:rPr>
        <w:t>.</w:t>
      </w:r>
      <w:r w:rsidR="00417752" w:rsidRPr="008A4E00">
        <w:rPr>
          <w:rFonts w:ascii="Times New Roman" w:hAnsi="Times New Roman" w:cs="Times New Roman"/>
          <w:sz w:val="24"/>
          <w:u w:val="none"/>
        </w:rPr>
        <w:t xml:space="preserve"> However</w:t>
      </w:r>
      <w:r w:rsidR="00281D57">
        <w:rPr>
          <w:rFonts w:ascii="Times New Roman" w:hAnsi="Times New Roman" w:cs="Times New Roman"/>
          <w:sz w:val="24"/>
          <w:u w:val="none"/>
        </w:rPr>
        <w:t>,</w:t>
      </w:r>
      <w:r w:rsidR="00417752" w:rsidRPr="008A4E00">
        <w:rPr>
          <w:rFonts w:ascii="Times New Roman" w:hAnsi="Times New Roman" w:cs="Times New Roman"/>
          <w:sz w:val="24"/>
          <w:u w:val="none"/>
        </w:rPr>
        <w:t xml:space="preserve"> the new value of the property shall be considered in economic loss reporting (a reduced property value is part of economic costs). In other words, the latest valuation of the property before the default date shall be used to determine which part of the loss shall be reported in </w:t>
      </w:r>
      <w:r w:rsidR="00ED74D4">
        <w:rPr>
          <w:rFonts w:ascii="Times New Roman" w:hAnsi="Times New Roman" w:cs="Times New Roman"/>
          <w:sz w:val="24"/>
          <w:u w:val="none"/>
        </w:rPr>
        <w:t>column</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010 and the re-</w:t>
      </w:r>
      <w:r w:rsidR="00417752" w:rsidRPr="008A4E00">
        <w:rPr>
          <w:rFonts w:ascii="Times New Roman" w:hAnsi="Times New Roman" w:cs="Times New Roman"/>
          <w:sz w:val="24"/>
          <w:u w:val="none"/>
        </w:rPr>
        <w:lastRenderedPageBreak/>
        <w:t xml:space="preserve">valued property value for the amount to be reported (estimation </w:t>
      </w:r>
      <w:r w:rsidR="00141BC0">
        <w:rPr>
          <w:rFonts w:ascii="Times New Roman" w:hAnsi="Times New Roman" w:cs="Times New Roman"/>
          <w:sz w:val="24"/>
          <w:u w:val="none"/>
        </w:rPr>
        <w:t xml:space="preserve">of </w:t>
      </w:r>
      <w:r w:rsidR="00417752" w:rsidRPr="008A4E00">
        <w:rPr>
          <w:rFonts w:ascii="Times New Roman" w:hAnsi="Times New Roman" w:cs="Times New Roman"/>
          <w:sz w:val="24"/>
          <w:u w:val="none"/>
        </w:rPr>
        <w:t xml:space="preserve">a possible </w:t>
      </w:r>
      <w:r w:rsidR="00175742">
        <w:rPr>
          <w:rFonts w:ascii="Times New Roman" w:hAnsi="Times New Roman" w:cs="Times New Roman"/>
          <w:sz w:val="24"/>
          <w:u w:val="none"/>
        </w:rPr>
        <w:t>recovery</w:t>
      </w:r>
      <w:r w:rsidR="00175742" w:rsidRPr="008A4E00">
        <w:rPr>
          <w:rFonts w:ascii="Times New Roman" w:hAnsi="Times New Roman" w:cs="Times New Roman"/>
          <w:sz w:val="24"/>
          <w:u w:val="none"/>
        </w:rPr>
        <w:t xml:space="preserve"> </w:t>
      </w:r>
      <w:r w:rsidR="00417752" w:rsidRPr="008A4E00">
        <w:rPr>
          <w:rFonts w:ascii="Times New Roman" w:hAnsi="Times New Roman" w:cs="Times New Roman"/>
          <w:sz w:val="24"/>
          <w:u w:val="none"/>
        </w:rPr>
        <w:t xml:space="preserve">from collateral) in </w:t>
      </w:r>
      <w:r w:rsidR="00ED74D4">
        <w:rPr>
          <w:rFonts w:ascii="Times New Roman" w:hAnsi="Times New Roman" w:cs="Times New Roman"/>
          <w:sz w:val="24"/>
          <w:u w:val="none"/>
        </w:rPr>
        <w:t>columns</w:t>
      </w:r>
      <w:r w:rsidR="00ED74D4" w:rsidRPr="008A4E00">
        <w:rPr>
          <w:rFonts w:ascii="Times New Roman" w:hAnsi="Times New Roman" w:cs="Times New Roman"/>
          <w:sz w:val="24"/>
          <w:u w:val="none"/>
        </w:rPr>
        <w:t xml:space="preserve">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 xml:space="preserve">010 and </w:t>
      </w:r>
      <w:r w:rsidR="00B33BBC" w:rsidRPr="008A4E00">
        <w:rPr>
          <w:rFonts w:ascii="Times New Roman" w:hAnsi="Times New Roman" w:cs="Times New Roman"/>
          <w:sz w:val="24"/>
          <w:u w:val="none"/>
        </w:rPr>
        <w:t>0</w:t>
      </w:r>
      <w:r w:rsidR="00417752" w:rsidRPr="008A4E00">
        <w:rPr>
          <w:rFonts w:ascii="Times New Roman" w:hAnsi="Times New Roman" w:cs="Times New Roman"/>
          <w:sz w:val="24"/>
          <w:u w:val="none"/>
        </w:rPr>
        <w:t>0</w:t>
      </w:r>
      <w:r w:rsidR="008774F3" w:rsidRPr="008A4E00">
        <w:rPr>
          <w:rFonts w:ascii="Times New Roman" w:hAnsi="Times New Roman" w:cs="Times New Roman"/>
          <w:sz w:val="24"/>
          <w:u w:val="none"/>
        </w:rPr>
        <w:t>3</w:t>
      </w:r>
      <w:r w:rsidR="00417752" w:rsidRPr="008A4E00">
        <w:rPr>
          <w:rFonts w:ascii="Times New Roman" w:hAnsi="Times New Roman" w:cs="Times New Roman"/>
          <w:sz w:val="24"/>
          <w:u w:val="none"/>
        </w:rPr>
        <w:t>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8A4E00">
        <w:rPr>
          <w:rFonts w:ascii="Times New Roman" w:hAnsi="Times New Roman" w:cs="Times New Roman"/>
          <w:sz w:val="24"/>
          <w:u w:val="none"/>
        </w:rPr>
        <w:t>15.</w:t>
      </w:r>
      <w:r w:rsidRPr="008A4E00">
        <w:rPr>
          <w:rFonts w:ascii="Times New Roman" w:hAnsi="Times New Roman" w:cs="Times New Roman"/>
          <w:sz w:val="24"/>
          <w:u w:val="none"/>
        </w:rPr>
        <w:tab/>
      </w:r>
      <w:r w:rsidR="00840FC0" w:rsidRPr="008A4E00">
        <w:rPr>
          <w:rFonts w:ascii="Times New Roman" w:hAnsi="Times New Roman" w:cs="Times New Roman"/>
          <w:sz w:val="24"/>
          <w:u w:val="none"/>
        </w:rPr>
        <w:t>Treatment of loan sales during the reporting period: The institution which has the exposure by the end of the reporting period shall report losses, but only if a default for that exposure was identified.</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sidRPr="008A4E00">
        <w:rPr>
          <w:rFonts w:ascii="Times New Roman" w:hAnsi="Times New Roman" w:cs="Times New Roman"/>
          <w:sz w:val="24"/>
          <w:u w:val="none"/>
        </w:rPr>
        <w:t>5.</w:t>
      </w:r>
      <w:r w:rsidRPr="008A4E00">
        <w:rPr>
          <w:rFonts w:ascii="Times New Roman" w:hAnsi="Times New Roman" w:cs="Times New Roman"/>
          <w:sz w:val="24"/>
          <w:u w:val="none"/>
        </w:rPr>
        <w:tab/>
      </w:r>
      <w:r w:rsidR="00713F52" w:rsidRPr="008A4E00">
        <w:rPr>
          <w:rFonts w:ascii="Times New Roman" w:hAnsi="Times New Roman" w:cs="Times New Roman"/>
          <w:sz w:val="24"/>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Columns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losses stemming from lending up to the reference percentages</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(a) and (d)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713F52" w:rsidRPr="008A4E00">
              <w:rPr>
                <w:rStyle w:val="InstructionsTabelleText"/>
                <w:rFonts w:ascii="Times New Roman" w:hAnsi="Times New Roman"/>
                <w:sz w:val="24"/>
              </w:rPr>
              <w:t xml:space="preserve">(1) CRR respectively, </w:t>
            </w:r>
          </w:p>
          <w:p w14:paraId="19C0501E" w14:textId="2DE6A588" w:rsidR="000471B0" w:rsidRPr="008A4E00" w:rsidRDefault="00A30A3F"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Property</w:t>
            </w:r>
            <w:r w:rsidR="00713F52" w:rsidRPr="008A4E00">
              <w:rPr>
                <w:rStyle w:val="InstructionsTabelleText"/>
                <w:rFonts w:ascii="Times New Roman" w:hAnsi="Times New Roman"/>
                <w:sz w:val="24"/>
              </w:rPr>
              <w:t xml:space="preserve"> value </w:t>
            </w:r>
            <w:r w:rsidR="00C60BE1" w:rsidRPr="008A4E00">
              <w:rPr>
                <w:rStyle w:val="InstructionsTabelleText"/>
                <w:rFonts w:ascii="Times New Roman" w:hAnsi="Times New Roman"/>
                <w:sz w:val="24"/>
              </w:rPr>
              <w:t>in accordance with</w:t>
            </w:r>
            <w:r w:rsidR="00713F52" w:rsidRPr="008A4E00">
              <w:rPr>
                <w:rStyle w:val="InstructionsTabelleText"/>
                <w:rFonts w:ascii="Times New Roman" w:hAnsi="Times New Roman"/>
                <w:sz w:val="24"/>
              </w:rPr>
              <w:t xml:space="preserve"> </w:t>
            </w:r>
            <w:r w:rsidR="00B9443C" w:rsidRPr="008A4E00">
              <w:rPr>
                <w:rStyle w:val="InstructionsTabelleText"/>
                <w:rFonts w:ascii="Times New Roman" w:hAnsi="Times New Roman"/>
                <w:sz w:val="24"/>
              </w:rPr>
              <w:t>point (74</w:t>
            </w:r>
            <w:r w:rsidR="00E70357">
              <w:rPr>
                <w:rStyle w:val="InstructionsTabelleText"/>
                <w:rFonts w:ascii="Times New Roman" w:hAnsi="Times New Roman"/>
                <w:sz w:val="24"/>
              </w:rPr>
              <w:t>a</w:t>
            </w:r>
            <w:r w:rsidR="00B9443C" w:rsidRPr="008A4E00">
              <w:rPr>
                <w:rStyle w:val="InstructionsTabelleText"/>
                <w:rFonts w:ascii="Times New Roman" w:hAnsi="Times New Roman"/>
                <w:sz w:val="24"/>
              </w:rPr>
              <w:t xml:space="preserve">) of </w:t>
            </w:r>
            <w:r w:rsidR="00713F52" w:rsidRPr="008A4E00">
              <w:rPr>
                <w:rStyle w:val="InstructionsTabelleText"/>
                <w:rFonts w:ascii="Times New Roman" w:hAnsi="Times New Roman"/>
                <w:sz w:val="24"/>
              </w:rPr>
              <w:t>Article 4</w:t>
            </w:r>
            <w:r w:rsidR="008D72DD">
              <w:rPr>
                <w:rStyle w:val="InstructionsTabelleText"/>
                <w:rFonts w:ascii="Times New Roman" w:hAnsi="Times New Roman"/>
                <w:sz w:val="24"/>
              </w:rPr>
              <w:t>(1)</w:t>
            </w:r>
            <w:r w:rsidR="00713F52" w:rsidRPr="008A4E00">
              <w:rPr>
                <w:rStyle w:val="InstructionsTabelleText"/>
                <w:rFonts w:ascii="Times New Roman" w:hAnsi="Times New Roman"/>
                <w:sz w:val="24"/>
              </w:rPr>
              <w:t xml:space="preserve"> CRR</w:t>
            </w:r>
          </w:p>
          <w:p w14:paraId="01CE6153" w14:textId="0C72FDE6" w:rsidR="000471B0" w:rsidRPr="00F67747" w:rsidRDefault="00D87924" w:rsidP="00C60BE1">
            <w:pPr>
              <w:spacing w:beforeLines="60" w:before="144" w:afterLines="60" w:after="144"/>
              <w:rPr>
                <w:rFonts w:ascii="Times New Roman" w:hAnsi="Times New Roman"/>
                <w:sz w:val="24"/>
              </w:rPr>
            </w:pPr>
            <w:r w:rsidRPr="008A4E00">
              <w:rPr>
                <w:rStyle w:val="InstructionsTabelleText"/>
                <w:rFonts w:ascii="Times New Roman" w:hAnsi="Times New Roman"/>
                <w:sz w:val="24"/>
              </w:rPr>
              <w:t>This column collects all losses stemming</w:t>
            </w:r>
            <w:r w:rsidR="00D97B1F">
              <w:rPr>
                <w:rStyle w:val="InstructionsTabelleText"/>
                <w:rFonts w:ascii="Times New Roman" w:hAnsi="Times New Roman"/>
                <w:sz w:val="24"/>
              </w:rPr>
              <w:t xml:space="preserve"> </w:t>
            </w:r>
            <w:r w:rsidR="00D97B1F" w:rsidRPr="00C21877">
              <w:rPr>
                <w:rStyle w:val="InstructionsTabelleText"/>
                <w:rFonts w:ascii="Times New Roman" w:hAnsi="Times New Roman"/>
                <w:sz w:val="24"/>
              </w:rPr>
              <w:t>from</w:t>
            </w:r>
            <w:r w:rsidRPr="008A4E00">
              <w:rPr>
                <w:rStyle w:val="InstructionsTabelleText"/>
                <w:rFonts w:ascii="Times New Roman" w:hAnsi="Times New Roman"/>
                <w:sz w:val="24"/>
              </w:rPr>
              <w:t xml:space="preserve"> </w:t>
            </w:r>
            <w:r w:rsidR="00D97B1F" w:rsidRPr="00C21877">
              <w:rPr>
                <w:rStyle w:val="InstructionsTabelleText"/>
                <w:rFonts w:ascii="Times New Roman" w:hAnsi="Times New Roman"/>
                <w:sz w:val="24"/>
              </w:rPr>
              <w:t>exposures for which an institution has recogni</w:t>
            </w:r>
            <w:r w:rsidR="003A3E0C">
              <w:rPr>
                <w:rStyle w:val="InstructionsTabelleText"/>
                <w:rFonts w:ascii="Times New Roman" w:hAnsi="Times New Roman"/>
                <w:sz w:val="24"/>
              </w:rPr>
              <w:t>s</w:t>
            </w:r>
            <w:r w:rsidR="00D97B1F" w:rsidRPr="00C21877">
              <w:rPr>
                <w:rStyle w:val="InstructionsTabelleText"/>
                <w:rFonts w:ascii="Times New Roman" w:hAnsi="Times New Roman"/>
                <w:sz w:val="24"/>
              </w:rPr>
              <w:t>ed residential</w:t>
            </w:r>
            <w:r w:rsidR="00511DAB">
              <w:rPr>
                <w:rStyle w:val="InstructionsTabelleText"/>
                <w:rFonts w:ascii="Times New Roman" w:hAnsi="Times New Roman"/>
                <w:sz w:val="24"/>
              </w:rPr>
              <w:t xml:space="preserve"> or </w:t>
            </w:r>
            <w:r w:rsidR="00D97B1F" w:rsidRPr="00C21877">
              <w:rPr>
                <w:rStyle w:val="InstructionsTabelleText"/>
                <w:rFonts w:ascii="Times New Roman" w:hAnsi="Times New Roman"/>
                <w:sz w:val="24"/>
              </w:rPr>
              <w:t>commercial</w:t>
            </w:r>
            <w:r w:rsidR="00367F15">
              <w:rPr>
                <w:rStyle w:val="InstructionsTabelleText"/>
                <w:rFonts w:ascii="Times New Roman" w:hAnsi="Times New Roman"/>
                <w:sz w:val="24"/>
              </w:rPr>
              <w:t xml:space="preserve"> </w:t>
            </w:r>
            <w:r w:rsidR="00367F15" w:rsidRPr="00367F15">
              <w:rPr>
                <w:rStyle w:val="InstructionsTabelleText"/>
                <w:rFonts w:ascii="Times New Roman" w:hAnsi="Times New Roman"/>
                <w:sz w:val="24"/>
              </w:rPr>
              <w:t>immovable</w:t>
            </w:r>
            <w:r w:rsidR="00D97B1F" w:rsidRPr="00C21877">
              <w:rPr>
                <w:rStyle w:val="InstructionsTabelleText"/>
                <w:rFonts w:ascii="Times New Roman" w:hAnsi="Times New Roman"/>
                <w:sz w:val="24"/>
              </w:rPr>
              <w:t xml:space="preserve"> property as collateral, in each case, up to the part of the exposure value that is secured up to the lower of the pledged amount and 55% of the property value</w:t>
            </w:r>
            <w:r w:rsidR="008B0FC6">
              <w:rPr>
                <w:rStyle w:val="InstructionsTabelleText"/>
                <w:rFonts w:ascii="Times New Roman" w:hAnsi="Times New Roman"/>
                <w:sz w:val="24"/>
              </w:rPr>
              <w:t>,</w:t>
            </w:r>
            <w:r w:rsidR="008B0FC6">
              <w:rPr>
                <w:rStyle w:val="InstructionsTabelleText"/>
              </w:rPr>
              <w:t xml:space="preserve"> </w:t>
            </w:r>
            <w:r w:rsidR="008B0FC6">
              <w:rPr>
                <w:rFonts w:ascii="Times New Roman" w:hAnsi="Times New Roman"/>
                <w:sz w:val="24"/>
              </w:rPr>
              <w:t>unless otherwise decided under Article 124(7), where applicable</w:t>
            </w:r>
            <w:r w:rsidR="00D97B1F" w:rsidRPr="00C21877">
              <w:rPr>
                <w:rStyle w:val="InstructionsTabelleText"/>
                <w:rFonts w:ascii="Times New Roman" w:hAnsi="Times New Roman"/>
                <w:sz w:val="24"/>
              </w:rPr>
              <w:t>.</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w:t>
            </w:r>
            <w:r w:rsidR="008774F3" w:rsidRPr="008A4E00">
              <w:rPr>
                <w:rFonts w:ascii="Times New Roman" w:hAnsi="Times New Roman"/>
                <w:sz w:val="24"/>
              </w:rPr>
              <w:t>3</w:t>
            </w:r>
            <w:r w:rsidR="00713F52" w:rsidRPr="008A4E00">
              <w:rPr>
                <w:rFonts w:ascii="Times New Roman" w:hAnsi="Times New Roman"/>
                <w:sz w:val="24"/>
              </w:rPr>
              <w:t>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overall losses</w:t>
            </w:r>
          </w:p>
          <w:p w14:paraId="7CD90D4F" w14:textId="0551BE3D"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(b) and (e) of </w:t>
            </w:r>
            <w:r w:rsidR="00713F52"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713F52" w:rsidRPr="008A4E00">
              <w:rPr>
                <w:rStyle w:val="InstructionsTabelleText"/>
                <w:rFonts w:ascii="Times New Roman" w:hAnsi="Times New Roman"/>
                <w:sz w:val="24"/>
              </w:rPr>
              <w:t>(1) CRR respectively</w:t>
            </w:r>
            <w:r w:rsidR="008D72DD">
              <w:rPr>
                <w:rStyle w:val="InstructionsTabelleText"/>
                <w:rFonts w:ascii="Times New Roman" w:hAnsi="Times New Roman"/>
                <w:sz w:val="24"/>
              </w:rPr>
              <w:t>;</w:t>
            </w:r>
            <w:r w:rsidR="0075401D">
              <w:rPr>
                <w:rStyle w:val="InstructionsTabelleText"/>
                <w:rFonts w:ascii="Times New Roman" w:hAnsi="Times New Roman"/>
                <w:sz w:val="24"/>
              </w:rPr>
              <w:t xml:space="preserve"> </w:t>
            </w:r>
            <w:r w:rsidR="003C05CB">
              <w:rPr>
                <w:rStyle w:val="InstructionsTabelleText"/>
                <w:rFonts w:ascii="Times New Roman" w:hAnsi="Times New Roman"/>
                <w:sz w:val="24"/>
              </w:rPr>
              <w:t>Property</w:t>
            </w:r>
            <w:r w:rsidR="00713F52" w:rsidRPr="008A4E00">
              <w:rPr>
                <w:rStyle w:val="InstructionsTabelleText"/>
                <w:rFonts w:ascii="Times New Roman" w:hAnsi="Times New Roman"/>
                <w:sz w:val="24"/>
              </w:rPr>
              <w:t xml:space="preserve"> value </w:t>
            </w:r>
            <w:r w:rsidR="00C60BE1" w:rsidRPr="008A4E00">
              <w:rPr>
                <w:rStyle w:val="InstructionsTabelleText"/>
                <w:rFonts w:ascii="Times New Roman" w:hAnsi="Times New Roman"/>
                <w:sz w:val="24"/>
              </w:rPr>
              <w:t>in accordance with</w:t>
            </w:r>
            <w:r w:rsidR="00713F52" w:rsidRPr="008A4E00">
              <w:rPr>
                <w:rStyle w:val="InstructionsTabelleText"/>
                <w:rFonts w:ascii="Times New Roman" w:hAnsi="Times New Roman"/>
                <w:sz w:val="24"/>
              </w:rPr>
              <w:t xml:space="preserve"> </w:t>
            </w:r>
            <w:r w:rsidRPr="008A4E00">
              <w:rPr>
                <w:rStyle w:val="InstructionsTabelleText"/>
                <w:rFonts w:ascii="Times New Roman" w:hAnsi="Times New Roman"/>
                <w:sz w:val="24"/>
              </w:rPr>
              <w:t>point (74</w:t>
            </w:r>
            <w:r w:rsidR="003C05CB">
              <w:rPr>
                <w:rStyle w:val="InstructionsTabelleText"/>
                <w:rFonts w:ascii="Times New Roman" w:hAnsi="Times New Roman"/>
                <w:sz w:val="24"/>
              </w:rPr>
              <w:t>a</w:t>
            </w:r>
            <w:r w:rsidRPr="008A4E00">
              <w:rPr>
                <w:rStyle w:val="InstructionsTabelleText"/>
                <w:rFonts w:ascii="Times New Roman" w:hAnsi="Times New Roman"/>
                <w:sz w:val="24"/>
              </w:rPr>
              <w:t xml:space="preserve">) </w:t>
            </w:r>
            <w:r w:rsidR="00713F52" w:rsidRPr="008A4E00">
              <w:rPr>
                <w:rStyle w:val="InstructionsTabelleText"/>
                <w:rFonts w:ascii="Times New Roman" w:hAnsi="Times New Roman"/>
                <w:sz w:val="24"/>
              </w:rPr>
              <w:t>CRR</w:t>
            </w:r>
          </w:p>
          <w:p w14:paraId="2DE09B4B" w14:textId="5FF5C58E" w:rsidR="004E748D" w:rsidRPr="00F402D0" w:rsidRDefault="00713F52" w:rsidP="00C60BE1">
            <w:pPr>
              <w:spacing w:beforeLines="60" w:before="144" w:afterLines="60" w:after="144"/>
              <w:rPr>
                <w:rFonts w:ascii="Times New Roman" w:hAnsi="Times New Roman"/>
                <w:sz w:val="24"/>
              </w:rPr>
            </w:pPr>
            <w:r w:rsidRPr="008A4E00">
              <w:rPr>
                <w:rStyle w:val="InstructionsTabelleText"/>
                <w:rFonts w:ascii="Times New Roman" w:hAnsi="Times New Roman"/>
                <w:sz w:val="24"/>
              </w:rPr>
              <w:t xml:space="preserve">This column collects all losses stemming from </w:t>
            </w:r>
            <w:r w:rsidR="007A3E00" w:rsidRPr="00C21877">
              <w:rPr>
                <w:rStyle w:val="InstructionsTabelleText"/>
                <w:rFonts w:ascii="Times New Roman" w:hAnsi="Times New Roman"/>
                <w:sz w:val="24"/>
              </w:rPr>
              <w:t>exposures for which an institution has recogni</w:t>
            </w:r>
            <w:r w:rsidR="00F007B3">
              <w:rPr>
                <w:rStyle w:val="InstructionsTabelleText"/>
                <w:rFonts w:ascii="Times New Roman" w:hAnsi="Times New Roman"/>
                <w:sz w:val="24"/>
              </w:rPr>
              <w:t>s</w:t>
            </w:r>
            <w:r w:rsidR="007A3E00" w:rsidRPr="00C21877">
              <w:rPr>
                <w:rStyle w:val="InstructionsTabelleText"/>
                <w:rFonts w:ascii="Times New Roman" w:hAnsi="Times New Roman"/>
                <w:sz w:val="24"/>
              </w:rPr>
              <w:t>ed residential</w:t>
            </w:r>
            <w:r w:rsidR="00511DAB">
              <w:rPr>
                <w:rStyle w:val="InstructionsTabelleText"/>
                <w:rFonts w:ascii="Times New Roman" w:hAnsi="Times New Roman"/>
                <w:sz w:val="24"/>
              </w:rPr>
              <w:t xml:space="preserve"> or </w:t>
            </w:r>
            <w:r w:rsidR="007A3E00" w:rsidRPr="00C21877">
              <w:rPr>
                <w:rStyle w:val="InstructionsTabelleText"/>
                <w:rFonts w:ascii="Times New Roman" w:hAnsi="Times New Roman"/>
                <w:sz w:val="24"/>
              </w:rPr>
              <w:t>commercial</w:t>
            </w:r>
            <w:r w:rsidR="001F5FFF">
              <w:rPr>
                <w:rStyle w:val="InstructionsTabelleText"/>
                <w:rFonts w:ascii="Times New Roman" w:hAnsi="Times New Roman"/>
                <w:sz w:val="24"/>
              </w:rPr>
              <w:t xml:space="preserve"> </w:t>
            </w:r>
            <w:r w:rsidR="001F5FFF" w:rsidRPr="001F5FFF">
              <w:rPr>
                <w:rStyle w:val="InstructionsTabelleText"/>
                <w:rFonts w:ascii="Times New Roman" w:hAnsi="Times New Roman"/>
                <w:sz w:val="24"/>
              </w:rPr>
              <w:t>immovable</w:t>
            </w:r>
            <w:r w:rsidR="007A3E00" w:rsidRPr="00C21877">
              <w:rPr>
                <w:rStyle w:val="InstructionsTabelleText"/>
                <w:rFonts w:ascii="Times New Roman" w:hAnsi="Times New Roman"/>
                <w:sz w:val="24"/>
              </w:rPr>
              <w:t xml:space="preserve"> property as collateral</w:t>
            </w:r>
            <w:r w:rsidR="000D2664">
              <w:rPr>
                <w:rStyle w:val="InstructionsTabelleText"/>
                <w:rFonts w:ascii="Times New Roman" w:hAnsi="Times New Roman"/>
                <w:sz w:val="24"/>
              </w:rPr>
              <w:t>,</w:t>
            </w:r>
            <w:r w:rsidR="007A3E00" w:rsidRPr="00C21877">
              <w:rPr>
                <w:rStyle w:val="InstructionsTabelleText"/>
                <w:rFonts w:ascii="Times New Roman" w:hAnsi="Times New Roman"/>
                <w:sz w:val="24"/>
              </w:rPr>
              <w:t xml:space="preserve"> in each case, up to the part of the exposure value that is secured up to the lower of the pledged amount and 100% of the property value.</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w:t>
            </w:r>
            <w:r w:rsidR="008774F3" w:rsidRPr="008A4E00">
              <w:rPr>
                <w:rFonts w:ascii="Times New Roman" w:hAnsi="Times New Roman"/>
                <w:sz w:val="24"/>
              </w:rPr>
              <w:t>5</w:t>
            </w:r>
            <w:r w:rsidR="00713F52" w:rsidRPr="008A4E00">
              <w:rPr>
                <w:rFonts w:ascii="Times New Roman" w:hAnsi="Times New Roman"/>
                <w:sz w:val="24"/>
              </w:rPr>
              <w:t>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Sum of the exposures</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sidRPr="008A4E00">
              <w:rPr>
                <w:rStyle w:val="InstructionsTabelleText"/>
                <w:rFonts w:ascii="Times New Roman" w:hAnsi="Times New Roman"/>
                <w:sz w:val="24"/>
              </w:rPr>
              <w:t xml:space="preserve">Points (c) and (f) of </w:t>
            </w:r>
            <w:r w:rsidR="0046092C" w:rsidRPr="008A4E00">
              <w:rPr>
                <w:rStyle w:val="InstructionsTabelleText"/>
                <w:rFonts w:ascii="Times New Roman" w:hAnsi="Times New Roman"/>
                <w:sz w:val="24"/>
              </w:rPr>
              <w:t xml:space="preserve">Article </w:t>
            </w:r>
            <w:r w:rsidR="00F4528F">
              <w:rPr>
                <w:rStyle w:val="InstructionsTabelleText"/>
                <w:rFonts w:ascii="Times New Roman" w:hAnsi="Times New Roman"/>
                <w:sz w:val="24"/>
              </w:rPr>
              <w:t>430a</w:t>
            </w:r>
            <w:r w:rsidR="0046092C" w:rsidRPr="008A4E00">
              <w:rPr>
                <w:rStyle w:val="InstructionsTabelleText"/>
                <w:rFonts w:ascii="Times New Roman" w:hAnsi="Times New Roman"/>
                <w:sz w:val="24"/>
              </w:rPr>
              <w:t>(1) CRR</w:t>
            </w:r>
          </w:p>
          <w:p w14:paraId="59F027DB" w14:textId="0CE28012" w:rsidR="00206DF5" w:rsidRDefault="00DC5657"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E</w:t>
            </w:r>
            <w:r w:rsidR="00E66FEA" w:rsidRPr="008A4E00">
              <w:rPr>
                <w:rStyle w:val="InstructionsTabelleberschrift"/>
                <w:rFonts w:ascii="Times New Roman" w:hAnsi="Times New Roman"/>
                <w:b w:val="0"/>
                <w:bCs w:val="0"/>
                <w:sz w:val="24"/>
                <w:u w:val="none"/>
              </w:rPr>
              <w:t>xposure value</w:t>
            </w:r>
            <w:r w:rsidR="00F50A59">
              <w:rPr>
                <w:rStyle w:val="InstructionsTabelleberschrift"/>
                <w:rFonts w:ascii="Times New Roman" w:hAnsi="Times New Roman"/>
                <w:b w:val="0"/>
                <w:bCs w:val="0"/>
                <w:sz w:val="24"/>
                <w:u w:val="none"/>
              </w:rPr>
              <w:t xml:space="preserve"> </w:t>
            </w:r>
            <w:r w:rsidR="00F50A59" w:rsidRPr="00C21877">
              <w:rPr>
                <w:rStyle w:val="InstructionsTabelleberschrift"/>
                <w:rFonts w:ascii="Times New Roman" w:hAnsi="Times New Roman"/>
                <w:b w:val="0"/>
                <w:bCs w:val="0"/>
                <w:sz w:val="24"/>
                <w:u w:val="none"/>
              </w:rPr>
              <w:t>of</w:t>
            </w:r>
            <w:r w:rsidR="000D2664">
              <w:rPr>
                <w:rStyle w:val="InstructionsTabelleberschrift"/>
                <w:rFonts w:ascii="Times New Roman" w:hAnsi="Times New Roman"/>
                <w:b w:val="0"/>
                <w:bCs w:val="0"/>
                <w:sz w:val="24"/>
                <w:u w:val="none"/>
              </w:rPr>
              <w:t xml:space="preserve"> </w:t>
            </w:r>
            <w:r w:rsidR="00F50A59" w:rsidRPr="00C21877">
              <w:rPr>
                <w:rStyle w:val="InstructionsTabelleberschrift"/>
                <w:rFonts w:ascii="Times New Roman" w:hAnsi="Times New Roman"/>
                <w:b w:val="0"/>
                <w:bCs w:val="0"/>
                <w:sz w:val="24"/>
                <w:u w:val="none"/>
              </w:rPr>
              <w:t>exposures for which the bank has recogni</w:t>
            </w:r>
            <w:r w:rsidR="00E26869">
              <w:rPr>
                <w:rStyle w:val="InstructionsTabelleberschrift"/>
                <w:rFonts w:ascii="Times New Roman" w:hAnsi="Times New Roman"/>
                <w:b w:val="0"/>
                <w:bCs w:val="0"/>
                <w:sz w:val="24"/>
                <w:u w:val="none"/>
              </w:rPr>
              <w:t>s</w:t>
            </w:r>
            <w:r w:rsidR="00F50A59" w:rsidRPr="00C21877">
              <w:rPr>
                <w:rStyle w:val="InstructionsTabelleberschrift"/>
                <w:rFonts w:ascii="Times New Roman" w:hAnsi="Times New Roman"/>
                <w:b w:val="0"/>
                <w:bCs w:val="0"/>
                <w:sz w:val="24"/>
                <w:u w:val="none"/>
              </w:rPr>
              <w:t>ed residential or commercial</w:t>
            </w:r>
            <w:r w:rsidR="005040F5">
              <w:rPr>
                <w:rStyle w:val="InstructionsTabelleberschrift"/>
                <w:rFonts w:ascii="Times New Roman" w:hAnsi="Times New Roman"/>
                <w:b w:val="0"/>
                <w:bCs w:val="0"/>
                <w:sz w:val="24"/>
                <w:u w:val="none"/>
              </w:rPr>
              <w:t xml:space="preserve"> </w:t>
            </w:r>
            <w:r w:rsidR="005040F5" w:rsidRPr="005040F5">
              <w:rPr>
                <w:rStyle w:val="InstructionsTabelleberschrift"/>
                <w:rFonts w:ascii="Times New Roman" w:hAnsi="Times New Roman"/>
                <w:b w:val="0"/>
                <w:bCs w:val="0"/>
                <w:sz w:val="24"/>
                <w:u w:val="none"/>
              </w:rPr>
              <w:t>immovable</w:t>
            </w:r>
            <w:r w:rsidR="00F50A59" w:rsidRPr="00C21877">
              <w:rPr>
                <w:rStyle w:val="InstructionsTabelleberschrift"/>
                <w:rFonts w:ascii="Times New Roman" w:hAnsi="Times New Roman"/>
                <w:b w:val="0"/>
                <w:bCs w:val="0"/>
                <w:sz w:val="24"/>
                <w:u w:val="none"/>
              </w:rPr>
              <w:t xml:space="preserve"> property, in each case, up to the part of the exposure value that is secured up to the lower of the pledged amount and 100% of the property value.</w:t>
            </w:r>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sidRPr="008A4E00">
              <w:rPr>
                <w:rStyle w:val="InstructionsTabelleberschrift"/>
                <w:rFonts w:ascii="Times New Roman" w:hAnsi="Times New Roman"/>
                <w:b w:val="0"/>
                <w:bCs w:val="0"/>
                <w:sz w:val="24"/>
                <w:u w:val="none"/>
              </w:rPr>
              <w:t xml:space="preserve">In the event of default, </w:t>
            </w:r>
            <w:r w:rsidR="00F33DF7" w:rsidRPr="000B758B">
              <w:rPr>
                <w:rStyle w:val="InstructionsTabelleberschrift"/>
                <w:rFonts w:ascii="Times New Roman" w:hAnsi="Times New Roman"/>
                <w:b w:val="0"/>
                <w:bCs w:val="0"/>
                <w:sz w:val="24"/>
                <w:u w:val="none"/>
              </w:rPr>
              <w:t>for exposures having defaulted during the period</w:t>
            </w:r>
            <w:r w:rsidR="00F33DF7" w:rsidRPr="008A4E00">
              <w:rPr>
                <w:rStyle w:val="InstructionsTabelleberschrift"/>
                <w:rFonts w:ascii="Times New Roman" w:hAnsi="Times New Roman"/>
                <w:b w:val="0"/>
                <w:bCs w:val="0"/>
                <w:sz w:val="24"/>
                <w:u w:val="none"/>
              </w:rPr>
              <w:t xml:space="preserve"> </w:t>
            </w:r>
            <w:r w:rsidRPr="008A4E00">
              <w:rPr>
                <w:rStyle w:val="InstructionsTabelleberschrift"/>
                <w:rFonts w:ascii="Times New Roman" w:hAnsi="Times New Roman"/>
                <w:b w:val="0"/>
                <w:bCs w:val="0"/>
                <w:sz w:val="24"/>
                <w:u w:val="none"/>
              </w:rPr>
              <w:t xml:space="preserve">the </w:t>
            </w:r>
            <w:r w:rsidR="0075401D">
              <w:rPr>
                <w:rStyle w:val="InstructionsTabelleberschrift"/>
                <w:rFonts w:ascii="Times New Roman" w:hAnsi="Times New Roman"/>
                <w:b w:val="0"/>
                <w:bCs w:val="0"/>
                <w:sz w:val="24"/>
                <w:u w:val="none"/>
              </w:rPr>
              <w:t xml:space="preserve">reported </w:t>
            </w:r>
            <w:r w:rsidRPr="008A4E00">
              <w:rPr>
                <w:rStyle w:val="InstructionsTabelleberschrift"/>
                <w:rFonts w:ascii="Times New Roman" w:hAnsi="Times New Roman"/>
                <w:b w:val="0"/>
                <w:bCs w:val="0"/>
                <w:sz w:val="24"/>
                <w:u w:val="none"/>
              </w:rPr>
              <w:t xml:space="preserve">exposure value </w:t>
            </w:r>
            <w:r w:rsidR="0075401D">
              <w:rPr>
                <w:rStyle w:val="InstructionsTabelleberschrift"/>
                <w:rFonts w:ascii="Times New Roman" w:hAnsi="Times New Roman"/>
                <w:b w:val="0"/>
                <w:bCs w:val="0"/>
                <w:sz w:val="24"/>
                <w:u w:val="none"/>
              </w:rPr>
              <w:t xml:space="preserve">shall </w:t>
            </w:r>
            <w:r w:rsidR="00405B22">
              <w:rPr>
                <w:rStyle w:val="InstructionsTabelleberschrift"/>
                <w:rFonts w:ascii="Times New Roman" w:hAnsi="Times New Roman"/>
                <w:b w:val="0"/>
                <w:bCs w:val="0"/>
                <w:sz w:val="24"/>
                <w:u w:val="none"/>
              </w:rPr>
              <w:t xml:space="preserve">be </w:t>
            </w:r>
            <w:r w:rsidRPr="008A4E00">
              <w:rPr>
                <w:rStyle w:val="InstructionsTabelleberschrift"/>
                <w:rFonts w:ascii="Times New Roman" w:hAnsi="Times New Roman"/>
                <w:b w:val="0"/>
                <w:bCs w:val="0"/>
                <w:sz w:val="24"/>
                <w:u w:val="none"/>
              </w:rPr>
              <w:t xml:space="preserve">the exposure value </w:t>
            </w:r>
            <w:r w:rsidR="00405B22">
              <w:rPr>
                <w:rStyle w:val="InstructionsTabelleberschrift"/>
                <w:rFonts w:ascii="Times New Roman" w:hAnsi="Times New Roman"/>
                <w:b w:val="0"/>
                <w:bCs w:val="0"/>
                <w:sz w:val="24"/>
                <w:u w:val="none"/>
              </w:rPr>
              <w:t>just</w:t>
            </w:r>
            <w:r w:rsidR="00405B22" w:rsidRPr="008A4E00">
              <w:rPr>
                <w:rStyle w:val="InstructionsTabelleberschrift"/>
                <w:rFonts w:ascii="Times New Roman" w:hAnsi="Times New Roman"/>
                <w:b w:val="0"/>
                <w:bCs w:val="0"/>
                <w:sz w:val="24"/>
                <w:u w:val="none"/>
              </w:rPr>
              <w:t xml:space="preserve"> </w:t>
            </w:r>
            <w:r w:rsidRPr="008A4E00">
              <w:rPr>
                <w:rStyle w:val="InstructionsTabelleberschrift"/>
                <w:rFonts w:ascii="Times New Roman" w:hAnsi="Times New Roman"/>
                <w:b w:val="0"/>
                <w:bCs w:val="0"/>
                <w:sz w:val="24"/>
                <w:u w:val="none"/>
              </w:rPr>
              <w:t xml:space="preserve">before </w:t>
            </w:r>
            <w:r w:rsidR="00405B22">
              <w:rPr>
                <w:rStyle w:val="InstructionsTabelleberschrift"/>
                <w:rFonts w:ascii="Times New Roman" w:hAnsi="Times New Roman"/>
                <w:b w:val="0"/>
                <w:bCs w:val="0"/>
                <w:sz w:val="24"/>
                <w:u w:val="none"/>
              </w:rPr>
              <w:t xml:space="preserve">the </w:t>
            </w:r>
            <w:r w:rsidRPr="008A4E00">
              <w:rPr>
                <w:rStyle w:val="InstructionsTabelleberschrift"/>
                <w:rFonts w:ascii="Times New Roman" w:hAnsi="Times New Roman"/>
                <w:b w:val="0"/>
                <w:bCs w:val="0"/>
                <w:sz w:val="24"/>
                <w:u w:val="none"/>
              </w:rPr>
              <w:t>default</w:t>
            </w:r>
            <w:r w:rsidR="00686F1D">
              <w:rPr>
                <w:rStyle w:val="InstructionsTabelleberschrift"/>
                <w:rFonts w:ascii="Times New Roman" w:hAnsi="Times New Roman"/>
                <w:b w:val="0"/>
                <w:bCs w:val="0"/>
                <w:sz w:val="24"/>
                <w:u w:val="none"/>
              </w:rPr>
              <w:t>, f</w:t>
            </w:r>
            <w:r w:rsidR="0049414E" w:rsidRPr="00F33DF7">
              <w:rPr>
                <w:rStyle w:val="InstructionsTabelleberschrift"/>
                <w:rFonts w:ascii="Times New Roman" w:hAnsi="Times New Roman"/>
                <w:b w:val="0"/>
                <w:bCs w:val="0"/>
                <w:sz w:val="24"/>
                <w:u w:val="none"/>
              </w:rPr>
              <w:t xml:space="preserve">or exposures having defaulted during past periods, the </w:t>
            </w:r>
            <w:r w:rsidR="00C454C9">
              <w:rPr>
                <w:rStyle w:val="InstructionsTabelleberschrift"/>
                <w:rFonts w:ascii="Times New Roman" w:hAnsi="Times New Roman"/>
                <w:b w:val="0"/>
                <w:bCs w:val="0"/>
                <w:sz w:val="24"/>
                <w:u w:val="none"/>
              </w:rPr>
              <w:t xml:space="preserve">reported </w:t>
            </w:r>
            <w:r w:rsidR="0049414E" w:rsidRPr="00F33DF7">
              <w:rPr>
                <w:rStyle w:val="InstructionsTabelleberschrift"/>
                <w:rFonts w:ascii="Times New Roman" w:hAnsi="Times New Roman"/>
                <w:b w:val="0"/>
                <w:bCs w:val="0"/>
                <w:sz w:val="24"/>
                <w:u w:val="none"/>
              </w:rPr>
              <w:t>exposure value</w:t>
            </w:r>
            <w:r w:rsidR="00C454C9">
              <w:rPr>
                <w:rStyle w:val="InstructionsTabelleberschrift"/>
                <w:rFonts w:ascii="Times New Roman" w:hAnsi="Times New Roman"/>
                <w:b w:val="0"/>
                <w:bCs w:val="0"/>
                <w:sz w:val="24"/>
                <w:u w:val="none"/>
              </w:rPr>
              <w:t xml:space="preserve"> shall be the exposure </w:t>
            </w:r>
            <w:r w:rsidR="008E32E9">
              <w:rPr>
                <w:rStyle w:val="InstructionsTabelleberschrift"/>
                <w:rFonts w:ascii="Times New Roman" w:hAnsi="Times New Roman"/>
                <w:b w:val="0"/>
                <w:bCs w:val="0"/>
                <w:sz w:val="24"/>
                <w:u w:val="none"/>
              </w:rPr>
              <w:t>value</w:t>
            </w:r>
            <w:r w:rsidR="0049414E" w:rsidRPr="00F33DF7">
              <w:rPr>
                <w:rStyle w:val="InstructionsTabelleberschrift"/>
                <w:rFonts w:ascii="Times New Roman" w:hAnsi="Times New Roman"/>
                <w:b w:val="0"/>
                <w:bCs w:val="0"/>
                <w:sz w:val="24"/>
                <w:u w:val="none"/>
              </w:rPr>
              <w:t xml:space="preserve"> at the reference date.</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sidRPr="008A4E00">
              <w:rPr>
                <w:rFonts w:ascii="Times New Roman" w:hAnsi="Times New Roman"/>
                <w:b/>
                <w:sz w:val="24"/>
              </w:rPr>
              <w:t>Rows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t>0</w:t>
            </w:r>
            <w:r w:rsidR="00713F52" w:rsidRPr="008A4E00">
              <w:rPr>
                <w:rFonts w:ascii="Times New Roman" w:hAnsi="Times New Roman"/>
                <w:sz w:val="24"/>
              </w:rPr>
              <w:t>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 xml:space="preserve">Residential property </w:t>
            </w:r>
          </w:p>
          <w:p w14:paraId="4BFD2574" w14:textId="7C7D76E1"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Residential property as defined in point (75) of Article 4(1)</w:t>
            </w:r>
            <w:r w:rsidR="008D72DD">
              <w:rPr>
                <w:rStyle w:val="InstructionsTabelleberschrift"/>
                <w:rFonts w:ascii="Times New Roman" w:hAnsi="Times New Roman"/>
                <w:b w:val="0"/>
                <w:sz w:val="24"/>
              </w:rPr>
              <w:t xml:space="preserve"> CRR</w:t>
            </w:r>
            <w:r w:rsidR="00E63B98">
              <w:rPr>
                <w:rStyle w:val="InstructionsTabelleberschrift"/>
                <w:rFonts w:ascii="Times New Roman" w:hAnsi="Times New Roman"/>
                <w:b w:val="0"/>
                <w:sz w:val="24"/>
              </w:rPr>
              <w:t>.</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sidRPr="008A4E00">
              <w:rPr>
                <w:rFonts w:ascii="Times New Roman" w:hAnsi="Times New Roman"/>
                <w:sz w:val="24"/>
              </w:rPr>
              <w:lastRenderedPageBreak/>
              <w:t>0</w:t>
            </w:r>
            <w:r w:rsidR="00713F52" w:rsidRPr="008A4E00">
              <w:rPr>
                <w:rFonts w:ascii="Times New Roman" w:hAnsi="Times New Roman"/>
                <w:sz w:val="24"/>
              </w:rPr>
              <w:t xml:space="preserve">020 </w:t>
            </w:r>
          </w:p>
        </w:tc>
        <w:tc>
          <w:tcPr>
            <w:tcW w:w="8004" w:type="dxa"/>
          </w:tcPr>
          <w:p w14:paraId="7BAFC089" w14:textId="77777777" w:rsidR="00A50938" w:rsidRDefault="00F76469" w:rsidP="00A6020A">
            <w:pPr>
              <w:spacing w:beforeLines="60" w:before="144" w:afterLines="60" w:after="144"/>
              <w:rPr>
                <w:rStyle w:val="InstructionsTabelleberschrift"/>
                <w:rFonts w:ascii="Times New Roman" w:hAnsi="Times New Roman"/>
                <w:sz w:val="24"/>
              </w:rPr>
            </w:pPr>
            <w:r w:rsidRPr="008A4E00">
              <w:rPr>
                <w:rStyle w:val="InstructionsTabelleberschrift"/>
                <w:rFonts w:ascii="Times New Roman" w:hAnsi="Times New Roman"/>
                <w:sz w:val="24"/>
              </w:rPr>
              <w:t>Commercial immovable property</w:t>
            </w:r>
          </w:p>
          <w:p w14:paraId="44906BD1" w14:textId="6080D59D" w:rsidR="000471B0" w:rsidRPr="008A4E00" w:rsidRDefault="00F76469" w:rsidP="00A6020A">
            <w:pPr>
              <w:spacing w:beforeLines="60" w:before="144" w:afterLines="60" w:after="144"/>
              <w:rPr>
                <w:rStyle w:val="InstructionsTabelleberschrift"/>
                <w:rFonts w:ascii="Times New Roman" w:hAnsi="Times New Roman"/>
                <w:sz w:val="24"/>
              </w:rPr>
            </w:pPr>
            <w:r w:rsidRPr="008A4E00" w:rsidDel="00F76469">
              <w:rPr>
                <w:rStyle w:val="InstructionsTabelleberschrift"/>
                <w:rFonts w:ascii="Times New Roman" w:hAnsi="Times New Roman"/>
                <w:sz w:val="24"/>
              </w:rPr>
              <w:t xml:space="preserve"> </w:t>
            </w:r>
            <w:r w:rsidR="002008A8" w:rsidRPr="002008A8">
              <w:rPr>
                <w:rStyle w:val="InstructionsTabelleberschrift"/>
                <w:rFonts w:ascii="Times New Roman" w:hAnsi="Times New Roman"/>
                <w:b w:val="0"/>
                <w:bCs w:val="0"/>
                <w:sz w:val="24"/>
              </w:rPr>
              <w:t>Commerc</w:t>
            </w:r>
            <w:r w:rsidR="00A50938" w:rsidRPr="002008A8">
              <w:rPr>
                <w:rStyle w:val="InstructionsTabelleberschrift"/>
                <w:rFonts w:ascii="Times New Roman" w:hAnsi="Times New Roman"/>
                <w:b w:val="0"/>
                <w:bCs w:val="0"/>
                <w:sz w:val="24"/>
              </w:rPr>
              <w:t>ial</w:t>
            </w:r>
            <w:r w:rsidR="00A50938">
              <w:rPr>
                <w:rStyle w:val="InstructionsTabelleberschrift"/>
                <w:rFonts w:ascii="Times New Roman" w:hAnsi="Times New Roman"/>
                <w:b w:val="0"/>
                <w:sz w:val="24"/>
              </w:rPr>
              <w:t xml:space="preserve"> </w:t>
            </w:r>
            <w:r w:rsidR="00810020" w:rsidRPr="00810020">
              <w:rPr>
                <w:rStyle w:val="InstructionsTabelleberschrift"/>
                <w:rFonts w:ascii="Times New Roman" w:hAnsi="Times New Roman"/>
                <w:b w:val="0"/>
                <w:bCs w:val="0"/>
                <w:sz w:val="24"/>
              </w:rPr>
              <w:t xml:space="preserve">immovable </w:t>
            </w:r>
            <w:r w:rsidR="00A50938" w:rsidRPr="00810020">
              <w:rPr>
                <w:rStyle w:val="InstructionsTabelleberschrift"/>
                <w:rFonts w:ascii="Times New Roman" w:hAnsi="Times New Roman"/>
                <w:b w:val="0"/>
                <w:bCs w:val="0"/>
                <w:sz w:val="24"/>
              </w:rPr>
              <w:t>p</w:t>
            </w:r>
            <w:r w:rsidR="00A50938">
              <w:rPr>
                <w:rStyle w:val="InstructionsTabelleberschrift"/>
                <w:rFonts w:ascii="Times New Roman" w:hAnsi="Times New Roman"/>
                <w:b w:val="0"/>
                <w:sz w:val="24"/>
              </w:rPr>
              <w:t>roperty as defined in point (75</w:t>
            </w:r>
            <w:r w:rsidR="006001D9">
              <w:rPr>
                <w:rStyle w:val="InstructionsTabelleberschrift"/>
                <w:rFonts w:ascii="Times New Roman" w:hAnsi="Times New Roman"/>
                <w:b w:val="0"/>
                <w:sz w:val="24"/>
              </w:rPr>
              <w:t>a</w:t>
            </w:r>
            <w:r w:rsidR="00A50938">
              <w:rPr>
                <w:rStyle w:val="InstructionsTabelleberschrift"/>
                <w:rFonts w:ascii="Times New Roman" w:hAnsi="Times New Roman"/>
                <w:b w:val="0"/>
                <w:sz w:val="24"/>
              </w:rPr>
              <w:t>) of Article 4(1) CRR</w:t>
            </w:r>
            <w:r w:rsidR="00E63B98">
              <w:rPr>
                <w:rStyle w:val="InstructionsTabelleberschrift"/>
                <w:rFonts w:ascii="Times New Roman" w:hAnsi="Times New Roman"/>
                <w:b w:val="0"/>
                <w:sz w:val="24"/>
              </w:rPr>
              <w:t>.</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FF5C6D">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rPr>
            <w:noProof/>
          </w:rPr>
          <w:t>1</w:t>
        </w:r>
        <w:r>
          <w:rPr>
            <w:noProof/>
          </w:rP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r w:rsidR="00A6020A">
      <w:t>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sidRPr="00AE7099">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438"/>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1468</Words>
  <Characters>8372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2023-10-18T01:10:00Z</dcterms:created>
  <dcterms:modified xsi:type="dcterms:W3CDTF">2023-12-07T08:00:00Z</dcterms:modified>
</cp:coreProperties>
</file>