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B65" w:rsidRPr="00914930" w:rsidRDefault="003F1B65" w:rsidP="0065535D">
      <w:pPr>
        <w:jc w:val="center"/>
        <w:rPr>
          <w:b/>
        </w:rPr>
      </w:pPr>
      <w:r w:rsidRPr="00914930">
        <w:rPr>
          <w:b/>
        </w:rPr>
        <w:t>Files included</w:t>
      </w:r>
    </w:p>
    <w:p w:rsidR="007F7F73" w:rsidRPr="003F2205" w:rsidRDefault="007F7F73" w:rsidP="007F7F73">
      <w:pPr>
        <w:rPr>
          <w:rFonts w:ascii="Courier New" w:hAnsi="Courier New" w:cs="Courier New"/>
          <w:b/>
          <w:u w:val="single"/>
        </w:rPr>
      </w:pPr>
      <w:r>
        <w:rPr>
          <w:rFonts w:ascii="Courier New" w:hAnsi="Courier New" w:cs="Courier New"/>
          <w:b/>
          <w:u w:val="single"/>
        </w:rPr>
        <w:t>2.3</w:t>
      </w:r>
      <w:r w:rsidRPr="003F2205">
        <w:rPr>
          <w:rFonts w:ascii="Courier New" w:hAnsi="Courier New" w:cs="Courier New"/>
          <w:b/>
          <w:u w:val="single"/>
        </w:rPr>
        <w:t>.</w:t>
      </w:r>
      <w:r w:rsidR="007910BB">
        <w:rPr>
          <w:rFonts w:ascii="Courier New" w:hAnsi="Courier New" w:cs="Courier New"/>
          <w:b/>
          <w:u w:val="single"/>
        </w:rPr>
        <w:t>2</w:t>
      </w:r>
      <w:r w:rsidRPr="003F2205">
        <w:rPr>
          <w:rFonts w:ascii="Courier New" w:hAnsi="Courier New" w:cs="Courier New"/>
          <w:b/>
          <w:u w:val="single"/>
        </w:rPr>
        <w:t>.0</w:t>
      </w:r>
      <w:r>
        <w:rPr>
          <w:rFonts w:ascii="Courier New" w:hAnsi="Courier New" w:cs="Courier New"/>
          <w:b/>
          <w:u w:val="single"/>
        </w:rPr>
        <w:t xml:space="preserve"> – “</w:t>
      </w:r>
      <w:proofErr w:type="spellStart"/>
      <w:r w:rsidR="007910BB">
        <w:rPr>
          <w:rFonts w:ascii="Courier New" w:hAnsi="Courier New" w:cs="Courier New"/>
          <w:b/>
          <w:u w:val="single"/>
        </w:rPr>
        <w:t>Finrep</w:t>
      </w:r>
      <w:proofErr w:type="spellEnd"/>
      <w:r w:rsidR="007910BB">
        <w:rPr>
          <w:rFonts w:ascii="Courier New" w:hAnsi="Courier New" w:cs="Courier New"/>
          <w:b/>
          <w:u w:val="single"/>
        </w:rPr>
        <w:t xml:space="preserve"> </w:t>
      </w:r>
      <w:proofErr w:type="spellStart"/>
      <w:r w:rsidR="007910BB">
        <w:rPr>
          <w:rFonts w:ascii="Courier New" w:hAnsi="Courier New" w:cs="Courier New"/>
          <w:b/>
          <w:u w:val="single"/>
        </w:rPr>
        <w:t>Ind</w:t>
      </w:r>
      <w:proofErr w:type="spellEnd"/>
      <w:r w:rsidR="00826F3B">
        <w:rPr>
          <w:rFonts w:ascii="Courier New" w:hAnsi="Courier New" w:cs="Courier New"/>
          <w:b/>
          <w:u w:val="single"/>
        </w:rPr>
        <w:t>”</w:t>
      </w:r>
    </w:p>
    <w:p w:rsidR="007F7F73" w:rsidRDefault="00225A64" w:rsidP="007F7F73">
      <w:r>
        <w:t>T</w:t>
      </w:r>
      <w:r w:rsidR="007F7F73" w:rsidRPr="003F2205">
        <w:t>axonomy release</w:t>
      </w:r>
      <w:r w:rsidR="007910BB">
        <w:t xml:space="preserve"> for FINREP Individual reporting</w:t>
      </w:r>
      <w:r w:rsidR="007F7F73" w:rsidRPr="003F2205">
        <w:t xml:space="preserve">, </w:t>
      </w:r>
      <w:r w:rsidR="007F7F73" w:rsidRPr="00247424">
        <w:t>both as a single archive of all relevant files (</w:t>
      </w:r>
      <w:r w:rsidR="00AB1D34">
        <w:t>“Full Taxonomy.</w:t>
      </w:r>
      <w:r w:rsidR="007F7F73" w:rsidRPr="00247424">
        <w:t>2.3.</w:t>
      </w:r>
      <w:r w:rsidR="007910BB">
        <w:t>2</w:t>
      </w:r>
      <w:r w:rsidR="007F7F73" w:rsidRPr="00247424">
        <w:t>.0.</w:t>
      </w:r>
      <w:r w:rsidRPr="00247424">
        <w:t xml:space="preserve"> </w:t>
      </w:r>
      <w:r w:rsidR="007F7F73" w:rsidRPr="00247424">
        <w:t>7z</w:t>
      </w:r>
      <w:r w:rsidR="00AB1D34">
        <w:t>”</w:t>
      </w:r>
      <w:r w:rsidR="007F7F73" w:rsidRPr="00247424">
        <w:t xml:space="preserve">), </w:t>
      </w:r>
      <w:r w:rsidR="005934D2">
        <w:t>and</w:t>
      </w:r>
      <w:r w:rsidR="007F7F73">
        <w:t xml:space="preserve"> </w:t>
      </w:r>
      <w:r w:rsidR="007F7F73" w:rsidRPr="003F2205">
        <w:t xml:space="preserve">with </w:t>
      </w:r>
      <w:r w:rsidR="00826F3B">
        <w:t xml:space="preserve">the new reporting taxonomy and  pre-requisites as </w:t>
      </w:r>
      <w:r w:rsidR="007F7F73" w:rsidRPr="003F2205">
        <w:t xml:space="preserve">XBRL “taxonomy packages” (i.e. including information on entry points and mappings required to use “offline” in .taxonomyPackage.xml file – see </w:t>
      </w:r>
      <w:hyperlink r:id="rId9" w:history="1">
        <w:r w:rsidR="007F7F73" w:rsidRPr="003F2205">
          <w:rPr>
            <w:rStyle w:val="Hyperlink"/>
            <w:color w:val="auto"/>
          </w:rPr>
          <w:t>http://specifications.xbrl.org/work-product-index-taxonomy-packages-taxonomy-packages-1.0.html</w:t>
        </w:r>
      </w:hyperlink>
      <w:r w:rsidR="007F7F73" w:rsidRPr="003F2205">
        <w:t xml:space="preserve"> )</w:t>
      </w:r>
      <w:r w:rsidR="007F7F73" w:rsidRPr="003F2205">
        <w:rPr>
          <w:rStyle w:val="FootnoteReference"/>
        </w:rPr>
        <w:footnoteReference w:id="1"/>
      </w:r>
      <w:r w:rsidR="007F7F73" w:rsidRPr="003F2205">
        <w:t xml:space="preserve">.  </w:t>
      </w:r>
    </w:p>
    <w:p w:rsidR="00AB1D34" w:rsidRDefault="00AB1D34" w:rsidP="007F7F73"/>
    <w:p w:rsidR="00C820C1" w:rsidRDefault="007910BB" w:rsidP="00C820C1">
      <w:pPr>
        <w:ind w:left="567" w:right="521"/>
        <w:jc w:val="both"/>
      </w:pPr>
      <w:r>
        <w:t>The 2.3.2</w:t>
      </w:r>
      <w:r w:rsidR="00AB1D34" w:rsidRPr="00C820C1">
        <w:t xml:space="preserve"> release </w:t>
      </w:r>
      <w:r w:rsidR="00826F3B">
        <w:t xml:space="preserve">simply adds </w:t>
      </w:r>
      <w:r>
        <w:t>two additional</w:t>
      </w:r>
      <w:r w:rsidR="00AB1D34" w:rsidRPr="00C820C1">
        <w:t xml:space="preserve"> entry points (reports) </w:t>
      </w:r>
      <w:r>
        <w:t xml:space="preserve">which may be used </w:t>
      </w:r>
      <w:r w:rsidR="00AB1D34" w:rsidRPr="00C820C1">
        <w:t>for</w:t>
      </w:r>
      <w:r w:rsidR="00C820C1" w:rsidRPr="00C820C1">
        <w:t xml:space="preserve"> individual</w:t>
      </w:r>
      <w:r>
        <w:t xml:space="preserve"> (solo) FINREP</w:t>
      </w:r>
      <w:r w:rsidR="00C820C1" w:rsidRPr="00C820C1">
        <w:t xml:space="preserve"> </w:t>
      </w:r>
      <w:r w:rsidR="00AB1D34" w:rsidRPr="00C820C1">
        <w:t>data.</w:t>
      </w:r>
      <w:r w:rsidR="00826F3B">
        <w:t xml:space="preserve"> These are included in </w:t>
      </w:r>
      <w:proofErr w:type="gramStart"/>
      <w:r w:rsidR="00826F3B">
        <w:t>their own</w:t>
      </w:r>
      <w:proofErr w:type="gramEnd"/>
      <w:r w:rsidR="00826F3B">
        <w:t xml:space="preserve"> sub path. Note that the structure of the tables in these Individual entry points is identical to the equivalent Consolidated FINREP reports in 2.3/2.3.1. The validation rules are also functionally </w:t>
      </w:r>
      <w:r w:rsidR="00335CAD">
        <w:t>equivalent</w:t>
      </w:r>
      <w:r w:rsidR="005B0451">
        <w:rPr>
          <w:rStyle w:val="FootnoteReference"/>
        </w:rPr>
        <w:footnoteReference w:id="2"/>
      </w:r>
      <w:r w:rsidR="00826F3B">
        <w:t xml:space="preserve">, with the exception of a change to v4006_c, and addition of v4442_c, required </w:t>
      </w:r>
      <w:r w:rsidR="00335CAD">
        <w:t xml:space="preserve">in order </w:t>
      </w:r>
      <w:proofErr w:type="gramStart"/>
      <w:r w:rsidR="00826F3B">
        <w:t>to facilitate</w:t>
      </w:r>
      <w:proofErr w:type="gramEnd"/>
      <w:r w:rsidR="00826F3B">
        <w:t xml:space="preserve"> Individual reports.</w:t>
      </w:r>
    </w:p>
    <w:p w:rsidR="00AB1D34" w:rsidRDefault="00C820C1" w:rsidP="00AB0101">
      <w:pPr>
        <w:ind w:left="567" w:right="521"/>
        <w:jc w:val="both"/>
        <w:rPr>
          <w:b/>
        </w:rPr>
      </w:pPr>
      <w:r w:rsidRPr="00335CAD">
        <w:rPr>
          <w:b/>
        </w:rPr>
        <w:t>PLEASE NOTE –</w:t>
      </w:r>
      <w:r w:rsidR="00826F3B" w:rsidRPr="00335CAD">
        <w:rPr>
          <w:b/>
        </w:rPr>
        <w:t xml:space="preserve"> E</w:t>
      </w:r>
      <w:r w:rsidR="007910BB" w:rsidRPr="00335CAD">
        <w:rPr>
          <w:b/>
        </w:rPr>
        <w:t xml:space="preserve">ntities who do NOT intend to use FINREP Individual reports </w:t>
      </w:r>
      <w:r w:rsidR="00826F3B" w:rsidRPr="00335CAD">
        <w:rPr>
          <w:b/>
        </w:rPr>
        <w:t>have no need to u</w:t>
      </w:r>
      <w:r w:rsidR="00335CAD">
        <w:rPr>
          <w:b/>
        </w:rPr>
        <w:t>se</w:t>
      </w:r>
      <w:r w:rsidR="00826F3B" w:rsidRPr="00335CAD">
        <w:rPr>
          <w:b/>
        </w:rPr>
        <w:t xml:space="preserve"> or install 2.3.2.</w:t>
      </w:r>
    </w:p>
    <w:p w:rsidR="00335CAD" w:rsidRPr="00335CAD" w:rsidRDefault="00335CAD" w:rsidP="00AB0101">
      <w:pPr>
        <w:ind w:left="567" w:right="521"/>
        <w:jc w:val="both"/>
        <w:rPr>
          <w:b/>
        </w:rPr>
      </w:pPr>
    </w:p>
    <w:p w:rsidR="00C820C1" w:rsidRPr="005B04E4" w:rsidRDefault="005B04E4" w:rsidP="007F7F73">
      <w:pPr>
        <w:rPr>
          <w:b/>
        </w:rPr>
      </w:pPr>
      <w:r w:rsidRPr="005B04E4">
        <w:rPr>
          <w:b/>
        </w:rPr>
        <w:t>Taxonomy</w:t>
      </w:r>
    </w:p>
    <w:p w:rsidR="00AB0101" w:rsidRDefault="007F7F73" w:rsidP="007F7F73">
      <w:proofErr w:type="gramStart"/>
      <w:r w:rsidRPr="003F2205">
        <w:t>Contains “</w:t>
      </w:r>
      <w:r w:rsidRPr="003F2205">
        <w:rPr>
          <w:b/>
        </w:rPr>
        <w:t>Reporting Taxonomy</w:t>
      </w:r>
      <w:r w:rsidRPr="003F2205">
        <w:t>” components containing the entry points and files required for report</w:t>
      </w:r>
      <w:r>
        <w:t xml:space="preserve">ing </w:t>
      </w:r>
      <w:r w:rsidR="00826F3B">
        <w:t xml:space="preserve">FINREP Individual </w:t>
      </w:r>
      <w:r>
        <w:t>under reporting package</w:t>
      </w:r>
      <w:r w:rsidR="00AB1D34">
        <w:t xml:space="preserve"> </w:t>
      </w:r>
      <w:r>
        <w:t>2015-A</w:t>
      </w:r>
      <w:r w:rsidR="00AB1D34">
        <w:t>-</w:t>
      </w:r>
      <w:r w:rsidR="00826F3B">
        <w:t>2</w:t>
      </w:r>
      <w:r w:rsidR="00AB0101">
        <w:t>.</w:t>
      </w:r>
      <w:proofErr w:type="gramEnd"/>
      <w:r w:rsidR="00AB0101">
        <w:t xml:space="preserve"> </w:t>
      </w:r>
    </w:p>
    <w:p w:rsidR="007F7F73" w:rsidRPr="003F2205" w:rsidRDefault="00826F3B" w:rsidP="00AB0101">
      <w:r>
        <w:t>The single package add</w:t>
      </w:r>
      <w:r w:rsidR="00AB0101">
        <w:t>ed with respect to 2.3.1 is</w:t>
      </w:r>
      <w:r w:rsidR="005934D2">
        <w:t xml:space="preserve"> FINREP</w:t>
      </w:r>
      <w:r w:rsidR="00335CAD">
        <w:t>_IND</w:t>
      </w:r>
    </w:p>
    <w:p w:rsidR="00AB0101" w:rsidRDefault="00AB0101" w:rsidP="007F7F73">
      <w:pPr>
        <w:ind w:left="720"/>
        <w:rPr>
          <w:rFonts w:ascii="Courier New" w:hAnsi="Courier New" w:cs="Courier New"/>
          <w:b/>
        </w:rPr>
      </w:pPr>
      <w:r w:rsidRPr="00AB0101">
        <w:rPr>
          <w:rFonts w:ascii="Courier New" w:hAnsi="Courier New" w:cs="Courier New"/>
          <w:b/>
        </w:rPr>
        <w:t>eba_2.3.2_finrep_</w:t>
      </w:r>
      <w:r w:rsidR="00826F3B">
        <w:rPr>
          <w:rFonts w:ascii="Courier New" w:hAnsi="Courier New" w:cs="Courier New"/>
          <w:b/>
        </w:rPr>
        <w:t>ind_2.1.3.0.</w:t>
      </w:r>
      <w:r w:rsidRPr="00AB0101">
        <w:rPr>
          <w:rFonts w:ascii="Courier New" w:hAnsi="Courier New" w:cs="Courier New"/>
          <w:b/>
        </w:rPr>
        <w:t>zip</w:t>
      </w:r>
    </w:p>
    <w:p w:rsidR="007F7F73" w:rsidRPr="003F2205" w:rsidRDefault="007F7F73" w:rsidP="007F7F73">
      <w:r w:rsidRPr="003F2205">
        <w:t xml:space="preserve">Also </w:t>
      </w:r>
      <w:r w:rsidR="00335CAD">
        <w:t>include is t</w:t>
      </w:r>
      <w:r w:rsidRPr="003F2205">
        <w:t>he common “</w:t>
      </w:r>
      <w:r w:rsidRPr="003F2205">
        <w:rPr>
          <w:b/>
        </w:rPr>
        <w:t>Dictionary</w:t>
      </w:r>
      <w:r w:rsidRPr="003F2205">
        <w:t xml:space="preserve">” component </w:t>
      </w:r>
    </w:p>
    <w:p w:rsidR="007F7F73" w:rsidRPr="003F2205" w:rsidRDefault="007F7F73" w:rsidP="007F7F73">
      <w:pPr>
        <w:ind w:left="720"/>
        <w:rPr>
          <w:rFonts w:ascii="Courier New" w:hAnsi="Courier New" w:cs="Courier New"/>
        </w:rPr>
      </w:pPr>
      <w:r w:rsidRPr="003F2205">
        <w:rPr>
          <w:rFonts w:ascii="Courier New" w:hAnsi="Courier New" w:cs="Courier New"/>
        </w:rPr>
        <w:t>eba_dict_2.</w:t>
      </w:r>
      <w:r>
        <w:rPr>
          <w:rFonts w:ascii="Courier New" w:hAnsi="Courier New" w:cs="Courier New"/>
        </w:rPr>
        <w:t>3</w:t>
      </w:r>
      <w:r w:rsidRPr="003F2205">
        <w:rPr>
          <w:rFonts w:ascii="Courier New" w:hAnsi="Courier New" w:cs="Courier New"/>
        </w:rPr>
        <w:t>.0.0.zip</w:t>
      </w:r>
      <w:r w:rsidR="00C820C1">
        <w:rPr>
          <w:rStyle w:val="FootnoteReference"/>
          <w:rFonts w:ascii="Courier New" w:hAnsi="Courier New" w:cs="Courier New"/>
        </w:rPr>
        <w:footnoteReference w:id="3"/>
      </w:r>
    </w:p>
    <w:p w:rsidR="007F7F73" w:rsidRPr="003F2205" w:rsidRDefault="007F7F73" w:rsidP="007F7F73">
      <w:r w:rsidRPr="003F2205">
        <w:t xml:space="preserve">To utilise </w:t>
      </w:r>
      <w:r w:rsidR="00826F3B">
        <w:t>the new FINREP Individual reports</w:t>
      </w:r>
      <w:r w:rsidRPr="003F2205">
        <w:t>, the contents of the dictionary package must also be available to the XBRL processor (i.e. if using taxonomy p</w:t>
      </w:r>
      <w:bookmarkStart w:id="0" w:name="_GoBack"/>
      <w:bookmarkEnd w:id="0"/>
      <w:r w:rsidRPr="003F2205">
        <w:t>ackages, be simultaneously loaded)</w:t>
      </w:r>
      <w:r w:rsidRPr="003F2205">
        <w:rPr>
          <w:rStyle w:val="FootnoteReference"/>
        </w:rPr>
        <w:footnoteReference w:id="4"/>
      </w:r>
      <w:r w:rsidRPr="003F2205">
        <w:t>.</w:t>
      </w:r>
    </w:p>
    <w:p w:rsidR="007F7F73" w:rsidRDefault="007F7F73" w:rsidP="007F7F73">
      <w:r w:rsidRPr="003F2205">
        <w:t xml:space="preserve">For software or usage scenarios that do not require/use taxonomy packages </w:t>
      </w:r>
      <w:r w:rsidRPr="00247424">
        <w:t>the complete EBA file set for 2.3.</w:t>
      </w:r>
      <w:r w:rsidR="00335CAD">
        <w:t>2</w:t>
      </w:r>
      <w:r w:rsidRPr="00247424">
        <w:t xml:space="preserve">.0 is contained in the </w:t>
      </w:r>
      <w:r w:rsidR="00C820C1">
        <w:t>Full Taxonomy.</w:t>
      </w:r>
      <w:r w:rsidR="00C820C1" w:rsidRPr="00247424">
        <w:t>2.3.</w:t>
      </w:r>
      <w:r w:rsidR="00335CAD">
        <w:t>2</w:t>
      </w:r>
      <w:r w:rsidR="00C820C1" w:rsidRPr="00247424">
        <w:t xml:space="preserve">.0.7z </w:t>
      </w:r>
      <w:r w:rsidRPr="00247424">
        <w:t>archive</w:t>
      </w:r>
      <w:r>
        <w:t>. Alternatively</w:t>
      </w:r>
      <w:r w:rsidRPr="003F2205">
        <w:t xml:space="preserve"> simply extract files from all the supplied </w:t>
      </w:r>
      <w:r>
        <w:t>taxonomy package zip files</w:t>
      </w:r>
      <w:r w:rsidRPr="003F2205">
        <w:t xml:space="preserve"> to the same location.</w:t>
      </w:r>
    </w:p>
    <w:p w:rsidR="005B04E4" w:rsidRPr="003F2205" w:rsidRDefault="005B04E4" w:rsidP="007F7F73"/>
    <w:p w:rsidR="007F7F73" w:rsidRDefault="005B04E4" w:rsidP="007F7F73">
      <w:pPr>
        <w:rPr>
          <w:b/>
        </w:rPr>
      </w:pPr>
      <w:r>
        <w:rPr>
          <w:b/>
        </w:rPr>
        <w:t>Naming Convention</w:t>
      </w:r>
    </w:p>
    <w:p w:rsidR="005B04E4" w:rsidRPr="00A55E27" w:rsidRDefault="005B04E4" w:rsidP="005B04E4">
      <w:proofErr w:type="gramStart"/>
      <w:r>
        <w:t>N.B.</w:t>
      </w:r>
      <w:proofErr w:type="gramEnd"/>
      <w:r>
        <w:t xml:space="preserve"> As </w:t>
      </w:r>
      <w:r w:rsidR="00AB0101">
        <w:t xml:space="preserve">has been </w:t>
      </w:r>
      <w:r>
        <w:t xml:space="preserve">the case </w:t>
      </w:r>
      <w:r w:rsidR="00AB0101">
        <w:t>since</w:t>
      </w:r>
      <w:r>
        <w:t xml:space="preserve"> version 2.2 to simplify the association of taxonomy versions with the related ITS/DPM/reporting requirements package the taxonomy packages in this release are named according to the pattern</w:t>
      </w:r>
    </w:p>
    <w:p w:rsidR="005B04E4" w:rsidRPr="00E029D2" w:rsidRDefault="005B04E4" w:rsidP="005B04E4">
      <w:pPr>
        <w:rPr>
          <w:b/>
          <w:color w:val="A8D08D" w:themeColor="accent6" w:themeTint="99"/>
          <w:spacing w:val="-2"/>
        </w:rPr>
      </w:pPr>
      <w:proofErr w:type="gramStart"/>
      <w:r w:rsidRPr="00E029D2">
        <w:rPr>
          <w:b/>
          <w:color w:val="A5A5A5" w:themeColor="accent3"/>
          <w:spacing w:val="-2"/>
        </w:rPr>
        <w:t>eba</w:t>
      </w:r>
      <w:r w:rsidRPr="00E029D2">
        <w:rPr>
          <w:b/>
          <w:color w:val="A5A5A5" w:themeColor="accent3"/>
          <w:spacing w:val="-2"/>
          <w:u w:val="single"/>
        </w:rPr>
        <w:t>_</w:t>
      </w:r>
      <w:r w:rsidRPr="00E029D2">
        <w:rPr>
          <w:b/>
          <w:color w:val="70AD47" w:themeColor="accent6"/>
          <w:spacing w:val="-2"/>
          <w:u w:val="single"/>
        </w:rPr>
        <w:t>VersionOfDPM/BusinessPackage</w:t>
      </w:r>
      <w:r w:rsidRPr="00E029D2">
        <w:rPr>
          <w:b/>
          <w:color w:val="A5A5A5" w:themeColor="accent3"/>
          <w:spacing w:val="-2"/>
          <w:u w:val="single"/>
        </w:rPr>
        <w:t>_</w:t>
      </w:r>
      <w:r w:rsidRPr="00E029D2">
        <w:rPr>
          <w:b/>
          <w:color w:val="FFC000" w:themeColor="accent4"/>
          <w:spacing w:val="-2"/>
        </w:rPr>
        <w:t>ReportingTaxonomyCode</w:t>
      </w:r>
      <w:r w:rsidRPr="00E029D2">
        <w:rPr>
          <w:b/>
          <w:color w:val="A5A5A5" w:themeColor="accent3"/>
          <w:spacing w:val="-2"/>
        </w:rPr>
        <w:t>_</w:t>
      </w:r>
      <w:r w:rsidRPr="00E029D2">
        <w:rPr>
          <w:b/>
          <w:color w:val="4472C4" w:themeColor="accent5"/>
          <w:spacing w:val="-2"/>
        </w:rPr>
        <w:t>VersionOfReportingTaxonomy</w:t>
      </w:r>
      <w:r w:rsidRPr="00E029D2">
        <w:rPr>
          <w:b/>
          <w:color w:val="A5A5A5" w:themeColor="accent3"/>
          <w:spacing w:val="-2"/>
        </w:rPr>
        <w:t>.zip</w:t>
      </w:r>
      <w:proofErr w:type="gramEnd"/>
    </w:p>
    <w:p w:rsidR="005B04E4" w:rsidRDefault="005B04E4" w:rsidP="005B04E4">
      <w:r>
        <w:t xml:space="preserve">e.g. </w:t>
      </w:r>
      <w:r w:rsidRPr="00C820C1">
        <w:rPr>
          <w:color w:val="A5A5A5" w:themeColor="accent3"/>
        </w:rPr>
        <w:t>eba</w:t>
      </w:r>
      <w:r w:rsidRPr="005909B9">
        <w:rPr>
          <w:color w:val="A5A5A5" w:themeColor="accent3"/>
        </w:rPr>
        <w:t>_</w:t>
      </w:r>
      <w:r w:rsidRPr="00C820C1">
        <w:rPr>
          <w:color w:val="70AD47" w:themeColor="accent6"/>
        </w:rPr>
        <w:t>2.2</w:t>
      </w:r>
      <w:r w:rsidRPr="005909B9">
        <w:rPr>
          <w:color w:val="A5A5A5" w:themeColor="accent3"/>
        </w:rPr>
        <w:t>_</w:t>
      </w:r>
      <w:r w:rsidRPr="00C820C1">
        <w:rPr>
          <w:color w:val="FFC000" w:themeColor="accent4"/>
        </w:rPr>
        <w:t>corep</w:t>
      </w:r>
      <w:r w:rsidRPr="00C820C1">
        <w:rPr>
          <w:color w:val="A5A5A5" w:themeColor="accent3"/>
        </w:rPr>
        <w:t>_</w:t>
      </w:r>
      <w:r w:rsidRPr="00E029D2">
        <w:rPr>
          <w:color w:val="4472C4" w:themeColor="accent5"/>
        </w:rPr>
        <w:t>2.0.2.1</w:t>
      </w:r>
      <w:r w:rsidRPr="00E029D2">
        <w:rPr>
          <w:color w:val="A5A5A5" w:themeColor="accent3"/>
        </w:rPr>
        <w:t>.zip</w:t>
      </w:r>
    </w:p>
    <w:p w:rsidR="005B04E4" w:rsidRPr="003F2205" w:rsidRDefault="005B04E4" w:rsidP="007F7F73">
      <w:pPr>
        <w:rPr>
          <w:b/>
        </w:rPr>
      </w:pPr>
    </w:p>
    <w:p w:rsidR="007F7F73" w:rsidRPr="003F2205" w:rsidRDefault="007F7F73" w:rsidP="007F7F73">
      <w:r w:rsidRPr="003F2205">
        <w:rPr>
          <w:b/>
        </w:rPr>
        <w:t>Additional supporting files</w:t>
      </w:r>
      <w:r w:rsidRPr="003F2205">
        <w:t xml:space="preserve"> supplied for convenience; N.B.  </w:t>
      </w:r>
      <w:proofErr w:type="gramStart"/>
      <w:r w:rsidRPr="003F2205">
        <w:t>the</w:t>
      </w:r>
      <w:proofErr w:type="gramEnd"/>
      <w:r w:rsidRPr="003F2205">
        <w:t xml:space="preserve"> appropriate organisation remains the primary source for these files, latest versions should be obtained from the canonical locations.  </w:t>
      </w:r>
    </w:p>
    <w:p w:rsidR="007F7F73" w:rsidRPr="003F2205" w:rsidRDefault="007F7F73" w:rsidP="007F7F73">
      <w:pPr>
        <w:ind w:left="720"/>
        <w:rPr>
          <w:rFonts w:ascii="Courier New" w:hAnsi="Courier New" w:cs="Courier New"/>
        </w:rPr>
      </w:pPr>
      <w:r w:rsidRPr="003F2205">
        <w:rPr>
          <w:rFonts w:ascii="Courier New" w:hAnsi="Courier New" w:cs="Courier New"/>
        </w:rPr>
        <w:t>www.eurofiling.info.7z</w:t>
      </w:r>
    </w:p>
    <w:p w:rsidR="003F1B65" w:rsidRPr="007910BB" w:rsidRDefault="007F7F73" w:rsidP="0007604B">
      <w:pPr>
        <w:ind w:left="720"/>
        <w:rPr>
          <w:rFonts w:ascii="Courier New" w:hAnsi="Courier New" w:cs="Courier New"/>
          <w:b/>
          <w:u w:val="single"/>
        </w:rPr>
      </w:pPr>
      <w:r w:rsidRPr="003F2205">
        <w:rPr>
          <w:rFonts w:ascii="Courier New" w:hAnsi="Courier New" w:cs="Courier New"/>
        </w:rPr>
        <w:t>www.xbrl.org.7z</w:t>
      </w:r>
    </w:p>
    <w:sectPr w:rsidR="003F1B65" w:rsidRPr="007910B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DF9" w:rsidRDefault="00B93DF9" w:rsidP="00057AC8">
      <w:pPr>
        <w:spacing w:after="0" w:line="240" w:lineRule="auto"/>
      </w:pPr>
      <w:r>
        <w:separator/>
      </w:r>
    </w:p>
  </w:endnote>
  <w:endnote w:type="continuationSeparator" w:id="0">
    <w:p w:rsidR="00B93DF9" w:rsidRDefault="00B93DF9" w:rsidP="00057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DF9" w:rsidRDefault="00B93DF9" w:rsidP="00057AC8">
      <w:pPr>
        <w:spacing w:after="0" w:line="240" w:lineRule="auto"/>
      </w:pPr>
      <w:r>
        <w:separator/>
      </w:r>
    </w:p>
  </w:footnote>
  <w:footnote w:type="continuationSeparator" w:id="0">
    <w:p w:rsidR="00B93DF9" w:rsidRDefault="00B93DF9" w:rsidP="00057AC8">
      <w:pPr>
        <w:spacing w:after="0" w:line="240" w:lineRule="auto"/>
      </w:pPr>
      <w:r>
        <w:continuationSeparator/>
      </w:r>
    </w:p>
  </w:footnote>
  <w:footnote w:id="1">
    <w:p w:rsidR="007F7F73" w:rsidRDefault="007F7F73" w:rsidP="007F7F73">
      <w:pPr>
        <w:pStyle w:val="FootnoteText"/>
      </w:pPr>
      <w:r>
        <w:rPr>
          <w:rStyle w:val="FootnoteReference"/>
        </w:rPr>
        <w:footnoteRef/>
      </w:r>
      <w:r>
        <w:t xml:space="preserve"> </w:t>
      </w:r>
      <w:r w:rsidRPr="00057AC8">
        <w:t xml:space="preserve">N.B. to convert these to </w:t>
      </w:r>
      <w:proofErr w:type="spellStart"/>
      <w:r w:rsidRPr="00057AC8">
        <w:t>Corefiling</w:t>
      </w:r>
      <w:proofErr w:type="spellEnd"/>
      <w:r w:rsidRPr="00057AC8">
        <w:t xml:space="preserve"> taxonomy packages, the namespace string “http://xbrl.org/PWD/2014-01-15/taxonomy-package” in the files should be replaced with “http://www.corefili</w:t>
      </w:r>
      <w:r>
        <w:t>ng.com/xbrl/</w:t>
      </w:r>
      <w:proofErr w:type="spellStart"/>
      <w:r>
        <w:t>taxonomypackage</w:t>
      </w:r>
      <w:proofErr w:type="spellEnd"/>
      <w:r>
        <w:t>/v1”</w:t>
      </w:r>
      <w:r w:rsidRPr="00057AC8">
        <w:t xml:space="preserve">. The zip files also contain OASIS </w:t>
      </w:r>
      <w:proofErr w:type="spellStart"/>
      <w:r w:rsidRPr="00057AC8">
        <w:t>Catalog</w:t>
      </w:r>
      <w:proofErr w:type="spellEnd"/>
      <w:r w:rsidRPr="00057AC8">
        <w:t xml:space="preserve"> files containing equivalent remapping information (but without descriptive labels or entry point information).</w:t>
      </w:r>
    </w:p>
  </w:footnote>
  <w:footnote w:id="2">
    <w:p w:rsidR="005B0451" w:rsidRDefault="005B0451">
      <w:pPr>
        <w:pStyle w:val="FootnoteText"/>
      </w:pPr>
      <w:r>
        <w:rPr>
          <w:rStyle w:val="FootnoteReference"/>
        </w:rPr>
        <w:footnoteRef/>
      </w:r>
      <w:r>
        <w:t xml:space="preserve"> Some changes to validation rule files compared to 2.3 are present reflecting changes to the (de)activation list published by the EBA since the production of 2.3. </w:t>
      </w:r>
    </w:p>
  </w:footnote>
  <w:footnote w:id="3">
    <w:p w:rsidR="00C820C1" w:rsidRDefault="00C820C1">
      <w:pPr>
        <w:pStyle w:val="FootnoteText"/>
      </w:pPr>
      <w:r>
        <w:rPr>
          <w:rStyle w:val="FootnoteReference"/>
        </w:rPr>
        <w:footnoteRef/>
      </w:r>
      <w:r>
        <w:t xml:space="preserve"> N.B.</w:t>
      </w:r>
      <w:r w:rsidR="00335CAD">
        <w:t xml:space="preserve"> the dictionary package is </w:t>
      </w:r>
      <w:r>
        <w:t>identical to that from the 2.3</w:t>
      </w:r>
      <w:r w:rsidR="00AB0101">
        <w:t xml:space="preserve"> and 2.3.1</w:t>
      </w:r>
      <w:r>
        <w:t xml:space="preserve"> release</w:t>
      </w:r>
      <w:r w:rsidR="00AB0101">
        <w:t>s</w:t>
      </w:r>
      <w:r>
        <w:t>. This 2.3.0.0</w:t>
      </w:r>
      <w:r w:rsidR="00335CAD">
        <w:t xml:space="preserve"> dictionary may be used with 2.3,</w:t>
      </w:r>
      <w:r>
        <w:t xml:space="preserve"> 2.3.</w:t>
      </w:r>
      <w:r w:rsidR="00335CAD">
        <w:t>1 and 2.3.2</w:t>
      </w:r>
      <w:r>
        <w:t xml:space="preserve"> taxonomy packages.</w:t>
      </w:r>
    </w:p>
  </w:footnote>
  <w:footnote w:id="4">
    <w:p w:rsidR="007F7F73" w:rsidRDefault="007F7F73" w:rsidP="007F7F73">
      <w:pPr>
        <w:pStyle w:val="FootnoteText"/>
      </w:pPr>
      <w:r>
        <w:rPr>
          <w:rStyle w:val="FootnoteReference"/>
        </w:rPr>
        <w:footnoteRef/>
      </w:r>
      <w:r>
        <w:t xml:space="preserve"> Although supported by several taxonomy package aware XBRL processors, this may not be supported by all, and alternative methods of configuring the processor may need to be used (i.e. extracting the files from the required packages and configuring the processor to use those offline)</w:t>
      </w:r>
      <w:r w:rsidR="00AB1D34">
        <w:t>, or using contents of the supplied “Full taxonomy” archive</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6E3B69"/>
    <w:multiLevelType w:val="hybridMultilevel"/>
    <w:tmpl w:val="FABA54C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
    <w:nsid w:val="466975CE"/>
    <w:multiLevelType w:val="hybridMultilevel"/>
    <w:tmpl w:val="623637D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C3D0EF2"/>
    <w:multiLevelType w:val="hybridMultilevel"/>
    <w:tmpl w:val="34ECB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CDB76A2"/>
    <w:multiLevelType w:val="hybridMultilevel"/>
    <w:tmpl w:val="F57AE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F1B65"/>
    <w:rsid w:val="00011527"/>
    <w:rsid w:val="000326A9"/>
    <w:rsid w:val="00057AC8"/>
    <w:rsid w:val="000672A0"/>
    <w:rsid w:val="0007604B"/>
    <w:rsid w:val="0008746E"/>
    <w:rsid w:val="000B6A8B"/>
    <w:rsid w:val="000F0BE4"/>
    <w:rsid w:val="00141E2B"/>
    <w:rsid w:val="001762D8"/>
    <w:rsid w:val="00197CB5"/>
    <w:rsid w:val="001C09C9"/>
    <w:rsid w:val="001E24C4"/>
    <w:rsid w:val="00225A64"/>
    <w:rsid w:val="00247424"/>
    <w:rsid w:val="002B0739"/>
    <w:rsid w:val="00335CAD"/>
    <w:rsid w:val="00341929"/>
    <w:rsid w:val="003D1215"/>
    <w:rsid w:val="003D2FF5"/>
    <w:rsid w:val="003F1B65"/>
    <w:rsid w:val="003F2205"/>
    <w:rsid w:val="00406964"/>
    <w:rsid w:val="00414402"/>
    <w:rsid w:val="004812EC"/>
    <w:rsid w:val="004854DF"/>
    <w:rsid w:val="00514A89"/>
    <w:rsid w:val="0052585D"/>
    <w:rsid w:val="005934D2"/>
    <w:rsid w:val="005B0451"/>
    <w:rsid w:val="005B04E4"/>
    <w:rsid w:val="005B4BEF"/>
    <w:rsid w:val="005D2A07"/>
    <w:rsid w:val="0065535D"/>
    <w:rsid w:val="006704ED"/>
    <w:rsid w:val="007910BB"/>
    <w:rsid w:val="007A0090"/>
    <w:rsid w:val="007F1EC3"/>
    <w:rsid w:val="007F7F73"/>
    <w:rsid w:val="00816C6A"/>
    <w:rsid w:val="00826F3B"/>
    <w:rsid w:val="008C4C9C"/>
    <w:rsid w:val="008E54DA"/>
    <w:rsid w:val="009037B2"/>
    <w:rsid w:val="00914930"/>
    <w:rsid w:val="00924C0E"/>
    <w:rsid w:val="0094354E"/>
    <w:rsid w:val="00945AF3"/>
    <w:rsid w:val="00955A8D"/>
    <w:rsid w:val="00964883"/>
    <w:rsid w:val="00A54A02"/>
    <w:rsid w:val="00AB0101"/>
    <w:rsid w:val="00AB1D34"/>
    <w:rsid w:val="00AB7A8C"/>
    <w:rsid w:val="00B24FFE"/>
    <w:rsid w:val="00B60C78"/>
    <w:rsid w:val="00B93DF9"/>
    <w:rsid w:val="00C03CE9"/>
    <w:rsid w:val="00C06CDC"/>
    <w:rsid w:val="00C23D47"/>
    <w:rsid w:val="00C75AC2"/>
    <w:rsid w:val="00C820C1"/>
    <w:rsid w:val="00CF0D0F"/>
    <w:rsid w:val="00D8737F"/>
    <w:rsid w:val="00E029D2"/>
    <w:rsid w:val="00EA64A7"/>
    <w:rsid w:val="00F00DC4"/>
    <w:rsid w:val="00F610FD"/>
    <w:rsid w:val="00FC4B11"/>
    <w:rsid w:val="00FC4D2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1B65"/>
    <w:rPr>
      <w:rFonts w:cs="Times New Roman"/>
      <w:color w:val="0563C1" w:themeColor="hyperlink"/>
      <w:u w:val="single"/>
    </w:rPr>
  </w:style>
  <w:style w:type="paragraph" w:styleId="FootnoteText">
    <w:name w:val="footnote text"/>
    <w:basedOn w:val="Normal"/>
    <w:link w:val="FootnoteTextChar"/>
    <w:uiPriority w:val="99"/>
    <w:semiHidden/>
    <w:unhideWhenUsed/>
    <w:rsid w:val="00057AC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7AC8"/>
    <w:rPr>
      <w:rFonts w:cs="Times New Roman"/>
      <w:sz w:val="20"/>
      <w:szCs w:val="20"/>
    </w:rPr>
  </w:style>
  <w:style w:type="character" w:styleId="FootnoteReference">
    <w:name w:val="footnote reference"/>
    <w:basedOn w:val="DefaultParagraphFont"/>
    <w:uiPriority w:val="99"/>
    <w:semiHidden/>
    <w:unhideWhenUsed/>
    <w:rsid w:val="00057AC8"/>
    <w:rPr>
      <w:vertAlign w:val="superscript"/>
    </w:rPr>
  </w:style>
  <w:style w:type="paragraph" w:styleId="ListParagraph">
    <w:name w:val="List Paragraph"/>
    <w:basedOn w:val="Normal"/>
    <w:uiPriority w:val="34"/>
    <w:qFormat/>
    <w:rsid w:val="00924C0E"/>
    <w:pPr>
      <w:ind w:left="720"/>
      <w:contextualSpacing/>
    </w:pPr>
  </w:style>
  <w:style w:type="table" w:styleId="TableGrid">
    <w:name w:val="Table Grid"/>
    <w:basedOn w:val="TableNormal"/>
    <w:uiPriority w:val="39"/>
    <w:rsid w:val="005B4B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BAtable">
    <w:name w:val="EBA table"/>
    <w:basedOn w:val="TableNormal"/>
    <w:uiPriority w:val="99"/>
    <w:rsid w:val="003F2205"/>
    <w:pPr>
      <w:spacing w:after="0" w:line="240" w:lineRule="auto"/>
    </w:pPr>
    <w:rPr>
      <w:rFonts w:eastAsiaTheme="minorEastAsia" w:cstheme="minorBidi"/>
      <w:sz w:val="24"/>
      <w:szCs w:val="24"/>
      <w:lang w:val="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Tabledata">
    <w:name w:val="Table data"/>
    <w:basedOn w:val="Normal"/>
    <w:qFormat/>
    <w:rsid w:val="003F2205"/>
    <w:pPr>
      <w:spacing w:before="40" w:after="40" w:line="240" w:lineRule="auto"/>
    </w:pPr>
    <w:rPr>
      <w:rFonts w:eastAsiaTheme="minorEastAsia" w:cstheme="minorHAnsi"/>
      <w:bCs/>
      <w:color w:val="000000"/>
      <w:sz w:val="16"/>
      <w:lang w:val="en-US" w:eastAsia="en-GB"/>
    </w:rPr>
  </w:style>
  <w:style w:type="paragraph" w:customStyle="1" w:styleId="Tableheader">
    <w:name w:val="Table header"/>
    <w:next w:val="Tabledata"/>
    <w:qFormat/>
    <w:rsid w:val="003F2205"/>
    <w:pPr>
      <w:spacing w:after="80" w:line="240" w:lineRule="auto"/>
    </w:pPr>
    <w:rPr>
      <w:rFonts w:ascii="Calibri" w:hAnsi="Calibri" w:cs="Times New Roman"/>
      <w:b/>
      <w:color w:val="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pecifications.xbrl.org/work-product-index-taxonomy-packages-taxonomy-packages-1.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F8233-A7AD-4435-B86B-060F772B4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F20746EC.dotm</Template>
  <TotalTime>312</TotalTime>
  <Pages>2</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EBA</Company>
  <LinksUpToDate>false</LinksUpToDate>
  <CharactersWithSpaces>2565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ojones</dc:creator>
  <cp:lastModifiedBy>ojones</cp:lastModifiedBy>
  <cp:revision>26</cp:revision>
  <cp:lastPrinted>2015-05-04T10:26:00Z</cp:lastPrinted>
  <dcterms:created xsi:type="dcterms:W3CDTF">2014-06-26T12:35:00Z</dcterms:created>
  <dcterms:modified xsi:type="dcterms:W3CDTF">2015-07-09T10:18:00Z</dcterms:modified>
</cp:coreProperties>
</file>