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E0D" w:rsidRPr="00DF14E1" w:rsidRDefault="00066D60" w:rsidP="00A72EF0">
      <w:pPr>
        <w:pStyle w:val="Pagedecouverture"/>
      </w:pPr>
      <w:r>
        <w:pict w14:anchorId="5E5908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057912DA-787C-4893-BAF4-83316653C5F0" style="width:450.75pt;height:463.5pt">
            <v:imagedata r:id="rId8" o:title=""/>
          </v:shape>
        </w:pict>
      </w:r>
    </w:p>
    <w:p w:rsidR="0004170D" w:rsidRPr="00DF14E1" w:rsidRDefault="0004170D">
      <w:pPr>
        <w:sectPr w:rsidR="0004170D" w:rsidRPr="00DF14E1" w:rsidSect="00632AF6">
          <w:footerReference w:type="default" r:id="rId9"/>
          <w:pgSz w:w="11907" w:h="16839"/>
          <w:pgMar w:top="1134" w:right="1417" w:bottom="1134" w:left="1417" w:header="709" w:footer="709" w:gutter="0"/>
          <w:pgNumType w:start="0"/>
          <w:cols w:space="720"/>
          <w:docGrid w:linePitch="360"/>
        </w:sectPr>
      </w:pPr>
    </w:p>
    <w:p w:rsidR="0004170D" w:rsidRPr="00DF14E1" w:rsidRDefault="00A72EF0" w:rsidP="00A72EF0">
      <w:pPr>
        <w:pStyle w:val="Typedudocument"/>
      </w:pPr>
      <w:r w:rsidRPr="00A72EF0">
        <w:t>COMMISSION IMPLEMENTING REGULATION (EU) …/...</w:t>
      </w:r>
    </w:p>
    <w:p w:rsidR="0004170D" w:rsidRPr="00DF14E1" w:rsidRDefault="00A72EF0" w:rsidP="00A72EF0">
      <w:pPr>
        <w:pStyle w:val="Datedadoption"/>
      </w:pPr>
      <w:proofErr w:type="gramStart"/>
      <w:r w:rsidRPr="00A72EF0">
        <w:t>of</w:t>
      </w:r>
      <w:proofErr w:type="gramEnd"/>
      <w:r w:rsidRPr="00A72EF0">
        <w:t xml:space="preserve"> </w:t>
      </w:r>
      <w:r w:rsidRPr="00A72EF0">
        <w:rPr>
          <w:rStyle w:val="Marker2"/>
        </w:rPr>
        <w:t>XXX</w:t>
      </w:r>
    </w:p>
    <w:p w:rsidR="0004170D" w:rsidRPr="00DF14E1" w:rsidRDefault="00A72EF0" w:rsidP="00A72EF0">
      <w:pPr>
        <w:pStyle w:val="Titreobjet"/>
      </w:pPr>
      <w:proofErr w:type="gramStart"/>
      <w:r w:rsidRPr="00A72EF0">
        <w:t>laying down implementing technical standards with regard to public disclosures by institutions of the information referred to in Titles II and III of Part Eight of Regulation (EU) No 575/2013 of the European Parliament and of the Council and repealing Commission Implementing Regulation (EU) No 1423/2013, Commission Delegated Regulation (EU) 2015/1555, Commission Implementing Regulation (EU) 2016/200 and Commission Delegated Regulation (EU) 2017/2295</w:t>
      </w:r>
      <w:r w:rsidRPr="00A72EF0">
        <w:br/>
      </w:r>
      <w:r w:rsidRPr="00A72EF0">
        <w:br/>
      </w:r>
      <w:proofErr w:type="gramEnd"/>
    </w:p>
    <w:p w:rsidR="0004170D" w:rsidRPr="00DF14E1" w:rsidRDefault="00A72EF0" w:rsidP="00A72EF0">
      <w:pPr>
        <w:pStyle w:val="IntrtEEE"/>
      </w:pPr>
      <w:r w:rsidRPr="00A72EF0">
        <w:t>(Text with EEA relevance)</w:t>
      </w:r>
    </w:p>
    <w:p w:rsidR="0004170D" w:rsidRPr="00DF14E1" w:rsidRDefault="0004170D" w:rsidP="009675DD">
      <w:pPr>
        <w:pStyle w:val="Institutionquiagit"/>
      </w:pPr>
      <w:r w:rsidRPr="00DF14E1">
        <w:t>THE EUROPEAN COMMISSION,</w:t>
      </w:r>
    </w:p>
    <w:p w:rsidR="0004170D" w:rsidRPr="00DF14E1" w:rsidRDefault="0004170D" w:rsidP="009675DD">
      <w:r w:rsidRPr="00DF14E1">
        <w:rPr>
          <w:color w:val="000000"/>
        </w:rPr>
        <w:t>Having regard to the Treaty on the Functioning of the European Union</w:t>
      </w:r>
      <w:r w:rsidRPr="00DF14E1">
        <w:t>,</w:t>
      </w:r>
    </w:p>
    <w:p w:rsidR="0004170D" w:rsidRPr="00DF14E1" w:rsidRDefault="007E66A7" w:rsidP="009675DD">
      <w:r w:rsidRPr="00DF14E1">
        <w:t xml:space="preserve">Having regard to Regulation (EU) No 575/2013 of the European Parliament and of the Council of </w:t>
      </w:r>
      <w:r w:rsidRPr="00DF14E1">
        <w:rPr>
          <w:color w:val="000000"/>
        </w:rPr>
        <w:t>26 June 2013</w:t>
      </w:r>
      <w:r w:rsidRPr="00DF14E1">
        <w:t xml:space="preserve"> on prudential requirements for </w:t>
      </w:r>
      <w:r w:rsidR="001C49B7">
        <w:t xml:space="preserve">credit </w:t>
      </w:r>
      <w:r w:rsidRPr="00DF14E1">
        <w:t xml:space="preserve">institutions and investment </w:t>
      </w:r>
      <w:proofErr w:type="gramStart"/>
      <w:r w:rsidRPr="00DF14E1">
        <w:t>firms and amending Regulation (EU) No 648/2012</w:t>
      </w:r>
      <w:r w:rsidRPr="00DF14E1">
        <w:rPr>
          <w:rStyle w:val="FootnoteReference"/>
        </w:rPr>
        <w:footnoteReference w:id="2"/>
      </w:r>
      <w:proofErr w:type="gramEnd"/>
      <w:r w:rsidRPr="00DF14E1">
        <w:t xml:space="preserve"> and in particular Article 434a thereof,</w:t>
      </w:r>
    </w:p>
    <w:p w:rsidR="0004170D" w:rsidRPr="00DF14E1" w:rsidRDefault="0004170D" w:rsidP="009675DD">
      <w:r w:rsidRPr="00DF14E1">
        <w:t>Whereas:</w:t>
      </w:r>
    </w:p>
    <w:p w:rsidR="0094247F" w:rsidRPr="00DF14E1" w:rsidRDefault="0094247F" w:rsidP="00AD58EF">
      <w:pPr>
        <w:pStyle w:val="Considrant"/>
        <w:numPr>
          <w:ilvl w:val="0"/>
          <w:numId w:val="13"/>
        </w:numPr>
      </w:pPr>
      <w:r w:rsidRPr="00DF14E1">
        <w:t>In December 201</w:t>
      </w:r>
      <w:r w:rsidR="00AD58EF" w:rsidRPr="00DF14E1">
        <w:t>9</w:t>
      </w:r>
      <w:r w:rsidRPr="00DF14E1">
        <w:t xml:space="preserve">, the Basel Committee on Banking Supervision (BCBS) published </w:t>
      </w:r>
      <w:r w:rsidR="00AD58EF" w:rsidRPr="00DF14E1">
        <w:t xml:space="preserve">the consolidated Basel Framework, including the </w:t>
      </w:r>
      <w:r w:rsidRPr="00DF14E1">
        <w:t>updated Pillar 3 disclosure requirements</w:t>
      </w:r>
      <w:r w:rsidRPr="00DF14E1">
        <w:rPr>
          <w:rStyle w:val="FootnoteReference"/>
          <w:szCs w:val="24"/>
        </w:rPr>
        <w:footnoteReference w:id="3"/>
      </w:r>
      <w:r w:rsidRPr="00DF14E1">
        <w:t xml:space="preserve">, which </w:t>
      </w:r>
      <w:proofErr w:type="gramStart"/>
      <w:r w:rsidRPr="00DF14E1">
        <w:t xml:space="preserve">were </w:t>
      </w:r>
      <w:r w:rsidR="00C02ED9" w:rsidRPr="00DF14E1">
        <w:t xml:space="preserve">mostly </w:t>
      </w:r>
      <w:r w:rsidRPr="00DF14E1">
        <w:t>introduced</w:t>
      </w:r>
      <w:proofErr w:type="gramEnd"/>
      <w:r w:rsidRPr="00DF14E1">
        <w:t xml:space="preserve"> in Regulation (EU) 575/2013 by Regulation (EU) 2019/876 of the European Parliament and of the Council</w:t>
      </w:r>
      <w:r w:rsidRPr="00DF14E1">
        <w:rPr>
          <w:rStyle w:val="FootnoteReference"/>
          <w:szCs w:val="24"/>
        </w:rPr>
        <w:footnoteReference w:id="4"/>
      </w:r>
      <w:r w:rsidRPr="00DF14E1">
        <w:t xml:space="preserve">. In order to implement those amendments, a consistent and complete Pillar 3 disclosure framework </w:t>
      </w:r>
      <w:proofErr w:type="gramStart"/>
      <w:r w:rsidRPr="00DF14E1">
        <w:t>should be laid down</w:t>
      </w:r>
      <w:proofErr w:type="gramEnd"/>
      <w:r w:rsidRPr="00DF14E1">
        <w:t>.</w:t>
      </w:r>
    </w:p>
    <w:p w:rsidR="007E66A7" w:rsidRPr="00DF14E1" w:rsidRDefault="00442C93" w:rsidP="00F5043B">
      <w:pPr>
        <w:pStyle w:val="Considrant"/>
        <w:rPr>
          <w:sz w:val="22"/>
        </w:rPr>
      </w:pPr>
      <w:r w:rsidRPr="00DF14E1">
        <w:t>Commission Implementing Regulation (EU) No 1423/2013</w:t>
      </w:r>
      <w:r w:rsidR="005823FE" w:rsidRPr="00DF14E1">
        <w:rPr>
          <w:rStyle w:val="FootnoteReference"/>
        </w:rPr>
        <w:footnoteReference w:id="5"/>
      </w:r>
      <w:r w:rsidRPr="00DF14E1">
        <w:t>, Commission Delegated Regulation (EU) 2015/1555</w:t>
      </w:r>
      <w:r w:rsidR="005823FE" w:rsidRPr="00DF14E1">
        <w:rPr>
          <w:rStyle w:val="FootnoteReference"/>
        </w:rPr>
        <w:footnoteReference w:id="6"/>
      </w:r>
      <w:r w:rsidRPr="00DF14E1">
        <w:t>, Commission Implementing Regulation (EU) 2016/200</w:t>
      </w:r>
      <w:r w:rsidR="005823FE" w:rsidRPr="00DF14E1">
        <w:rPr>
          <w:rStyle w:val="FootnoteReference"/>
        </w:rPr>
        <w:footnoteReference w:id="7"/>
      </w:r>
      <w:r w:rsidRPr="00DF14E1">
        <w:t xml:space="preserve"> </w:t>
      </w:r>
      <w:proofErr w:type="gramStart"/>
      <w:r w:rsidRPr="00DF14E1">
        <w:t>and</w:t>
      </w:r>
      <w:proofErr w:type="gramEnd"/>
      <w:r w:rsidRPr="00DF14E1">
        <w:t xml:space="preserve"> Commission Delegated Regulation (EU) 2017/2295</w:t>
      </w:r>
      <w:r w:rsidR="005823FE" w:rsidRPr="00DF14E1">
        <w:rPr>
          <w:rStyle w:val="FootnoteReference"/>
        </w:rPr>
        <w:footnoteReference w:id="8"/>
      </w:r>
      <w:r w:rsidRPr="00DF14E1">
        <w:t xml:space="preserve"> </w:t>
      </w:r>
      <w:r w:rsidR="00A518E0" w:rsidRPr="00DF14E1">
        <w:t xml:space="preserve">lay down </w:t>
      </w:r>
      <w:r w:rsidR="007E66A7" w:rsidRPr="00DF14E1">
        <w:t>uniform formats, templates and tables for own funds, the countercyclical capital buffers</w:t>
      </w:r>
      <w:r w:rsidR="00E206C9" w:rsidRPr="00DF14E1">
        <w:t>, the leverage ratio</w:t>
      </w:r>
      <w:r w:rsidR="007E66A7" w:rsidRPr="00DF14E1">
        <w:t xml:space="preserve"> </w:t>
      </w:r>
      <w:r w:rsidR="007475DB" w:rsidRPr="00DF14E1">
        <w:t>and</w:t>
      </w:r>
      <w:r w:rsidR="007E66A7" w:rsidRPr="00DF14E1">
        <w:t xml:space="preserve"> asset encumbrance</w:t>
      </w:r>
      <w:r w:rsidR="00CA5835" w:rsidRPr="00DF14E1">
        <w:t>, respectively</w:t>
      </w:r>
      <w:r w:rsidR="007475DB" w:rsidRPr="00DF14E1">
        <w:t xml:space="preserve">. </w:t>
      </w:r>
      <w:r w:rsidR="00CA5835" w:rsidRPr="00DF14E1">
        <w:t>U</w:t>
      </w:r>
      <w:r w:rsidR="007475DB" w:rsidRPr="00DF14E1">
        <w:t xml:space="preserve">niform formats, templates and tables </w:t>
      </w:r>
      <w:r w:rsidR="00CA5835" w:rsidRPr="00DF14E1">
        <w:t xml:space="preserve">should </w:t>
      </w:r>
      <w:r w:rsidR="00FF2606" w:rsidRPr="00DF14E1">
        <w:t xml:space="preserve">therefore </w:t>
      </w:r>
      <w:r w:rsidR="00CA5835" w:rsidRPr="00DF14E1">
        <w:t xml:space="preserve">be extended to cover </w:t>
      </w:r>
      <w:r w:rsidR="0094247F" w:rsidRPr="00DF14E1">
        <w:t xml:space="preserve">the disclosures of </w:t>
      </w:r>
      <w:r w:rsidR="00CA5835" w:rsidRPr="00DF14E1">
        <w:t xml:space="preserve">other prudential </w:t>
      </w:r>
      <w:proofErr w:type="gramStart"/>
      <w:r w:rsidR="00CA5835" w:rsidRPr="00DF14E1">
        <w:t xml:space="preserve">aspects </w:t>
      </w:r>
      <w:r w:rsidR="0094247F" w:rsidRPr="00DF14E1">
        <w:t>which</w:t>
      </w:r>
      <w:proofErr w:type="gramEnd"/>
      <w:r w:rsidR="0094247F" w:rsidRPr="00DF14E1">
        <w:t xml:space="preserve"> are required to be disclosed by Regulation (EU) 2019/876</w:t>
      </w:r>
      <w:r w:rsidR="007475DB" w:rsidRPr="00DF14E1">
        <w:t>.</w:t>
      </w:r>
      <w:r w:rsidR="005C4422" w:rsidRPr="00DF14E1">
        <w:t xml:space="preserve"> </w:t>
      </w:r>
      <w:r w:rsidR="007E66A7" w:rsidRPr="00DF14E1">
        <w:t>More specifically, a key metrics disclosure template</w:t>
      </w:r>
      <w:r w:rsidR="00A260ED" w:rsidRPr="00DF14E1">
        <w:t xml:space="preserve"> should be introduced</w:t>
      </w:r>
      <w:r w:rsidR="007E66A7" w:rsidRPr="00DF14E1">
        <w:t>, which facilitate</w:t>
      </w:r>
      <w:r w:rsidR="00F5043B" w:rsidRPr="00DF14E1">
        <w:t>s</w:t>
      </w:r>
      <w:r w:rsidR="007E66A7" w:rsidRPr="00DF14E1">
        <w:t xml:space="preserve"> access by </w:t>
      </w:r>
      <w:r w:rsidR="00F5043B" w:rsidRPr="00DF14E1">
        <w:t>market participants</w:t>
      </w:r>
      <w:r w:rsidR="007E66A7" w:rsidRPr="00DF14E1">
        <w:t xml:space="preserve"> to the institutions’ key information on own funds and liquidity.</w:t>
      </w:r>
    </w:p>
    <w:p w:rsidR="007E66A7" w:rsidRPr="00DF14E1" w:rsidRDefault="00F5043B" w:rsidP="007E66A7">
      <w:pPr>
        <w:pStyle w:val="Considrant"/>
      </w:pPr>
      <w:r w:rsidRPr="00DF14E1">
        <w:t>T</w:t>
      </w:r>
      <w:r w:rsidR="007E66A7" w:rsidRPr="00DF14E1">
        <w:t xml:space="preserve">he templates and tables used for disclosure </w:t>
      </w:r>
      <w:r w:rsidRPr="00DF14E1">
        <w:t xml:space="preserve">should </w:t>
      </w:r>
      <w:r w:rsidR="007E66A7" w:rsidRPr="00DF14E1">
        <w:t xml:space="preserve">convey sufficiently comprehensive and comparable information, </w:t>
      </w:r>
      <w:r w:rsidR="00A260ED" w:rsidRPr="00DF14E1">
        <w:t xml:space="preserve">thus </w:t>
      </w:r>
      <w:r w:rsidR="007E66A7" w:rsidRPr="00DF14E1">
        <w:t>enabling users of that information to assess the risk profiles of institutions and their degree of compliance with Regulation (EU) No 575/2013.</w:t>
      </w:r>
      <w:r w:rsidR="007E66A7" w:rsidRPr="00DF14E1">
        <w:rPr>
          <w:rStyle w:val="CommentReference"/>
          <w:sz w:val="24"/>
          <w:szCs w:val="24"/>
        </w:rPr>
        <w:t xml:space="preserve"> </w:t>
      </w:r>
      <w:r w:rsidR="00C94DC0" w:rsidRPr="00DF14E1">
        <w:rPr>
          <w:rStyle w:val="CommentReference"/>
          <w:sz w:val="24"/>
          <w:szCs w:val="24"/>
        </w:rPr>
        <w:t xml:space="preserve">However, in order to take into account the principle of proportionality, </w:t>
      </w:r>
      <w:r w:rsidR="00C94DC0" w:rsidRPr="00DF14E1">
        <w:t>t</w:t>
      </w:r>
      <w:r w:rsidR="007E66A7" w:rsidRPr="00DF14E1">
        <w:t xml:space="preserve">he disclosure formats, templates and tables </w:t>
      </w:r>
      <w:r w:rsidR="00A260ED" w:rsidRPr="00DF14E1">
        <w:t xml:space="preserve">should </w:t>
      </w:r>
      <w:r w:rsidR="007E66A7" w:rsidRPr="00DF14E1">
        <w:t xml:space="preserve">take </w:t>
      </w:r>
      <w:r w:rsidR="00A260ED" w:rsidRPr="00DF14E1">
        <w:t xml:space="preserve">into </w:t>
      </w:r>
      <w:r w:rsidR="007E66A7" w:rsidRPr="00DF14E1">
        <w:t xml:space="preserve">account the differences </w:t>
      </w:r>
      <w:r w:rsidR="00C94DC0" w:rsidRPr="00DF14E1">
        <w:t xml:space="preserve">in size and complexity </w:t>
      </w:r>
      <w:r w:rsidR="007E66A7" w:rsidRPr="00DF14E1">
        <w:t xml:space="preserve">between institutions, which give rise to different levels and types of risks, </w:t>
      </w:r>
      <w:r w:rsidR="004A1CDB" w:rsidRPr="00DF14E1">
        <w:t xml:space="preserve">by </w:t>
      </w:r>
      <w:r w:rsidR="007E66A7" w:rsidRPr="00DF14E1">
        <w:t xml:space="preserve">including </w:t>
      </w:r>
      <w:r w:rsidR="004A1CDB" w:rsidRPr="00DF14E1">
        <w:t>additional</w:t>
      </w:r>
      <w:r w:rsidR="007E66A7" w:rsidRPr="00DF14E1">
        <w:t xml:space="preserve"> </w:t>
      </w:r>
      <w:r w:rsidR="004A1CDB" w:rsidRPr="00DF14E1">
        <w:t>thresholds for</w:t>
      </w:r>
      <w:r w:rsidR="007E66A7" w:rsidRPr="00DF14E1">
        <w:t xml:space="preserve"> extended disclosures. </w:t>
      </w:r>
    </w:p>
    <w:p w:rsidR="007E66A7" w:rsidRPr="00DF14E1" w:rsidRDefault="00C91C95" w:rsidP="007E66A7">
      <w:pPr>
        <w:pStyle w:val="Considrant"/>
      </w:pPr>
      <w:r w:rsidRPr="00DF14E1">
        <w:t>Regulation (EU) 2019/876 introduced in Regulation (EU) No 575/2013 a</w:t>
      </w:r>
      <w:r w:rsidR="007E66A7" w:rsidRPr="00DF14E1">
        <w:t xml:space="preserve"> new calibrated </w:t>
      </w:r>
      <w:proofErr w:type="gramStart"/>
      <w:r w:rsidR="007E66A7" w:rsidRPr="00DF14E1">
        <w:t>leverage</w:t>
      </w:r>
      <w:proofErr w:type="gramEnd"/>
      <w:r w:rsidR="007E66A7" w:rsidRPr="00DF14E1">
        <w:t xml:space="preserve"> ratio and G-SIIs leverage ratio buffer</w:t>
      </w:r>
      <w:r w:rsidRPr="00DF14E1">
        <w:t>. I</w:t>
      </w:r>
      <w:r w:rsidR="00362906" w:rsidRPr="00DF14E1">
        <w:t xml:space="preserve">n order to implement that amendment and the necessary adjustments in the exposure calculation, it is </w:t>
      </w:r>
      <w:r w:rsidR="00F5043B" w:rsidRPr="00DF14E1">
        <w:t>necessary to lay down</w:t>
      </w:r>
      <w:r w:rsidR="007E66A7" w:rsidRPr="00DF14E1">
        <w:t xml:space="preserve"> templates and tables.</w:t>
      </w:r>
    </w:p>
    <w:p w:rsidR="007E66A7" w:rsidRPr="00DF14E1" w:rsidRDefault="00C91C95" w:rsidP="007E66A7">
      <w:pPr>
        <w:pStyle w:val="Considrant"/>
      </w:pPr>
      <w:r w:rsidRPr="00DF14E1">
        <w:t xml:space="preserve">Regulation (EU) 2019/876 introduced in Regulation (EU) No 575/2013 </w:t>
      </w:r>
      <w:r w:rsidR="007E66A7" w:rsidRPr="00DF14E1">
        <w:t>new disclosure requirements for the net stable funding ratio</w:t>
      </w:r>
      <w:r w:rsidRPr="00DF14E1">
        <w:t xml:space="preserve">. In order to implement that amendment, it is necessary to lay down a </w:t>
      </w:r>
      <w:r w:rsidR="007E66A7" w:rsidRPr="00DF14E1">
        <w:t xml:space="preserve">template </w:t>
      </w:r>
      <w:r w:rsidRPr="00DF14E1">
        <w:t>for those new disclosure requirements</w:t>
      </w:r>
      <w:r w:rsidR="007E66A7" w:rsidRPr="00DF14E1">
        <w:t>.</w:t>
      </w:r>
    </w:p>
    <w:p w:rsidR="007E66A7" w:rsidRPr="00DF14E1" w:rsidRDefault="00387DA9" w:rsidP="007E66A7">
      <w:pPr>
        <w:pStyle w:val="Considrant"/>
        <w:rPr>
          <w:sz w:val="22"/>
        </w:rPr>
      </w:pPr>
      <w:r>
        <w:t xml:space="preserve">Regulation (EU) </w:t>
      </w:r>
      <w:r w:rsidR="00C91C95" w:rsidRPr="00DF14E1">
        <w:t xml:space="preserve">2019/876 replaced </w:t>
      </w:r>
      <w:r w:rsidR="00587191" w:rsidRPr="00DF14E1">
        <w:t xml:space="preserve">in Regulation (EU) No 575/2013 </w:t>
      </w:r>
      <w:r w:rsidR="00C91C95" w:rsidRPr="00DF14E1">
        <w:t>the standardised approaches for counterparty credit risk with</w:t>
      </w:r>
      <w:r w:rsidR="007E66A7" w:rsidRPr="00DF14E1">
        <w:t xml:space="preserve"> a </w:t>
      </w:r>
      <w:r w:rsidR="00C91C95" w:rsidRPr="00DF14E1">
        <w:t xml:space="preserve">Standardised Approach for Counterparty Credit Risk (SA-CCR), which is </w:t>
      </w:r>
      <w:r w:rsidR="007E66A7" w:rsidRPr="00DF14E1">
        <w:t>more risk sensitive</w:t>
      </w:r>
      <w:r w:rsidR="00C91C95" w:rsidRPr="00DF14E1">
        <w:t xml:space="preserve">, and </w:t>
      </w:r>
      <w:r w:rsidR="00F5043B" w:rsidRPr="00DF14E1">
        <w:t xml:space="preserve">with </w:t>
      </w:r>
      <w:r w:rsidR="00C91C95" w:rsidRPr="00DF14E1">
        <w:t>a</w:t>
      </w:r>
      <w:r w:rsidR="007E66A7" w:rsidRPr="00DF14E1">
        <w:t xml:space="preserve"> Simplified SA-CCR </w:t>
      </w:r>
      <w:r w:rsidR="00C91C95" w:rsidRPr="00DF14E1">
        <w:t>for</w:t>
      </w:r>
      <w:r w:rsidR="007E66A7" w:rsidRPr="00DF14E1">
        <w:t xml:space="preserve"> institutions that meet predefined eligibility criteria. </w:t>
      </w:r>
      <w:r w:rsidR="00C91C95" w:rsidRPr="00DF14E1">
        <w:t>In addition, Regulation (EU) 2019/876 revised t</w:t>
      </w:r>
      <w:r w:rsidR="007E66A7" w:rsidRPr="00DF14E1">
        <w:t xml:space="preserve">he Original Exposure Method. In </w:t>
      </w:r>
      <w:r w:rsidR="00C91C95" w:rsidRPr="00DF14E1">
        <w:t>order to implement those amendments,</w:t>
      </w:r>
      <w:r w:rsidR="007E66A7" w:rsidRPr="00DF14E1">
        <w:t xml:space="preserve"> </w:t>
      </w:r>
      <w:r w:rsidR="00C91C95" w:rsidRPr="00DF14E1">
        <w:t xml:space="preserve">it is necessary to introduce </w:t>
      </w:r>
      <w:r w:rsidR="007E66A7" w:rsidRPr="00DF14E1">
        <w:t>a comprehensive set of disclosure tables and templates.</w:t>
      </w:r>
    </w:p>
    <w:p w:rsidR="007E66A7" w:rsidRPr="00DF14E1" w:rsidRDefault="00B90336" w:rsidP="007E66A7">
      <w:pPr>
        <w:pStyle w:val="Considrant"/>
        <w:rPr>
          <w:sz w:val="22"/>
        </w:rPr>
      </w:pPr>
      <w:r w:rsidRPr="00DF14E1">
        <w:t xml:space="preserve">Regulation (EU) 2019/876 introduced into </w:t>
      </w:r>
      <w:r w:rsidR="007E66A7" w:rsidRPr="00DF14E1">
        <w:t xml:space="preserve">Regulation (EU) No 575/2013 a new disclosure requirement </w:t>
      </w:r>
      <w:r w:rsidR="00342795" w:rsidRPr="00DF14E1">
        <w:t>for</w:t>
      </w:r>
      <w:r w:rsidR="007E66A7" w:rsidRPr="00DF14E1">
        <w:t xml:space="preserve"> performing, non-performing and forborne exposures, including </w:t>
      </w:r>
      <w:r w:rsidR="00342795" w:rsidRPr="00DF14E1">
        <w:t>the disclosure of information on</w:t>
      </w:r>
      <w:r w:rsidR="007E66A7" w:rsidRPr="00DF14E1">
        <w:t xml:space="preserve"> collaterals and financial guarantees received. </w:t>
      </w:r>
      <w:r w:rsidR="00342795" w:rsidRPr="00DF14E1">
        <w:t>In order to implement that amendment and those new disclosure requirements, it is necessary to introduce a</w:t>
      </w:r>
      <w:r w:rsidR="007E66A7" w:rsidRPr="00DF14E1">
        <w:t xml:space="preserve"> comprehensive set of templates and tables</w:t>
      </w:r>
      <w:r w:rsidR="00342795" w:rsidRPr="00DF14E1">
        <w:t>.</w:t>
      </w:r>
      <w:r w:rsidR="007E66A7" w:rsidRPr="00DF14E1">
        <w:t xml:space="preserve"> </w:t>
      </w:r>
      <w:r w:rsidR="00342795" w:rsidRPr="00DF14E1">
        <w:t xml:space="preserve">For reasons of simplicity and consistency, those templates and tables </w:t>
      </w:r>
      <w:proofErr w:type="gramStart"/>
      <w:r w:rsidR="00342795" w:rsidRPr="00DF14E1">
        <w:t xml:space="preserve">should be </w:t>
      </w:r>
      <w:r w:rsidR="00C91C95" w:rsidRPr="00DF14E1">
        <w:t>based</w:t>
      </w:r>
      <w:proofErr w:type="gramEnd"/>
      <w:r w:rsidR="00C91C95" w:rsidRPr="00DF14E1">
        <w:t xml:space="preserve"> on</w:t>
      </w:r>
      <w:r w:rsidR="00342795" w:rsidRPr="00DF14E1">
        <w:t xml:space="preserve"> </w:t>
      </w:r>
      <w:r w:rsidR="007E66A7" w:rsidRPr="00DF14E1">
        <w:t xml:space="preserve">the disclosure templates and tables </w:t>
      </w:r>
      <w:r w:rsidR="00342795" w:rsidRPr="00DF14E1">
        <w:t xml:space="preserve">that have already been </w:t>
      </w:r>
      <w:r w:rsidR="007E66A7" w:rsidRPr="00DF14E1">
        <w:t>developed by the EBA</w:t>
      </w:r>
      <w:r w:rsidR="00342795" w:rsidRPr="00DF14E1">
        <w:t xml:space="preserve"> in its guidelines on the disclosure of non-performing and forborne exposures</w:t>
      </w:r>
      <w:r w:rsidR="007E66A7" w:rsidRPr="00DF14E1">
        <w:rPr>
          <w:rStyle w:val="FootnoteReference"/>
        </w:rPr>
        <w:footnoteReference w:id="9"/>
      </w:r>
      <w:r w:rsidR="007E66A7" w:rsidRPr="00DF14E1">
        <w:t>.</w:t>
      </w:r>
    </w:p>
    <w:p w:rsidR="007E66A7" w:rsidRPr="00DF14E1" w:rsidRDefault="003E3102" w:rsidP="00B90336">
      <w:pPr>
        <w:pStyle w:val="Considrant"/>
      </w:pPr>
      <w:r>
        <w:t>Regulation (EU)</w:t>
      </w:r>
      <w:r w:rsidR="007E66A7" w:rsidRPr="00DF14E1">
        <w:t> 2017/2401</w:t>
      </w:r>
      <w:r w:rsidR="00453D69" w:rsidRPr="00DF14E1">
        <w:t xml:space="preserve"> of the European Parliament and of the Council</w:t>
      </w:r>
      <w:r w:rsidR="00453D69" w:rsidRPr="00DF14E1">
        <w:rPr>
          <w:rStyle w:val="FootnoteReference"/>
        </w:rPr>
        <w:footnoteReference w:id="10"/>
      </w:r>
      <w:r w:rsidR="007E66A7" w:rsidRPr="00DF14E1">
        <w:t xml:space="preserve"> amend</w:t>
      </w:r>
      <w:r w:rsidR="00B90336" w:rsidRPr="00DF14E1">
        <w:t>ed</w:t>
      </w:r>
      <w:r w:rsidR="007E66A7" w:rsidRPr="00DF14E1">
        <w:t xml:space="preserve"> Regulation (EU) No 575/2013 </w:t>
      </w:r>
      <w:r w:rsidR="00B90336" w:rsidRPr="00DF14E1">
        <w:t xml:space="preserve">to reflect into the capital requirements laid down in that Regulation </w:t>
      </w:r>
      <w:r w:rsidR="00B90336" w:rsidRPr="00DF14E1">
        <w:rPr>
          <w:shd w:val="clear" w:color="auto" w:fill="FFFFFF"/>
        </w:rPr>
        <w:t>the specific features of STS securitisations as laid down in Regulation (EU) 2017/2402 of the European Parliament and of the Council</w:t>
      </w:r>
      <w:r w:rsidR="00B90336" w:rsidRPr="00DF14E1">
        <w:rPr>
          <w:rStyle w:val="FootnoteReference"/>
        </w:rPr>
        <w:footnoteReference w:id="11"/>
      </w:r>
      <w:r w:rsidR="00B90336" w:rsidRPr="00DF14E1">
        <w:rPr>
          <w:shd w:val="clear" w:color="auto" w:fill="FFFFFF"/>
        </w:rPr>
        <w:t xml:space="preserve">. It is necessary to introduce </w:t>
      </w:r>
      <w:r w:rsidR="007E66A7" w:rsidRPr="00DF14E1">
        <w:t>new disclosure templates and tables with quantitative and qualitative information on securitisation</w:t>
      </w:r>
      <w:r w:rsidR="00B90336" w:rsidRPr="00DF14E1">
        <w:t xml:space="preserve"> to reflect that amendment</w:t>
      </w:r>
      <w:r w:rsidR="007E66A7" w:rsidRPr="00DF14E1">
        <w:t>.</w:t>
      </w:r>
    </w:p>
    <w:p w:rsidR="007E66A7" w:rsidRPr="00DF14E1" w:rsidRDefault="00387DA9" w:rsidP="007E66A7">
      <w:pPr>
        <w:pStyle w:val="Considrant"/>
        <w:rPr>
          <w:sz w:val="22"/>
        </w:rPr>
      </w:pPr>
      <w:r>
        <w:t xml:space="preserve">Regulation (EU) </w:t>
      </w:r>
      <w:r w:rsidR="008D42B0" w:rsidRPr="00DF14E1">
        <w:t xml:space="preserve">2019/876 amended certain disclosure requirements on remuneration laid down in </w:t>
      </w:r>
      <w:r w:rsidR="007E66A7" w:rsidRPr="00DF14E1">
        <w:t>Regulation (EU) No 575/2013</w:t>
      </w:r>
      <w:r w:rsidR="008D42B0" w:rsidRPr="00DF14E1">
        <w:t xml:space="preserve"> to ensure that </w:t>
      </w:r>
      <w:r w:rsidR="008D42B0" w:rsidRPr="00DF14E1">
        <w:rPr>
          <w:shd w:val="clear" w:color="auto" w:fill="FFFFFF"/>
        </w:rPr>
        <w:t>remuneration policies and practices for categories of staff the professional activities of which have a material impact on the institution's risk profile are consistent with effective risk management.</w:t>
      </w:r>
      <w:r w:rsidR="008D42B0" w:rsidRPr="00DF14E1">
        <w:t xml:space="preserve"> </w:t>
      </w:r>
      <w:r w:rsidR="00453D69" w:rsidRPr="00DF14E1">
        <w:t>A</w:t>
      </w:r>
      <w:r w:rsidR="007E66A7" w:rsidRPr="00DF14E1">
        <w:t xml:space="preserve"> set of disclosure templates and tables implementing th</w:t>
      </w:r>
      <w:r w:rsidR="00F5043B" w:rsidRPr="00DF14E1">
        <w:t>o</w:t>
      </w:r>
      <w:r w:rsidR="007E66A7" w:rsidRPr="00DF14E1">
        <w:t>se disclosure requirements</w:t>
      </w:r>
      <w:r w:rsidR="00453D69" w:rsidRPr="00DF14E1">
        <w:t xml:space="preserve"> </w:t>
      </w:r>
      <w:proofErr w:type="gramStart"/>
      <w:r w:rsidR="00453D69" w:rsidRPr="00DF14E1">
        <w:t>should be laid down</w:t>
      </w:r>
      <w:proofErr w:type="gramEnd"/>
      <w:r w:rsidR="007E66A7" w:rsidRPr="00DF14E1">
        <w:t>.</w:t>
      </w:r>
    </w:p>
    <w:p w:rsidR="004427A5" w:rsidRPr="00DF14E1" w:rsidRDefault="004A1CDB" w:rsidP="007E66A7">
      <w:pPr>
        <w:pStyle w:val="Considrant"/>
        <w:rPr>
          <w:sz w:val="22"/>
        </w:rPr>
      </w:pPr>
      <w:r w:rsidRPr="00DF14E1">
        <w:t xml:space="preserve">In order provide institutions with the comprehensive </w:t>
      </w:r>
      <w:r w:rsidR="005C4422" w:rsidRPr="00DF14E1">
        <w:t xml:space="preserve">integrated </w:t>
      </w:r>
      <w:r w:rsidRPr="00DF14E1">
        <w:t xml:space="preserve">set of uniform disclosure </w:t>
      </w:r>
      <w:r w:rsidR="005C4422" w:rsidRPr="00DF14E1">
        <w:t>formats, templates and tables and to ensure high quality disclosures, it is necessary to introduce a single set of technical standards on disclosures</w:t>
      </w:r>
      <w:r w:rsidR="00587191" w:rsidRPr="00DF14E1">
        <w:t xml:space="preserve">. It is therefore necessary to </w:t>
      </w:r>
      <w:r w:rsidR="005C4422" w:rsidRPr="00DF14E1">
        <w:t>repeal Implementing Regulation (EU) No 1423/2013, Delegated Regulation (EU) 2015/1555, Implementing Regulation (EU) 2016/200 and Delegated Regulation (EU) 2017/2295.</w:t>
      </w:r>
    </w:p>
    <w:p w:rsidR="004427A5" w:rsidRPr="00DF14E1" w:rsidRDefault="0094247F" w:rsidP="007E66A7">
      <w:pPr>
        <w:pStyle w:val="Considrant"/>
        <w:rPr>
          <w:sz w:val="22"/>
        </w:rPr>
      </w:pPr>
      <w:r w:rsidRPr="00DF14E1">
        <w:t>In order to ensure timely and quality disclosures by institutions, they should be given sufficient time to adapt their internal systems for disclosures.</w:t>
      </w:r>
    </w:p>
    <w:p w:rsidR="007E66A7" w:rsidRPr="00DF14E1" w:rsidRDefault="007E66A7" w:rsidP="007E66A7">
      <w:pPr>
        <w:pStyle w:val="Considrant"/>
        <w:rPr>
          <w:noProof/>
        </w:rPr>
      </w:pPr>
      <w:r w:rsidRPr="00DF14E1">
        <w:rPr>
          <w:noProof/>
        </w:rPr>
        <w:t>This Regulation is based on the draft implementing technical standards submitted by the European Banking Authority (EBA) to the Commission.</w:t>
      </w:r>
    </w:p>
    <w:p w:rsidR="0004170D" w:rsidRPr="00DF14E1" w:rsidRDefault="00587191" w:rsidP="00453D69">
      <w:pPr>
        <w:pStyle w:val="Considrant"/>
        <w:rPr>
          <w:noProof/>
        </w:rPr>
      </w:pPr>
      <w:r w:rsidRPr="00DF14E1">
        <w:rPr>
          <w:noProof/>
        </w:rPr>
        <w:t xml:space="preserve">The </w:t>
      </w:r>
      <w:r w:rsidR="007E66A7" w:rsidRPr="00DF14E1">
        <w:rPr>
          <w:noProof/>
        </w:rPr>
        <w:t xml:space="preserve">EBA has conducted open public consultations on the draft implementing technical standards on which this Regulation is based, analysed the potential related costs and benefits and requested the </w:t>
      </w:r>
      <w:r w:rsidR="00453D69" w:rsidRPr="00DF14E1">
        <w:rPr>
          <w:noProof/>
        </w:rPr>
        <w:t>advice</w:t>
      </w:r>
      <w:r w:rsidR="007E66A7" w:rsidRPr="00DF14E1">
        <w:rPr>
          <w:noProof/>
        </w:rPr>
        <w:t xml:space="preserve"> of the Banking Stakeholder Group established in accordance with Article 37 of Regulation (EU) No 1093/2010</w:t>
      </w:r>
      <w:r w:rsidR="00453D69" w:rsidRPr="00DF14E1">
        <w:t xml:space="preserve"> </w:t>
      </w:r>
      <w:r w:rsidR="00453D69" w:rsidRPr="00DF14E1">
        <w:rPr>
          <w:noProof/>
        </w:rPr>
        <w:t>of the European Parliament and of the Council</w:t>
      </w:r>
      <w:r w:rsidR="007E66A7" w:rsidRPr="00DF14E1">
        <w:rPr>
          <w:rStyle w:val="FootnoteReference"/>
          <w:noProof/>
        </w:rPr>
        <w:footnoteReference w:id="12"/>
      </w:r>
      <w:r w:rsidR="00453D69" w:rsidRPr="00DF14E1">
        <w:rPr>
          <w:noProof/>
        </w:rPr>
        <w:t>,</w:t>
      </w:r>
      <w:r w:rsidR="0004170D" w:rsidRPr="00DF14E1" w:rsidDel="00854910">
        <w:t xml:space="preserve"> </w:t>
      </w:r>
    </w:p>
    <w:p w:rsidR="0004170D" w:rsidRPr="00DF14E1" w:rsidRDefault="0004170D" w:rsidP="009675DD">
      <w:pPr>
        <w:pStyle w:val="Formuledadoption"/>
      </w:pPr>
      <w:r w:rsidRPr="00DF14E1">
        <w:t>HAS ADOPTED THIS REGULATION:</w:t>
      </w:r>
    </w:p>
    <w:p w:rsidR="00FF364B" w:rsidRPr="00DF14E1" w:rsidRDefault="00FF364B" w:rsidP="00FF364B">
      <w:pPr>
        <w:pStyle w:val="Titrearticle"/>
      </w:pPr>
      <w:r w:rsidRPr="00DF14E1">
        <w:t xml:space="preserve">Article </w:t>
      </w:r>
      <w:r w:rsidR="00453D69" w:rsidRPr="00DF14E1">
        <w:t>1</w:t>
      </w:r>
    </w:p>
    <w:p w:rsidR="007E66A7" w:rsidRPr="00DF14E1" w:rsidRDefault="007E66A7" w:rsidP="007E66A7">
      <w:pPr>
        <w:pStyle w:val="Titrearticle"/>
        <w:spacing w:before="120"/>
        <w:rPr>
          <w:b/>
          <w:i w:val="0"/>
        </w:rPr>
      </w:pPr>
      <w:r w:rsidRPr="00DF14E1">
        <w:rPr>
          <w:b/>
          <w:i w:val="0"/>
        </w:rPr>
        <w:t>D</w:t>
      </w:r>
      <w:r w:rsidR="00F5043B" w:rsidRPr="00DF14E1">
        <w:rPr>
          <w:b/>
          <w:i w:val="0"/>
        </w:rPr>
        <w:t>isclosure of key metrics and overview of risk-weighted exposure amounts</w:t>
      </w:r>
    </w:p>
    <w:p w:rsidR="007E66A7" w:rsidRPr="00DF14E1" w:rsidRDefault="007E66A7" w:rsidP="00F5043B">
      <w:pPr>
        <w:pStyle w:val="NumPar1"/>
        <w:numPr>
          <w:ilvl w:val="0"/>
          <w:numId w:val="14"/>
        </w:numPr>
        <w:tabs>
          <w:tab w:val="clear" w:pos="850"/>
          <w:tab w:val="left" w:pos="567"/>
        </w:tabs>
        <w:ind w:left="0" w:firstLine="0"/>
      </w:pPr>
      <w:r w:rsidRPr="00DF14E1">
        <w:t xml:space="preserve">Institutions shall </w:t>
      </w:r>
      <w:r w:rsidR="00965673" w:rsidRPr="00DF14E1">
        <w:t xml:space="preserve">disclose the information referred to in </w:t>
      </w:r>
      <w:r w:rsidRPr="00DF14E1">
        <w:t>Article 447</w:t>
      </w:r>
      <w:r w:rsidR="00453D69" w:rsidRPr="00DF14E1">
        <w:t>, points</w:t>
      </w:r>
      <w:r w:rsidRPr="00DF14E1">
        <w:t xml:space="preserve"> (a) to (g)</w:t>
      </w:r>
      <w:r w:rsidR="00965673" w:rsidRPr="00DF14E1">
        <w:t>,</w:t>
      </w:r>
      <w:r w:rsidRPr="00DF14E1">
        <w:t xml:space="preserve"> and Article 438</w:t>
      </w:r>
      <w:r w:rsidR="00965673" w:rsidRPr="00DF14E1">
        <w:t>,</w:t>
      </w:r>
      <w:r w:rsidRPr="00DF14E1">
        <w:t xml:space="preserve"> </w:t>
      </w:r>
      <w:r w:rsidR="00965673" w:rsidRPr="00DF14E1">
        <w:t xml:space="preserve">point (b), </w:t>
      </w:r>
      <w:r w:rsidRPr="00DF14E1">
        <w:t>of Regulation (EU) No 575/2013</w:t>
      </w:r>
      <w:r w:rsidR="00965673" w:rsidRPr="00DF14E1">
        <w:t xml:space="preserve"> by using t</w:t>
      </w:r>
      <w:r w:rsidRPr="00DF14E1">
        <w:t xml:space="preserve">emplate EU KM1 of Annex I </w:t>
      </w:r>
      <w:r w:rsidR="00965673" w:rsidRPr="00DF14E1">
        <w:t xml:space="preserve">to this Regulation </w:t>
      </w:r>
      <w:r w:rsidRPr="00DF14E1">
        <w:t xml:space="preserve">and </w:t>
      </w:r>
      <w:r w:rsidR="00965673" w:rsidRPr="00DF14E1">
        <w:t xml:space="preserve">by following </w:t>
      </w:r>
      <w:r w:rsidRPr="00DF14E1">
        <w:t>the instructions set out in Annex II</w:t>
      </w:r>
      <w:r w:rsidR="00453D69" w:rsidRPr="00DF14E1">
        <w:t xml:space="preserve"> to this Regulation</w:t>
      </w:r>
      <w:r w:rsidRPr="00DF14E1">
        <w:t>.</w:t>
      </w:r>
    </w:p>
    <w:p w:rsidR="007E66A7" w:rsidRPr="00DF14E1" w:rsidRDefault="007E66A7" w:rsidP="00F5043B">
      <w:pPr>
        <w:pStyle w:val="NumPar1"/>
        <w:tabs>
          <w:tab w:val="clear" w:pos="850"/>
          <w:tab w:val="left" w:pos="567"/>
        </w:tabs>
        <w:ind w:left="0" w:firstLine="0"/>
      </w:pPr>
      <w:r w:rsidRPr="00DF14E1">
        <w:t xml:space="preserve">Institutions shall </w:t>
      </w:r>
      <w:r w:rsidR="00497414" w:rsidRPr="00DF14E1">
        <w:t>disclose the information referred to</w:t>
      </w:r>
      <w:r w:rsidRPr="00DF14E1">
        <w:t xml:space="preserve"> in </w:t>
      </w:r>
      <w:r w:rsidR="00453D69" w:rsidRPr="00DF14E1">
        <w:t xml:space="preserve">Article 438, </w:t>
      </w:r>
      <w:r w:rsidRPr="00DF14E1">
        <w:t>point (d)</w:t>
      </w:r>
      <w:r w:rsidR="00453D69" w:rsidRPr="00DF14E1">
        <w:t>,</w:t>
      </w:r>
      <w:r w:rsidRPr="00DF14E1">
        <w:t xml:space="preserve"> of Regulation (EU) No 575/2013 </w:t>
      </w:r>
      <w:r w:rsidR="000302BA" w:rsidRPr="00DF14E1">
        <w:t xml:space="preserve">by using </w:t>
      </w:r>
      <w:r w:rsidRPr="00DF14E1">
        <w:t xml:space="preserve">template EU OV1 </w:t>
      </w:r>
      <w:r w:rsidR="000C0000" w:rsidRPr="00DF14E1">
        <w:t>of</w:t>
      </w:r>
      <w:r w:rsidRPr="00DF14E1">
        <w:t xml:space="preserve"> Annex I </w:t>
      </w:r>
      <w:r w:rsidR="00965673" w:rsidRPr="00DF14E1">
        <w:t xml:space="preserve">to this Regulation </w:t>
      </w:r>
      <w:r w:rsidRPr="00DF14E1">
        <w:t xml:space="preserve">and </w:t>
      </w:r>
      <w:r w:rsidR="000C0000" w:rsidRPr="00DF14E1">
        <w:t xml:space="preserve">by following </w:t>
      </w:r>
      <w:r w:rsidRPr="00DF14E1">
        <w:t>the instructions set out in Annex II</w:t>
      </w:r>
      <w:r w:rsidR="00453D69" w:rsidRPr="00DF14E1">
        <w:t xml:space="preserve"> to this Regulation</w:t>
      </w:r>
      <w:r w:rsidRPr="00DF14E1">
        <w:t>.</w:t>
      </w:r>
    </w:p>
    <w:p w:rsidR="007E66A7" w:rsidRPr="00DF14E1" w:rsidRDefault="007E66A7" w:rsidP="00F5043B">
      <w:pPr>
        <w:pStyle w:val="NumPar1"/>
        <w:tabs>
          <w:tab w:val="clear" w:pos="850"/>
          <w:tab w:val="left" w:pos="567"/>
        </w:tabs>
        <w:ind w:left="0" w:firstLine="0"/>
      </w:pPr>
      <w:r w:rsidRPr="00DF14E1">
        <w:t xml:space="preserve">Institutions shall </w:t>
      </w:r>
      <w:r w:rsidR="00497414" w:rsidRPr="00DF14E1">
        <w:t>disclose the information referred to</w:t>
      </w:r>
      <w:r w:rsidRPr="00DF14E1">
        <w:t xml:space="preserve"> </w:t>
      </w:r>
      <w:r w:rsidR="000C0000" w:rsidRPr="00DF14E1">
        <w:t xml:space="preserve">in </w:t>
      </w:r>
      <w:r w:rsidRPr="00DF14E1">
        <w:t xml:space="preserve">Article 438 </w:t>
      </w:r>
      <w:r w:rsidR="00453D69" w:rsidRPr="00DF14E1">
        <w:t xml:space="preserve">points (a) and (c), </w:t>
      </w:r>
      <w:r w:rsidRPr="00DF14E1">
        <w:t xml:space="preserve">of Regulation (EU) No 575/2013 </w:t>
      </w:r>
      <w:r w:rsidR="000302BA" w:rsidRPr="00DF14E1">
        <w:t xml:space="preserve">by using </w:t>
      </w:r>
      <w:r w:rsidR="001D579B" w:rsidRPr="00DF14E1">
        <w:t>t</w:t>
      </w:r>
      <w:r w:rsidRPr="00DF14E1">
        <w:t xml:space="preserve">able EU OVC </w:t>
      </w:r>
      <w:r w:rsidR="00453D69" w:rsidRPr="00DF14E1">
        <w:t xml:space="preserve">set out </w:t>
      </w:r>
      <w:r w:rsidRPr="00DF14E1">
        <w:t xml:space="preserve">in Annex I </w:t>
      </w:r>
      <w:r w:rsidR="00965673" w:rsidRPr="00DF14E1">
        <w:t xml:space="preserve">to this Regulation </w:t>
      </w:r>
      <w:r w:rsidRPr="00DF14E1">
        <w:t xml:space="preserve">and </w:t>
      </w:r>
      <w:r w:rsidR="000C0000" w:rsidRPr="00DF14E1">
        <w:t xml:space="preserve">by following </w:t>
      </w:r>
      <w:r w:rsidRPr="00DF14E1">
        <w:t>the instructions set out in Annex II</w:t>
      </w:r>
      <w:r w:rsidR="00453D69" w:rsidRPr="00DF14E1">
        <w:t xml:space="preserve"> </w:t>
      </w:r>
      <w:r w:rsidR="00453D69" w:rsidRPr="00DF14E1">
        <w:rPr>
          <w:rFonts w:eastAsia="Times New Roman"/>
        </w:rPr>
        <w:t>to this Regulation</w:t>
      </w:r>
      <w:r w:rsidRPr="00DF14E1">
        <w:t>.</w:t>
      </w:r>
    </w:p>
    <w:p w:rsidR="007E66A7" w:rsidRPr="00DF14E1" w:rsidRDefault="007E66A7" w:rsidP="00F5043B">
      <w:pPr>
        <w:pStyle w:val="NumPar1"/>
        <w:tabs>
          <w:tab w:val="clear" w:pos="850"/>
          <w:tab w:val="left" w:pos="567"/>
        </w:tabs>
        <w:ind w:left="0" w:firstLine="0"/>
      </w:pPr>
      <w:r w:rsidRPr="00DF14E1">
        <w:t xml:space="preserve">Institutions shall </w:t>
      </w:r>
      <w:r w:rsidR="00497414" w:rsidRPr="00DF14E1">
        <w:t>disclose the information referred to</w:t>
      </w:r>
      <w:r w:rsidR="00497414" w:rsidRPr="00DF14E1" w:rsidDel="00497414">
        <w:t xml:space="preserve"> </w:t>
      </w:r>
      <w:r w:rsidRPr="00DF14E1">
        <w:t>in Article 438</w:t>
      </w:r>
      <w:r w:rsidR="00453D69" w:rsidRPr="00DF14E1">
        <w:t>,</w:t>
      </w:r>
      <w:r w:rsidRPr="00DF14E1">
        <w:t xml:space="preserve"> </w:t>
      </w:r>
      <w:r w:rsidR="00453D69" w:rsidRPr="00DF14E1">
        <w:t xml:space="preserve">points (f) and (g), </w:t>
      </w:r>
      <w:r w:rsidRPr="00DF14E1">
        <w:t xml:space="preserve">of Regulation (EU) No 575/2013 </w:t>
      </w:r>
      <w:r w:rsidR="00963178" w:rsidRPr="00DF14E1">
        <w:t xml:space="preserve">by using </w:t>
      </w:r>
      <w:r w:rsidRPr="00DF14E1">
        <w:t xml:space="preserve">templates EU INS1 and EU INS2 </w:t>
      </w:r>
      <w:r w:rsidR="00453D69" w:rsidRPr="00DF14E1">
        <w:t>set out in</w:t>
      </w:r>
      <w:r w:rsidRPr="00DF14E1">
        <w:t xml:space="preserve"> Annex I </w:t>
      </w:r>
      <w:r w:rsidR="00965673" w:rsidRPr="00DF14E1">
        <w:t xml:space="preserve">to this Regulation </w:t>
      </w:r>
      <w:r w:rsidRPr="00DF14E1">
        <w:t xml:space="preserve">and </w:t>
      </w:r>
      <w:r w:rsidR="003460F1" w:rsidRPr="00DF14E1">
        <w:t xml:space="preserve">by following </w:t>
      </w:r>
      <w:r w:rsidRPr="00DF14E1">
        <w:t>the instructions set out in Annex II</w:t>
      </w:r>
      <w:r w:rsidR="00453D69" w:rsidRPr="00DF14E1">
        <w:t xml:space="preserve"> to this Regulation</w:t>
      </w:r>
      <w:r w:rsidRPr="00DF14E1">
        <w:t>.</w:t>
      </w:r>
    </w:p>
    <w:p w:rsidR="00725875" w:rsidRPr="00DF14E1" w:rsidRDefault="00725875" w:rsidP="00725875">
      <w:pPr>
        <w:pStyle w:val="Titrearticle"/>
      </w:pPr>
      <w:r w:rsidRPr="00DF14E1">
        <w:t xml:space="preserve">Article </w:t>
      </w:r>
      <w:r w:rsidR="00453D69" w:rsidRPr="00DF14E1">
        <w:t>2</w:t>
      </w:r>
    </w:p>
    <w:p w:rsidR="007E66A7" w:rsidRPr="00DF14E1" w:rsidRDefault="007E66A7" w:rsidP="007E66A7">
      <w:pPr>
        <w:pStyle w:val="Titrearticle"/>
        <w:spacing w:before="120"/>
        <w:rPr>
          <w:b/>
          <w:i w:val="0"/>
        </w:rPr>
      </w:pPr>
      <w:r w:rsidRPr="00DF14E1">
        <w:rPr>
          <w:b/>
          <w:i w:val="0"/>
        </w:rPr>
        <w:t>D</w:t>
      </w:r>
      <w:r w:rsidR="00F5043B" w:rsidRPr="00DF14E1">
        <w:rPr>
          <w:b/>
          <w:i w:val="0"/>
        </w:rPr>
        <w:t>isclosure of risk management objectives and policies</w:t>
      </w:r>
    </w:p>
    <w:p w:rsidR="007E66A7" w:rsidRPr="00DF14E1" w:rsidRDefault="007E66A7" w:rsidP="007E66A7">
      <w:pPr>
        <w:rPr>
          <w:i/>
        </w:rPr>
      </w:pPr>
      <w:r w:rsidRPr="00DF14E1">
        <w:t xml:space="preserve">Institutions shall </w:t>
      </w:r>
      <w:r w:rsidR="00497414" w:rsidRPr="00DF14E1">
        <w:t>disclose the information referred to</w:t>
      </w:r>
      <w:r w:rsidR="00497414" w:rsidRPr="00DF14E1" w:rsidDel="00497414">
        <w:t xml:space="preserve"> </w:t>
      </w:r>
      <w:r w:rsidRPr="00DF14E1">
        <w:t xml:space="preserve">in Article 435 of Regulation (EU) No 575/2013 </w:t>
      </w:r>
      <w:r w:rsidR="00963178" w:rsidRPr="00DF14E1">
        <w:t xml:space="preserve">by using </w:t>
      </w:r>
      <w:r w:rsidRPr="00DF14E1">
        <w:t xml:space="preserve">tables EU OVA and EU OVB </w:t>
      </w:r>
      <w:r w:rsidR="00453D69" w:rsidRPr="00DF14E1">
        <w:t>set out in</w:t>
      </w:r>
      <w:r w:rsidRPr="00DF14E1">
        <w:t xml:space="preserve"> Annex III </w:t>
      </w:r>
      <w:r w:rsidR="00965673" w:rsidRPr="00DF14E1">
        <w:t xml:space="preserve">to this Regulation </w:t>
      </w:r>
      <w:r w:rsidRPr="00DF14E1">
        <w:t xml:space="preserve">and </w:t>
      </w:r>
      <w:r w:rsidR="003460F1" w:rsidRPr="00DF14E1">
        <w:t xml:space="preserve">by following </w:t>
      </w:r>
      <w:r w:rsidRPr="00DF14E1">
        <w:t>the instructions set out in Annex IV</w:t>
      </w:r>
      <w:r w:rsidR="00453D69" w:rsidRPr="00DF14E1">
        <w:t xml:space="preserve"> to this Regulation</w:t>
      </w:r>
      <w:r w:rsidRPr="00DF14E1">
        <w:t>.</w:t>
      </w:r>
    </w:p>
    <w:p w:rsidR="00725875" w:rsidRPr="00DF14E1" w:rsidRDefault="00725875" w:rsidP="00725875">
      <w:pPr>
        <w:pStyle w:val="Titrearticle"/>
      </w:pPr>
      <w:r w:rsidRPr="00DF14E1">
        <w:t xml:space="preserve">Article </w:t>
      </w:r>
      <w:r w:rsidR="005F7F66" w:rsidRPr="00DF14E1">
        <w:t>3</w:t>
      </w:r>
    </w:p>
    <w:p w:rsidR="009F40BE" w:rsidRPr="00DF14E1" w:rsidRDefault="009F40BE" w:rsidP="00F5043B">
      <w:pPr>
        <w:pStyle w:val="Titrearticle"/>
        <w:tabs>
          <w:tab w:val="left" w:pos="567"/>
        </w:tabs>
        <w:spacing w:before="120"/>
        <w:rPr>
          <w:b/>
          <w:i w:val="0"/>
        </w:rPr>
      </w:pPr>
      <w:r w:rsidRPr="00DF14E1">
        <w:rPr>
          <w:b/>
          <w:i w:val="0"/>
        </w:rPr>
        <w:t>D</w:t>
      </w:r>
      <w:r w:rsidR="00F5043B" w:rsidRPr="00DF14E1">
        <w:rPr>
          <w:b/>
          <w:i w:val="0"/>
        </w:rPr>
        <w:t>isclosure of the scope of application</w:t>
      </w:r>
      <w:r w:rsidRPr="00DF14E1">
        <w:rPr>
          <w:b/>
          <w:i w:val="0"/>
        </w:rPr>
        <w:t xml:space="preserve"> </w:t>
      </w:r>
    </w:p>
    <w:p w:rsidR="009F40BE" w:rsidRPr="00DF14E1" w:rsidRDefault="009F40BE" w:rsidP="00F5043B">
      <w:pPr>
        <w:pStyle w:val="NumPar1"/>
        <w:numPr>
          <w:ilvl w:val="0"/>
          <w:numId w:val="10"/>
        </w:numPr>
        <w:tabs>
          <w:tab w:val="clear" w:pos="850"/>
          <w:tab w:val="left" w:pos="567"/>
        </w:tabs>
        <w:ind w:left="0" w:firstLine="0"/>
      </w:pPr>
      <w:r w:rsidRPr="00DF14E1">
        <w:t xml:space="preserve">Institutions shall </w:t>
      </w:r>
      <w:r w:rsidR="005F490A" w:rsidRPr="00DF14E1">
        <w:t>disclose the information referred to</w:t>
      </w:r>
      <w:r w:rsidRPr="00DF14E1">
        <w:t xml:space="preserve"> in </w:t>
      </w:r>
      <w:r w:rsidR="00453D69" w:rsidRPr="00DF14E1">
        <w:t xml:space="preserve">Article 436, </w:t>
      </w:r>
      <w:r w:rsidRPr="00DF14E1">
        <w:t>points (b) and (c)</w:t>
      </w:r>
      <w:r w:rsidR="00453D69" w:rsidRPr="00DF14E1">
        <w:t>,</w:t>
      </w:r>
      <w:r w:rsidRPr="00DF14E1">
        <w:t xml:space="preserve"> of Regulation (EU) No 575/2013</w:t>
      </w:r>
      <w:r w:rsidR="005F490A" w:rsidRPr="00DF14E1">
        <w:t xml:space="preserve"> by using</w:t>
      </w:r>
      <w:r w:rsidR="00A70AF9" w:rsidRPr="00DF14E1">
        <w:t xml:space="preserve"> </w:t>
      </w:r>
      <w:r w:rsidR="005F490A" w:rsidRPr="00DF14E1">
        <w:t>t</w:t>
      </w:r>
      <w:r w:rsidRPr="00DF14E1">
        <w:t xml:space="preserve">emplates EU LI1 and EU LI3 of Annex V </w:t>
      </w:r>
      <w:r w:rsidR="00965673" w:rsidRPr="00DF14E1">
        <w:t xml:space="preserve">to this Regulation </w:t>
      </w:r>
      <w:r w:rsidRPr="00DF14E1">
        <w:t xml:space="preserve">and </w:t>
      </w:r>
      <w:r w:rsidR="005F490A" w:rsidRPr="00DF14E1">
        <w:t xml:space="preserve">by following </w:t>
      </w:r>
      <w:r w:rsidRPr="00DF14E1">
        <w:t>the instructions set out in Annex VI</w:t>
      </w:r>
      <w:r w:rsidR="00453D69" w:rsidRPr="00DF14E1">
        <w:t xml:space="preserve"> to this Regulation</w:t>
      </w:r>
      <w:r w:rsidRPr="00DF14E1">
        <w:t>.</w:t>
      </w:r>
    </w:p>
    <w:p w:rsidR="009F40BE" w:rsidRPr="00DF14E1" w:rsidRDefault="009F40BE" w:rsidP="00F5043B">
      <w:pPr>
        <w:pStyle w:val="NumPar1"/>
        <w:tabs>
          <w:tab w:val="clear" w:pos="850"/>
          <w:tab w:val="left" w:pos="567"/>
        </w:tabs>
        <w:ind w:left="0" w:firstLine="0"/>
      </w:pPr>
      <w:r w:rsidRPr="00DF14E1">
        <w:t xml:space="preserve">Institutions shall </w:t>
      </w:r>
      <w:r w:rsidR="005F490A" w:rsidRPr="00DF14E1">
        <w:t xml:space="preserve">disclose the information referred to </w:t>
      </w:r>
      <w:r w:rsidR="00EF6392" w:rsidRPr="00DF14E1">
        <w:t>in</w:t>
      </w:r>
      <w:r w:rsidRPr="00DF14E1">
        <w:t xml:space="preserve"> Article 436</w:t>
      </w:r>
      <w:r w:rsidR="00453D69" w:rsidRPr="00DF14E1">
        <w:t>,</w:t>
      </w:r>
      <w:r w:rsidRPr="00DF14E1">
        <w:t xml:space="preserve"> </w:t>
      </w:r>
      <w:r w:rsidR="00453D69" w:rsidRPr="00DF14E1">
        <w:t xml:space="preserve">points (b) and (d), </w:t>
      </w:r>
      <w:r w:rsidRPr="00DF14E1">
        <w:t>of Regulation (EU) No 575/2013</w:t>
      </w:r>
      <w:r w:rsidR="005F490A" w:rsidRPr="00DF14E1">
        <w:t xml:space="preserve"> by using t</w:t>
      </w:r>
      <w:r w:rsidRPr="00DF14E1">
        <w:t xml:space="preserve">emplate EU LI2 and </w:t>
      </w:r>
      <w:r w:rsidR="005F490A" w:rsidRPr="00DF14E1">
        <w:t>t</w:t>
      </w:r>
      <w:r w:rsidRPr="00DF14E1">
        <w:t xml:space="preserve">able </w:t>
      </w:r>
      <w:r w:rsidR="00C47BED">
        <w:t xml:space="preserve">EU </w:t>
      </w:r>
      <w:r w:rsidRPr="00DF14E1">
        <w:t xml:space="preserve">LIA of Annex V </w:t>
      </w:r>
      <w:r w:rsidR="00965673" w:rsidRPr="00DF14E1">
        <w:t xml:space="preserve">to this Regulation </w:t>
      </w:r>
      <w:r w:rsidRPr="00DF14E1">
        <w:t xml:space="preserve">and </w:t>
      </w:r>
      <w:r w:rsidR="005F490A" w:rsidRPr="00DF14E1">
        <w:t xml:space="preserve">by following </w:t>
      </w:r>
      <w:r w:rsidRPr="00DF14E1">
        <w:t>the instructions set out in Annex VI</w:t>
      </w:r>
      <w:r w:rsidR="00453D69" w:rsidRPr="00DF14E1">
        <w:t xml:space="preserve"> to this Regulation</w:t>
      </w:r>
      <w:r w:rsidRPr="00DF14E1">
        <w:t>.</w:t>
      </w:r>
    </w:p>
    <w:p w:rsidR="009F40BE" w:rsidRPr="00DF14E1" w:rsidRDefault="009F40BE" w:rsidP="00F5043B">
      <w:pPr>
        <w:pStyle w:val="NumPar1"/>
        <w:tabs>
          <w:tab w:val="clear" w:pos="850"/>
          <w:tab w:val="left" w:pos="567"/>
        </w:tabs>
        <w:ind w:left="0" w:firstLine="0"/>
      </w:pPr>
      <w:r w:rsidRPr="00DF14E1">
        <w:t xml:space="preserve">Institutions shall </w:t>
      </w:r>
      <w:r w:rsidR="005F490A" w:rsidRPr="00DF14E1">
        <w:t>disclose the information referred to</w:t>
      </w:r>
      <w:r w:rsidRPr="00DF14E1">
        <w:t xml:space="preserve"> in Article 436</w:t>
      </w:r>
      <w:r w:rsidR="00B8013E" w:rsidRPr="00DF14E1">
        <w:t>,</w:t>
      </w:r>
      <w:r w:rsidRPr="00DF14E1">
        <w:t xml:space="preserve"> </w:t>
      </w:r>
      <w:r w:rsidR="00B8013E" w:rsidRPr="00DF14E1">
        <w:t>point (e)</w:t>
      </w:r>
      <w:r w:rsidR="005F490A" w:rsidRPr="00DF14E1">
        <w:t>,</w:t>
      </w:r>
      <w:r w:rsidR="0002231C" w:rsidRPr="00DF14E1">
        <w:t xml:space="preserve"> </w:t>
      </w:r>
      <w:proofErr w:type="gramStart"/>
      <w:r w:rsidRPr="00DF14E1">
        <w:t>of</w:t>
      </w:r>
      <w:proofErr w:type="gramEnd"/>
      <w:r w:rsidRPr="00DF14E1">
        <w:t xml:space="preserve"> Regulation (EU) No 575/2013</w:t>
      </w:r>
      <w:r w:rsidR="005F490A" w:rsidRPr="00DF14E1">
        <w:t xml:space="preserve"> by using t</w:t>
      </w:r>
      <w:r w:rsidRPr="00DF14E1">
        <w:t xml:space="preserve">emplate EU PV1 of Annex V </w:t>
      </w:r>
      <w:r w:rsidR="00965673" w:rsidRPr="00DF14E1">
        <w:t xml:space="preserve">to this Regulation </w:t>
      </w:r>
      <w:r w:rsidRPr="00DF14E1">
        <w:t xml:space="preserve">and </w:t>
      </w:r>
      <w:r w:rsidR="005F490A" w:rsidRPr="00DF14E1">
        <w:t xml:space="preserve">by following </w:t>
      </w:r>
      <w:r w:rsidRPr="00DF14E1">
        <w:t>the instructions set out in Annex VI</w:t>
      </w:r>
      <w:r w:rsidR="00B8013E" w:rsidRPr="00DF14E1">
        <w:t xml:space="preserve"> to this Regulation</w:t>
      </w:r>
      <w:r w:rsidRPr="00DF14E1">
        <w:t>.</w:t>
      </w:r>
    </w:p>
    <w:p w:rsidR="009F40BE" w:rsidRPr="00DF14E1" w:rsidRDefault="009F40BE" w:rsidP="00F5043B">
      <w:pPr>
        <w:pStyle w:val="NumPar1"/>
        <w:tabs>
          <w:tab w:val="clear" w:pos="850"/>
          <w:tab w:val="left" w:pos="567"/>
        </w:tabs>
        <w:ind w:left="0" w:firstLine="0"/>
      </w:pPr>
      <w:r w:rsidRPr="00DF14E1">
        <w:t xml:space="preserve">Institutions shall </w:t>
      </w:r>
      <w:r w:rsidR="005F490A" w:rsidRPr="00DF14E1">
        <w:t xml:space="preserve">disclose the information referred to </w:t>
      </w:r>
      <w:r w:rsidRPr="00DF14E1">
        <w:t>in Article 436</w:t>
      </w:r>
      <w:r w:rsidR="00B8013E" w:rsidRPr="00DF14E1">
        <w:t>,</w:t>
      </w:r>
      <w:r w:rsidRPr="00DF14E1">
        <w:t xml:space="preserve"> </w:t>
      </w:r>
      <w:r w:rsidR="00B8013E" w:rsidRPr="00DF14E1">
        <w:t xml:space="preserve">points (f), (g) and (h), </w:t>
      </w:r>
      <w:r w:rsidRPr="00DF14E1">
        <w:t xml:space="preserve">of Regulation (EU) No 575/2013, </w:t>
      </w:r>
      <w:r w:rsidR="005F490A" w:rsidRPr="00DF14E1">
        <w:t>by using</w:t>
      </w:r>
      <w:r w:rsidRPr="00DF14E1">
        <w:t xml:space="preserve"> </w:t>
      </w:r>
      <w:r w:rsidR="005F490A" w:rsidRPr="00DF14E1">
        <w:t>t</w:t>
      </w:r>
      <w:r w:rsidRPr="00DF14E1">
        <w:t>able EU LIB of Annex V</w:t>
      </w:r>
      <w:r w:rsidR="00965673" w:rsidRPr="00DF14E1">
        <w:t xml:space="preserve"> to this Regulation</w:t>
      </w:r>
      <w:r w:rsidRPr="00DF14E1">
        <w:t xml:space="preserve"> and </w:t>
      </w:r>
      <w:r w:rsidR="005F490A" w:rsidRPr="00DF14E1">
        <w:t xml:space="preserve">by following </w:t>
      </w:r>
      <w:r w:rsidRPr="00DF14E1">
        <w:t>the instructions set out in Annex VI</w:t>
      </w:r>
      <w:r w:rsidR="00B8013E" w:rsidRPr="00DF14E1">
        <w:t xml:space="preserve"> to this Regulation</w:t>
      </w:r>
      <w:r w:rsidRPr="00DF14E1">
        <w:t>.</w:t>
      </w:r>
    </w:p>
    <w:p w:rsidR="00725875" w:rsidRPr="00DF14E1" w:rsidRDefault="00725875" w:rsidP="00725875">
      <w:pPr>
        <w:pStyle w:val="Titrearticle"/>
      </w:pPr>
      <w:r w:rsidRPr="00DF14E1">
        <w:t xml:space="preserve">Article </w:t>
      </w:r>
      <w:r w:rsidR="0002231C" w:rsidRPr="00DF14E1">
        <w:t>4</w:t>
      </w:r>
    </w:p>
    <w:p w:rsidR="009F40BE" w:rsidRPr="00DF14E1" w:rsidRDefault="009F40BE" w:rsidP="009F40BE">
      <w:pPr>
        <w:pStyle w:val="Titrearticle"/>
        <w:spacing w:before="120"/>
        <w:rPr>
          <w:b/>
          <w:i w:val="0"/>
        </w:rPr>
      </w:pPr>
      <w:r w:rsidRPr="00DF14E1">
        <w:rPr>
          <w:b/>
          <w:i w:val="0"/>
        </w:rPr>
        <w:t>D</w:t>
      </w:r>
      <w:r w:rsidR="00F5043B" w:rsidRPr="00DF14E1">
        <w:rPr>
          <w:b/>
          <w:i w:val="0"/>
        </w:rPr>
        <w:t>isclosure of own funds</w:t>
      </w:r>
    </w:p>
    <w:p w:rsidR="009F40BE" w:rsidRPr="00DF14E1" w:rsidRDefault="009F40BE" w:rsidP="009F40BE">
      <w:pPr>
        <w:rPr>
          <w:i/>
        </w:rPr>
      </w:pPr>
      <w:r w:rsidRPr="00DF14E1">
        <w:t>Institutions shall disclos</w:t>
      </w:r>
      <w:r w:rsidR="005F490A" w:rsidRPr="00DF14E1">
        <w:t>e the information</w:t>
      </w:r>
      <w:r w:rsidRPr="00DF14E1">
        <w:t xml:space="preserve"> </w:t>
      </w:r>
      <w:r w:rsidR="005F490A" w:rsidRPr="00DF14E1">
        <w:t xml:space="preserve">referred to </w:t>
      </w:r>
      <w:r w:rsidRPr="00DF14E1">
        <w:t>in Article 437 of Regulation (EU) No 575/2013, as follows:</w:t>
      </w:r>
    </w:p>
    <w:p w:rsidR="009F40BE" w:rsidRPr="00DF14E1" w:rsidRDefault="005F490A" w:rsidP="00F5043B">
      <w:pPr>
        <w:pStyle w:val="Point1letter"/>
        <w:numPr>
          <w:ilvl w:val="3"/>
          <w:numId w:val="15"/>
        </w:numPr>
        <w:tabs>
          <w:tab w:val="clear" w:pos="1417"/>
        </w:tabs>
        <w:ind w:left="567"/>
      </w:pPr>
      <w:r w:rsidRPr="00DF14E1">
        <w:t>the information referred to in</w:t>
      </w:r>
      <w:r w:rsidR="009F40BE" w:rsidRPr="00DF14E1">
        <w:t xml:space="preserve"> Article 437</w:t>
      </w:r>
      <w:r w:rsidR="00B8013E" w:rsidRPr="00DF14E1">
        <w:t>,</w:t>
      </w:r>
      <w:r w:rsidR="009F40BE" w:rsidRPr="00DF14E1">
        <w:t xml:space="preserve"> </w:t>
      </w:r>
      <w:r w:rsidR="00B8013E" w:rsidRPr="00DF14E1">
        <w:t>points (a), (d), (e) and (f)</w:t>
      </w:r>
      <w:r w:rsidRPr="00DF14E1">
        <w:t>,</w:t>
      </w:r>
      <w:r w:rsidR="00B8013E" w:rsidRPr="00DF14E1">
        <w:t xml:space="preserve"> </w:t>
      </w:r>
      <w:r w:rsidR="009F40BE" w:rsidRPr="00DF14E1">
        <w:t>of Regulation (EU) No 575/2013</w:t>
      </w:r>
      <w:r w:rsidRPr="00DF14E1">
        <w:t xml:space="preserve"> by using</w:t>
      </w:r>
      <w:r w:rsidR="009F40BE" w:rsidRPr="00DF14E1">
        <w:t xml:space="preserve"> templates EU CC1 and EU CC2 of Annex VII </w:t>
      </w:r>
      <w:r w:rsidRPr="00DF14E1">
        <w:t xml:space="preserve">to this Regulation </w:t>
      </w:r>
      <w:r w:rsidR="009F40BE" w:rsidRPr="00DF14E1">
        <w:t xml:space="preserve">and </w:t>
      </w:r>
      <w:r w:rsidRPr="00DF14E1">
        <w:t xml:space="preserve">by following </w:t>
      </w:r>
      <w:r w:rsidR="009F40BE" w:rsidRPr="00DF14E1">
        <w:t>the instructions set out in Annex VIII</w:t>
      </w:r>
      <w:r w:rsidRPr="00DF14E1">
        <w:t xml:space="preserve"> to this Regulation</w:t>
      </w:r>
      <w:r w:rsidR="00F5043B" w:rsidRPr="00DF14E1">
        <w:t>;</w:t>
      </w:r>
    </w:p>
    <w:p w:rsidR="009F40BE" w:rsidRPr="00DF14E1" w:rsidRDefault="005F490A" w:rsidP="00F5043B">
      <w:pPr>
        <w:pStyle w:val="Point1letter"/>
        <w:tabs>
          <w:tab w:val="clear" w:pos="1417"/>
        </w:tabs>
        <w:ind w:left="567"/>
      </w:pPr>
      <w:r w:rsidRPr="00DF14E1">
        <w:t>the information referred to</w:t>
      </w:r>
      <w:r w:rsidR="009F40BE" w:rsidRPr="00DF14E1">
        <w:t xml:space="preserve"> </w:t>
      </w:r>
      <w:r w:rsidRPr="00DF14E1">
        <w:t>in Article 437,</w:t>
      </w:r>
      <w:r w:rsidR="009F40BE" w:rsidRPr="00DF14E1">
        <w:t xml:space="preserve"> points (b) and (c)</w:t>
      </w:r>
      <w:r w:rsidRPr="00DF14E1">
        <w:t>, of Regulation (EU) No 575/2013 by using</w:t>
      </w:r>
      <w:r w:rsidR="009F40BE" w:rsidRPr="00DF14E1">
        <w:t xml:space="preserve"> table EU CCA of Annex VII </w:t>
      </w:r>
      <w:r w:rsidRPr="00DF14E1">
        <w:t xml:space="preserve">to this Regulation </w:t>
      </w:r>
      <w:r w:rsidR="009F40BE" w:rsidRPr="00DF14E1">
        <w:t xml:space="preserve">and </w:t>
      </w:r>
      <w:r w:rsidRPr="00DF14E1">
        <w:t xml:space="preserve">by following </w:t>
      </w:r>
      <w:r w:rsidR="009F40BE" w:rsidRPr="00DF14E1">
        <w:t>the instructions set out in Annex VIII</w:t>
      </w:r>
      <w:r w:rsidRPr="00DF14E1">
        <w:t xml:space="preserve"> to this Regulation</w:t>
      </w:r>
      <w:r w:rsidR="009F40BE" w:rsidRPr="00DF14E1">
        <w:t>.</w:t>
      </w:r>
    </w:p>
    <w:p w:rsidR="00A10245" w:rsidRPr="00DF14E1" w:rsidRDefault="00A10245" w:rsidP="00A10245">
      <w:pPr>
        <w:pStyle w:val="Titrearticle"/>
      </w:pPr>
      <w:r w:rsidRPr="00DF14E1">
        <w:t xml:space="preserve">Article </w:t>
      </w:r>
      <w:r w:rsidR="00E174B5" w:rsidRPr="00DF14E1">
        <w:t xml:space="preserve">5 </w:t>
      </w:r>
    </w:p>
    <w:p w:rsidR="009F40BE" w:rsidRPr="00DF14E1" w:rsidRDefault="009F40BE" w:rsidP="009F40BE">
      <w:pPr>
        <w:pStyle w:val="Titrearticle"/>
        <w:spacing w:before="120"/>
        <w:rPr>
          <w:b/>
          <w:i w:val="0"/>
        </w:rPr>
      </w:pPr>
      <w:r w:rsidRPr="00DF14E1">
        <w:rPr>
          <w:b/>
          <w:i w:val="0"/>
        </w:rPr>
        <w:t>D</w:t>
      </w:r>
      <w:r w:rsidR="00F5043B" w:rsidRPr="00DF14E1">
        <w:rPr>
          <w:b/>
          <w:i w:val="0"/>
        </w:rPr>
        <w:t>isclosure of countercyclical capital buffers</w:t>
      </w:r>
    </w:p>
    <w:p w:rsidR="009F40BE" w:rsidRPr="00DF14E1" w:rsidRDefault="009F40BE" w:rsidP="009F40BE">
      <w:r w:rsidRPr="00DF14E1">
        <w:t xml:space="preserve">Institutions shall </w:t>
      </w:r>
      <w:r w:rsidR="005F490A" w:rsidRPr="00DF14E1">
        <w:t>disclose the information</w:t>
      </w:r>
      <w:r w:rsidRPr="00DF14E1">
        <w:t xml:space="preserve"> </w:t>
      </w:r>
      <w:r w:rsidR="005F490A" w:rsidRPr="00DF14E1">
        <w:t xml:space="preserve">referred to </w:t>
      </w:r>
      <w:r w:rsidRPr="00DF14E1">
        <w:t>in Article 440 of Regulation (EU) No 575/2013 as follows:</w:t>
      </w:r>
    </w:p>
    <w:p w:rsidR="009F40BE" w:rsidRPr="00DF14E1" w:rsidRDefault="005F490A" w:rsidP="00F5043B">
      <w:pPr>
        <w:pStyle w:val="Point1letter"/>
        <w:numPr>
          <w:ilvl w:val="3"/>
          <w:numId w:val="11"/>
        </w:numPr>
        <w:tabs>
          <w:tab w:val="clear" w:pos="1417"/>
        </w:tabs>
        <w:ind w:left="567"/>
      </w:pPr>
      <w:r w:rsidRPr="00DF14E1">
        <w:t>the information referred to</w:t>
      </w:r>
      <w:r w:rsidR="009F40BE" w:rsidRPr="00DF14E1">
        <w:t xml:space="preserve"> in Article 440</w:t>
      </w:r>
      <w:r w:rsidRPr="00DF14E1">
        <w:t>,</w:t>
      </w:r>
      <w:r w:rsidR="009F40BE" w:rsidRPr="00DF14E1">
        <w:t xml:space="preserve"> </w:t>
      </w:r>
      <w:r w:rsidRPr="00DF14E1">
        <w:t>point (a), of Regulation (EU) No 575/2013 by using t</w:t>
      </w:r>
      <w:r w:rsidR="009F40BE" w:rsidRPr="00DF14E1">
        <w:t xml:space="preserve">emplate EU CCYB1 of Annex IX </w:t>
      </w:r>
      <w:r w:rsidRPr="00DF14E1">
        <w:t xml:space="preserve">to this Regulation </w:t>
      </w:r>
      <w:r w:rsidR="009F40BE" w:rsidRPr="00DF14E1">
        <w:t xml:space="preserve">and </w:t>
      </w:r>
      <w:r w:rsidRPr="00DF14E1">
        <w:t xml:space="preserve">by following </w:t>
      </w:r>
      <w:r w:rsidR="009F40BE" w:rsidRPr="00DF14E1">
        <w:t>the instructions set out in Annex X</w:t>
      </w:r>
      <w:r w:rsidRPr="00DF14E1">
        <w:t xml:space="preserve"> to this Regulation</w:t>
      </w:r>
      <w:r w:rsidR="00F5043B" w:rsidRPr="00DF14E1">
        <w:t>;</w:t>
      </w:r>
    </w:p>
    <w:p w:rsidR="009F40BE" w:rsidRPr="00DF14E1" w:rsidRDefault="00E42EC8" w:rsidP="00F5043B">
      <w:pPr>
        <w:pStyle w:val="Point1letter"/>
        <w:tabs>
          <w:tab w:val="clear" w:pos="1417"/>
        </w:tabs>
        <w:ind w:left="567"/>
      </w:pPr>
      <w:r w:rsidRPr="00DF14E1">
        <w:t>the information referred to</w:t>
      </w:r>
      <w:r w:rsidR="009F40BE" w:rsidRPr="00DF14E1">
        <w:t xml:space="preserve"> in Article 440</w:t>
      </w:r>
      <w:r w:rsidRPr="00DF14E1">
        <w:t>,</w:t>
      </w:r>
      <w:r w:rsidR="009F40BE" w:rsidRPr="00DF14E1">
        <w:t xml:space="preserve"> </w:t>
      </w:r>
      <w:r w:rsidRPr="00DF14E1">
        <w:t>point (b) of Regulation (EU) No 575/2013 by using t</w:t>
      </w:r>
      <w:r w:rsidR="009F40BE" w:rsidRPr="00DF14E1">
        <w:t xml:space="preserve">emplate EU CCYB2 of Annex IX </w:t>
      </w:r>
      <w:r w:rsidR="005F490A" w:rsidRPr="00DF14E1">
        <w:t xml:space="preserve">to this Regulation </w:t>
      </w:r>
      <w:r w:rsidR="009F40BE" w:rsidRPr="00DF14E1">
        <w:t xml:space="preserve">and </w:t>
      </w:r>
      <w:r w:rsidRPr="00DF14E1">
        <w:t xml:space="preserve">by following </w:t>
      </w:r>
      <w:r w:rsidR="009F40BE" w:rsidRPr="00DF14E1">
        <w:t>the instructions set out in Annex X</w:t>
      </w:r>
      <w:r w:rsidR="005F490A" w:rsidRPr="00DF14E1">
        <w:t xml:space="preserve"> to this Regulation</w:t>
      </w:r>
      <w:r w:rsidR="009F40BE" w:rsidRPr="00DF14E1">
        <w:t>.</w:t>
      </w:r>
    </w:p>
    <w:p w:rsidR="00496B08" w:rsidRPr="00DF14E1" w:rsidRDefault="00496B08" w:rsidP="00496B08">
      <w:pPr>
        <w:pStyle w:val="Titrearticle"/>
      </w:pPr>
      <w:r w:rsidRPr="00DF14E1">
        <w:t xml:space="preserve">Article </w:t>
      </w:r>
      <w:r w:rsidR="00D2760A" w:rsidRPr="00DF14E1">
        <w:t>6</w:t>
      </w:r>
    </w:p>
    <w:p w:rsidR="009F40BE" w:rsidRPr="00DF14E1" w:rsidRDefault="009F40BE" w:rsidP="009F40BE">
      <w:pPr>
        <w:pStyle w:val="Titrearticle"/>
        <w:spacing w:before="120"/>
        <w:rPr>
          <w:b/>
          <w:i w:val="0"/>
        </w:rPr>
      </w:pPr>
      <w:r w:rsidRPr="00DF14E1">
        <w:rPr>
          <w:b/>
          <w:i w:val="0"/>
        </w:rPr>
        <w:t>D</w:t>
      </w:r>
      <w:r w:rsidR="00F5043B" w:rsidRPr="00DF14E1">
        <w:rPr>
          <w:b/>
          <w:i w:val="0"/>
        </w:rPr>
        <w:t xml:space="preserve">isclosure of the </w:t>
      </w:r>
      <w:proofErr w:type="gramStart"/>
      <w:r w:rsidR="00F5043B" w:rsidRPr="00DF14E1">
        <w:rPr>
          <w:b/>
          <w:i w:val="0"/>
        </w:rPr>
        <w:t>leverage</w:t>
      </w:r>
      <w:proofErr w:type="gramEnd"/>
      <w:r w:rsidR="00F5043B" w:rsidRPr="00DF14E1">
        <w:rPr>
          <w:b/>
          <w:i w:val="0"/>
        </w:rPr>
        <w:t xml:space="preserve"> ratio</w:t>
      </w:r>
    </w:p>
    <w:p w:rsidR="009F40BE" w:rsidRPr="00DF14E1" w:rsidRDefault="009F40BE" w:rsidP="009F40BE">
      <w:r w:rsidRPr="00DF14E1">
        <w:t xml:space="preserve">Institutions shall </w:t>
      </w:r>
      <w:r w:rsidR="00786078" w:rsidRPr="00DF14E1">
        <w:t>disclose the information referred to</w:t>
      </w:r>
      <w:r w:rsidR="00BD158D" w:rsidRPr="00DF14E1">
        <w:t xml:space="preserve"> </w:t>
      </w:r>
      <w:r w:rsidRPr="00DF14E1">
        <w:t>in Article 451 of Regulation (EU) No 575/2013 as follows:</w:t>
      </w:r>
    </w:p>
    <w:p w:rsidR="009F40BE" w:rsidRPr="00DF14E1" w:rsidRDefault="00786078" w:rsidP="00F5043B">
      <w:pPr>
        <w:pStyle w:val="Point1letter"/>
        <w:numPr>
          <w:ilvl w:val="3"/>
          <w:numId w:val="12"/>
        </w:numPr>
        <w:tabs>
          <w:tab w:val="clear" w:pos="1417"/>
        </w:tabs>
        <w:ind w:left="567"/>
      </w:pPr>
      <w:r w:rsidRPr="00DF14E1">
        <w:t xml:space="preserve">the information referred to in Article 451(1), </w:t>
      </w:r>
      <w:r w:rsidR="009F40BE" w:rsidRPr="00DF14E1">
        <w:t>points (a), (b), and (c)</w:t>
      </w:r>
      <w:r w:rsidRPr="00DF14E1">
        <w:t>,</w:t>
      </w:r>
      <w:r w:rsidR="009F40BE" w:rsidRPr="00DF14E1">
        <w:t xml:space="preserve"> and in Article 451</w:t>
      </w:r>
      <w:r w:rsidRPr="00DF14E1">
        <w:t xml:space="preserve">, paragraphs 2 and 3, </w:t>
      </w:r>
      <w:r w:rsidR="009F40BE" w:rsidRPr="00DF14E1">
        <w:t>of Regulation (EU) No 575/2013</w:t>
      </w:r>
      <w:r w:rsidRPr="00DF14E1">
        <w:t xml:space="preserve"> by using t</w:t>
      </w:r>
      <w:r w:rsidR="009F40BE" w:rsidRPr="00DF14E1">
        <w:t xml:space="preserve">emplates EU LR1, EU LR2 and EU LR3 of Annex XI </w:t>
      </w:r>
      <w:r w:rsidR="005F490A" w:rsidRPr="00DF14E1">
        <w:t xml:space="preserve">to this Regulation </w:t>
      </w:r>
      <w:r w:rsidR="009F40BE" w:rsidRPr="00DF14E1">
        <w:t xml:space="preserve">and </w:t>
      </w:r>
      <w:r w:rsidRPr="00DF14E1">
        <w:t xml:space="preserve">by following </w:t>
      </w:r>
      <w:r w:rsidR="009F40BE" w:rsidRPr="00DF14E1">
        <w:t>the instructions set out in Annex XII</w:t>
      </w:r>
      <w:r w:rsidR="005F490A" w:rsidRPr="00DF14E1">
        <w:t xml:space="preserve"> to this Regulation</w:t>
      </w:r>
      <w:r w:rsidR="00F5043B" w:rsidRPr="00DF14E1">
        <w:t>;</w:t>
      </w:r>
    </w:p>
    <w:p w:rsidR="009F40BE" w:rsidRPr="00DF14E1" w:rsidRDefault="00786078" w:rsidP="00F5043B">
      <w:pPr>
        <w:pStyle w:val="Point1letter"/>
        <w:tabs>
          <w:tab w:val="clear" w:pos="1417"/>
        </w:tabs>
        <w:ind w:left="567"/>
      </w:pPr>
      <w:r w:rsidRPr="00DF14E1">
        <w:t xml:space="preserve">the information referred to in Article 451(1), </w:t>
      </w:r>
      <w:r w:rsidR="009F40BE" w:rsidRPr="00DF14E1">
        <w:t>points (d) and (e)</w:t>
      </w:r>
      <w:r w:rsidR="007F676F" w:rsidRPr="00DF14E1">
        <w:t>,</w:t>
      </w:r>
      <w:r w:rsidR="009F40BE" w:rsidRPr="00DF14E1">
        <w:t xml:space="preserve"> of Regulation (EU) No 575/2013</w:t>
      </w:r>
      <w:r w:rsidRPr="00DF14E1">
        <w:t xml:space="preserve"> by using t</w:t>
      </w:r>
      <w:r w:rsidR="009F40BE" w:rsidRPr="00DF14E1">
        <w:t xml:space="preserve">able EU LRA of Annex XI </w:t>
      </w:r>
      <w:r w:rsidR="005F490A" w:rsidRPr="00DF14E1">
        <w:t xml:space="preserve">to this Regulation </w:t>
      </w:r>
      <w:r w:rsidR="009F40BE" w:rsidRPr="00DF14E1">
        <w:t xml:space="preserve">and </w:t>
      </w:r>
      <w:r w:rsidRPr="00DF14E1">
        <w:t xml:space="preserve">by following </w:t>
      </w:r>
      <w:r w:rsidR="009F40BE" w:rsidRPr="00DF14E1">
        <w:t>the instructions set out in Annex XII</w:t>
      </w:r>
      <w:r w:rsidR="005F490A" w:rsidRPr="00DF14E1">
        <w:t xml:space="preserve"> to this Regulation</w:t>
      </w:r>
      <w:r w:rsidR="009F40BE" w:rsidRPr="00DF14E1">
        <w:t>.</w:t>
      </w:r>
    </w:p>
    <w:p w:rsidR="00496B08" w:rsidRPr="00DF14E1" w:rsidRDefault="00496B08" w:rsidP="00496B08">
      <w:pPr>
        <w:pStyle w:val="Titrearticle"/>
      </w:pPr>
      <w:r w:rsidRPr="00DF14E1">
        <w:t xml:space="preserve">Article </w:t>
      </w:r>
      <w:r w:rsidR="00D2760A" w:rsidRPr="00DF14E1">
        <w:t>7</w:t>
      </w:r>
    </w:p>
    <w:p w:rsidR="00A858BC" w:rsidRPr="00DF14E1" w:rsidRDefault="00A858BC" w:rsidP="00A858BC">
      <w:pPr>
        <w:pStyle w:val="Titrearticle"/>
        <w:spacing w:before="120"/>
        <w:rPr>
          <w:b/>
          <w:i w:val="0"/>
        </w:rPr>
      </w:pPr>
      <w:r w:rsidRPr="00DF14E1">
        <w:rPr>
          <w:b/>
          <w:i w:val="0"/>
        </w:rPr>
        <w:t>D</w:t>
      </w:r>
      <w:r w:rsidR="00F5043B" w:rsidRPr="00DF14E1">
        <w:rPr>
          <w:b/>
          <w:i w:val="0"/>
        </w:rPr>
        <w:t>isclosure of liquidity requirements</w:t>
      </w:r>
    </w:p>
    <w:p w:rsidR="000715FC" w:rsidRPr="00DF14E1" w:rsidRDefault="000715FC" w:rsidP="003D44B9">
      <w:pPr>
        <w:rPr>
          <w:i/>
        </w:rPr>
      </w:pPr>
      <w:r w:rsidRPr="00DF14E1">
        <w:t>Institutions shall disclos</w:t>
      </w:r>
      <w:r w:rsidR="00923CC6" w:rsidRPr="00DF14E1">
        <w:t xml:space="preserve">e the information referred to </w:t>
      </w:r>
      <w:r w:rsidRPr="00DF14E1">
        <w:t>in</w:t>
      </w:r>
      <w:r w:rsidR="00D2760A" w:rsidRPr="00DF14E1">
        <w:t xml:space="preserve"> Article 435(1) and in Article </w:t>
      </w:r>
      <w:r w:rsidRPr="00DF14E1">
        <w:t>451a of Regulation (EU) No 575/2013 as follows:</w:t>
      </w:r>
    </w:p>
    <w:p w:rsidR="00A858BC" w:rsidRPr="00DF14E1" w:rsidRDefault="00D001B4" w:rsidP="00F5043B">
      <w:pPr>
        <w:pStyle w:val="Point1letter"/>
        <w:numPr>
          <w:ilvl w:val="3"/>
          <w:numId w:val="16"/>
        </w:numPr>
        <w:tabs>
          <w:tab w:val="clear" w:pos="1417"/>
        </w:tabs>
        <w:ind w:left="567"/>
      </w:pPr>
      <w:r w:rsidRPr="00DF14E1">
        <w:t xml:space="preserve">the information referred to </w:t>
      </w:r>
      <w:r w:rsidR="00A858BC" w:rsidRPr="00DF14E1">
        <w:t>in Article 435(1) and in Article 451a(4) of Regulation (EU) No 575/2013</w:t>
      </w:r>
      <w:r w:rsidRPr="00DF14E1">
        <w:t xml:space="preserve"> by using </w:t>
      </w:r>
      <w:r w:rsidR="00A858BC" w:rsidRPr="00DF14E1">
        <w:t xml:space="preserve">table EU LIQA of Annex XIII </w:t>
      </w:r>
      <w:r w:rsidR="005F490A" w:rsidRPr="00DF14E1">
        <w:t xml:space="preserve">to this Regulation </w:t>
      </w:r>
      <w:r w:rsidR="00A858BC" w:rsidRPr="00DF14E1">
        <w:t xml:space="preserve">and </w:t>
      </w:r>
      <w:r w:rsidRPr="00DF14E1">
        <w:t xml:space="preserve">by following </w:t>
      </w:r>
      <w:r w:rsidR="00A858BC" w:rsidRPr="00DF14E1">
        <w:t>the instructions set out in Annex XIV</w:t>
      </w:r>
      <w:r w:rsidR="005F490A" w:rsidRPr="00DF14E1">
        <w:t xml:space="preserve"> to this Regulation</w:t>
      </w:r>
      <w:r w:rsidR="00F5043B" w:rsidRPr="00DF14E1">
        <w:t>;</w:t>
      </w:r>
    </w:p>
    <w:p w:rsidR="00A858BC" w:rsidRPr="00DF14E1" w:rsidRDefault="00D001B4" w:rsidP="00F5043B">
      <w:pPr>
        <w:pStyle w:val="Point1letter"/>
        <w:numPr>
          <w:ilvl w:val="3"/>
          <w:numId w:val="16"/>
        </w:numPr>
        <w:tabs>
          <w:tab w:val="clear" w:pos="1417"/>
        </w:tabs>
        <w:ind w:left="567"/>
      </w:pPr>
      <w:r w:rsidRPr="00DF14E1">
        <w:t>the information referred to</w:t>
      </w:r>
      <w:r w:rsidR="00A858BC" w:rsidRPr="00DF14E1">
        <w:t xml:space="preserve"> in Article 451a(2) of Regulation (EU) No 575/2013</w:t>
      </w:r>
      <w:r w:rsidRPr="00DF14E1">
        <w:t xml:space="preserve"> by using </w:t>
      </w:r>
      <w:r w:rsidR="00A858BC" w:rsidRPr="00DF14E1">
        <w:t xml:space="preserve">template EU LIQ1 and table EU LIQB of Annex XIII </w:t>
      </w:r>
      <w:r w:rsidR="005F490A" w:rsidRPr="00DF14E1">
        <w:t xml:space="preserve">to this Regulation </w:t>
      </w:r>
      <w:r w:rsidR="00A858BC" w:rsidRPr="00DF14E1">
        <w:t>and</w:t>
      </w:r>
      <w:r w:rsidRPr="00DF14E1">
        <w:t xml:space="preserve"> by following</w:t>
      </w:r>
      <w:r w:rsidR="00A858BC" w:rsidRPr="00DF14E1">
        <w:t xml:space="preserve"> the instructions set out in Annex XIV</w:t>
      </w:r>
      <w:r w:rsidR="005F490A" w:rsidRPr="00DF14E1">
        <w:t xml:space="preserve"> to this Regulation</w:t>
      </w:r>
      <w:r w:rsidR="00F5043B" w:rsidRPr="00DF14E1">
        <w:t>;</w:t>
      </w:r>
    </w:p>
    <w:p w:rsidR="00A858BC" w:rsidRPr="00DF14E1" w:rsidRDefault="00D001B4" w:rsidP="00F5043B">
      <w:pPr>
        <w:pStyle w:val="Point1letter"/>
        <w:numPr>
          <w:ilvl w:val="3"/>
          <w:numId w:val="16"/>
        </w:numPr>
        <w:tabs>
          <w:tab w:val="clear" w:pos="1417"/>
        </w:tabs>
        <w:ind w:left="567"/>
      </w:pPr>
      <w:r w:rsidRPr="00DF14E1">
        <w:t>the information referred to</w:t>
      </w:r>
      <w:r w:rsidR="00A858BC" w:rsidRPr="00DF14E1">
        <w:t xml:space="preserve"> in Article 451a(3) of Regulation (EU) No 575/2013</w:t>
      </w:r>
      <w:r w:rsidRPr="00DF14E1">
        <w:t xml:space="preserve"> by using </w:t>
      </w:r>
      <w:r w:rsidR="00A858BC" w:rsidRPr="00DF14E1">
        <w:t xml:space="preserve">template EU LIQ2 of Annex XIII </w:t>
      </w:r>
      <w:r w:rsidR="005F490A" w:rsidRPr="00DF14E1">
        <w:t xml:space="preserve">to this Regulation </w:t>
      </w:r>
      <w:r w:rsidR="00A858BC" w:rsidRPr="00DF14E1">
        <w:t xml:space="preserve">and </w:t>
      </w:r>
      <w:r w:rsidRPr="00DF14E1">
        <w:t xml:space="preserve">by following </w:t>
      </w:r>
      <w:r w:rsidR="00A858BC" w:rsidRPr="00DF14E1">
        <w:t>the instructions set out in Annex XIV</w:t>
      </w:r>
      <w:r w:rsidR="005F490A" w:rsidRPr="00DF14E1">
        <w:t xml:space="preserve"> to this Regulation</w:t>
      </w:r>
      <w:r w:rsidR="00A858BC" w:rsidRPr="00DF14E1">
        <w:t>.</w:t>
      </w:r>
    </w:p>
    <w:p w:rsidR="00496B08" w:rsidRPr="00DF14E1" w:rsidRDefault="00496B08" w:rsidP="00496B08">
      <w:pPr>
        <w:pStyle w:val="Titrearticle"/>
      </w:pPr>
      <w:r w:rsidRPr="00DF14E1">
        <w:t xml:space="preserve">Article </w:t>
      </w:r>
      <w:r w:rsidR="006518A1" w:rsidRPr="00DF14E1">
        <w:t>8</w:t>
      </w:r>
    </w:p>
    <w:p w:rsidR="00A858BC" w:rsidRPr="00DF14E1" w:rsidRDefault="00A858BC" w:rsidP="00A858BC">
      <w:pPr>
        <w:pStyle w:val="Titrearticle"/>
        <w:spacing w:before="120"/>
        <w:rPr>
          <w:b/>
          <w:i w:val="0"/>
        </w:rPr>
      </w:pPr>
      <w:r w:rsidRPr="00DF14E1">
        <w:rPr>
          <w:b/>
          <w:i w:val="0"/>
        </w:rPr>
        <w:t>D</w:t>
      </w:r>
      <w:r w:rsidR="00F5043B" w:rsidRPr="00DF14E1">
        <w:rPr>
          <w:b/>
          <w:i w:val="0"/>
        </w:rPr>
        <w:t>isclosure of exposures to credit risk, dilution risk and credit quality</w:t>
      </w:r>
    </w:p>
    <w:p w:rsidR="00A858BC" w:rsidRPr="00DF14E1" w:rsidRDefault="00A858BC" w:rsidP="000747E8">
      <w:pPr>
        <w:pStyle w:val="NumPar1"/>
        <w:numPr>
          <w:ilvl w:val="0"/>
          <w:numId w:val="29"/>
        </w:numPr>
        <w:tabs>
          <w:tab w:val="clear" w:pos="850"/>
          <w:tab w:val="left" w:pos="567"/>
        </w:tabs>
        <w:ind w:left="0" w:firstLine="0"/>
      </w:pPr>
      <w:r w:rsidRPr="00DF14E1">
        <w:t xml:space="preserve">Institutions shall </w:t>
      </w:r>
      <w:r w:rsidR="00D001B4" w:rsidRPr="00DF14E1">
        <w:t>disclose the information</w:t>
      </w:r>
      <w:r w:rsidRPr="00DF14E1">
        <w:t xml:space="preserve"> </w:t>
      </w:r>
      <w:r w:rsidR="00D001B4" w:rsidRPr="00DF14E1">
        <w:t xml:space="preserve">referred to </w:t>
      </w:r>
      <w:r w:rsidRPr="00DF14E1">
        <w:t>in Articles 435 and 442 of Regulation (EU) No 575/2013 as follows:</w:t>
      </w:r>
    </w:p>
    <w:p w:rsidR="00A858BC" w:rsidRPr="00DF14E1" w:rsidRDefault="00D001B4" w:rsidP="00F5043B">
      <w:pPr>
        <w:pStyle w:val="Point1letter"/>
        <w:numPr>
          <w:ilvl w:val="3"/>
          <w:numId w:val="17"/>
        </w:numPr>
        <w:tabs>
          <w:tab w:val="clear" w:pos="1417"/>
        </w:tabs>
        <w:ind w:left="567"/>
      </w:pPr>
      <w:r w:rsidRPr="00DF14E1">
        <w:t>the information referred to</w:t>
      </w:r>
      <w:r w:rsidR="00A858BC" w:rsidRPr="00DF14E1">
        <w:t xml:space="preserve"> </w:t>
      </w:r>
      <w:r w:rsidRPr="00DF14E1">
        <w:t xml:space="preserve">in Article 435(1), </w:t>
      </w:r>
      <w:r w:rsidR="00A858BC" w:rsidRPr="00DF14E1">
        <w:t>points (a), (b), (d) and (f)</w:t>
      </w:r>
      <w:r w:rsidRPr="00DF14E1">
        <w:t>,</w:t>
      </w:r>
      <w:r w:rsidR="00A858BC" w:rsidRPr="00DF14E1">
        <w:t xml:space="preserve"> of Regulation (EU) No 575/2013</w:t>
      </w:r>
      <w:r w:rsidRPr="00DF14E1">
        <w:t xml:space="preserve"> by using t</w:t>
      </w:r>
      <w:r w:rsidR="00A858BC" w:rsidRPr="00DF14E1">
        <w:t xml:space="preserve">able EU CRA of Annex XV </w:t>
      </w:r>
      <w:r w:rsidR="005F490A" w:rsidRPr="00DF14E1">
        <w:t xml:space="preserve">to this Regulation </w:t>
      </w:r>
      <w:r w:rsidR="00A858BC" w:rsidRPr="00DF14E1">
        <w:t xml:space="preserve">and </w:t>
      </w:r>
      <w:r w:rsidRPr="00DF14E1">
        <w:t xml:space="preserve">by following </w:t>
      </w:r>
      <w:r w:rsidR="00A858BC" w:rsidRPr="00DF14E1">
        <w:t>the instructions set out in Annex XVI</w:t>
      </w:r>
      <w:r w:rsidR="005F490A" w:rsidRPr="00DF14E1">
        <w:t xml:space="preserve"> to this Regulation</w:t>
      </w:r>
      <w:r w:rsidR="00F5043B" w:rsidRPr="00DF14E1">
        <w:t>;</w:t>
      </w:r>
    </w:p>
    <w:p w:rsidR="00A858BC" w:rsidRPr="00DF14E1" w:rsidRDefault="00D001B4" w:rsidP="00F5043B">
      <w:pPr>
        <w:pStyle w:val="Point1letter"/>
        <w:numPr>
          <w:ilvl w:val="3"/>
          <w:numId w:val="16"/>
        </w:numPr>
        <w:tabs>
          <w:tab w:val="clear" w:pos="1417"/>
        </w:tabs>
        <w:ind w:left="567"/>
      </w:pPr>
      <w:r w:rsidRPr="00DF14E1">
        <w:t>the information referred to in</w:t>
      </w:r>
      <w:r w:rsidR="00A858BC" w:rsidRPr="00DF14E1">
        <w:t xml:space="preserve"> </w:t>
      </w:r>
      <w:r w:rsidRPr="00DF14E1">
        <w:t xml:space="preserve">Article 442, </w:t>
      </w:r>
      <w:r w:rsidR="00A858BC" w:rsidRPr="00DF14E1">
        <w:t>points (a) and (b)</w:t>
      </w:r>
      <w:r w:rsidRPr="00DF14E1">
        <w:t>,</w:t>
      </w:r>
      <w:r w:rsidR="00A858BC" w:rsidRPr="00DF14E1">
        <w:t xml:space="preserve"> of Regulation (EU) No 575/2013</w:t>
      </w:r>
      <w:r w:rsidRPr="00DF14E1">
        <w:t xml:space="preserve"> by using t</w:t>
      </w:r>
      <w:r w:rsidR="00A858BC" w:rsidRPr="00DF14E1">
        <w:t xml:space="preserve">able EU CRB of Annex XV </w:t>
      </w:r>
      <w:r w:rsidR="005F490A" w:rsidRPr="00DF14E1">
        <w:t xml:space="preserve">to this Regulation </w:t>
      </w:r>
      <w:r w:rsidR="00A858BC" w:rsidRPr="00DF14E1">
        <w:t xml:space="preserve">and </w:t>
      </w:r>
      <w:r w:rsidRPr="00DF14E1">
        <w:t xml:space="preserve">by following </w:t>
      </w:r>
      <w:r w:rsidR="00A858BC" w:rsidRPr="00DF14E1">
        <w:t>the instructions set out in Annex XVI</w:t>
      </w:r>
      <w:r w:rsidR="005F490A" w:rsidRPr="00DF14E1">
        <w:t xml:space="preserve"> to this Regulation</w:t>
      </w:r>
      <w:r w:rsidR="00F5043B" w:rsidRPr="00DF14E1">
        <w:t>;</w:t>
      </w:r>
    </w:p>
    <w:p w:rsidR="00A858BC" w:rsidRPr="00DF14E1" w:rsidRDefault="00D001B4" w:rsidP="00F5043B">
      <w:pPr>
        <w:pStyle w:val="Point1letter"/>
        <w:numPr>
          <w:ilvl w:val="3"/>
          <w:numId w:val="16"/>
        </w:numPr>
        <w:tabs>
          <w:tab w:val="clear" w:pos="1417"/>
        </w:tabs>
        <w:ind w:left="567"/>
      </w:pPr>
      <w:r w:rsidRPr="00DF14E1">
        <w:t xml:space="preserve">the information referred to in </w:t>
      </w:r>
      <w:r w:rsidR="00A858BC" w:rsidRPr="00DF14E1">
        <w:t>Article 442</w:t>
      </w:r>
      <w:r w:rsidRPr="00DF14E1">
        <w:t>,</w:t>
      </w:r>
      <w:r w:rsidR="00A858BC" w:rsidRPr="00DF14E1">
        <w:t xml:space="preserve"> </w:t>
      </w:r>
      <w:r w:rsidRPr="00DF14E1">
        <w:t xml:space="preserve">point (d), </w:t>
      </w:r>
      <w:r w:rsidR="00A858BC" w:rsidRPr="00DF14E1">
        <w:t>of Regulation (EU) No 575/2013</w:t>
      </w:r>
      <w:r w:rsidRPr="00DF14E1">
        <w:t xml:space="preserve"> by using </w:t>
      </w:r>
      <w:r w:rsidR="00A91F18" w:rsidRPr="00DF14E1">
        <w:t xml:space="preserve">template </w:t>
      </w:r>
      <w:r w:rsidR="00A858BC" w:rsidRPr="00DF14E1">
        <w:t xml:space="preserve">EU CQ3 of Annex XV </w:t>
      </w:r>
      <w:r w:rsidR="005F490A" w:rsidRPr="00DF14E1">
        <w:t xml:space="preserve">to this Regulation </w:t>
      </w:r>
      <w:r w:rsidR="00A858BC" w:rsidRPr="00DF14E1">
        <w:t>and</w:t>
      </w:r>
      <w:r w:rsidRPr="00DF14E1">
        <w:t xml:space="preserve"> by following</w:t>
      </w:r>
      <w:r w:rsidR="00A858BC" w:rsidRPr="00DF14E1">
        <w:t xml:space="preserve"> the instructions set out in Annex XVI</w:t>
      </w:r>
      <w:r w:rsidR="005F490A" w:rsidRPr="00DF14E1">
        <w:t xml:space="preserve"> to this Regulation</w:t>
      </w:r>
      <w:r w:rsidR="00F5043B" w:rsidRPr="00DF14E1">
        <w:t>;</w:t>
      </w:r>
    </w:p>
    <w:p w:rsidR="00A858BC" w:rsidRPr="00DF14E1" w:rsidRDefault="00D001B4" w:rsidP="00F5043B">
      <w:pPr>
        <w:pStyle w:val="Point1letter"/>
        <w:numPr>
          <w:ilvl w:val="3"/>
          <w:numId w:val="16"/>
        </w:numPr>
        <w:tabs>
          <w:tab w:val="clear" w:pos="1417"/>
        </w:tabs>
        <w:ind w:left="567"/>
      </w:pPr>
      <w:r w:rsidRPr="00DF14E1">
        <w:t>the information referred to</w:t>
      </w:r>
      <w:r w:rsidR="00A858BC" w:rsidRPr="00DF14E1">
        <w:t xml:space="preserve"> in </w:t>
      </w:r>
      <w:r w:rsidRPr="00DF14E1">
        <w:t xml:space="preserve">Article 442, </w:t>
      </w:r>
      <w:r w:rsidR="00A858BC" w:rsidRPr="00DF14E1">
        <w:t>point (g)</w:t>
      </w:r>
      <w:r w:rsidRPr="00DF14E1">
        <w:t>,</w:t>
      </w:r>
      <w:r w:rsidR="00A858BC" w:rsidRPr="00DF14E1">
        <w:t xml:space="preserve"> of Regulation (EU) No 575/2013</w:t>
      </w:r>
      <w:r w:rsidRPr="00DF14E1">
        <w:t xml:space="preserve"> by using t</w:t>
      </w:r>
      <w:r w:rsidR="00A858BC" w:rsidRPr="00DF14E1">
        <w:t xml:space="preserve">emplate EU CR1-A of Annex XV </w:t>
      </w:r>
      <w:r w:rsidR="005F490A" w:rsidRPr="00DF14E1">
        <w:t xml:space="preserve">to this Regulation </w:t>
      </w:r>
      <w:r w:rsidR="00A858BC" w:rsidRPr="00DF14E1">
        <w:t xml:space="preserve">and </w:t>
      </w:r>
      <w:r w:rsidRPr="00DF14E1">
        <w:t xml:space="preserve">by following </w:t>
      </w:r>
      <w:r w:rsidR="00A858BC" w:rsidRPr="00DF14E1">
        <w:t>the instructions set out in Annex XVI</w:t>
      </w:r>
      <w:r w:rsidR="005F490A" w:rsidRPr="00DF14E1">
        <w:t xml:space="preserve"> to this Regulation</w:t>
      </w:r>
      <w:r w:rsidR="00F5043B" w:rsidRPr="00DF14E1">
        <w:t>;</w:t>
      </w:r>
    </w:p>
    <w:p w:rsidR="00A858BC" w:rsidRPr="00DF14E1" w:rsidRDefault="00D001B4" w:rsidP="00F5043B">
      <w:pPr>
        <w:pStyle w:val="Point1letter"/>
        <w:numPr>
          <w:ilvl w:val="3"/>
          <w:numId w:val="16"/>
        </w:numPr>
        <w:tabs>
          <w:tab w:val="clear" w:pos="1417"/>
        </w:tabs>
        <w:ind w:left="567"/>
      </w:pPr>
      <w:proofErr w:type="gramStart"/>
      <w:r w:rsidRPr="00DF14E1">
        <w:t>the</w:t>
      </w:r>
      <w:proofErr w:type="gramEnd"/>
      <w:r w:rsidRPr="00DF14E1">
        <w:t xml:space="preserve"> information referred to in</w:t>
      </w:r>
      <w:r w:rsidR="00A858BC" w:rsidRPr="00DF14E1">
        <w:t xml:space="preserve"> </w:t>
      </w:r>
      <w:r w:rsidRPr="00DF14E1">
        <w:t>Article 442,</w:t>
      </w:r>
      <w:r w:rsidR="00A858BC" w:rsidRPr="00DF14E1">
        <w:t xml:space="preserve"> point (f)</w:t>
      </w:r>
      <w:r w:rsidRPr="00DF14E1">
        <w:t>,</w:t>
      </w:r>
      <w:r w:rsidR="00A858BC" w:rsidRPr="00DF14E1">
        <w:t xml:space="preserve"> of Regulation (EU) No 575/2013</w:t>
      </w:r>
      <w:r w:rsidRPr="00DF14E1">
        <w:t xml:space="preserve"> by using t</w:t>
      </w:r>
      <w:r w:rsidR="00A858BC" w:rsidRPr="00DF14E1">
        <w:t xml:space="preserve">emplate EU CR2 of Annex XV </w:t>
      </w:r>
      <w:r w:rsidR="005F490A" w:rsidRPr="00DF14E1">
        <w:t xml:space="preserve">to this Regulation </w:t>
      </w:r>
      <w:r w:rsidR="00A858BC" w:rsidRPr="00DF14E1">
        <w:t xml:space="preserve">and </w:t>
      </w:r>
      <w:r w:rsidRPr="00DF14E1">
        <w:t xml:space="preserve">by following </w:t>
      </w:r>
      <w:r w:rsidR="00A858BC" w:rsidRPr="00DF14E1">
        <w:t>the instructions set out in Annex XVI</w:t>
      </w:r>
      <w:r w:rsidR="005F490A" w:rsidRPr="00DF14E1">
        <w:t xml:space="preserve"> to this Regulation</w:t>
      </w:r>
      <w:r w:rsidR="007F676F" w:rsidRPr="00DF14E1">
        <w:t>.</w:t>
      </w:r>
    </w:p>
    <w:p w:rsidR="00DF14E1" w:rsidRDefault="00A858BC" w:rsidP="00DF14E1">
      <w:pPr>
        <w:pStyle w:val="NumPar1"/>
        <w:tabs>
          <w:tab w:val="clear" w:pos="850"/>
          <w:tab w:val="left" w:pos="567"/>
        </w:tabs>
        <w:ind w:left="0" w:firstLine="0"/>
      </w:pPr>
      <w:proofErr w:type="gramStart"/>
      <w:r w:rsidRPr="00DF14E1">
        <w:t xml:space="preserve">Institutions shall </w:t>
      </w:r>
      <w:r w:rsidR="00D001B4" w:rsidRPr="00DF14E1">
        <w:t>disclose the information referred to in</w:t>
      </w:r>
      <w:r w:rsidRPr="00DF14E1">
        <w:t xml:space="preserve"> </w:t>
      </w:r>
      <w:r w:rsidR="00D001B4" w:rsidRPr="00DF14E1">
        <w:t>Article 442,</w:t>
      </w:r>
      <w:r w:rsidRPr="00DF14E1">
        <w:t xml:space="preserve"> points (c), (e) and (f)</w:t>
      </w:r>
      <w:r w:rsidR="00D001B4" w:rsidRPr="00DF14E1">
        <w:t>,</w:t>
      </w:r>
      <w:r w:rsidRPr="00DF14E1">
        <w:t xml:space="preserve"> of Regulation (EU) No 575/2013 </w:t>
      </w:r>
      <w:r w:rsidR="00D001B4" w:rsidRPr="00DF14E1">
        <w:t xml:space="preserve">by using </w:t>
      </w:r>
      <w:r w:rsidRPr="00DF14E1">
        <w:t>templates EU CR1, EU CQ1, and EU CQ7, columns a, c, e, f and g of template EU CQ4</w:t>
      </w:r>
      <w:r w:rsidR="00755F6F" w:rsidRPr="00DF14E1">
        <w:t>,</w:t>
      </w:r>
      <w:r w:rsidRPr="00DF14E1">
        <w:t xml:space="preserve"> and columns a, c, e and f of template EU CQ5</w:t>
      </w:r>
      <w:r w:rsidR="00755F6F" w:rsidRPr="00DF14E1">
        <w:t>,</w:t>
      </w:r>
      <w:r w:rsidRPr="00DF14E1">
        <w:t xml:space="preserve"> set out in Annex XV </w:t>
      </w:r>
      <w:r w:rsidR="005F490A" w:rsidRPr="00DF14E1">
        <w:t xml:space="preserve">to this Regulation </w:t>
      </w:r>
      <w:r w:rsidRPr="00DF14E1">
        <w:t xml:space="preserve">and </w:t>
      </w:r>
      <w:r w:rsidR="00755F6F" w:rsidRPr="00DF14E1">
        <w:t xml:space="preserve">by following </w:t>
      </w:r>
      <w:r w:rsidRPr="00DF14E1">
        <w:t>the instructions set out in Annex XVI</w:t>
      </w:r>
      <w:r w:rsidR="005F490A" w:rsidRPr="00DF14E1">
        <w:t xml:space="preserve"> to this Regulation</w:t>
      </w:r>
      <w:r w:rsidRPr="00DF14E1">
        <w:t>.</w:t>
      </w:r>
      <w:proofErr w:type="gramEnd"/>
    </w:p>
    <w:p w:rsidR="00A858BC" w:rsidRPr="00DF14E1" w:rsidRDefault="00956448" w:rsidP="00DF14E1">
      <w:pPr>
        <w:pStyle w:val="NumPar1"/>
        <w:tabs>
          <w:tab w:val="clear" w:pos="850"/>
          <w:tab w:val="left" w:pos="567"/>
        </w:tabs>
        <w:ind w:left="0" w:firstLine="0"/>
      </w:pPr>
      <w:proofErr w:type="gramStart"/>
      <w:r w:rsidRPr="00DF14E1">
        <w:t xml:space="preserve">Large institutions that have a ratio </w:t>
      </w:r>
      <w:r w:rsidR="00010CC7" w:rsidRPr="00DF14E1">
        <w:t>between</w:t>
      </w:r>
      <w:r w:rsidR="00B711DB" w:rsidRPr="00DF14E1">
        <w:t xml:space="preserve"> the</w:t>
      </w:r>
      <w:r w:rsidR="00010CC7" w:rsidRPr="00DF14E1">
        <w:t xml:space="preserve"> </w:t>
      </w:r>
      <w:r w:rsidRPr="00DF14E1">
        <w:t xml:space="preserve">gross carrying amount of loans and advances </w:t>
      </w:r>
      <w:r w:rsidR="00792BDA" w:rsidRPr="00DF14E1">
        <w:t xml:space="preserve">that fall under Article 47a(3) of Regulation (EU) No 575/2013  </w:t>
      </w:r>
      <w:r w:rsidR="00B711DB" w:rsidRPr="00DF14E1">
        <w:t>and</w:t>
      </w:r>
      <w:r w:rsidRPr="00DF14E1">
        <w:t xml:space="preserve"> the</w:t>
      </w:r>
      <w:r w:rsidR="002E3B6F" w:rsidRPr="00DF14E1">
        <w:t xml:space="preserve"> </w:t>
      </w:r>
      <w:r w:rsidRPr="00DF14E1">
        <w:t xml:space="preserve">total gross carrying amount of loans and advances </w:t>
      </w:r>
      <w:r w:rsidR="002E3B6F" w:rsidRPr="00DF14E1">
        <w:rPr>
          <w:iCs/>
        </w:rPr>
        <w:t xml:space="preserve">that fall under Article 47a(1) of Regulation (EU) No 575/2013 </w:t>
      </w:r>
      <w:r w:rsidRPr="00DF14E1">
        <w:t>equal to or higher than 5% shall, i</w:t>
      </w:r>
      <w:r w:rsidR="00A858BC" w:rsidRPr="00DF14E1">
        <w:t xml:space="preserve">n addition to the templates </w:t>
      </w:r>
      <w:r w:rsidR="00755F6F" w:rsidRPr="00DF14E1">
        <w:t xml:space="preserve">and columns </w:t>
      </w:r>
      <w:r w:rsidR="00A858BC" w:rsidRPr="00DF14E1">
        <w:t>referred to in paragraph 2</w:t>
      </w:r>
      <w:r w:rsidRPr="00DF14E1">
        <w:t>,</w:t>
      </w:r>
      <w:r w:rsidR="00A858BC" w:rsidRPr="00DF14E1">
        <w:t xml:space="preserve"> </w:t>
      </w:r>
      <w:r w:rsidR="00755F6F" w:rsidRPr="00DF14E1">
        <w:t xml:space="preserve">disclose the information referred to in Article 442, points (c) and (f), of Regulation (EU) No 575/2013 by using templates EU CR2a, EU CQ2, </w:t>
      </w:r>
      <w:r w:rsidR="00693F0A">
        <w:t xml:space="preserve">EU </w:t>
      </w:r>
      <w:r w:rsidR="00755F6F" w:rsidRPr="00DF14E1">
        <w:t xml:space="preserve">CQ6 and EU CQ8, </w:t>
      </w:r>
      <w:r w:rsidR="007F676F" w:rsidRPr="00DF14E1">
        <w:t xml:space="preserve">and </w:t>
      </w:r>
      <w:r w:rsidR="00755F6F" w:rsidRPr="00DF14E1">
        <w:t xml:space="preserve">columns b and d of templates EU CQ4 and EU CQ5 set out in Annex XV to this Regulation </w:t>
      </w:r>
      <w:r w:rsidR="007F676F" w:rsidRPr="00DF14E1">
        <w:t>by following</w:t>
      </w:r>
      <w:r w:rsidR="00755F6F" w:rsidRPr="00DF14E1">
        <w:t xml:space="preserve"> the instructions set out in Annex XVI</w:t>
      </w:r>
      <w:r w:rsidRPr="00DF14E1">
        <w:t>.</w:t>
      </w:r>
      <w:proofErr w:type="gramEnd"/>
      <w:r w:rsidRPr="00DF14E1">
        <w:t xml:space="preserve"> They shall disclose that information</w:t>
      </w:r>
      <w:r w:rsidR="00755F6F" w:rsidRPr="00DF14E1">
        <w:t xml:space="preserve"> on an annual basis</w:t>
      </w:r>
      <w:r w:rsidR="00A858BC" w:rsidRPr="00DF14E1">
        <w:t xml:space="preserve">. </w:t>
      </w:r>
    </w:p>
    <w:p w:rsidR="00A858BC" w:rsidRPr="00DF14E1" w:rsidRDefault="00A858BC" w:rsidP="00F5043B">
      <w:pPr>
        <w:pStyle w:val="NumPar1"/>
        <w:tabs>
          <w:tab w:val="clear" w:pos="850"/>
          <w:tab w:val="left" w:pos="567"/>
        </w:tabs>
        <w:ind w:left="0" w:firstLine="0"/>
      </w:pPr>
      <w:r w:rsidRPr="00DF14E1">
        <w:t xml:space="preserve">For the purpose of paragraph 3, loans and advances classified as held for sale, cash balances at central banks and other demand deposits </w:t>
      </w:r>
      <w:proofErr w:type="gramStart"/>
      <w:r w:rsidRPr="00DF14E1">
        <w:t>shall be excluded</w:t>
      </w:r>
      <w:proofErr w:type="gramEnd"/>
      <w:r w:rsidRPr="00DF14E1">
        <w:t xml:space="preserve"> both from the denominator and the numerator of the ratio.</w:t>
      </w:r>
    </w:p>
    <w:p w:rsidR="00A858BC" w:rsidRPr="00DF14E1" w:rsidRDefault="00A858BC" w:rsidP="00F5043B">
      <w:pPr>
        <w:pStyle w:val="NumPar1"/>
        <w:tabs>
          <w:tab w:val="clear" w:pos="850"/>
          <w:tab w:val="left" w:pos="567"/>
        </w:tabs>
        <w:ind w:left="0" w:firstLine="0"/>
      </w:pPr>
      <w:r w:rsidRPr="00DF14E1">
        <w:t>Institutions shall commence disclosure in accordance with paragraph 3 where they have reached or exceeded the 5% threshold</w:t>
      </w:r>
      <w:r w:rsidR="00F53E64" w:rsidRPr="00DF14E1">
        <w:t xml:space="preserve"> referred to in that paragraph</w:t>
      </w:r>
      <w:r w:rsidRPr="00DF14E1">
        <w:t xml:space="preserve"> in two consecutive quarters during the four quarters prior to the reference date of the disclosure. For the reference date of the first disclosure, institutions shall disclose </w:t>
      </w:r>
      <w:r w:rsidR="00F53E64" w:rsidRPr="00DF14E1">
        <w:t xml:space="preserve">the information concerned by using </w:t>
      </w:r>
      <w:r w:rsidRPr="00DF14E1">
        <w:t xml:space="preserve">the templates </w:t>
      </w:r>
      <w:r w:rsidR="00F53E64" w:rsidRPr="00DF14E1">
        <w:t xml:space="preserve">referred to in that paragraph </w:t>
      </w:r>
      <w:r w:rsidR="00956448" w:rsidRPr="00DF14E1">
        <w:t>where</w:t>
      </w:r>
      <w:r w:rsidRPr="00DF14E1">
        <w:t xml:space="preserve"> they </w:t>
      </w:r>
      <w:r w:rsidR="00324024">
        <w:t>exceed</w:t>
      </w:r>
      <w:r w:rsidRPr="00DF14E1">
        <w:t xml:space="preserve"> the </w:t>
      </w:r>
      <w:r w:rsidR="00F53E64" w:rsidRPr="00DF14E1">
        <w:t xml:space="preserve">5 % </w:t>
      </w:r>
      <w:r w:rsidRPr="00DF14E1">
        <w:t>threshold on that disclosure reference date.</w:t>
      </w:r>
    </w:p>
    <w:p w:rsidR="00A858BC" w:rsidRPr="00DF14E1" w:rsidRDefault="00A858BC" w:rsidP="00F5043B">
      <w:pPr>
        <w:pStyle w:val="NumPar1"/>
        <w:tabs>
          <w:tab w:val="clear" w:pos="850"/>
          <w:tab w:val="left" w:pos="567"/>
        </w:tabs>
        <w:ind w:left="0" w:firstLine="0"/>
      </w:pPr>
      <w:r w:rsidRPr="00DF14E1">
        <w:t xml:space="preserve">Institutions </w:t>
      </w:r>
      <w:proofErr w:type="gramStart"/>
      <w:r w:rsidRPr="00DF14E1">
        <w:t xml:space="preserve">shall </w:t>
      </w:r>
      <w:r w:rsidR="00F53E64" w:rsidRPr="00DF14E1">
        <w:t>no longer be obliged</w:t>
      </w:r>
      <w:proofErr w:type="gramEnd"/>
      <w:r w:rsidR="00F53E64" w:rsidRPr="00DF14E1">
        <w:t xml:space="preserve"> </w:t>
      </w:r>
      <w:r w:rsidRPr="00DF14E1">
        <w:t xml:space="preserve">to disclose in accordance with paragraph 3 where they have fallen below the </w:t>
      </w:r>
      <w:r w:rsidR="00F53E64" w:rsidRPr="00DF14E1">
        <w:t xml:space="preserve">5 % </w:t>
      </w:r>
      <w:r w:rsidRPr="00DF14E1">
        <w:t xml:space="preserve">threshold </w:t>
      </w:r>
      <w:r w:rsidR="00A84A3E" w:rsidRPr="00DF14E1">
        <w:t xml:space="preserve">on </w:t>
      </w:r>
      <w:r w:rsidRPr="00DF14E1">
        <w:t xml:space="preserve">three consecutive </w:t>
      </w:r>
      <w:r w:rsidR="005B07FD" w:rsidRPr="00DF14E1">
        <w:t>quarters during the four quarters prior to the disclosure reference date</w:t>
      </w:r>
      <w:r w:rsidRPr="00DF14E1">
        <w:t>.</w:t>
      </w:r>
    </w:p>
    <w:p w:rsidR="00496B08" w:rsidRPr="00DF14E1" w:rsidRDefault="00496B08" w:rsidP="00496B08">
      <w:pPr>
        <w:pStyle w:val="Titrearticle"/>
      </w:pPr>
      <w:r w:rsidRPr="00DF14E1">
        <w:t xml:space="preserve">Article </w:t>
      </w:r>
      <w:r w:rsidR="006518A1" w:rsidRPr="00DF14E1">
        <w:t>9</w:t>
      </w:r>
    </w:p>
    <w:p w:rsidR="00A858BC" w:rsidRPr="00DF14E1" w:rsidRDefault="00A858BC" w:rsidP="00A858BC">
      <w:pPr>
        <w:pStyle w:val="Titrearticle"/>
        <w:spacing w:before="120"/>
        <w:rPr>
          <w:b/>
          <w:i w:val="0"/>
        </w:rPr>
      </w:pPr>
      <w:r w:rsidRPr="00DF14E1">
        <w:rPr>
          <w:b/>
          <w:i w:val="0"/>
        </w:rPr>
        <w:t>D</w:t>
      </w:r>
      <w:r w:rsidR="00F5043B" w:rsidRPr="00DF14E1">
        <w:rPr>
          <w:b/>
          <w:i w:val="0"/>
        </w:rPr>
        <w:t xml:space="preserve">isclosure of the use of </w:t>
      </w:r>
      <w:proofErr w:type="gramStart"/>
      <w:r w:rsidR="00F5043B" w:rsidRPr="00DF14E1">
        <w:rPr>
          <w:b/>
          <w:i w:val="0"/>
        </w:rPr>
        <w:t>credit risk mitigation techniques</w:t>
      </w:r>
      <w:proofErr w:type="gramEnd"/>
      <w:r w:rsidRPr="00DF14E1">
        <w:rPr>
          <w:b/>
          <w:i w:val="0"/>
        </w:rPr>
        <w:t xml:space="preserve"> </w:t>
      </w:r>
    </w:p>
    <w:p w:rsidR="00A858BC" w:rsidRPr="00DF14E1" w:rsidRDefault="00A858BC" w:rsidP="00A858BC">
      <w:pPr>
        <w:rPr>
          <w:i/>
        </w:rPr>
      </w:pPr>
      <w:r w:rsidRPr="00DF14E1">
        <w:t xml:space="preserve">Institutions shall </w:t>
      </w:r>
      <w:r w:rsidR="00F53E64" w:rsidRPr="00DF14E1">
        <w:t>disclose the information</w:t>
      </w:r>
      <w:r w:rsidRPr="00DF14E1">
        <w:t xml:space="preserve"> </w:t>
      </w:r>
      <w:r w:rsidR="00F53E64" w:rsidRPr="00DF14E1">
        <w:t>referred to in Article 453</w:t>
      </w:r>
      <w:r w:rsidRPr="00DF14E1">
        <w:t>, points (a) to (f)</w:t>
      </w:r>
      <w:r w:rsidR="00F53E64" w:rsidRPr="00DF14E1">
        <w:t>,</w:t>
      </w:r>
      <w:r w:rsidRPr="00DF14E1">
        <w:t xml:space="preserve"> of Regulation (EU) No 575/2013 as follows:</w:t>
      </w:r>
    </w:p>
    <w:p w:rsidR="00A858BC" w:rsidRPr="00DF14E1" w:rsidRDefault="00F53E64" w:rsidP="00F5043B">
      <w:pPr>
        <w:pStyle w:val="Point1letter"/>
        <w:numPr>
          <w:ilvl w:val="3"/>
          <w:numId w:val="18"/>
        </w:numPr>
        <w:tabs>
          <w:tab w:val="clear" w:pos="1417"/>
        </w:tabs>
        <w:ind w:left="567"/>
      </w:pPr>
      <w:r w:rsidRPr="00DF14E1">
        <w:t xml:space="preserve">the information referred to in Article 453, </w:t>
      </w:r>
      <w:r w:rsidR="00A858BC" w:rsidRPr="00DF14E1">
        <w:t>points (a) to (e)</w:t>
      </w:r>
      <w:r w:rsidRPr="00DF14E1">
        <w:t>,</w:t>
      </w:r>
      <w:r w:rsidR="00A858BC" w:rsidRPr="00DF14E1">
        <w:t xml:space="preserve"> of Regulation (EU) No 575/2013</w:t>
      </w:r>
      <w:r w:rsidRPr="00DF14E1">
        <w:t xml:space="preserve"> by using </w:t>
      </w:r>
      <w:r w:rsidR="00A858BC" w:rsidRPr="00DF14E1">
        <w:t xml:space="preserve">table EU CRC of Annex XVII </w:t>
      </w:r>
      <w:r w:rsidR="005F490A" w:rsidRPr="00DF14E1">
        <w:t xml:space="preserve">to this Regulation </w:t>
      </w:r>
      <w:r w:rsidR="00A858BC" w:rsidRPr="00DF14E1">
        <w:t xml:space="preserve">and </w:t>
      </w:r>
      <w:r w:rsidRPr="00DF14E1">
        <w:t xml:space="preserve">by following </w:t>
      </w:r>
      <w:r w:rsidR="00A858BC" w:rsidRPr="00DF14E1">
        <w:t>the instructions set out in Annex XVIII</w:t>
      </w:r>
      <w:r w:rsidR="005F490A" w:rsidRPr="00DF14E1">
        <w:t xml:space="preserve"> to this Regulation</w:t>
      </w:r>
      <w:r w:rsidR="00F5043B" w:rsidRPr="00DF14E1">
        <w:t>;</w:t>
      </w:r>
    </w:p>
    <w:p w:rsidR="00A858BC" w:rsidRPr="00DF14E1" w:rsidRDefault="00F53E64" w:rsidP="00F5043B">
      <w:pPr>
        <w:pStyle w:val="Point1letter"/>
        <w:numPr>
          <w:ilvl w:val="3"/>
          <w:numId w:val="16"/>
        </w:numPr>
        <w:tabs>
          <w:tab w:val="clear" w:pos="1417"/>
        </w:tabs>
        <w:ind w:left="567"/>
      </w:pPr>
      <w:proofErr w:type="gramStart"/>
      <w:r w:rsidRPr="00DF14E1">
        <w:t>the</w:t>
      </w:r>
      <w:proofErr w:type="gramEnd"/>
      <w:r w:rsidRPr="00DF14E1">
        <w:t xml:space="preserve"> information referred to in Article 453, </w:t>
      </w:r>
      <w:r w:rsidR="00A858BC" w:rsidRPr="00DF14E1">
        <w:t>point (f)</w:t>
      </w:r>
      <w:r w:rsidRPr="00DF14E1">
        <w:t>,</w:t>
      </w:r>
      <w:r w:rsidR="00A858BC" w:rsidRPr="00DF14E1">
        <w:t xml:space="preserve"> of Regulation (EU) No 575/2013</w:t>
      </w:r>
      <w:r w:rsidRPr="00DF14E1">
        <w:t xml:space="preserve"> by using </w:t>
      </w:r>
      <w:r w:rsidR="00A858BC" w:rsidRPr="00DF14E1">
        <w:t>template EU CR3 of Annex XVII</w:t>
      </w:r>
      <w:r w:rsidR="005F490A" w:rsidRPr="00DF14E1">
        <w:t xml:space="preserve"> to this Regulation</w:t>
      </w:r>
      <w:r w:rsidR="00A858BC" w:rsidRPr="00DF14E1">
        <w:t xml:space="preserve"> and </w:t>
      </w:r>
      <w:r w:rsidRPr="00DF14E1">
        <w:t xml:space="preserve">by following </w:t>
      </w:r>
      <w:r w:rsidR="00A858BC" w:rsidRPr="00DF14E1">
        <w:t>the instructions set out in Annex XVIII</w:t>
      </w:r>
      <w:r w:rsidR="005F490A" w:rsidRPr="00DF14E1">
        <w:t xml:space="preserve"> to this Regulation</w:t>
      </w:r>
      <w:r w:rsidR="00A858BC" w:rsidRPr="00DF14E1">
        <w:t>.</w:t>
      </w:r>
    </w:p>
    <w:p w:rsidR="000B18AB" w:rsidRPr="00DF14E1" w:rsidRDefault="000B18AB" w:rsidP="000B18AB">
      <w:pPr>
        <w:pStyle w:val="Titrearticle"/>
      </w:pPr>
      <w:r w:rsidRPr="00DF14E1">
        <w:t xml:space="preserve">Article </w:t>
      </w:r>
      <w:r w:rsidR="00FD6645" w:rsidRPr="00DF14E1">
        <w:t>10</w:t>
      </w:r>
      <w:r w:rsidR="009458BD" w:rsidRPr="00DF14E1">
        <w:t xml:space="preserve"> </w:t>
      </w:r>
    </w:p>
    <w:p w:rsidR="00A858BC" w:rsidRPr="00DF14E1" w:rsidRDefault="00A858BC" w:rsidP="00A858BC">
      <w:pPr>
        <w:pStyle w:val="Titrearticle"/>
        <w:spacing w:before="120"/>
        <w:rPr>
          <w:b/>
          <w:i w:val="0"/>
        </w:rPr>
      </w:pPr>
      <w:r w:rsidRPr="00DF14E1">
        <w:rPr>
          <w:b/>
          <w:i w:val="0"/>
        </w:rPr>
        <w:t>D</w:t>
      </w:r>
      <w:r w:rsidR="00F5043B" w:rsidRPr="00DF14E1">
        <w:rPr>
          <w:b/>
          <w:i w:val="0"/>
        </w:rPr>
        <w:t>isclosure of the use of the standardised approach</w:t>
      </w:r>
    </w:p>
    <w:p w:rsidR="00A858BC" w:rsidRPr="00DF14E1" w:rsidRDefault="00A858BC" w:rsidP="00A858BC">
      <w:r w:rsidRPr="00DF14E1">
        <w:t xml:space="preserve">Institutions calculating risk-weighted exposure amounts under the Standardised Approach shall </w:t>
      </w:r>
      <w:r w:rsidR="00F53E64" w:rsidRPr="00DF14E1">
        <w:t>disclose the information</w:t>
      </w:r>
      <w:r w:rsidRPr="00DF14E1">
        <w:t xml:space="preserve"> </w:t>
      </w:r>
      <w:r w:rsidR="00F53E64" w:rsidRPr="00DF14E1">
        <w:t xml:space="preserve">referred to </w:t>
      </w:r>
      <w:r w:rsidRPr="00DF14E1">
        <w:t>in Article 444 and in Article 453</w:t>
      </w:r>
      <w:r w:rsidR="00F53E64" w:rsidRPr="00DF14E1">
        <w:t>,</w:t>
      </w:r>
      <w:r w:rsidRPr="00DF14E1">
        <w:t xml:space="preserve"> </w:t>
      </w:r>
      <w:r w:rsidR="00F53E64" w:rsidRPr="00DF14E1">
        <w:t xml:space="preserve">points (g), (h) and (i), </w:t>
      </w:r>
      <w:r w:rsidRPr="00DF14E1">
        <w:t>of Regulation (EU) No 575/2013 as follows:</w:t>
      </w:r>
    </w:p>
    <w:p w:rsidR="00A858BC" w:rsidRPr="00DF14E1" w:rsidRDefault="00F53E64" w:rsidP="00F5043B">
      <w:pPr>
        <w:pStyle w:val="Point1letter"/>
        <w:numPr>
          <w:ilvl w:val="3"/>
          <w:numId w:val="19"/>
        </w:numPr>
        <w:tabs>
          <w:tab w:val="clear" w:pos="1417"/>
        </w:tabs>
        <w:ind w:left="567"/>
      </w:pPr>
      <w:r w:rsidRPr="00DF14E1">
        <w:t>the information referred to in Article 444,</w:t>
      </w:r>
      <w:r w:rsidR="00A858BC" w:rsidRPr="00DF14E1">
        <w:t xml:space="preserve"> points (a) to (d)</w:t>
      </w:r>
      <w:r w:rsidRPr="00DF14E1">
        <w:t>,</w:t>
      </w:r>
      <w:r w:rsidR="00A858BC" w:rsidRPr="00DF14E1">
        <w:t xml:space="preserve"> of Regulation (EU) No 575/2013</w:t>
      </w:r>
      <w:r w:rsidRPr="00DF14E1">
        <w:t xml:space="preserve"> by using </w:t>
      </w:r>
      <w:r w:rsidR="00A858BC" w:rsidRPr="00DF14E1">
        <w:t xml:space="preserve">table EU CRD of Annex XIX </w:t>
      </w:r>
      <w:r w:rsidR="005F490A" w:rsidRPr="00DF14E1">
        <w:t xml:space="preserve">to this Regulation </w:t>
      </w:r>
      <w:r w:rsidR="00A858BC" w:rsidRPr="00DF14E1">
        <w:t xml:space="preserve">and </w:t>
      </w:r>
      <w:r w:rsidRPr="00DF14E1">
        <w:t xml:space="preserve">by following </w:t>
      </w:r>
      <w:r w:rsidR="00A858BC" w:rsidRPr="00DF14E1">
        <w:t>the instructions set out in Annex XX</w:t>
      </w:r>
      <w:r w:rsidR="005F490A" w:rsidRPr="00DF14E1">
        <w:t xml:space="preserve"> to this Regulation;</w:t>
      </w:r>
    </w:p>
    <w:p w:rsidR="00A858BC" w:rsidRPr="00DF14E1" w:rsidRDefault="00F53E64" w:rsidP="00F5043B">
      <w:pPr>
        <w:pStyle w:val="Point1letter"/>
        <w:numPr>
          <w:ilvl w:val="3"/>
          <w:numId w:val="19"/>
        </w:numPr>
        <w:tabs>
          <w:tab w:val="clear" w:pos="1417"/>
        </w:tabs>
        <w:ind w:left="567"/>
      </w:pPr>
      <w:r w:rsidRPr="00DF14E1">
        <w:t>the information referred to in Article 453,</w:t>
      </w:r>
      <w:r w:rsidR="00A858BC" w:rsidRPr="00DF14E1">
        <w:t xml:space="preserve"> points (g), (h) and (i)</w:t>
      </w:r>
      <w:r w:rsidRPr="00DF14E1">
        <w:t>,</w:t>
      </w:r>
      <w:r w:rsidR="00A858BC" w:rsidRPr="00DF14E1">
        <w:t xml:space="preserve"> of </w:t>
      </w:r>
      <w:proofErr w:type="spellStart"/>
      <w:r w:rsidR="00A858BC" w:rsidRPr="00DF14E1">
        <w:t>and</w:t>
      </w:r>
      <w:proofErr w:type="spellEnd"/>
      <w:r w:rsidR="00A858BC" w:rsidRPr="00DF14E1">
        <w:t xml:space="preserve"> Article 444</w:t>
      </w:r>
      <w:r w:rsidRPr="00DF14E1">
        <w:t>,</w:t>
      </w:r>
      <w:r w:rsidR="00A858BC" w:rsidRPr="00DF14E1">
        <w:t xml:space="preserve"> </w:t>
      </w:r>
      <w:r w:rsidRPr="00DF14E1">
        <w:t xml:space="preserve">point (e), </w:t>
      </w:r>
      <w:r w:rsidR="00A858BC" w:rsidRPr="00DF14E1">
        <w:t>of Regulation (EU) No 575/2013</w:t>
      </w:r>
      <w:r w:rsidRPr="00DF14E1">
        <w:t xml:space="preserve"> by using </w:t>
      </w:r>
      <w:r w:rsidR="00A858BC" w:rsidRPr="00DF14E1">
        <w:t xml:space="preserve">template EU CR4 of Annex XIX </w:t>
      </w:r>
      <w:r w:rsidR="005F490A" w:rsidRPr="00DF14E1">
        <w:t xml:space="preserve">to this Regulation </w:t>
      </w:r>
      <w:r w:rsidR="00A858BC" w:rsidRPr="00DF14E1">
        <w:t xml:space="preserve">and </w:t>
      </w:r>
      <w:r w:rsidRPr="00DF14E1">
        <w:t xml:space="preserve">by following </w:t>
      </w:r>
      <w:r w:rsidR="00A858BC" w:rsidRPr="00DF14E1">
        <w:t>the instructions set out in Annex XX</w:t>
      </w:r>
      <w:r w:rsidR="005F490A" w:rsidRPr="00DF14E1">
        <w:t xml:space="preserve"> to this Regulation</w:t>
      </w:r>
      <w:r w:rsidR="00F5043B" w:rsidRPr="00DF14E1">
        <w:t>;</w:t>
      </w:r>
    </w:p>
    <w:p w:rsidR="00A858BC" w:rsidRPr="00DF14E1" w:rsidRDefault="00F53E64" w:rsidP="00F5043B">
      <w:pPr>
        <w:pStyle w:val="Point1letter"/>
        <w:numPr>
          <w:ilvl w:val="3"/>
          <w:numId w:val="19"/>
        </w:numPr>
        <w:tabs>
          <w:tab w:val="clear" w:pos="1417"/>
        </w:tabs>
        <w:ind w:left="567"/>
      </w:pPr>
      <w:proofErr w:type="gramStart"/>
      <w:r w:rsidRPr="00DF14E1">
        <w:t xml:space="preserve">the information referred to in Article 444, </w:t>
      </w:r>
      <w:r w:rsidR="00A858BC" w:rsidRPr="00DF14E1">
        <w:t>point (e)</w:t>
      </w:r>
      <w:r w:rsidRPr="00DF14E1">
        <w:t>,</w:t>
      </w:r>
      <w:r w:rsidR="00A858BC" w:rsidRPr="00DF14E1">
        <w:t xml:space="preserve"> of Regulation (EU) No 575/2013</w:t>
      </w:r>
      <w:r w:rsidRPr="00DF14E1">
        <w:t xml:space="preserve"> by using </w:t>
      </w:r>
      <w:r w:rsidR="00A858BC" w:rsidRPr="00DF14E1">
        <w:t xml:space="preserve">template EU CR5 of Annex XIX </w:t>
      </w:r>
      <w:r w:rsidR="005F490A" w:rsidRPr="00DF14E1">
        <w:t xml:space="preserve">to this Regulation </w:t>
      </w:r>
      <w:r w:rsidR="00A858BC" w:rsidRPr="00DF14E1">
        <w:t xml:space="preserve">and </w:t>
      </w:r>
      <w:r w:rsidR="00926007" w:rsidRPr="00DF14E1">
        <w:t xml:space="preserve">by following </w:t>
      </w:r>
      <w:r w:rsidR="00A858BC" w:rsidRPr="00DF14E1">
        <w:t xml:space="preserve">the instructions set out in Annex XX </w:t>
      </w:r>
      <w:r w:rsidR="005F490A" w:rsidRPr="00DF14E1">
        <w:t xml:space="preserve">to this Regulation </w:t>
      </w:r>
      <w:r w:rsidR="00A858BC" w:rsidRPr="00DF14E1">
        <w:t xml:space="preserve">and, for the </w:t>
      </w:r>
      <w:r w:rsidR="00926007" w:rsidRPr="00DF14E1">
        <w:t>information on</w:t>
      </w:r>
      <w:r w:rsidR="00A858BC" w:rsidRPr="00DF14E1">
        <w:t xml:space="preserve"> the exposure values deducted from own funds </w:t>
      </w:r>
      <w:r w:rsidR="00926007" w:rsidRPr="00DF14E1">
        <w:t xml:space="preserve">referred to in that </w:t>
      </w:r>
      <w:r w:rsidR="00A858BC" w:rsidRPr="00DF14E1">
        <w:t>same Article</w:t>
      </w:r>
      <w:r w:rsidR="00926007" w:rsidRPr="00DF14E1">
        <w:t xml:space="preserve">, by using </w:t>
      </w:r>
      <w:r w:rsidR="00A858BC" w:rsidRPr="00DF14E1">
        <w:t xml:space="preserve">template EU CC1 of Annex VII </w:t>
      </w:r>
      <w:r w:rsidR="005F490A" w:rsidRPr="00DF14E1">
        <w:t xml:space="preserve">to this Regulation </w:t>
      </w:r>
      <w:r w:rsidR="00A858BC" w:rsidRPr="00DF14E1">
        <w:t xml:space="preserve">and </w:t>
      </w:r>
      <w:r w:rsidR="00926007" w:rsidRPr="00DF14E1">
        <w:t xml:space="preserve">by following </w:t>
      </w:r>
      <w:r w:rsidR="00A858BC" w:rsidRPr="00DF14E1">
        <w:t>the instructions set out in Annex VIII</w:t>
      </w:r>
      <w:r w:rsidR="005F490A" w:rsidRPr="00DF14E1">
        <w:t xml:space="preserve"> to this Regulation</w:t>
      </w:r>
      <w:r w:rsidR="00A858BC" w:rsidRPr="00DF14E1">
        <w:t>.</w:t>
      </w:r>
      <w:proofErr w:type="gramEnd"/>
    </w:p>
    <w:p w:rsidR="00173862" w:rsidRPr="00DF14E1" w:rsidRDefault="00173862" w:rsidP="00173862">
      <w:pPr>
        <w:pStyle w:val="Titrearticle"/>
      </w:pPr>
      <w:r w:rsidRPr="00DF14E1">
        <w:t xml:space="preserve">Article </w:t>
      </w:r>
      <w:r w:rsidR="009458BD" w:rsidRPr="00DF14E1">
        <w:t>11</w:t>
      </w:r>
    </w:p>
    <w:p w:rsidR="00A858BC" w:rsidRPr="00DF14E1" w:rsidRDefault="00A858BC" w:rsidP="00A858BC">
      <w:pPr>
        <w:pStyle w:val="Titrearticle"/>
        <w:spacing w:before="120"/>
        <w:rPr>
          <w:b/>
          <w:i w:val="0"/>
        </w:rPr>
      </w:pPr>
      <w:r w:rsidRPr="00DF14E1">
        <w:rPr>
          <w:b/>
          <w:i w:val="0"/>
        </w:rPr>
        <w:t>D</w:t>
      </w:r>
      <w:r w:rsidR="00F5043B" w:rsidRPr="00DF14E1">
        <w:rPr>
          <w:b/>
          <w:i w:val="0"/>
        </w:rPr>
        <w:t>isclosure of the use of the IRB approach to credit risk</w:t>
      </w:r>
    </w:p>
    <w:p w:rsidR="00A858BC" w:rsidRPr="00DF14E1" w:rsidRDefault="00A858BC" w:rsidP="00A858BC">
      <w:r w:rsidRPr="00DF14E1">
        <w:t xml:space="preserve">Institutions calculating risk-weighted exposure amounts under the IRB Approach shall </w:t>
      </w:r>
      <w:r w:rsidR="00926007" w:rsidRPr="00DF14E1">
        <w:t xml:space="preserve">disclose </w:t>
      </w:r>
      <w:r w:rsidR="00362E56" w:rsidRPr="00DF14E1">
        <w:t xml:space="preserve">the </w:t>
      </w:r>
      <w:r w:rsidR="00926007" w:rsidRPr="00DF14E1">
        <w:t xml:space="preserve">information referred to </w:t>
      </w:r>
      <w:r w:rsidRPr="00DF14E1">
        <w:t>in Articles 438</w:t>
      </w:r>
      <w:r w:rsidR="00926007" w:rsidRPr="00DF14E1">
        <w:t xml:space="preserve"> and</w:t>
      </w:r>
      <w:r w:rsidRPr="00DF14E1">
        <w:t xml:space="preserve"> 452 and in Article 453</w:t>
      </w:r>
      <w:r w:rsidR="00926007" w:rsidRPr="00DF14E1">
        <w:t>,</w:t>
      </w:r>
      <w:r w:rsidRPr="00DF14E1">
        <w:t xml:space="preserve"> </w:t>
      </w:r>
      <w:r w:rsidR="00926007" w:rsidRPr="00DF14E1">
        <w:t xml:space="preserve">points (g) and (j), </w:t>
      </w:r>
      <w:r w:rsidRPr="00DF14E1">
        <w:t>of Regulation (EU) No 575/2013 as follows:</w:t>
      </w:r>
    </w:p>
    <w:p w:rsidR="00A858BC" w:rsidRPr="00DF14E1" w:rsidRDefault="00926007" w:rsidP="00F5043B">
      <w:pPr>
        <w:pStyle w:val="Point1letter"/>
        <w:numPr>
          <w:ilvl w:val="3"/>
          <w:numId w:val="20"/>
        </w:numPr>
        <w:tabs>
          <w:tab w:val="clear" w:pos="1417"/>
        </w:tabs>
        <w:ind w:left="567"/>
      </w:pPr>
      <w:r w:rsidRPr="00DF14E1">
        <w:t xml:space="preserve">the information referred to in Article 452, </w:t>
      </w:r>
      <w:r w:rsidR="00A858BC" w:rsidRPr="00DF14E1">
        <w:t>points (a) to (f)</w:t>
      </w:r>
      <w:r w:rsidRPr="00DF14E1">
        <w:t>,</w:t>
      </w:r>
      <w:r w:rsidR="00A858BC" w:rsidRPr="00DF14E1">
        <w:t xml:space="preserve"> of Regulation (EU) No 575/2013</w:t>
      </w:r>
      <w:r w:rsidRPr="00DF14E1">
        <w:t xml:space="preserve"> by using t</w:t>
      </w:r>
      <w:r w:rsidR="00A858BC" w:rsidRPr="00DF14E1">
        <w:t xml:space="preserve">able EU CRE and </w:t>
      </w:r>
      <w:r w:rsidRPr="00DF14E1">
        <w:t>t</w:t>
      </w:r>
      <w:r w:rsidR="00A858BC" w:rsidRPr="00DF14E1">
        <w:t xml:space="preserve">emplate EU CR6-A of Annex XXI </w:t>
      </w:r>
      <w:r w:rsidR="005F490A" w:rsidRPr="00DF14E1">
        <w:t xml:space="preserve">to this Regulation </w:t>
      </w:r>
      <w:r w:rsidR="00A858BC" w:rsidRPr="00DF14E1">
        <w:t xml:space="preserve">and </w:t>
      </w:r>
      <w:r w:rsidRPr="00DF14E1">
        <w:t xml:space="preserve">by following </w:t>
      </w:r>
      <w:r w:rsidR="00A858BC" w:rsidRPr="00DF14E1">
        <w:t>the instructions set out in Annex XXII</w:t>
      </w:r>
      <w:r w:rsidR="005F490A" w:rsidRPr="00DF14E1">
        <w:t xml:space="preserve"> to this Regulation</w:t>
      </w:r>
      <w:r w:rsidR="00F5043B" w:rsidRPr="00DF14E1">
        <w:t>;</w:t>
      </w:r>
    </w:p>
    <w:p w:rsidR="00A858BC" w:rsidRPr="00DF14E1" w:rsidRDefault="00926007" w:rsidP="00F5043B">
      <w:pPr>
        <w:pStyle w:val="Point1letter"/>
        <w:numPr>
          <w:ilvl w:val="3"/>
          <w:numId w:val="19"/>
        </w:numPr>
        <w:tabs>
          <w:tab w:val="clear" w:pos="1417"/>
        </w:tabs>
        <w:ind w:left="567"/>
      </w:pPr>
      <w:r w:rsidRPr="00DF14E1">
        <w:t xml:space="preserve">the information referred to in </w:t>
      </w:r>
      <w:r w:rsidR="00A858BC" w:rsidRPr="00DF14E1">
        <w:t>Article 452</w:t>
      </w:r>
      <w:r w:rsidRPr="00DF14E1">
        <w:t>, point (g),</w:t>
      </w:r>
      <w:r w:rsidR="00A858BC" w:rsidRPr="00DF14E1">
        <w:t xml:space="preserve"> of Regulation (EU) No 575/2013</w:t>
      </w:r>
      <w:r w:rsidRPr="00DF14E1">
        <w:t xml:space="preserve"> by using</w:t>
      </w:r>
      <w:r w:rsidR="001D579B" w:rsidRPr="00DF14E1">
        <w:t xml:space="preserve"> </w:t>
      </w:r>
      <w:r w:rsidRPr="00DF14E1">
        <w:t>t</w:t>
      </w:r>
      <w:r w:rsidR="00A858BC" w:rsidRPr="00DF14E1">
        <w:t xml:space="preserve">emplate EU CR6 of Annex XXI </w:t>
      </w:r>
      <w:r w:rsidR="005F490A" w:rsidRPr="00DF14E1">
        <w:t xml:space="preserve">to this Regulation </w:t>
      </w:r>
      <w:r w:rsidR="00A858BC" w:rsidRPr="00DF14E1">
        <w:t>and</w:t>
      </w:r>
      <w:r w:rsidRPr="00DF14E1">
        <w:t xml:space="preserve"> by following</w:t>
      </w:r>
      <w:r w:rsidR="00A858BC" w:rsidRPr="00DF14E1">
        <w:t xml:space="preserve"> the instructions set out in Annex XXII</w:t>
      </w:r>
      <w:r w:rsidR="005F490A" w:rsidRPr="00DF14E1">
        <w:t xml:space="preserve"> to this Regulation</w:t>
      </w:r>
      <w:r w:rsidR="00F5043B" w:rsidRPr="00DF14E1">
        <w:t>;</w:t>
      </w:r>
    </w:p>
    <w:p w:rsidR="00A858BC" w:rsidRPr="00DF14E1" w:rsidRDefault="00926007" w:rsidP="00F5043B">
      <w:pPr>
        <w:pStyle w:val="Point1letter"/>
        <w:numPr>
          <w:ilvl w:val="3"/>
          <w:numId w:val="19"/>
        </w:numPr>
        <w:tabs>
          <w:tab w:val="clear" w:pos="1417"/>
        </w:tabs>
        <w:ind w:left="567"/>
      </w:pPr>
      <w:r w:rsidRPr="00DF14E1">
        <w:t xml:space="preserve">the information referred to in Article 453, </w:t>
      </w:r>
      <w:r w:rsidR="00A858BC" w:rsidRPr="00DF14E1">
        <w:t>points (g) and (j)</w:t>
      </w:r>
      <w:r w:rsidRPr="00DF14E1">
        <w:t>,</w:t>
      </w:r>
      <w:r w:rsidR="00A858BC" w:rsidRPr="00DF14E1">
        <w:t xml:space="preserve"> of Regulation (EU) No 575/2013</w:t>
      </w:r>
      <w:r w:rsidRPr="00DF14E1">
        <w:t xml:space="preserve"> by using t</w:t>
      </w:r>
      <w:r w:rsidR="00A858BC" w:rsidRPr="00DF14E1">
        <w:t xml:space="preserve">emplates EU CR7-A and </w:t>
      </w:r>
      <w:r w:rsidR="00E62304">
        <w:t xml:space="preserve">EU </w:t>
      </w:r>
      <w:r w:rsidR="00A858BC" w:rsidRPr="00DF14E1">
        <w:t xml:space="preserve">CR7 of Annex XXI </w:t>
      </w:r>
      <w:r w:rsidR="005F490A" w:rsidRPr="00DF14E1">
        <w:t xml:space="preserve">to this Regulation </w:t>
      </w:r>
      <w:r w:rsidR="00A858BC" w:rsidRPr="00DF14E1">
        <w:t xml:space="preserve">and </w:t>
      </w:r>
      <w:r w:rsidRPr="00DF14E1">
        <w:t xml:space="preserve">by following </w:t>
      </w:r>
      <w:r w:rsidR="00A858BC" w:rsidRPr="00DF14E1">
        <w:t xml:space="preserve">the </w:t>
      </w:r>
      <w:r w:rsidR="001D579B" w:rsidRPr="00DF14E1">
        <w:t>i</w:t>
      </w:r>
      <w:r w:rsidR="00A858BC" w:rsidRPr="00DF14E1">
        <w:t>nstructions set out in Annex XXII</w:t>
      </w:r>
      <w:r w:rsidR="005F490A" w:rsidRPr="00DF14E1">
        <w:t xml:space="preserve"> to this Regulation</w:t>
      </w:r>
      <w:r w:rsidR="00F5043B" w:rsidRPr="00DF14E1">
        <w:t>;</w:t>
      </w:r>
    </w:p>
    <w:p w:rsidR="00A858BC" w:rsidRPr="00DF14E1" w:rsidRDefault="00926007" w:rsidP="00F5043B">
      <w:pPr>
        <w:pStyle w:val="Point1letter"/>
        <w:numPr>
          <w:ilvl w:val="3"/>
          <w:numId w:val="19"/>
        </w:numPr>
        <w:tabs>
          <w:tab w:val="clear" w:pos="1417"/>
        </w:tabs>
        <w:ind w:left="567"/>
      </w:pPr>
      <w:r w:rsidRPr="00DF14E1">
        <w:t xml:space="preserve">the information referred to in Article 438, </w:t>
      </w:r>
      <w:r w:rsidR="00A858BC" w:rsidRPr="00DF14E1">
        <w:t>point (h)</w:t>
      </w:r>
      <w:r w:rsidRPr="00DF14E1">
        <w:t>,</w:t>
      </w:r>
      <w:r w:rsidR="00A858BC" w:rsidRPr="00DF14E1">
        <w:t xml:space="preserve"> of Regulation (EU) No 575/2013</w:t>
      </w:r>
      <w:r w:rsidRPr="00DF14E1">
        <w:t xml:space="preserve"> by using </w:t>
      </w:r>
      <w:r w:rsidR="001D579B" w:rsidRPr="00DF14E1">
        <w:t>t</w:t>
      </w:r>
      <w:r w:rsidR="00A858BC" w:rsidRPr="00DF14E1">
        <w:t xml:space="preserve">emplate EU CR8 of Annex XXI </w:t>
      </w:r>
      <w:r w:rsidR="005F490A" w:rsidRPr="00DF14E1">
        <w:t xml:space="preserve">to this Regulation </w:t>
      </w:r>
      <w:r w:rsidR="00A858BC" w:rsidRPr="00DF14E1">
        <w:t xml:space="preserve">and </w:t>
      </w:r>
      <w:r w:rsidRPr="00DF14E1">
        <w:t xml:space="preserve">by following </w:t>
      </w:r>
      <w:r w:rsidR="00A858BC" w:rsidRPr="00DF14E1">
        <w:t>the instructions set out in Annex XXII</w:t>
      </w:r>
      <w:r w:rsidR="005F490A" w:rsidRPr="00DF14E1">
        <w:t xml:space="preserve"> to this Regulation</w:t>
      </w:r>
      <w:r w:rsidR="00F5043B" w:rsidRPr="00DF14E1">
        <w:t>;</w:t>
      </w:r>
    </w:p>
    <w:p w:rsidR="00A858BC" w:rsidRPr="00DF14E1" w:rsidRDefault="00926007" w:rsidP="00F5043B">
      <w:pPr>
        <w:pStyle w:val="Point1letter"/>
        <w:numPr>
          <w:ilvl w:val="3"/>
          <w:numId w:val="19"/>
        </w:numPr>
        <w:tabs>
          <w:tab w:val="clear" w:pos="1417"/>
        </w:tabs>
        <w:ind w:left="567"/>
      </w:pPr>
      <w:proofErr w:type="gramStart"/>
      <w:r w:rsidRPr="00DF14E1">
        <w:t>the</w:t>
      </w:r>
      <w:proofErr w:type="gramEnd"/>
      <w:r w:rsidRPr="00DF14E1">
        <w:t xml:space="preserve"> information referred to in Article 452, </w:t>
      </w:r>
      <w:r w:rsidR="00A858BC" w:rsidRPr="00DF14E1">
        <w:t>point (h)</w:t>
      </w:r>
      <w:r w:rsidRPr="00DF14E1">
        <w:t>,</w:t>
      </w:r>
      <w:r w:rsidR="00A858BC" w:rsidRPr="00DF14E1">
        <w:t xml:space="preserve"> of Regulation (EU) No 575/2013</w:t>
      </w:r>
      <w:r w:rsidRPr="00DF14E1">
        <w:t xml:space="preserve"> by using t</w:t>
      </w:r>
      <w:r w:rsidR="00A858BC" w:rsidRPr="00DF14E1">
        <w:t>emplate</w:t>
      </w:r>
      <w:r w:rsidRPr="00DF14E1">
        <w:t>s</w:t>
      </w:r>
      <w:r w:rsidR="00A858BC" w:rsidRPr="00DF14E1">
        <w:t xml:space="preserve"> EU CR9 and </w:t>
      </w:r>
      <w:r w:rsidR="00CC62AE">
        <w:t xml:space="preserve">EU </w:t>
      </w:r>
      <w:r w:rsidR="00A858BC" w:rsidRPr="00DF14E1">
        <w:t xml:space="preserve">CR9.1 of Annex XXI </w:t>
      </w:r>
      <w:r w:rsidR="005F490A" w:rsidRPr="00DF14E1">
        <w:t xml:space="preserve">to this Regulation </w:t>
      </w:r>
      <w:r w:rsidR="00A858BC" w:rsidRPr="00DF14E1">
        <w:t xml:space="preserve">and </w:t>
      </w:r>
      <w:r w:rsidRPr="00DF14E1">
        <w:t xml:space="preserve">by following </w:t>
      </w:r>
      <w:r w:rsidR="00A858BC" w:rsidRPr="00DF14E1">
        <w:t>the instructions set out in Annex XXII</w:t>
      </w:r>
      <w:r w:rsidR="005F490A" w:rsidRPr="00DF14E1">
        <w:t xml:space="preserve"> to this Regulation</w:t>
      </w:r>
      <w:r w:rsidR="00A858BC" w:rsidRPr="00DF14E1">
        <w:t>.</w:t>
      </w:r>
    </w:p>
    <w:p w:rsidR="009675DD" w:rsidRPr="00DF14E1" w:rsidRDefault="009675DD" w:rsidP="009675DD">
      <w:pPr>
        <w:pStyle w:val="Titrearticle"/>
      </w:pPr>
      <w:r w:rsidRPr="00DF14E1">
        <w:t xml:space="preserve">Article </w:t>
      </w:r>
      <w:r w:rsidR="00E5338C" w:rsidRPr="00DF14E1">
        <w:t>12</w:t>
      </w:r>
    </w:p>
    <w:p w:rsidR="00A858BC" w:rsidRPr="00DF14E1" w:rsidRDefault="00A858BC" w:rsidP="00A858BC">
      <w:pPr>
        <w:pStyle w:val="Titrearticle"/>
        <w:spacing w:before="120"/>
        <w:rPr>
          <w:b/>
          <w:i w:val="0"/>
        </w:rPr>
      </w:pPr>
      <w:r w:rsidRPr="00DF14E1">
        <w:rPr>
          <w:b/>
          <w:i w:val="0"/>
        </w:rPr>
        <w:t>D</w:t>
      </w:r>
      <w:r w:rsidR="00F5043B" w:rsidRPr="00DF14E1">
        <w:rPr>
          <w:b/>
          <w:i w:val="0"/>
        </w:rPr>
        <w:t>isclosure of specialised lending and equity exposure under the simple risk weight approach</w:t>
      </w:r>
    </w:p>
    <w:p w:rsidR="00A858BC" w:rsidRPr="00DF14E1" w:rsidRDefault="00A858BC" w:rsidP="00A858BC">
      <w:r w:rsidRPr="00DF14E1">
        <w:t xml:space="preserve">Institutions shall </w:t>
      </w:r>
      <w:r w:rsidR="00F15C9D" w:rsidRPr="00DF14E1">
        <w:t xml:space="preserve">disclose the information referred to in Article 438, </w:t>
      </w:r>
      <w:r w:rsidRPr="00DF14E1">
        <w:t>point (e)</w:t>
      </w:r>
      <w:r w:rsidR="00F15C9D" w:rsidRPr="00DF14E1">
        <w:t>,</w:t>
      </w:r>
      <w:r w:rsidRPr="00DF14E1">
        <w:t xml:space="preserve"> </w:t>
      </w:r>
      <w:proofErr w:type="gramStart"/>
      <w:r w:rsidRPr="00DF14E1">
        <w:t>of</w:t>
      </w:r>
      <w:proofErr w:type="gramEnd"/>
      <w:r w:rsidRPr="00DF14E1">
        <w:t xml:space="preserve"> Regulation (EU) No 575/2013</w:t>
      </w:r>
      <w:r w:rsidR="00F15C9D" w:rsidRPr="00DF14E1">
        <w:t xml:space="preserve"> by using t</w:t>
      </w:r>
      <w:r w:rsidRPr="00DF14E1">
        <w:t>emplate EU CR10 of Annex XXIII</w:t>
      </w:r>
      <w:r w:rsidR="00F15C9D" w:rsidRPr="00DF14E1">
        <w:t xml:space="preserve"> to this Regulation</w:t>
      </w:r>
      <w:r w:rsidRPr="00DF14E1">
        <w:t xml:space="preserve"> and</w:t>
      </w:r>
      <w:r w:rsidR="00F15C9D" w:rsidRPr="00DF14E1">
        <w:t xml:space="preserve"> by following</w:t>
      </w:r>
      <w:r w:rsidRPr="00DF14E1">
        <w:t xml:space="preserve"> the instructions set out in Annex XXIV</w:t>
      </w:r>
      <w:r w:rsidR="00F15C9D" w:rsidRPr="00DF14E1">
        <w:t xml:space="preserve"> to this Regulation</w:t>
      </w:r>
      <w:r w:rsidRPr="00DF14E1">
        <w:t>.</w:t>
      </w:r>
    </w:p>
    <w:p w:rsidR="00BF182F" w:rsidRPr="00DF14E1" w:rsidRDefault="00BF182F" w:rsidP="00BF182F">
      <w:pPr>
        <w:pStyle w:val="Titrearticle"/>
      </w:pPr>
      <w:r w:rsidRPr="00DF14E1">
        <w:t xml:space="preserve">Article </w:t>
      </w:r>
      <w:r w:rsidR="00E5338C" w:rsidRPr="00DF14E1">
        <w:t>13</w:t>
      </w:r>
    </w:p>
    <w:p w:rsidR="00A858BC" w:rsidRPr="00DF14E1" w:rsidRDefault="00A858BC" w:rsidP="00A858BC">
      <w:pPr>
        <w:pStyle w:val="Titrearticle"/>
        <w:spacing w:before="120"/>
        <w:rPr>
          <w:b/>
          <w:i w:val="0"/>
        </w:rPr>
      </w:pPr>
      <w:r w:rsidRPr="00DF14E1">
        <w:rPr>
          <w:b/>
          <w:i w:val="0"/>
        </w:rPr>
        <w:t>D</w:t>
      </w:r>
      <w:r w:rsidR="00F5043B" w:rsidRPr="00DF14E1">
        <w:rPr>
          <w:b/>
          <w:i w:val="0"/>
        </w:rPr>
        <w:t>isclosure of exposures to counterparty credit risk</w:t>
      </w:r>
    </w:p>
    <w:p w:rsidR="00A858BC" w:rsidRPr="00DF14E1" w:rsidRDefault="00A858BC" w:rsidP="00A858BC">
      <w:r w:rsidRPr="00DF14E1">
        <w:t xml:space="preserve">Institutions shall </w:t>
      </w:r>
      <w:r w:rsidR="00336F4D" w:rsidRPr="00DF14E1">
        <w:t>disclose the information</w:t>
      </w:r>
      <w:r w:rsidRPr="00DF14E1">
        <w:t xml:space="preserve"> </w:t>
      </w:r>
      <w:r w:rsidR="00336F4D" w:rsidRPr="00DF14E1">
        <w:t>referred to</w:t>
      </w:r>
      <w:r w:rsidRPr="00DF14E1">
        <w:t xml:space="preserve"> in </w:t>
      </w:r>
      <w:r w:rsidR="00AB786E" w:rsidRPr="00DF14E1">
        <w:t>Article </w:t>
      </w:r>
      <w:r w:rsidRPr="00DF14E1">
        <w:t>438</w:t>
      </w:r>
      <w:r w:rsidR="00AD027A" w:rsidRPr="00DF14E1">
        <w:t>, point (h)</w:t>
      </w:r>
      <w:r w:rsidR="00AB786E" w:rsidRPr="00DF14E1">
        <w:t>,</w:t>
      </w:r>
      <w:r w:rsidRPr="00DF14E1">
        <w:t xml:space="preserve"> and </w:t>
      </w:r>
      <w:r w:rsidR="00AD027A" w:rsidRPr="00DF14E1">
        <w:t xml:space="preserve">Article </w:t>
      </w:r>
      <w:r w:rsidRPr="00DF14E1">
        <w:t>439 of Regulation (EU) No 575/2013 as follows:</w:t>
      </w:r>
    </w:p>
    <w:p w:rsidR="00A858BC" w:rsidRPr="00DF14E1" w:rsidRDefault="00336F4D" w:rsidP="00F5043B">
      <w:pPr>
        <w:pStyle w:val="Point1letter"/>
        <w:numPr>
          <w:ilvl w:val="3"/>
          <w:numId w:val="21"/>
        </w:numPr>
        <w:tabs>
          <w:tab w:val="clear" w:pos="1417"/>
        </w:tabs>
        <w:ind w:left="567"/>
      </w:pPr>
      <w:r w:rsidRPr="00DF14E1">
        <w:t>the information referred to in Article 439,</w:t>
      </w:r>
      <w:r w:rsidR="00A858BC" w:rsidRPr="00DF14E1">
        <w:t xml:space="preserve"> points</w:t>
      </w:r>
      <w:r w:rsidRPr="00DF14E1">
        <w:t> </w:t>
      </w:r>
      <w:r w:rsidR="00A858BC" w:rsidRPr="00DF14E1">
        <w:t>(a), (b), (c) and (d)</w:t>
      </w:r>
      <w:r w:rsidRPr="00DF14E1">
        <w:t>,</w:t>
      </w:r>
      <w:r w:rsidR="00A858BC" w:rsidRPr="00DF14E1">
        <w:t xml:space="preserve"> of Regulation (EU) No 575/2013</w:t>
      </w:r>
      <w:r w:rsidRPr="00DF14E1">
        <w:t xml:space="preserve"> by using</w:t>
      </w:r>
      <w:r w:rsidR="00254B69" w:rsidRPr="00DF14E1">
        <w:t xml:space="preserve"> </w:t>
      </w:r>
      <w:r w:rsidRPr="00DF14E1">
        <w:t>t</w:t>
      </w:r>
      <w:r w:rsidR="00A858BC" w:rsidRPr="00DF14E1">
        <w:t>able EU CCRA of Annex XXV</w:t>
      </w:r>
      <w:r w:rsidRPr="00DF14E1">
        <w:t xml:space="preserve"> to this Regulation</w:t>
      </w:r>
      <w:r w:rsidR="00A858BC" w:rsidRPr="00DF14E1">
        <w:t xml:space="preserve"> and</w:t>
      </w:r>
      <w:r w:rsidRPr="00DF14E1">
        <w:t xml:space="preserve"> by following</w:t>
      </w:r>
      <w:r w:rsidR="00A858BC" w:rsidRPr="00DF14E1">
        <w:t xml:space="preserve"> the instructions set out in Annex XXVI</w:t>
      </w:r>
      <w:r w:rsidRPr="00DF14E1">
        <w:t xml:space="preserve"> to this Regulation</w:t>
      </w:r>
      <w:r w:rsidR="00F5043B" w:rsidRPr="00DF14E1">
        <w:t>;</w:t>
      </w:r>
    </w:p>
    <w:p w:rsidR="00A858BC" w:rsidRPr="00DF14E1" w:rsidRDefault="00336F4D" w:rsidP="00F5043B">
      <w:pPr>
        <w:pStyle w:val="Point1letter"/>
        <w:numPr>
          <w:ilvl w:val="3"/>
          <w:numId w:val="19"/>
        </w:numPr>
        <w:tabs>
          <w:tab w:val="clear" w:pos="1417"/>
        </w:tabs>
        <w:ind w:left="567"/>
      </w:pPr>
      <w:r w:rsidRPr="00DF14E1">
        <w:t xml:space="preserve">the information referred to in Article 439, </w:t>
      </w:r>
      <w:r w:rsidR="00A858BC" w:rsidRPr="00DF14E1">
        <w:t>points (f), (g), (k) and (m)</w:t>
      </w:r>
      <w:r w:rsidRPr="00DF14E1">
        <w:t>,</w:t>
      </w:r>
      <w:r w:rsidR="00A858BC" w:rsidRPr="00DF14E1">
        <w:t xml:space="preserve"> of Regulation (EU) No 575/2013</w:t>
      </w:r>
      <w:r w:rsidRPr="00DF14E1">
        <w:t xml:space="preserve"> by using</w:t>
      </w:r>
      <w:r w:rsidR="00075194" w:rsidRPr="00DF14E1">
        <w:t xml:space="preserve"> </w:t>
      </w:r>
      <w:r w:rsidRPr="00DF14E1">
        <w:t>t</w:t>
      </w:r>
      <w:r w:rsidR="00A858BC" w:rsidRPr="00DF14E1">
        <w:t>emplate EU CCR1 of Annex XXV</w:t>
      </w:r>
      <w:r w:rsidRPr="00DF14E1">
        <w:t xml:space="preserve"> to this Regulation</w:t>
      </w:r>
      <w:r w:rsidR="00A858BC" w:rsidRPr="00DF14E1">
        <w:t xml:space="preserve"> and</w:t>
      </w:r>
      <w:r w:rsidRPr="00DF14E1">
        <w:t xml:space="preserve"> by following</w:t>
      </w:r>
      <w:r w:rsidR="00A858BC" w:rsidRPr="00DF14E1">
        <w:t xml:space="preserve"> the instructions set out in Annex XXVI</w:t>
      </w:r>
      <w:r w:rsidRPr="00DF14E1">
        <w:t xml:space="preserve"> to this Regulation</w:t>
      </w:r>
      <w:r w:rsidR="00F5043B" w:rsidRPr="00DF14E1">
        <w:t>;</w:t>
      </w:r>
    </w:p>
    <w:p w:rsidR="00A858BC" w:rsidRPr="00DF14E1" w:rsidRDefault="00336F4D" w:rsidP="00F5043B">
      <w:pPr>
        <w:pStyle w:val="Point1letter"/>
        <w:numPr>
          <w:ilvl w:val="3"/>
          <w:numId w:val="19"/>
        </w:numPr>
        <w:tabs>
          <w:tab w:val="clear" w:pos="1417"/>
        </w:tabs>
        <w:ind w:left="567"/>
      </w:pPr>
      <w:r w:rsidRPr="00DF14E1">
        <w:t>the information referred to</w:t>
      </w:r>
      <w:r w:rsidR="00A858BC" w:rsidRPr="00DF14E1">
        <w:t xml:space="preserve"> in Article 439</w:t>
      </w:r>
      <w:r w:rsidRPr="00DF14E1">
        <w:t>,</w:t>
      </w:r>
      <w:r w:rsidR="00A858BC" w:rsidRPr="00DF14E1">
        <w:t xml:space="preserve"> </w:t>
      </w:r>
      <w:r w:rsidRPr="00DF14E1">
        <w:t xml:space="preserve">point (h), </w:t>
      </w:r>
      <w:r w:rsidR="00A858BC" w:rsidRPr="00DF14E1">
        <w:t>of Regulation (EU) No 575/2013</w:t>
      </w:r>
      <w:r w:rsidRPr="00DF14E1">
        <w:t xml:space="preserve"> by using</w:t>
      </w:r>
      <w:r w:rsidR="00A858BC" w:rsidRPr="00DF14E1">
        <w:t xml:space="preserve"> template EU CCR2 of Annex XXV </w:t>
      </w:r>
      <w:r w:rsidRPr="00DF14E1">
        <w:t xml:space="preserve">to this Regulation </w:t>
      </w:r>
      <w:r w:rsidR="00A858BC" w:rsidRPr="00DF14E1">
        <w:t xml:space="preserve">and </w:t>
      </w:r>
      <w:r w:rsidRPr="00DF14E1">
        <w:t xml:space="preserve">by following </w:t>
      </w:r>
      <w:r w:rsidR="00A858BC" w:rsidRPr="00DF14E1">
        <w:t>the instructions set out in Annex XXVI</w:t>
      </w:r>
      <w:r w:rsidRPr="00DF14E1">
        <w:t xml:space="preserve"> to this Regulation</w:t>
      </w:r>
      <w:r w:rsidR="00F5043B" w:rsidRPr="00DF14E1">
        <w:t>;</w:t>
      </w:r>
    </w:p>
    <w:p w:rsidR="00F31307" w:rsidRPr="00DF14E1" w:rsidRDefault="00F31307" w:rsidP="00F31307">
      <w:pPr>
        <w:pStyle w:val="Point1letter"/>
        <w:numPr>
          <w:ilvl w:val="3"/>
          <w:numId w:val="19"/>
        </w:numPr>
        <w:tabs>
          <w:tab w:val="clear" w:pos="1417"/>
        </w:tabs>
        <w:ind w:left="567"/>
      </w:pPr>
      <w:r w:rsidRPr="00DF14E1">
        <w:t>the information referred to in Article 439, point (l) of Regulation (EU) No 575/2013 by using templates EU CCR3 and EU CCR4 of Annex XXV to this Regulation and by following the instructions set out in Annex XXVI to this Regulation;</w:t>
      </w:r>
    </w:p>
    <w:p w:rsidR="00F31307" w:rsidRPr="00DF14E1" w:rsidRDefault="00F31307" w:rsidP="00F31307">
      <w:pPr>
        <w:pStyle w:val="Point1letter"/>
        <w:numPr>
          <w:ilvl w:val="3"/>
          <w:numId w:val="19"/>
        </w:numPr>
        <w:tabs>
          <w:tab w:val="clear" w:pos="1417"/>
        </w:tabs>
        <w:ind w:left="567"/>
      </w:pPr>
      <w:r w:rsidRPr="00DF14E1">
        <w:t>the information referred to in Article 439, point (e), of Regulation (EU) No 575/2013 by using template EU CCR5 of Annex XXV to this Regulation and by following the instructions set out in Annex XXVI to this Regulation;</w:t>
      </w:r>
    </w:p>
    <w:p w:rsidR="00F31307" w:rsidRPr="00DF14E1" w:rsidRDefault="00F31307" w:rsidP="007F676F">
      <w:pPr>
        <w:pStyle w:val="Point1letter"/>
        <w:numPr>
          <w:ilvl w:val="3"/>
          <w:numId w:val="19"/>
        </w:numPr>
        <w:tabs>
          <w:tab w:val="clear" w:pos="1417"/>
        </w:tabs>
        <w:ind w:left="567"/>
      </w:pPr>
      <w:r w:rsidRPr="00DF14E1">
        <w:t>the information referred to in Article 439, point (j), of Regulation (EU) No 575/2013 by using, template EU CCR6 of Annex XXV to this Regulation and by following the instructions set out in Annex XXVI to this Regulation;</w:t>
      </w:r>
    </w:p>
    <w:p w:rsidR="00262584" w:rsidRPr="00DF14E1" w:rsidRDefault="00262584" w:rsidP="00262584">
      <w:pPr>
        <w:pStyle w:val="Point1letter"/>
        <w:numPr>
          <w:ilvl w:val="3"/>
          <w:numId w:val="19"/>
        </w:numPr>
        <w:tabs>
          <w:tab w:val="clear" w:pos="1417"/>
        </w:tabs>
        <w:ind w:left="567"/>
      </w:pPr>
      <w:r w:rsidRPr="00DF14E1">
        <w:t>the information referred to in Article 43</w:t>
      </w:r>
      <w:r w:rsidR="00FA2322" w:rsidRPr="00DF14E1">
        <w:t>8</w:t>
      </w:r>
      <w:r w:rsidRPr="00DF14E1">
        <w:t>, point (h), of Regulation (EU) No 575/2013</w:t>
      </w:r>
      <w:r w:rsidR="00124000">
        <w:t xml:space="preserve"> </w:t>
      </w:r>
      <w:r w:rsidRPr="00DF14E1">
        <w:t>by using template EU CCR7 of Annex XXV to this Regulation and by following the instructions set out in Annex XXVI to this Regulation;</w:t>
      </w:r>
    </w:p>
    <w:p w:rsidR="00262584" w:rsidRPr="00DF14E1" w:rsidRDefault="00262584" w:rsidP="00262584">
      <w:pPr>
        <w:pStyle w:val="Point1letter"/>
        <w:numPr>
          <w:ilvl w:val="3"/>
          <w:numId w:val="19"/>
        </w:numPr>
        <w:tabs>
          <w:tab w:val="clear" w:pos="1417"/>
        </w:tabs>
        <w:ind w:left="567"/>
      </w:pPr>
      <w:proofErr w:type="gramStart"/>
      <w:r w:rsidRPr="00DF14E1">
        <w:t>the</w:t>
      </w:r>
      <w:proofErr w:type="gramEnd"/>
      <w:r w:rsidRPr="00DF14E1">
        <w:t xml:space="preserve"> information referred to in Article 439, point (i) of Regulation (EU) No 575/2013 by using template EU CCR8 of Annex XXV to this Regulation and by following the instructions set out in Annex XXVI to this Regulation. </w:t>
      </w:r>
    </w:p>
    <w:p w:rsidR="00F91209" w:rsidRPr="00DF14E1" w:rsidRDefault="00F91209" w:rsidP="00F91209">
      <w:pPr>
        <w:pStyle w:val="Titrearticle"/>
      </w:pPr>
      <w:r w:rsidRPr="00DF14E1">
        <w:t xml:space="preserve">Article </w:t>
      </w:r>
      <w:r w:rsidR="00E5338C" w:rsidRPr="00DF14E1">
        <w:t>14</w:t>
      </w:r>
    </w:p>
    <w:p w:rsidR="00A858BC" w:rsidRPr="00DF14E1" w:rsidRDefault="00A858BC" w:rsidP="00A858BC">
      <w:pPr>
        <w:pStyle w:val="Titrearticle"/>
        <w:spacing w:before="120"/>
        <w:rPr>
          <w:b/>
          <w:i w:val="0"/>
        </w:rPr>
      </w:pPr>
      <w:r w:rsidRPr="00DF14E1">
        <w:rPr>
          <w:b/>
          <w:i w:val="0"/>
        </w:rPr>
        <w:t>D</w:t>
      </w:r>
      <w:r w:rsidR="00F5043B" w:rsidRPr="00DF14E1">
        <w:rPr>
          <w:b/>
          <w:i w:val="0"/>
        </w:rPr>
        <w:t>isclosure of exposures to securitisation positions</w:t>
      </w:r>
      <w:r w:rsidRPr="00DF14E1">
        <w:rPr>
          <w:b/>
          <w:i w:val="0"/>
        </w:rPr>
        <w:t xml:space="preserve"> </w:t>
      </w:r>
    </w:p>
    <w:p w:rsidR="00A858BC" w:rsidRPr="00DF14E1" w:rsidRDefault="00A858BC" w:rsidP="009777B7">
      <w:r w:rsidRPr="00DF14E1">
        <w:t xml:space="preserve">Institutions shall </w:t>
      </w:r>
      <w:r w:rsidR="00CE62E1" w:rsidRPr="00DF14E1">
        <w:t>disclose the information</w:t>
      </w:r>
      <w:r w:rsidRPr="00DF14E1">
        <w:t xml:space="preserve"> </w:t>
      </w:r>
      <w:r w:rsidR="00CE62E1" w:rsidRPr="00DF14E1">
        <w:t>referred to</w:t>
      </w:r>
      <w:r w:rsidRPr="00DF14E1">
        <w:t xml:space="preserve"> in Article 449 of Regulation (EU) No 575/2013 as follows:</w:t>
      </w:r>
    </w:p>
    <w:p w:rsidR="009777B7" w:rsidRPr="00DF14E1" w:rsidRDefault="00CE62E1" w:rsidP="00F5043B">
      <w:pPr>
        <w:pStyle w:val="Point1letter"/>
        <w:numPr>
          <w:ilvl w:val="3"/>
          <w:numId w:val="22"/>
        </w:numPr>
        <w:tabs>
          <w:tab w:val="clear" w:pos="1417"/>
        </w:tabs>
        <w:ind w:left="567"/>
      </w:pPr>
      <w:r w:rsidRPr="00DF14E1">
        <w:t xml:space="preserve">the information referred to </w:t>
      </w:r>
      <w:r w:rsidR="009777B7" w:rsidRPr="00DF14E1">
        <w:t>in Article 449</w:t>
      </w:r>
      <w:r w:rsidRPr="00DF14E1">
        <w:t>,</w:t>
      </w:r>
      <w:r w:rsidR="009777B7" w:rsidRPr="00DF14E1">
        <w:t xml:space="preserve"> </w:t>
      </w:r>
      <w:r w:rsidRPr="00DF14E1">
        <w:t xml:space="preserve">points (a) to (i), </w:t>
      </w:r>
      <w:r w:rsidR="009777B7" w:rsidRPr="00DF14E1">
        <w:t>of Regulation (EU) No 575/2013</w:t>
      </w:r>
      <w:r w:rsidRPr="00DF14E1">
        <w:t xml:space="preserve"> by using t</w:t>
      </w:r>
      <w:r w:rsidR="009777B7" w:rsidRPr="00DF14E1">
        <w:t>able EU SECA of Annex XXVII</w:t>
      </w:r>
      <w:r w:rsidRPr="00DF14E1">
        <w:t xml:space="preserve"> to this Regulation</w:t>
      </w:r>
      <w:r w:rsidR="009777B7" w:rsidRPr="00DF14E1">
        <w:t xml:space="preserve"> and </w:t>
      </w:r>
      <w:r w:rsidRPr="00DF14E1">
        <w:t xml:space="preserve">by following </w:t>
      </w:r>
      <w:r w:rsidR="009777B7" w:rsidRPr="00DF14E1">
        <w:t>the instructions set out in Annex XXVIII</w:t>
      </w:r>
      <w:r w:rsidRPr="00DF14E1">
        <w:t xml:space="preserve"> to this Regulation</w:t>
      </w:r>
      <w:r w:rsidR="00F5043B" w:rsidRPr="00DF14E1">
        <w:t>;</w:t>
      </w:r>
    </w:p>
    <w:p w:rsidR="009777B7" w:rsidRPr="00DF14E1" w:rsidRDefault="00CE62E1" w:rsidP="00F5043B">
      <w:pPr>
        <w:pStyle w:val="Point1letter"/>
        <w:numPr>
          <w:ilvl w:val="3"/>
          <w:numId w:val="22"/>
        </w:numPr>
        <w:tabs>
          <w:tab w:val="clear" w:pos="1417"/>
        </w:tabs>
        <w:ind w:left="567"/>
      </w:pPr>
      <w:r w:rsidRPr="00DF14E1">
        <w:t xml:space="preserve">the information referred to </w:t>
      </w:r>
      <w:r w:rsidR="009777B7" w:rsidRPr="00DF14E1">
        <w:t>in  Article 449</w:t>
      </w:r>
      <w:r w:rsidRPr="00DF14E1">
        <w:t>,</w:t>
      </w:r>
      <w:r w:rsidR="009777B7" w:rsidRPr="00DF14E1">
        <w:t xml:space="preserve"> </w:t>
      </w:r>
      <w:r w:rsidR="00336F4D" w:rsidRPr="00DF14E1">
        <w:t>point </w:t>
      </w:r>
      <w:r w:rsidRPr="00DF14E1">
        <w:t xml:space="preserve">(j), </w:t>
      </w:r>
      <w:r w:rsidR="009777B7" w:rsidRPr="00DF14E1">
        <w:t>of Regulation (EU) No 575/2013</w:t>
      </w:r>
      <w:r w:rsidRPr="00DF14E1">
        <w:t xml:space="preserve"> by using t</w:t>
      </w:r>
      <w:r w:rsidR="009777B7" w:rsidRPr="00DF14E1">
        <w:t>emplates</w:t>
      </w:r>
      <w:r w:rsidR="00336F4D" w:rsidRPr="00DF14E1">
        <w:t> </w:t>
      </w:r>
      <w:r w:rsidR="009777B7" w:rsidRPr="00DF14E1">
        <w:t>EU SEC1 and EU SEC2 of Annex XXVII</w:t>
      </w:r>
      <w:r w:rsidR="00336F4D" w:rsidRPr="00DF14E1">
        <w:t xml:space="preserve"> to this Regulation</w:t>
      </w:r>
      <w:r w:rsidR="009777B7" w:rsidRPr="00DF14E1">
        <w:t xml:space="preserve"> and </w:t>
      </w:r>
      <w:r w:rsidR="00336F4D" w:rsidRPr="00DF14E1">
        <w:t xml:space="preserve">by following </w:t>
      </w:r>
      <w:r w:rsidR="009777B7" w:rsidRPr="00DF14E1">
        <w:t>the instructions set out in Annex XXVIII</w:t>
      </w:r>
      <w:r w:rsidR="00336F4D" w:rsidRPr="00DF14E1">
        <w:t xml:space="preserve"> to this Regulation</w:t>
      </w:r>
      <w:r w:rsidR="00F5043B" w:rsidRPr="00DF14E1">
        <w:t>;</w:t>
      </w:r>
    </w:p>
    <w:p w:rsidR="009777B7" w:rsidRPr="00DF14E1" w:rsidRDefault="00336F4D" w:rsidP="00F5043B">
      <w:pPr>
        <w:pStyle w:val="Point1letter"/>
        <w:numPr>
          <w:ilvl w:val="3"/>
          <w:numId w:val="22"/>
        </w:numPr>
        <w:tabs>
          <w:tab w:val="clear" w:pos="1417"/>
        </w:tabs>
        <w:ind w:left="567"/>
      </w:pPr>
      <w:r w:rsidRPr="00DF14E1">
        <w:t xml:space="preserve">the information referred to in </w:t>
      </w:r>
      <w:r w:rsidR="009777B7" w:rsidRPr="00DF14E1">
        <w:t>Article 449</w:t>
      </w:r>
      <w:r w:rsidRPr="00DF14E1">
        <w:t>, point (k),</w:t>
      </w:r>
      <w:r w:rsidR="009777B7" w:rsidRPr="00DF14E1">
        <w:t xml:space="preserve"> of Regulation (EU) No 575/2013 </w:t>
      </w:r>
      <w:r w:rsidRPr="00DF14E1">
        <w:t xml:space="preserve">by using </w:t>
      </w:r>
      <w:r w:rsidR="009777B7" w:rsidRPr="00DF14E1">
        <w:t>templates</w:t>
      </w:r>
      <w:r w:rsidRPr="00DF14E1">
        <w:t> </w:t>
      </w:r>
      <w:r w:rsidR="009777B7" w:rsidRPr="00DF14E1">
        <w:t>EU SEC3 and EU SEC4 of Annex XXVII</w:t>
      </w:r>
      <w:r w:rsidRPr="00DF14E1">
        <w:t xml:space="preserve"> to this Regulation</w:t>
      </w:r>
      <w:r w:rsidR="009777B7" w:rsidRPr="00DF14E1">
        <w:t xml:space="preserve"> and </w:t>
      </w:r>
      <w:r w:rsidRPr="00DF14E1">
        <w:t xml:space="preserve">by following </w:t>
      </w:r>
      <w:r w:rsidR="009777B7" w:rsidRPr="00DF14E1">
        <w:t>the instructions set out in Annex XXVIII</w:t>
      </w:r>
      <w:r w:rsidRPr="00DF14E1">
        <w:t xml:space="preserve"> to this Regulation</w:t>
      </w:r>
      <w:r w:rsidR="00F5043B" w:rsidRPr="00DF14E1">
        <w:t>;</w:t>
      </w:r>
    </w:p>
    <w:p w:rsidR="009777B7" w:rsidRPr="00DF14E1" w:rsidRDefault="00336F4D" w:rsidP="00F5043B">
      <w:pPr>
        <w:pStyle w:val="Point1letter"/>
        <w:numPr>
          <w:ilvl w:val="3"/>
          <w:numId w:val="22"/>
        </w:numPr>
        <w:tabs>
          <w:tab w:val="clear" w:pos="1417"/>
        </w:tabs>
        <w:ind w:left="567"/>
      </w:pPr>
      <w:r w:rsidRPr="00DF14E1">
        <w:t>the information referred to in</w:t>
      </w:r>
      <w:r w:rsidR="009777B7" w:rsidRPr="00DF14E1">
        <w:t xml:space="preserve"> Article 449</w:t>
      </w:r>
      <w:r w:rsidRPr="00DF14E1">
        <w:t>, point (l)</w:t>
      </w:r>
      <w:r w:rsidR="009777B7" w:rsidRPr="00DF14E1">
        <w:t xml:space="preserve"> of Regulation (EU) No 575/2013 </w:t>
      </w:r>
      <w:r w:rsidRPr="00DF14E1">
        <w:t>by using t</w:t>
      </w:r>
      <w:r w:rsidR="009777B7" w:rsidRPr="00DF14E1">
        <w:t>emplate EU SEC5 of Annex XXVII</w:t>
      </w:r>
      <w:r w:rsidRPr="00DF14E1">
        <w:t xml:space="preserve"> to this Regulation</w:t>
      </w:r>
      <w:r w:rsidR="009777B7" w:rsidRPr="00DF14E1">
        <w:t xml:space="preserve"> and </w:t>
      </w:r>
      <w:r w:rsidRPr="00DF14E1">
        <w:t xml:space="preserve">by following </w:t>
      </w:r>
      <w:r w:rsidR="009777B7" w:rsidRPr="00DF14E1">
        <w:t>the instructions set out in Annex XXVIII</w:t>
      </w:r>
      <w:r w:rsidRPr="00DF14E1">
        <w:t xml:space="preserve"> to this Regulation</w:t>
      </w:r>
      <w:r w:rsidR="009777B7" w:rsidRPr="00DF14E1">
        <w:t>.</w:t>
      </w:r>
    </w:p>
    <w:p w:rsidR="00F91209" w:rsidRPr="00DF14E1" w:rsidRDefault="00F91209" w:rsidP="00F91209">
      <w:pPr>
        <w:pStyle w:val="Titrearticle"/>
      </w:pPr>
      <w:r w:rsidRPr="00DF14E1">
        <w:t xml:space="preserve">Article </w:t>
      </w:r>
      <w:r w:rsidR="00E5338C" w:rsidRPr="00DF14E1">
        <w:t>15</w:t>
      </w:r>
    </w:p>
    <w:p w:rsidR="009777B7" w:rsidRPr="00DF14E1" w:rsidRDefault="009777B7" w:rsidP="009777B7">
      <w:pPr>
        <w:pStyle w:val="Titrearticle"/>
        <w:spacing w:before="120"/>
        <w:rPr>
          <w:b/>
          <w:i w:val="0"/>
        </w:rPr>
      </w:pPr>
      <w:r w:rsidRPr="00DF14E1">
        <w:rPr>
          <w:b/>
          <w:i w:val="0"/>
        </w:rPr>
        <w:t>D</w:t>
      </w:r>
      <w:r w:rsidR="00F5043B" w:rsidRPr="00DF14E1">
        <w:rPr>
          <w:b/>
          <w:i w:val="0"/>
        </w:rPr>
        <w:t xml:space="preserve">isclosure of the use of the standardised approach and </w:t>
      </w:r>
      <w:r w:rsidR="007328EB" w:rsidRPr="00DF14E1">
        <w:rPr>
          <w:b/>
          <w:i w:val="0"/>
        </w:rPr>
        <w:t xml:space="preserve">of </w:t>
      </w:r>
      <w:r w:rsidR="00F5043B" w:rsidRPr="00DF14E1">
        <w:rPr>
          <w:b/>
          <w:i w:val="0"/>
        </w:rPr>
        <w:t>the internal model</w:t>
      </w:r>
      <w:r w:rsidR="00693F0A">
        <w:rPr>
          <w:b/>
          <w:i w:val="0"/>
        </w:rPr>
        <w:t>s</w:t>
      </w:r>
      <w:r w:rsidR="00F5043B" w:rsidRPr="00DF14E1">
        <w:rPr>
          <w:b/>
          <w:i w:val="0"/>
        </w:rPr>
        <w:t xml:space="preserve"> for market risk</w:t>
      </w:r>
    </w:p>
    <w:p w:rsidR="009777B7" w:rsidRPr="00DF14E1" w:rsidRDefault="009777B7" w:rsidP="00F5043B">
      <w:pPr>
        <w:pStyle w:val="NumPar1"/>
        <w:numPr>
          <w:ilvl w:val="0"/>
          <w:numId w:val="23"/>
        </w:numPr>
        <w:tabs>
          <w:tab w:val="clear" w:pos="850"/>
          <w:tab w:val="left" w:pos="567"/>
        </w:tabs>
        <w:ind w:left="0" w:firstLine="0"/>
      </w:pPr>
      <w:r w:rsidRPr="00DF14E1">
        <w:t xml:space="preserve">Institutions shall </w:t>
      </w:r>
      <w:r w:rsidR="007328EB" w:rsidRPr="00DF14E1">
        <w:t xml:space="preserve">disclose the </w:t>
      </w:r>
      <w:r w:rsidR="00AB786E" w:rsidRPr="00DF14E1">
        <w:t>information</w:t>
      </w:r>
      <w:r w:rsidR="00296DB6" w:rsidRPr="00DF14E1">
        <w:t xml:space="preserve"> </w:t>
      </w:r>
      <w:r w:rsidR="007328EB" w:rsidRPr="00DF14E1">
        <w:t xml:space="preserve">referred to </w:t>
      </w:r>
      <w:r w:rsidRPr="00DF14E1">
        <w:t>in Article 445 of Regulation (EU) No 575/2013</w:t>
      </w:r>
      <w:r w:rsidR="007328EB" w:rsidRPr="00DF14E1">
        <w:t xml:space="preserve"> by using t</w:t>
      </w:r>
      <w:r w:rsidRPr="00DF14E1">
        <w:t>emplate EU MR1 of Annex XXIX</w:t>
      </w:r>
      <w:r w:rsidR="007328EB" w:rsidRPr="00DF14E1">
        <w:t xml:space="preserve"> to this Regulation</w:t>
      </w:r>
      <w:r w:rsidRPr="00DF14E1">
        <w:t xml:space="preserve"> and </w:t>
      </w:r>
      <w:r w:rsidR="007328EB" w:rsidRPr="00DF14E1">
        <w:t xml:space="preserve">by following </w:t>
      </w:r>
      <w:r w:rsidRPr="00DF14E1">
        <w:t>the instructions set out in Annex XXX</w:t>
      </w:r>
      <w:r w:rsidR="007328EB" w:rsidRPr="00DF14E1">
        <w:t xml:space="preserve"> to this Regulation</w:t>
      </w:r>
      <w:r w:rsidRPr="00DF14E1">
        <w:t>.</w:t>
      </w:r>
    </w:p>
    <w:p w:rsidR="009777B7" w:rsidRPr="00DF14E1" w:rsidRDefault="009777B7" w:rsidP="00F5043B">
      <w:pPr>
        <w:pStyle w:val="NumPar1"/>
        <w:numPr>
          <w:ilvl w:val="0"/>
          <w:numId w:val="23"/>
        </w:numPr>
        <w:tabs>
          <w:tab w:val="clear" w:pos="850"/>
          <w:tab w:val="left" w:pos="567"/>
        </w:tabs>
        <w:ind w:left="0" w:firstLine="0"/>
      </w:pPr>
      <w:r w:rsidRPr="00DF14E1">
        <w:t xml:space="preserve">Institutions </w:t>
      </w:r>
      <w:r w:rsidR="00AB786E" w:rsidRPr="00DF14E1">
        <w:t xml:space="preserve">shall </w:t>
      </w:r>
      <w:r w:rsidRPr="00DF14E1">
        <w:t>disclos</w:t>
      </w:r>
      <w:r w:rsidR="007328EB" w:rsidRPr="00DF14E1">
        <w:t>e the information referred to</w:t>
      </w:r>
      <w:r w:rsidRPr="00DF14E1">
        <w:t xml:space="preserve"> in Articles 435, 438 and 455 of Regulation (EU) No 575/2013 as follows:</w:t>
      </w:r>
    </w:p>
    <w:p w:rsidR="009777B7" w:rsidRPr="00DF14E1" w:rsidRDefault="00CE62E1" w:rsidP="00F5043B">
      <w:pPr>
        <w:pStyle w:val="Point1letter"/>
        <w:numPr>
          <w:ilvl w:val="3"/>
          <w:numId w:val="24"/>
        </w:numPr>
        <w:tabs>
          <w:tab w:val="clear" w:pos="1417"/>
        </w:tabs>
        <w:ind w:left="567"/>
      </w:pPr>
      <w:r w:rsidRPr="00DF14E1">
        <w:t xml:space="preserve">the information regarding market risk referred to </w:t>
      </w:r>
      <w:r w:rsidR="009777B7" w:rsidRPr="00DF14E1">
        <w:t xml:space="preserve">in </w:t>
      </w:r>
      <w:r w:rsidRPr="00DF14E1">
        <w:t xml:space="preserve">Article 435(1), </w:t>
      </w:r>
      <w:r w:rsidR="009777B7" w:rsidRPr="00DF14E1">
        <w:t>points (a) to (d)</w:t>
      </w:r>
      <w:r w:rsidRPr="00DF14E1">
        <w:t>,</w:t>
      </w:r>
      <w:r w:rsidR="009777B7" w:rsidRPr="00DF14E1">
        <w:t xml:space="preserve"> of Regulation (EU) No 575/2013</w:t>
      </w:r>
      <w:r w:rsidRPr="00DF14E1">
        <w:t xml:space="preserve"> by using</w:t>
      </w:r>
      <w:r w:rsidR="009777B7" w:rsidRPr="00DF14E1">
        <w:t xml:space="preserve"> table EU MRA of Annex XXIX </w:t>
      </w:r>
      <w:r w:rsidRPr="00DF14E1">
        <w:t xml:space="preserve">to this Regulation </w:t>
      </w:r>
      <w:r w:rsidR="009777B7" w:rsidRPr="00DF14E1">
        <w:t xml:space="preserve">and </w:t>
      </w:r>
      <w:r w:rsidRPr="00DF14E1">
        <w:t xml:space="preserve">by following </w:t>
      </w:r>
      <w:r w:rsidR="009777B7" w:rsidRPr="00DF14E1">
        <w:t>the instructions set out in Annex XXX</w:t>
      </w:r>
      <w:r w:rsidRPr="00DF14E1">
        <w:t xml:space="preserve"> to this Regulation</w:t>
      </w:r>
      <w:r w:rsidR="00F5043B" w:rsidRPr="00DF14E1">
        <w:t>;</w:t>
      </w:r>
    </w:p>
    <w:p w:rsidR="009777B7" w:rsidRPr="00DF14E1" w:rsidRDefault="00CE62E1" w:rsidP="00F5043B">
      <w:pPr>
        <w:pStyle w:val="Point1letter"/>
        <w:numPr>
          <w:ilvl w:val="3"/>
          <w:numId w:val="24"/>
        </w:numPr>
        <w:tabs>
          <w:tab w:val="clear" w:pos="1417"/>
        </w:tabs>
        <w:ind w:left="567"/>
      </w:pPr>
      <w:r w:rsidRPr="00DF14E1">
        <w:t xml:space="preserve">the information referred to in Article 455, </w:t>
      </w:r>
      <w:r w:rsidR="009777B7" w:rsidRPr="00DF14E1">
        <w:t>points (a), (b), (c) and (f)</w:t>
      </w:r>
      <w:r w:rsidRPr="00DF14E1">
        <w:t>,</w:t>
      </w:r>
      <w:r w:rsidR="009777B7" w:rsidRPr="00DF14E1">
        <w:t xml:space="preserve"> of Regulation (EU) No 575/2013</w:t>
      </w:r>
      <w:r w:rsidRPr="00DF14E1">
        <w:t xml:space="preserve"> by using </w:t>
      </w:r>
      <w:r w:rsidR="009777B7" w:rsidRPr="00DF14E1">
        <w:t>table EU MRB of Annex XXIX</w:t>
      </w:r>
      <w:r w:rsidRPr="00DF14E1">
        <w:t xml:space="preserve"> to this Regulation</w:t>
      </w:r>
      <w:r w:rsidR="009777B7" w:rsidRPr="00DF14E1">
        <w:t xml:space="preserve"> and </w:t>
      </w:r>
      <w:r w:rsidRPr="00DF14E1">
        <w:t xml:space="preserve">by following </w:t>
      </w:r>
      <w:r w:rsidR="009777B7" w:rsidRPr="00DF14E1">
        <w:t>the instructions set out in Annex XXX</w:t>
      </w:r>
      <w:r w:rsidRPr="00DF14E1">
        <w:t xml:space="preserve"> to this Regulation</w:t>
      </w:r>
      <w:r w:rsidR="00F5043B" w:rsidRPr="00DF14E1">
        <w:t>;</w:t>
      </w:r>
    </w:p>
    <w:p w:rsidR="009777B7" w:rsidRPr="00DF14E1" w:rsidRDefault="00CE62E1" w:rsidP="00F5043B">
      <w:pPr>
        <w:pStyle w:val="Point1letter"/>
        <w:numPr>
          <w:ilvl w:val="3"/>
          <w:numId w:val="24"/>
        </w:numPr>
        <w:tabs>
          <w:tab w:val="clear" w:pos="1417"/>
        </w:tabs>
        <w:ind w:left="567"/>
      </w:pPr>
      <w:r w:rsidRPr="00DF14E1">
        <w:t>the information referred to in Article 455,</w:t>
      </w:r>
      <w:r w:rsidR="009777B7" w:rsidRPr="00DF14E1">
        <w:t xml:space="preserve"> point (e)</w:t>
      </w:r>
      <w:r w:rsidRPr="00DF14E1">
        <w:t>,</w:t>
      </w:r>
      <w:r w:rsidR="009777B7" w:rsidRPr="00DF14E1">
        <w:t xml:space="preserve"> of Regulation (EU) No 575/2013</w:t>
      </w:r>
      <w:r w:rsidRPr="00DF14E1">
        <w:t xml:space="preserve"> by using</w:t>
      </w:r>
      <w:r w:rsidR="009777B7" w:rsidRPr="00DF14E1">
        <w:t xml:space="preserve"> template EU MR2-A of Annex XXIX</w:t>
      </w:r>
      <w:r w:rsidRPr="00DF14E1">
        <w:t xml:space="preserve"> to this Regulation</w:t>
      </w:r>
      <w:r w:rsidR="009777B7" w:rsidRPr="00DF14E1">
        <w:t xml:space="preserve"> and </w:t>
      </w:r>
      <w:r w:rsidRPr="00DF14E1">
        <w:t xml:space="preserve">by following </w:t>
      </w:r>
      <w:r w:rsidR="009777B7" w:rsidRPr="00DF14E1">
        <w:t>the instructions set out in Annex XXX</w:t>
      </w:r>
      <w:r w:rsidRPr="00DF14E1">
        <w:t xml:space="preserve"> to this Regulation</w:t>
      </w:r>
      <w:r w:rsidR="00F5043B" w:rsidRPr="00DF14E1">
        <w:t>;</w:t>
      </w:r>
    </w:p>
    <w:p w:rsidR="009777B7" w:rsidRPr="00DF14E1" w:rsidRDefault="00CE62E1" w:rsidP="00F5043B">
      <w:pPr>
        <w:pStyle w:val="Point1letter"/>
        <w:numPr>
          <w:ilvl w:val="3"/>
          <w:numId w:val="24"/>
        </w:numPr>
        <w:tabs>
          <w:tab w:val="clear" w:pos="1417"/>
        </w:tabs>
        <w:ind w:left="567"/>
      </w:pPr>
      <w:r w:rsidRPr="00DF14E1">
        <w:t xml:space="preserve">the information regarding internal market risk models referred to </w:t>
      </w:r>
      <w:r w:rsidR="009777B7" w:rsidRPr="00DF14E1">
        <w:t>in Article 438</w:t>
      </w:r>
      <w:r w:rsidRPr="00DF14E1">
        <w:t>,</w:t>
      </w:r>
      <w:r w:rsidR="009777B7" w:rsidRPr="00DF14E1">
        <w:t xml:space="preserve"> </w:t>
      </w:r>
      <w:r w:rsidRPr="00DF14E1">
        <w:t xml:space="preserve">point (h), </w:t>
      </w:r>
      <w:r w:rsidR="009777B7" w:rsidRPr="00DF14E1">
        <w:t xml:space="preserve">of Regulation (EU) No 575/2013 </w:t>
      </w:r>
      <w:r w:rsidRPr="00DF14E1">
        <w:t xml:space="preserve">by using </w:t>
      </w:r>
      <w:r w:rsidR="009777B7" w:rsidRPr="00DF14E1">
        <w:t xml:space="preserve">template EU MR2-B of Annex XXIX </w:t>
      </w:r>
      <w:r w:rsidRPr="00DF14E1">
        <w:t xml:space="preserve">to this Regulation </w:t>
      </w:r>
      <w:r w:rsidR="009777B7" w:rsidRPr="00DF14E1">
        <w:t xml:space="preserve">and </w:t>
      </w:r>
      <w:r w:rsidRPr="00DF14E1">
        <w:t xml:space="preserve">by following </w:t>
      </w:r>
      <w:r w:rsidR="009777B7" w:rsidRPr="00DF14E1">
        <w:t>the instructions set out in Annex XXX</w:t>
      </w:r>
      <w:r w:rsidRPr="00DF14E1">
        <w:t xml:space="preserve"> to this Regulation</w:t>
      </w:r>
      <w:r w:rsidR="00F5043B" w:rsidRPr="00DF14E1">
        <w:t>;</w:t>
      </w:r>
    </w:p>
    <w:p w:rsidR="009777B7" w:rsidRPr="00DF14E1" w:rsidRDefault="00CE62E1" w:rsidP="00F5043B">
      <w:pPr>
        <w:pStyle w:val="Point1letter"/>
        <w:numPr>
          <w:ilvl w:val="3"/>
          <w:numId w:val="24"/>
        </w:numPr>
        <w:tabs>
          <w:tab w:val="clear" w:pos="1417"/>
        </w:tabs>
        <w:ind w:left="567"/>
      </w:pPr>
      <w:r w:rsidRPr="00DF14E1">
        <w:t xml:space="preserve">the information referred to </w:t>
      </w:r>
      <w:r w:rsidR="009777B7" w:rsidRPr="00DF14E1">
        <w:t>in Article 455</w:t>
      </w:r>
      <w:r w:rsidRPr="00DF14E1">
        <w:t>,</w:t>
      </w:r>
      <w:r w:rsidR="009777B7" w:rsidRPr="00DF14E1">
        <w:t xml:space="preserve"> </w:t>
      </w:r>
      <w:r w:rsidRPr="00DF14E1">
        <w:t xml:space="preserve">point (d), </w:t>
      </w:r>
      <w:r w:rsidR="009777B7" w:rsidRPr="00DF14E1">
        <w:t>of Regulation (EU) No 575/2013</w:t>
      </w:r>
      <w:r w:rsidRPr="00DF14E1">
        <w:t xml:space="preserve"> by using </w:t>
      </w:r>
      <w:r w:rsidR="009777B7" w:rsidRPr="00DF14E1">
        <w:t>template EU MR3 of Annex XXIX</w:t>
      </w:r>
      <w:r w:rsidRPr="00DF14E1">
        <w:t xml:space="preserve"> to this Regulation</w:t>
      </w:r>
      <w:r w:rsidR="009777B7" w:rsidRPr="00DF14E1">
        <w:t xml:space="preserve"> and </w:t>
      </w:r>
      <w:r w:rsidRPr="00DF14E1">
        <w:t xml:space="preserve">by following </w:t>
      </w:r>
      <w:r w:rsidR="009777B7" w:rsidRPr="00DF14E1">
        <w:t>the instructions set out in Annex XXX</w:t>
      </w:r>
      <w:r w:rsidRPr="00DF14E1">
        <w:t xml:space="preserve"> to this Regulation</w:t>
      </w:r>
      <w:r w:rsidR="00F5043B" w:rsidRPr="00DF14E1">
        <w:t>;</w:t>
      </w:r>
    </w:p>
    <w:p w:rsidR="009777B7" w:rsidRPr="00DF14E1" w:rsidRDefault="00CE62E1" w:rsidP="00F5043B">
      <w:pPr>
        <w:pStyle w:val="Point1letter"/>
        <w:numPr>
          <w:ilvl w:val="3"/>
          <w:numId w:val="24"/>
        </w:numPr>
        <w:tabs>
          <w:tab w:val="clear" w:pos="1417"/>
        </w:tabs>
        <w:ind w:left="567"/>
      </w:pPr>
      <w:proofErr w:type="gramStart"/>
      <w:r w:rsidRPr="00DF14E1">
        <w:t>the</w:t>
      </w:r>
      <w:proofErr w:type="gramEnd"/>
      <w:r w:rsidRPr="00DF14E1">
        <w:t xml:space="preserve"> information referred to in </w:t>
      </w:r>
      <w:r w:rsidR="009777B7" w:rsidRPr="00DF14E1">
        <w:t>Article 455</w:t>
      </w:r>
      <w:r w:rsidRPr="00DF14E1">
        <w:t>, point (g),</w:t>
      </w:r>
      <w:r w:rsidR="009777B7" w:rsidRPr="00DF14E1">
        <w:t xml:space="preserve"> of Regulation (EU) No 575/2013</w:t>
      </w:r>
      <w:r w:rsidRPr="00DF14E1">
        <w:t xml:space="preserve"> by using</w:t>
      </w:r>
      <w:r w:rsidR="009777B7" w:rsidRPr="00DF14E1">
        <w:t xml:space="preserve"> template EU MR4 of Annex XXIX</w:t>
      </w:r>
      <w:r w:rsidRPr="00DF14E1">
        <w:t xml:space="preserve"> to this Regulation</w:t>
      </w:r>
      <w:r w:rsidR="009777B7" w:rsidRPr="00DF14E1">
        <w:t xml:space="preserve"> and </w:t>
      </w:r>
      <w:r w:rsidRPr="00DF14E1">
        <w:t xml:space="preserve">by following </w:t>
      </w:r>
      <w:r w:rsidR="009777B7" w:rsidRPr="00DF14E1">
        <w:t>the instructions set out in Annex XXX</w:t>
      </w:r>
      <w:r w:rsidRPr="00DF14E1">
        <w:t xml:space="preserve"> to this Regulation</w:t>
      </w:r>
      <w:r w:rsidR="009777B7" w:rsidRPr="00DF14E1">
        <w:t>.</w:t>
      </w:r>
    </w:p>
    <w:p w:rsidR="00F91209" w:rsidRPr="00DF14E1" w:rsidRDefault="00F91209" w:rsidP="00F91209">
      <w:pPr>
        <w:pStyle w:val="Titrearticle"/>
      </w:pPr>
      <w:r w:rsidRPr="00DF14E1">
        <w:t xml:space="preserve">Article </w:t>
      </w:r>
      <w:r w:rsidR="008A33A3">
        <w:t>16</w:t>
      </w:r>
      <w:r w:rsidRPr="00DF14E1">
        <w:fldChar w:fldCharType="begin"/>
      </w:r>
      <w:r w:rsidRPr="00DF14E1">
        <w:instrText xml:space="preserve"> seq article </w:instrText>
      </w:r>
      <w:r w:rsidRPr="00DF14E1">
        <w:fldChar w:fldCharType="end"/>
      </w:r>
    </w:p>
    <w:p w:rsidR="009777B7" w:rsidRPr="00DF14E1" w:rsidRDefault="009777B7" w:rsidP="009777B7">
      <w:pPr>
        <w:pStyle w:val="Titrearticle"/>
        <w:spacing w:before="120"/>
        <w:rPr>
          <w:b/>
          <w:i w:val="0"/>
        </w:rPr>
      </w:pPr>
      <w:r w:rsidRPr="00DF14E1">
        <w:rPr>
          <w:b/>
          <w:i w:val="0"/>
        </w:rPr>
        <w:t>D</w:t>
      </w:r>
      <w:r w:rsidR="00F5043B" w:rsidRPr="00DF14E1">
        <w:rPr>
          <w:b/>
          <w:i w:val="0"/>
        </w:rPr>
        <w:t xml:space="preserve">isclosure of </w:t>
      </w:r>
      <w:r w:rsidR="006A7F00" w:rsidRPr="00DF14E1">
        <w:rPr>
          <w:b/>
          <w:i w:val="0"/>
        </w:rPr>
        <w:t>operational risk</w:t>
      </w:r>
      <w:r w:rsidRPr="00DF14E1">
        <w:rPr>
          <w:b/>
          <w:i w:val="0"/>
        </w:rPr>
        <w:t xml:space="preserve"> </w:t>
      </w:r>
    </w:p>
    <w:p w:rsidR="009777B7" w:rsidRPr="00DF14E1" w:rsidRDefault="009777B7" w:rsidP="009777B7">
      <w:r w:rsidRPr="00DF14E1">
        <w:t xml:space="preserve">Institutions shall disclose the information </w:t>
      </w:r>
      <w:r w:rsidR="00D642C6" w:rsidRPr="00DF14E1">
        <w:t>referred to in</w:t>
      </w:r>
      <w:r w:rsidRPr="00DF14E1">
        <w:t xml:space="preserve"> </w:t>
      </w:r>
      <w:r w:rsidR="00F04CDC" w:rsidRPr="00DF14E1">
        <w:t>A</w:t>
      </w:r>
      <w:r w:rsidRPr="00DF14E1">
        <w:t xml:space="preserve">rticle 435, </w:t>
      </w:r>
      <w:r w:rsidR="00D001B4" w:rsidRPr="00DF14E1">
        <w:t>Article </w:t>
      </w:r>
      <w:r w:rsidRPr="00DF14E1">
        <w:t>438</w:t>
      </w:r>
      <w:r w:rsidR="00D001B4" w:rsidRPr="00DF14E1">
        <w:t>, point </w:t>
      </w:r>
      <w:r w:rsidR="00C16675" w:rsidRPr="00DF14E1">
        <w:t>(</w:t>
      </w:r>
      <w:r w:rsidRPr="00DF14E1">
        <w:t>d</w:t>
      </w:r>
      <w:r w:rsidR="00C16675" w:rsidRPr="00DF14E1">
        <w:t>)</w:t>
      </w:r>
      <w:r w:rsidRPr="00DF14E1">
        <w:t xml:space="preserve">, </w:t>
      </w:r>
      <w:r w:rsidR="00D001B4" w:rsidRPr="00DF14E1">
        <w:t>and Articles </w:t>
      </w:r>
      <w:r w:rsidRPr="00DF14E1">
        <w:t>446 and 454 of Regulation (EU) No 575/2013</w:t>
      </w:r>
      <w:r w:rsidR="0053062E" w:rsidRPr="00DF14E1">
        <w:t xml:space="preserve"> by using</w:t>
      </w:r>
      <w:r w:rsidR="00D001B4" w:rsidRPr="00DF14E1">
        <w:t xml:space="preserve"> </w:t>
      </w:r>
      <w:r w:rsidR="0053062E" w:rsidRPr="00DF14E1">
        <w:t>t</w:t>
      </w:r>
      <w:r w:rsidRPr="00DF14E1">
        <w:t xml:space="preserve">able EU ORA and </w:t>
      </w:r>
      <w:r w:rsidR="0053062E" w:rsidRPr="00DF14E1">
        <w:t>t</w:t>
      </w:r>
      <w:r w:rsidRPr="00DF14E1">
        <w:t>emplate EU OR1 of Annex XXXI</w:t>
      </w:r>
      <w:r w:rsidR="0053062E" w:rsidRPr="00DF14E1">
        <w:t xml:space="preserve"> to this Regulation</w:t>
      </w:r>
      <w:r w:rsidRPr="00DF14E1">
        <w:t xml:space="preserve"> and </w:t>
      </w:r>
      <w:r w:rsidR="0053062E" w:rsidRPr="00DF14E1">
        <w:t xml:space="preserve">by following </w:t>
      </w:r>
      <w:r w:rsidRPr="00DF14E1">
        <w:t>the instructions set out in Annex XXXII</w:t>
      </w:r>
      <w:r w:rsidR="0053062E" w:rsidRPr="00DF14E1">
        <w:t xml:space="preserve"> to this Regulation</w:t>
      </w:r>
      <w:r w:rsidRPr="00DF14E1">
        <w:t>.</w:t>
      </w:r>
    </w:p>
    <w:p w:rsidR="000C60D7" w:rsidRPr="00DF14E1" w:rsidRDefault="000C60D7" w:rsidP="000C60D7">
      <w:pPr>
        <w:pStyle w:val="Titrearticle"/>
      </w:pPr>
      <w:r w:rsidRPr="00DF14E1">
        <w:t xml:space="preserve">Article </w:t>
      </w:r>
      <w:r w:rsidR="00C81C3A" w:rsidRPr="00DF14E1">
        <w:t>17</w:t>
      </w:r>
    </w:p>
    <w:p w:rsidR="009777B7" w:rsidRPr="00DF14E1" w:rsidRDefault="009777B7" w:rsidP="009777B7">
      <w:pPr>
        <w:pStyle w:val="Titrearticle"/>
        <w:spacing w:before="120"/>
        <w:rPr>
          <w:b/>
          <w:i w:val="0"/>
        </w:rPr>
      </w:pPr>
      <w:r w:rsidRPr="00DF14E1">
        <w:rPr>
          <w:b/>
          <w:i w:val="0"/>
        </w:rPr>
        <w:t>D</w:t>
      </w:r>
      <w:r w:rsidR="006A7F00" w:rsidRPr="00DF14E1">
        <w:rPr>
          <w:b/>
          <w:i w:val="0"/>
        </w:rPr>
        <w:t>isclosure of remuneration policy</w:t>
      </w:r>
    </w:p>
    <w:p w:rsidR="009777B7" w:rsidRPr="00DF14E1" w:rsidRDefault="009777B7" w:rsidP="009777B7">
      <w:pPr>
        <w:pStyle w:val="Titrearticle"/>
        <w:keepNext w:val="0"/>
        <w:tabs>
          <w:tab w:val="center" w:pos="4390"/>
        </w:tabs>
        <w:jc w:val="both"/>
        <w:rPr>
          <w:i w:val="0"/>
        </w:rPr>
      </w:pPr>
      <w:r w:rsidRPr="00DF14E1">
        <w:rPr>
          <w:i w:val="0"/>
        </w:rPr>
        <w:t>Institutions shall disclos</w:t>
      </w:r>
      <w:r w:rsidR="00922950" w:rsidRPr="00DF14E1">
        <w:rPr>
          <w:i w:val="0"/>
        </w:rPr>
        <w:t>e the information</w:t>
      </w:r>
      <w:r w:rsidRPr="00DF14E1">
        <w:rPr>
          <w:i w:val="0"/>
        </w:rPr>
        <w:t xml:space="preserve"> </w:t>
      </w:r>
      <w:r w:rsidR="00296DB6" w:rsidRPr="00DF14E1">
        <w:rPr>
          <w:i w:val="0"/>
        </w:rPr>
        <w:t>referred to in</w:t>
      </w:r>
      <w:r w:rsidRPr="00DF14E1">
        <w:rPr>
          <w:i w:val="0"/>
        </w:rPr>
        <w:t xml:space="preserve"> Article 450 of Regulation (EU) No 575/2013</w:t>
      </w:r>
      <w:r w:rsidR="00922950" w:rsidRPr="00DF14E1">
        <w:rPr>
          <w:i w:val="0"/>
        </w:rPr>
        <w:t>,</w:t>
      </w:r>
      <w:r w:rsidRPr="00DF14E1">
        <w:rPr>
          <w:i w:val="0"/>
        </w:rPr>
        <w:t xml:space="preserve"> as follows:</w:t>
      </w:r>
    </w:p>
    <w:p w:rsidR="009777B7" w:rsidRPr="00DF14E1" w:rsidRDefault="00922950" w:rsidP="006A7F00">
      <w:pPr>
        <w:pStyle w:val="Point1letter"/>
        <w:numPr>
          <w:ilvl w:val="3"/>
          <w:numId w:val="25"/>
        </w:numPr>
        <w:tabs>
          <w:tab w:val="clear" w:pos="1417"/>
        </w:tabs>
        <w:ind w:left="567"/>
      </w:pPr>
      <w:r w:rsidRPr="00DF14E1">
        <w:t xml:space="preserve">the information referred to in </w:t>
      </w:r>
      <w:r w:rsidR="009777B7" w:rsidRPr="00DF14E1">
        <w:t>Article 450(1)</w:t>
      </w:r>
      <w:r w:rsidRPr="00DF14E1">
        <w:t>,</w:t>
      </w:r>
      <w:r w:rsidR="007A231C" w:rsidRPr="00DF14E1">
        <w:t xml:space="preserve"> </w:t>
      </w:r>
      <w:r w:rsidRPr="00DF14E1">
        <w:t xml:space="preserve">points (a) to (f), and points (j) and (k), </w:t>
      </w:r>
      <w:r w:rsidR="009777B7" w:rsidRPr="00DF14E1">
        <w:t xml:space="preserve">and </w:t>
      </w:r>
      <w:r w:rsidRPr="00DF14E1">
        <w:t xml:space="preserve">the information referred to </w:t>
      </w:r>
      <w:r w:rsidR="009777B7" w:rsidRPr="00DF14E1">
        <w:t xml:space="preserve">in Article 450(2) of </w:t>
      </w:r>
      <w:r w:rsidRPr="00DF14E1">
        <w:t xml:space="preserve">that </w:t>
      </w:r>
      <w:r w:rsidR="009777B7" w:rsidRPr="00DF14E1">
        <w:t xml:space="preserve">Regulation, </w:t>
      </w:r>
      <w:r w:rsidRPr="00DF14E1">
        <w:t>by using t</w:t>
      </w:r>
      <w:r w:rsidR="009777B7" w:rsidRPr="00DF14E1">
        <w:t>able EU REMA of Annex XXXIII</w:t>
      </w:r>
      <w:r w:rsidRPr="00DF14E1">
        <w:t xml:space="preserve"> to this Regulation</w:t>
      </w:r>
      <w:r w:rsidR="009777B7" w:rsidRPr="00DF14E1">
        <w:t xml:space="preserve"> and </w:t>
      </w:r>
      <w:r w:rsidRPr="00DF14E1">
        <w:t xml:space="preserve">by following </w:t>
      </w:r>
      <w:r w:rsidR="009777B7" w:rsidRPr="00DF14E1">
        <w:t>the instructions set out in Annex XXXIV</w:t>
      </w:r>
      <w:r w:rsidRPr="00DF14E1">
        <w:t xml:space="preserve"> to this Regulation</w:t>
      </w:r>
      <w:r w:rsidR="006A7F00" w:rsidRPr="00DF14E1">
        <w:t>;</w:t>
      </w:r>
    </w:p>
    <w:p w:rsidR="009777B7" w:rsidRPr="00DF14E1" w:rsidRDefault="00922950" w:rsidP="006A7F00">
      <w:pPr>
        <w:pStyle w:val="Point1letter"/>
        <w:numPr>
          <w:ilvl w:val="3"/>
          <w:numId w:val="25"/>
        </w:numPr>
        <w:tabs>
          <w:tab w:val="clear" w:pos="1417"/>
        </w:tabs>
        <w:ind w:left="567"/>
      </w:pPr>
      <w:r w:rsidRPr="00DF14E1">
        <w:t>the information referred to in</w:t>
      </w:r>
      <w:r w:rsidR="009777B7" w:rsidRPr="00DF14E1">
        <w:t xml:space="preserve"> Article 450(1)</w:t>
      </w:r>
      <w:r w:rsidRPr="00DF14E1">
        <w:t>, points (h)(i) and (h)(ii),</w:t>
      </w:r>
      <w:r w:rsidR="009777B7" w:rsidRPr="00DF14E1">
        <w:t xml:space="preserve"> of Regulation (EU) No 575/2013</w:t>
      </w:r>
      <w:r w:rsidRPr="00DF14E1">
        <w:t xml:space="preserve"> by using </w:t>
      </w:r>
      <w:r w:rsidR="00A91F18" w:rsidRPr="00DF14E1">
        <w:t xml:space="preserve">template </w:t>
      </w:r>
      <w:r w:rsidR="009777B7" w:rsidRPr="00DF14E1">
        <w:t xml:space="preserve">EU REM1 of Annex XXXIII </w:t>
      </w:r>
      <w:r w:rsidRPr="00DF14E1">
        <w:t xml:space="preserve">to this Regulation </w:t>
      </w:r>
      <w:r w:rsidR="009777B7" w:rsidRPr="00DF14E1">
        <w:t xml:space="preserve">and </w:t>
      </w:r>
      <w:r w:rsidRPr="00DF14E1">
        <w:t xml:space="preserve">by following </w:t>
      </w:r>
      <w:r w:rsidR="009777B7" w:rsidRPr="00DF14E1">
        <w:t>the instructions set out in Annex XXXIV</w:t>
      </w:r>
      <w:r w:rsidRPr="00DF14E1">
        <w:t xml:space="preserve"> to this Regulation</w:t>
      </w:r>
      <w:r w:rsidR="006A7F00" w:rsidRPr="00DF14E1">
        <w:t>;</w:t>
      </w:r>
    </w:p>
    <w:p w:rsidR="009777B7" w:rsidRPr="00DF14E1" w:rsidRDefault="00922950" w:rsidP="006A7F00">
      <w:pPr>
        <w:pStyle w:val="Point1letter"/>
        <w:numPr>
          <w:ilvl w:val="3"/>
          <w:numId w:val="25"/>
        </w:numPr>
        <w:tabs>
          <w:tab w:val="clear" w:pos="1417"/>
        </w:tabs>
        <w:ind w:left="567"/>
      </w:pPr>
      <w:r w:rsidRPr="00DF14E1">
        <w:t>the information referred to in</w:t>
      </w:r>
      <w:r w:rsidR="009777B7" w:rsidRPr="00DF14E1">
        <w:t xml:space="preserve"> Article 450(1)</w:t>
      </w:r>
      <w:r w:rsidRPr="00DF14E1">
        <w:t>,</w:t>
      </w:r>
      <w:r w:rsidR="009777B7" w:rsidRPr="00DF14E1">
        <w:t xml:space="preserve"> </w:t>
      </w:r>
      <w:r w:rsidRPr="00DF14E1">
        <w:t xml:space="preserve">points (h)(v), (h)(vi) and (h)(vii), </w:t>
      </w:r>
      <w:r w:rsidR="009777B7" w:rsidRPr="00DF14E1">
        <w:t>of Regulation (EU) No 575/2013</w:t>
      </w:r>
      <w:r w:rsidRPr="00DF14E1">
        <w:t xml:space="preserve"> by using </w:t>
      </w:r>
      <w:r w:rsidR="00A91F18" w:rsidRPr="00DF14E1">
        <w:t xml:space="preserve">template </w:t>
      </w:r>
      <w:r w:rsidR="009777B7" w:rsidRPr="00DF14E1">
        <w:t>EU REM2 of Annex XXXIII</w:t>
      </w:r>
      <w:r w:rsidRPr="00DF14E1">
        <w:t xml:space="preserve"> to this Regulation and by following </w:t>
      </w:r>
      <w:r w:rsidR="009777B7" w:rsidRPr="00DF14E1">
        <w:t>the instructions set out in Annex XXXIV</w:t>
      </w:r>
      <w:r w:rsidRPr="00DF14E1">
        <w:t xml:space="preserve"> to this Regulation</w:t>
      </w:r>
      <w:r w:rsidR="006A7F00" w:rsidRPr="00DF14E1">
        <w:t>;</w:t>
      </w:r>
    </w:p>
    <w:p w:rsidR="009777B7" w:rsidRPr="00DF14E1" w:rsidRDefault="00922950" w:rsidP="006A7F00">
      <w:pPr>
        <w:pStyle w:val="Point1letter"/>
        <w:numPr>
          <w:ilvl w:val="3"/>
          <w:numId w:val="25"/>
        </w:numPr>
        <w:tabs>
          <w:tab w:val="clear" w:pos="1417"/>
        </w:tabs>
        <w:ind w:left="567"/>
      </w:pPr>
      <w:r w:rsidRPr="00DF14E1">
        <w:t xml:space="preserve">the information referred to in </w:t>
      </w:r>
      <w:r w:rsidR="009777B7" w:rsidRPr="00DF14E1">
        <w:t>Article 450(1)</w:t>
      </w:r>
      <w:r w:rsidRPr="00DF14E1">
        <w:t xml:space="preserve">, points (h)(iii) and (h)(iv), </w:t>
      </w:r>
      <w:r w:rsidR="009777B7" w:rsidRPr="00DF14E1">
        <w:t>of Regulation (EU) No 575/2013</w:t>
      </w:r>
      <w:r w:rsidRPr="00DF14E1">
        <w:t xml:space="preserve"> by using </w:t>
      </w:r>
      <w:r w:rsidR="00A91F18" w:rsidRPr="00DF14E1">
        <w:t xml:space="preserve">template </w:t>
      </w:r>
      <w:r w:rsidR="009777B7" w:rsidRPr="00DF14E1">
        <w:t xml:space="preserve">EU REM3 of Annex XXXIII </w:t>
      </w:r>
      <w:r w:rsidRPr="00DF14E1">
        <w:t xml:space="preserve">to this Regulation </w:t>
      </w:r>
      <w:r w:rsidR="009777B7" w:rsidRPr="00DF14E1">
        <w:t xml:space="preserve">and </w:t>
      </w:r>
      <w:r w:rsidRPr="00DF14E1">
        <w:t xml:space="preserve">by following </w:t>
      </w:r>
      <w:r w:rsidR="009777B7" w:rsidRPr="00DF14E1">
        <w:t>the instructions set out in Annex XXXIV</w:t>
      </w:r>
      <w:r w:rsidRPr="00DF14E1">
        <w:t xml:space="preserve"> to this Regulation</w:t>
      </w:r>
      <w:r w:rsidR="006A7F00" w:rsidRPr="00DF14E1">
        <w:t>;</w:t>
      </w:r>
    </w:p>
    <w:p w:rsidR="009777B7" w:rsidRPr="00DF14E1" w:rsidRDefault="009B4728" w:rsidP="006A7F00">
      <w:pPr>
        <w:pStyle w:val="Point1letter"/>
        <w:numPr>
          <w:ilvl w:val="3"/>
          <w:numId w:val="25"/>
        </w:numPr>
        <w:tabs>
          <w:tab w:val="clear" w:pos="1417"/>
        </w:tabs>
        <w:ind w:left="567"/>
      </w:pPr>
      <w:proofErr w:type="gramStart"/>
      <w:r w:rsidRPr="00DF14E1">
        <w:t>the</w:t>
      </w:r>
      <w:proofErr w:type="gramEnd"/>
      <w:r w:rsidRPr="00DF14E1">
        <w:t xml:space="preserve"> information referred to in </w:t>
      </w:r>
      <w:r w:rsidR="009777B7" w:rsidRPr="00DF14E1">
        <w:t>Article 450(1)</w:t>
      </w:r>
      <w:r w:rsidRPr="00DF14E1">
        <w:t>, points (g) and (i),</w:t>
      </w:r>
      <w:r w:rsidR="009777B7" w:rsidRPr="00DF14E1">
        <w:t xml:space="preserve"> of Regulation (EU) No 575/2013</w:t>
      </w:r>
      <w:r w:rsidRPr="00DF14E1">
        <w:t xml:space="preserve"> by using t</w:t>
      </w:r>
      <w:r w:rsidR="009777B7" w:rsidRPr="00DF14E1">
        <w:t xml:space="preserve">emplates EU REM4 and EU REM5 of Annex XXXIII </w:t>
      </w:r>
      <w:r w:rsidR="0053062E" w:rsidRPr="00DF14E1">
        <w:t xml:space="preserve">to this Regulation </w:t>
      </w:r>
      <w:r w:rsidR="009777B7" w:rsidRPr="00DF14E1">
        <w:t xml:space="preserve">and </w:t>
      </w:r>
      <w:r w:rsidR="0053062E" w:rsidRPr="00DF14E1">
        <w:t xml:space="preserve">by following </w:t>
      </w:r>
      <w:r w:rsidR="009777B7" w:rsidRPr="00DF14E1">
        <w:t>the instructions set out in Annex XXXIV</w:t>
      </w:r>
      <w:r w:rsidR="0053062E" w:rsidRPr="00DF14E1">
        <w:t xml:space="preserve"> to this Regulation</w:t>
      </w:r>
      <w:r w:rsidR="009777B7" w:rsidRPr="00DF14E1">
        <w:t>.</w:t>
      </w:r>
    </w:p>
    <w:p w:rsidR="000C60D7" w:rsidRPr="00DF14E1" w:rsidRDefault="000C60D7" w:rsidP="006A7F00">
      <w:pPr>
        <w:pStyle w:val="Titrearticle"/>
        <w:ind w:left="567" w:hanging="567"/>
      </w:pPr>
      <w:r w:rsidRPr="00DF14E1">
        <w:t xml:space="preserve">Article </w:t>
      </w:r>
      <w:r w:rsidR="00C81C3A" w:rsidRPr="00DF14E1">
        <w:t>18</w:t>
      </w:r>
    </w:p>
    <w:p w:rsidR="00701631" w:rsidRPr="00DF14E1" w:rsidRDefault="00701631" w:rsidP="00701631">
      <w:pPr>
        <w:pStyle w:val="Titrearticle"/>
        <w:spacing w:before="120"/>
        <w:rPr>
          <w:b/>
          <w:i w:val="0"/>
        </w:rPr>
      </w:pPr>
      <w:r w:rsidRPr="00DF14E1">
        <w:rPr>
          <w:b/>
          <w:i w:val="0"/>
        </w:rPr>
        <w:t>D</w:t>
      </w:r>
      <w:r w:rsidR="006A7F00" w:rsidRPr="00DF14E1">
        <w:rPr>
          <w:b/>
          <w:i w:val="0"/>
        </w:rPr>
        <w:t>isclosure of encumbered and unencumbered assets</w:t>
      </w:r>
      <w:r w:rsidRPr="00DF14E1">
        <w:rPr>
          <w:b/>
          <w:i w:val="0"/>
        </w:rPr>
        <w:t xml:space="preserve"> </w:t>
      </w:r>
    </w:p>
    <w:p w:rsidR="00701631" w:rsidRPr="00DF14E1" w:rsidRDefault="00701631" w:rsidP="006A7F00">
      <w:pPr>
        <w:spacing w:after="360"/>
      </w:pPr>
      <w:r w:rsidRPr="00DF14E1">
        <w:t xml:space="preserve">Institutions shall disclose the information </w:t>
      </w:r>
      <w:r w:rsidR="00D642C6" w:rsidRPr="00DF14E1">
        <w:t>referred to in</w:t>
      </w:r>
      <w:r w:rsidRPr="00DF14E1">
        <w:t xml:space="preserve"> Article 443 of Regulation (EU) No 575/2013 </w:t>
      </w:r>
      <w:r w:rsidR="00704A57" w:rsidRPr="00DF14E1">
        <w:t>by using</w:t>
      </w:r>
      <w:r w:rsidRPr="00DF14E1">
        <w:t xml:space="preserve"> </w:t>
      </w:r>
      <w:r w:rsidR="00922950" w:rsidRPr="00DF14E1">
        <w:t>t</w:t>
      </w:r>
      <w:r w:rsidRPr="00DF14E1">
        <w:t xml:space="preserve">emplates EU AE1, EU AE2 and EU AE3 and </w:t>
      </w:r>
      <w:r w:rsidR="001D579B" w:rsidRPr="00DF14E1">
        <w:t>t</w:t>
      </w:r>
      <w:r w:rsidRPr="00DF14E1">
        <w:t>able EU AE4 of Annex XXXV</w:t>
      </w:r>
      <w:r w:rsidR="00704A57" w:rsidRPr="00DF14E1">
        <w:t xml:space="preserve"> to this Regulation</w:t>
      </w:r>
      <w:r w:rsidRPr="00DF14E1">
        <w:t xml:space="preserve"> and </w:t>
      </w:r>
      <w:r w:rsidR="00922950" w:rsidRPr="00DF14E1">
        <w:t xml:space="preserve">by following </w:t>
      </w:r>
      <w:r w:rsidRPr="00DF14E1">
        <w:t>the instructions set out in Annex XXXVI</w:t>
      </w:r>
      <w:r w:rsidR="00704A57" w:rsidRPr="00DF14E1">
        <w:t xml:space="preserve"> to this Regulation</w:t>
      </w:r>
      <w:r w:rsidRPr="00DF14E1">
        <w:t>.</w:t>
      </w:r>
    </w:p>
    <w:p w:rsidR="00701631" w:rsidRPr="00DF14E1" w:rsidRDefault="00701631" w:rsidP="00701631">
      <w:pPr>
        <w:pStyle w:val="ChapterTitle"/>
      </w:pPr>
    </w:p>
    <w:p w:rsidR="000C60D7" w:rsidRPr="00DF14E1" w:rsidRDefault="000C60D7" w:rsidP="000C60D7">
      <w:pPr>
        <w:pStyle w:val="Titrearticle"/>
      </w:pPr>
      <w:r w:rsidRPr="00DF14E1">
        <w:t xml:space="preserve">Article </w:t>
      </w:r>
      <w:r w:rsidR="00C81C3A" w:rsidRPr="00DF14E1">
        <w:t>19</w:t>
      </w:r>
    </w:p>
    <w:p w:rsidR="00701631" w:rsidRPr="00DF14E1" w:rsidRDefault="00701631" w:rsidP="00701631">
      <w:pPr>
        <w:pStyle w:val="Titrearticle"/>
        <w:spacing w:before="120"/>
        <w:rPr>
          <w:b/>
          <w:i w:val="0"/>
        </w:rPr>
      </w:pPr>
      <w:r w:rsidRPr="00DF14E1">
        <w:rPr>
          <w:b/>
          <w:i w:val="0"/>
        </w:rPr>
        <w:t>G</w:t>
      </w:r>
      <w:r w:rsidR="006A7F00" w:rsidRPr="00DF14E1">
        <w:rPr>
          <w:b/>
          <w:i w:val="0"/>
        </w:rPr>
        <w:t>eneral provisions</w:t>
      </w:r>
    </w:p>
    <w:p w:rsidR="00701631" w:rsidRPr="00DF14E1" w:rsidRDefault="008A6A1E" w:rsidP="006A7F00">
      <w:pPr>
        <w:pStyle w:val="NumPar1"/>
        <w:numPr>
          <w:ilvl w:val="0"/>
          <w:numId w:val="26"/>
        </w:numPr>
        <w:tabs>
          <w:tab w:val="clear" w:pos="850"/>
          <w:tab w:val="left" w:pos="567"/>
        </w:tabs>
        <w:ind w:left="0" w:firstLine="0"/>
      </w:pPr>
      <w:r w:rsidRPr="00DF14E1">
        <w:t xml:space="preserve">The numbering of rows or columns </w:t>
      </w:r>
      <w:proofErr w:type="gramStart"/>
      <w:r w:rsidRPr="00DF14E1">
        <w:t>shall not be altered</w:t>
      </w:r>
      <w:proofErr w:type="gramEnd"/>
      <w:r w:rsidRPr="00DF14E1">
        <w:t xml:space="preserve"> where</w:t>
      </w:r>
      <w:r w:rsidR="00701631" w:rsidRPr="00DF14E1">
        <w:t xml:space="preserve"> </w:t>
      </w:r>
      <w:r w:rsidRPr="00DF14E1">
        <w:t xml:space="preserve">an institution omits one </w:t>
      </w:r>
      <w:r w:rsidR="00D642C6" w:rsidRPr="00DF14E1">
        <w:t xml:space="preserve">or </w:t>
      </w:r>
      <w:r w:rsidRPr="00DF14E1">
        <w:t xml:space="preserve">more disclosures in accordance with </w:t>
      </w:r>
      <w:r w:rsidR="00701631" w:rsidRPr="00DF14E1">
        <w:t>Article 432 of Regulation (EU) No 575/2013.</w:t>
      </w:r>
    </w:p>
    <w:p w:rsidR="00701631" w:rsidRPr="00DF14E1" w:rsidRDefault="00701631" w:rsidP="0015237E">
      <w:pPr>
        <w:pStyle w:val="NumPar1"/>
        <w:numPr>
          <w:ilvl w:val="0"/>
          <w:numId w:val="26"/>
        </w:numPr>
        <w:tabs>
          <w:tab w:val="clear" w:pos="850"/>
          <w:tab w:val="left" w:pos="567"/>
        </w:tabs>
        <w:ind w:left="0" w:firstLine="0"/>
      </w:pPr>
      <w:r w:rsidRPr="00DF14E1">
        <w:t>Institutions shall make a clear note in the</w:t>
      </w:r>
      <w:r w:rsidR="00C81C3A" w:rsidRPr="00DF14E1">
        <w:t xml:space="preserve"> narrative accompanying the</w:t>
      </w:r>
      <w:r w:rsidRPr="00DF14E1">
        <w:t xml:space="preserve"> template or table </w:t>
      </w:r>
      <w:r w:rsidR="008A6A1E" w:rsidRPr="00DF14E1">
        <w:t xml:space="preserve">concerned </w:t>
      </w:r>
      <w:r w:rsidR="0015237E" w:rsidRPr="00DF14E1">
        <w:t>indicating</w:t>
      </w:r>
      <w:r w:rsidR="00C81C3A" w:rsidRPr="00DF14E1">
        <w:t xml:space="preserve"> which </w:t>
      </w:r>
      <w:r w:rsidRPr="00DF14E1">
        <w:t xml:space="preserve">rows or columns </w:t>
      </w:r>
      <w:r w:rsidR="0015237E" w:rsidRPr="00DF14E1">
        <w:t xml:space="preserve">are </w:t>
      </w:r>
      <w:r w:rsidRPr="00DF14E1">
        <w:t xml:space="preserve">not populated and </w:t>
      </w:r>
      <w:r w:rsidR="0015237E" w:rsidRPr="00DF14E1">
        <w:t>stating</w:t>
      </w:r>
      <w:r w:rsidRPr="00DF14E1">
        <w:t xml:space="preserve"> the reason of the omission of the disclosure.</w:t>
      </w:r>
    </w:p>
    <w:p w:rsidR="00701631" w:rsidRPr="00DF14E1" w:rsidRDefault="00701631" w:rsidP="006A7F00">
      <w:pPr>
        <w:pStyle w:val="NumPar1"/>
        <w:numPr>
          <w:ilvl w:val="0"/>
          <w:numId w:val="26"/>
        </w:numPr>
        <w:tabs>
          <w:tab w:val="clear" w:pos="850"/>
          <w:tab w:val="left" w:pos="567"/>
        </w:tabs>
        <w:ind w:left="0" w:firstLine="0"/>
      </w:pPr>
      <w:r w:rsidRPr="00DF14E1">
        <w:t xml:space="preserve">The </w:t>
      </w:r>
      <w:r w:rsidR="008A6A1E" w:rsidRPr="00DF14E1">
        <w:t>information required by</w:t>
      </w:r>
      <w:r w:rsidRPr="00DF14E1">
        <w:t xml:space="preserve"> Article 431 of Regulation (EU) No 575/2013 shall be clear and comprehensive, enabling users of </w:t>
      </w:r>
      <w:r w:rsidR="008A6A1E" w:rsidRPr="00DF14E1">
        <w:t xml:space="preserve">that </w:t>
      </w:r>
      <w:r w:rsidRPr="00DF14E1">
        <w:t>information to understand the quantitative disclosures</w:t>
      </w:r>
      <w:r w:rsidR="008A6A1E" w:rsidRPr="00DF14E1">
        <w:t>,</w:t>
      </w:r>
      <w:r w:rsidRPr="00DF14E1">
        <w:t xml:space="preserve"> and </w:t>
      </w:r>
      <w:proofErr w:type="gramStart"/>
      <w:r w:rsidRPr="00DF14E1">
        <w:t>shall be placed</w:t>
      </w:r>
      <w:proofErr w:type="gramEnd"/>
      <w:r w:rsidRPr="00DF14E1">
        <w:t xml:space="preserve"> next to the templates</w:t>
      </w:r>
      <w:r w:rsidR="008A6A1E" w:rsidRPr="00DF14E1">
        <w:t xml:space="preserve"> to which that information relates</w:t>
      </w:r>
      <w:r w:rsidRPr="00DF14E1">
        <w:t>.</w:t>
      </w:r>
    </w:p>
    <w:p w:rsidR="00701631" w:rsidRPr="00DF14E1" w:rsidRDefault="008A6A1E" w:rsidP="006A7F00">
      <w:pPr>
        <w:pStyle w:val="NumPar1"/>
        <w:numPr>
          <w:ilvl w:val="0"/>
          <w:numId w:val="26"/>
        </w:numPr>
        <w:tabs>
          <w:tab w:val="clear" w:pos="850"/>
          <w:tab w:val="left" w:pos="567"/>
        </w:tabs>
        <w:ind w:left="0" w:firstLine="0"/>
      </w:pPr>
      <w:r w:rsidRPr="00DF14E1">
        <w:t>N</w:t>
      </w:r>
      <w:r w:rsidR="00701631" w:rsidRPr="00DF14E1">
        <w:t xml:space="preserve">umeric values </w:t>
      </w:r>
      <w:r w:rsidRPr="00DF14E1">
        <w:t>shall be presented as follows</w:t>
      </w:r>
      <w:r w:rsidR="00701631" w:rsidRPr="00DF14E1">
        <w:t>:</w:t>
      </w:r>
    </w:p>
    <w:p w:rsidR="00701631" w:rsidRPr="00DF14E1" w:rsidRDefault="006A7F00" w:rsidP="006A7F00">
      <w:pPr>
        <w:pStyle w:val="Point1letter"/>
        <w:numPr>
          <w:ilvl w:val="3"/>
          <w:numId w:val="27"/>
        </w:numPr>
        <w:tabs>
          <w:tab w:val="clear" w:pos="1417"/>
        </w:tabs>
        <w:ind w:left="567"/>
      </w:pPr>
      <w:r w:rsidRPr="00DF14E1">
        <w:t>q</w:t>
      </w:r>
      <w:r w:rsidR="00701631" w:rsidRPr="00DF14E1">
        <w:t>uantitative monetary data shall be disclosed using a minimum precision equivalent to millions of units;</w:t>
      </w:r>
    </w:p>
    <w:p w:rsidR="00701631" w:rsidRPr="00DF14E1" w:rsidRDefault="006A7F00" w:rsidP="006A7F00">
      <w:pPr>
        <w:pStyle w:val="Point1letter"/>
        <w:numPr>
          <w:ilvl w:val="3"/>
          <w:numId w:val="25"/>
        </w:numPr>
        <w:tabs>
          <w:tab w:val="clear" w:pos="1417"/>
        </w:tabs>
        <w:ind w:left="567"/>
      </w:pPr>
      <w:proofErr w:type="gramStart"/>
      <w:r w:rsidRPr="00DF14E1">
        <w:t>q</w:t>
      </w:r>
      <w:r w:rsidR="00701631" w:rsidRPr="00DF14E1">
        <w:t>uantitative</w:t>
      </w:r>
      <w:proofErr w:type="gramEnd"/>
      <w:r w:rsidR="00701631" w:rsidRPr="00DF14E1">
        <w:t xml:space="preserve"> data disclosed as ‘Percentage’ shall be expressed as per unit with a minimum precision equivalent to four decimals.</w:t>
      </w:r>
    </w:p>
    <w:p w:rsidR="00701631" w:rsidRPr="00DF14E1" w:rsidRDefault="007C003F" w:rsidP="006A7F00">
      <w:pPr>
        <w:pStyle w:val="NumPar1"/>
        <w:numPr>
          <w:ilvl w:val="0"/>
          <w:numId w:val="26"/>
        </w:numPr>
        <w:tabs>
          <w:tab w:val="clear" w:pos="850"/>
          <w:tab w:val="left" w:pos="567"/>
        </w:tabs>
        <w:ind w:left="0" w:firstLine="0"/>
      </w:pPr>
      <w:r w:rsidRPr="00DF14E1">
        <w:t>Institutions shall, in addition to the</w:t>
      </w:r>
      <w:r w:rsidR="008A6A1E" w:rsidRPr="00DF14E1">
        <w:t xml:space="preserve"> information disclosed in </w:t>
      </w:r>
      <w:r w:rsidR="00701631" w:rsidRPr="00DF14E1">
        <w:t>accordance with this Regulation</w:t>
      </w:r>
      <w:r w:rsidRPr="00DF14E1">
        <w:t>,</w:t>
      </w:r>
      <w:r w:rsidR="008A6A1E" w:rsidRPr="00DF14E1">
        <w:t xml:space="preserve"> </w:t>
      </w:r>
      <w:r w:rsidRPr="00DF14E1">
        <w:t xml:space="preserve">also provide </w:t>
      </w:r>
      <w:r w:rsidR="008A6A1E" w:rsidRPr="00DF14E1">
        <w:t>the following information</w:t>
      </w:r>
      <w:r w:rsidR="00701631" w:rsidRPr="00DF14E1">
        <w:t>:</w:t>
      </w:r>
    </w:p>
    <w:p w:rsidR="00701631" w:rsidRPr="00DF14E1" w:rsidRDefault="00701631" w:rsidP="006A7F00">
      <w:pPr>
        <w:pStyle w:val="Point1letter"/>
        <w:numPr>
          <w:ilvl w:val="3"/>
          <w:numId w:val="28"/>
        </w:numPr>
        <w:tabs>
          <w:tab w:val="clear" w:pos="1417"/>
        </w:tabs>
        <w:ind w:left="567"/>
      </w:pPr>
      <w:r w:rsidRPr="00DF14E1">
        <w:t xml:space="preserve">disclosure reference date and reference period; </w:t>
      </w:r>
    </w:p>
    <w:p w:rsidR="00701631" w:rsidRPr="00DF14E1" w:rsidRDefault="00701631" w:rsidP="006A7F00">
      <w:pPr>
        <w:pStyle w:val="Point1letter"/>
        <w:numPr>
          <w:ilvl w:val="3"/>
          <w:numId w:val="25"/>
        </w:numPr>
        <w:tabs>
          <w:tab w:val="clear" w:pos="1417"/>
        </w:tabs>
        <w:ind w:left="567"/>
      </w:pPr>
      <w:r w:rsidRPr="00DF14E1">
        <w:t xml:space="preserve">reporting currency; </w:t>
      </w:r>
    </w:p>
    <w:p w:rsidR="00701631" w:rsidRPr="00DF14E1" w:rsidRDefault="00701631" w:rsidP="006A7F00">
      <w:pPr>
        <w:pStyle w:val="Point1letter"/>
        <w:numPr>
          <w:ilvl w:val="3"/>
          <w:numId w:val="25"/>
        </w:numPr>
        <w:tabs>
          <w:tab w:val="clear" w:pos="1417"/>
        </w:tabs>
        <w:ind w:left="567"/>
      </w:pPr>
      <w:r w:rsidRPr="00DF14E1">
        <w:t>name and</w:t>
      </w:r>
      <w:r w:rsidR="00704A57" w:rsidRPr="00DF14E1">
        <w:t>,</w:t>
      </w:r>
      <w:r w:rsidRPr="00DF14E1">
        <w:t xml:space="preserve"> where relevant, </w:t>
      </w:r>
      <w:r w:rsidR="006A7F00" w:rsidRPr="00DF14E1">
        <w:t xml:space="preserve">legal entity </w:t>
      </w:r>
      <w:r w:rsidRPr="00DF14E1">
        <w:t xml:space="preserve">identifier </w:t>
      </w:r>
      <w:r w:rsidR="006A7F00" w:rsidRPr="00DF14E1">
        <w:t xml:space="preserve">(LEI) </w:t>
      </w:r>
      <w:r w:rsidRPr="00DF14E1">
        <w:t>of the disclosing institution;</w:t>
      </w:r>
    </w:p>
    <w:p w:rsidR="00701631" w:rsidRPr="00DF14E1" w:rsidRDefault="00701631" w:rsidP="006A7F00">
      <w:pPr>
        <w:pStyle w:val="Point1letter"/>
        <w:numPr>
          <w:ilvl w:val="3"/>
          <w:numId w:val="25"/>
        </w:numPr>
        <w:tabs>
          <w:tab w:val="clear" w:pos="1417"/>
        </w:tabs>
        <w:ind w:left="567"/>
      </w:pPr>
      <w:r w:rsidRPr="00DF14E1">
        <w:t xml:space="preserve">where relevant, </w:t>
      </w:r>
      <w:r w:rsidR="00704A57" w:rsidRPr="00DF14E1">
        <w:t xml:space="preserve">the </w:t>
      </w:r>
      <w:r w:rsidRPr="00DF14E1">
        <w:t>accounting standard</w:t>
      </w:r>
      <w:r w:rsidR="00704A57" w:rsidRPr="00DF14E1">
        <w:t xml:space="preserve"> used</w:t>
      </w:r>
      <w:r w:rsidRPr="00DF14E1">
        <w:t>;</w:t>
      </w:r>
    </w:p>
    <w:p w:rsidR="00701631" w:rsidRPr="00DF14E1" w:rsidRDefault="00701631" w:rsidP="006A7F00">
      <w:pPr>
        <w:pStyle w:val="Point1letter"/>
        <w:numPr>
          <w:ilvl w:val="3"/>
          <w:numId w:val="25"/>
        </w:numPr>
        <w:tabs>
          <w:tab w:val="clear" w:pos="1417"/>
        </w:tabs>
        <w:ind w:left="567"/>
      </w:pPr>
      <w:proofErr w:type="gramStart"/>
      <w:r w:rsidRPr="00DF14E1">
        <w:t>where</w:t>
      </w:r>
      <w:proofErr w:type="gramEnd"/>
      <w:r w:rsidRPr="00DF14E1">
        <w:t xml:space="preserve"> relevant, </w:t>
      </w:r>
      <w:r w:rsidR="00704A57" w:rsidRPr="00DF14E1">
        <w:t xml:space="preserve">the </w:t>
      </w:r>
      <w:r w:rsidRPr="00DF14E1">
        <w:t>scope of consolidation</w:t>
      </w:r>
      <w:r w:rsidR="006A7F00" w:rsidRPr="00DF14E1">
        <w:t>.</w:t>
      </w:r>
    </w:p>
    <w:p w:rsidR="00701631" w:rsidRPr="00DF14E1" w:rsidRDefault="00701631" w:rsidP="00701631">
      <w:pPr>
        <w:pStyle w:val="ChapterTitle"/>
      </w:pPr>
    </w:p>
    <w:p w:rsidR="00480310" w:rsidRPr="00DF14E1" w:rsidRDefault="00480310" w:rsidP="00480310">
      <w:pPr>
        <w:pStyle w:val="Titrearticle"/>
      </w:pPr>
      <w:r w:rsidRPr="00DF14E1">
        <w:t xml:space="preserve">Article </w:t>
      </w:r>
      <w:r w:rsidR="00C81C3A" w:rsidRPr="00DF14E1">
        <w:t>20</w:t>
      </w:r>
    </w:p>
    <w:p w:rsidR="00701631" w:rsidRPr="00DF14E1" w:rsidRDefault="00701631" w:rsidP="00701631">
      <w:pPr>
        <w:pStyle w:val="Titrearticle"/>
        <w:spacing w:before="120"/>
        <w:rPr>
          <w:b/>
          <w:i w:val="0"/>
        </w:rPr>
      </w:pPr>
      <w:r w:rsidRPr="00DF14E1">
        <w:rPr>
          <w:b/>
          <w:i w:val="0"/>
        </w:rPr>
        <w:t>R</w:t>
      </w:r>
      <w:r w:rsidR="000A7C56" w:rsidRPr="00DF14E1">
        <w:rPr>
          <w:b/>
          <w:i w:val="0"/>
        </w:rPr>
        <w:t>epeal</w:t>
      </w:r>
    </w:p>
    <w:p w:rsidR="00701631" w:rsidRPr="00DF14E1" w:rsidRDefault="00701631" w:rsidP="00CE5120">
      <w:r w:rsidRPr="00DF14E1">
        <w:t>I</w:t>
      </w:r>
      <w:r w:rsidR="006A7F00" w:rsidRPr="00DF14E1">
        <w:t>mplementing</w:t>
      </w:r>
      <w:r w:rsidRPr="00DF14E1">
        <w:t xml:space="preserve"> R</w:t>
      </w:r>
      <w:r w:rsidR="006A7F00" w:rsidRPr="00DF14E1">
        <w:t xml:space="preserve">egulation </w:t>
      </w:r>
      <w:r w:rsidRPr="00DF14E1">
        <w:t>(EU) No 1423/2013</w:t>
      </w:r>
      <w:r w:rsidR="006A7F00" w:rsidRPr="00DF14E1">
        <w:t xml:space="preserve">, Delegated Regulation (EU) 2015/1555, Implementing Regulation </w:t>
      </w:r>
      <w:r w:rsidR="00195285" w:rsidRPr="00DF14E1">
        <w:t>(EU) 2016/200 and Delegated Regulation (EU) 2017/2295</w:t>
      </w:r>
      <w:r w:rsidR="00EF6392" w:rsidRPr="00DF14E1">
        <w:t xml:space="preserve"> </w:t>
      </w:r>
      <w:proofErr w:type="gramStart"/>
      <w:r w:rsidR="00195285" w:rsidRPr="00DF14E1">
        <w:t xml:space="preserve">are </w:t>
      </w:r>
      <w:r w:rsidRPr="00DF14E1">
        <w:t>repealed</w:t>
      </w:r>
      <w:proofErr w:type="gramEnd"/>
      <w:r w:rsidR="00EF6392" w:rsidRPr="00DF14E1">
        <w:t>.</w:t>
      </w:r>
    </w:p>
    <w:p w:rsidR="00701631" w:rsidRPr="00DF14E1" w:rsidRDefault="00701631" w:rsidP="00CE5120"/>
    <w:p w:rsidR="00480310" w:rsidRPr="00DF14E1" w:rsidRDefault="00480310" w:rsidP="00480310">
      <w:pPr>
        <w:pStyle w:val="Titrearticle"/>
        <w:spacing w:before="120"/>
      </w:pPr>
      <w:r w:rsidRPr="00DF14E1">
        <w:t xml:space="preserve">Article </w:t>
      </w:r>
      <w:r w:rsidR="00C81C3A" w:rsidRPr="00DF14E1">
        <w:t>21</w:t>
      </w:r>
    </w:p>
    <w:p w:rsidR="003A35E9" w:rsidRPr="00DF14E1" w:rsidRDefault="003A35E9" w:rsidP="003A35E9">
      <w:pPr>
        <w:pStyle w:val="Titrearticle"/>
        <w:spacing w:before="120"/>
        <w:rPr>
          <w:b/>
          <w:i w:val="0"/>
        </w:rPr>
      </w:pPr>
      <w:r w:rsidRPr="00DF14E1">
        <w:rPr>
          <w:b/>
          <w:i w:val="0"/>
        </w:rPr>
        <w:t>E</w:t>
      </w:r>
      <w:r w:rsidR="000A7C56" w:rsidRPr="00DF14E1">
        <w:rPr>
          <w:b/>
          <w:i w:val="0"/>
        </w:rPr>
        <w:t>ntry into force</w:t>
      </w:r>
    </w:p>
    <w:p w:rsidR="0004170D" w:rsidRPr="00DF14E1" w:rsidRDefault="0004170D" w:rsidP="009675DD">
      <w:r w:rsidRPr="00DF14E1">
        <w:t>This Regulatio</w:t>
      </w:r>
      <w:r w:rsidR="00FF364B" w:rsidRPr="00DF14E1">
        <w:t>n shall enter into force on the twentieth</w:t>
      </w:r>
      <w:r w:rsidRPr="00DF14E1">
        <w:t xml:space="preserve"> day following that of its publication in the </w:t>
      </w:r>
      <w:r w:rsidRPr="00DF14E1">
        <w:rPr>
          <w:i/>
        </w:rPr>
        <w:t>Official Journal of the European Union</w:t>
      </w:r>
      <w:r w:rsidRPr="00DF14E1">
        <w:t>.</w:t>
      </w:r>
    </w:p>
    <w:p w:rsidR="00FF364B" w:rsidRPr="00DF14E1" w:rsidRDefault="00FF364B" w:rsidP="00FF364B">
      <w:r w:rsidRPr="00DF14E1">
        <w:t>It shall apply from 28 June 2021.</w:t>
      </w:r>
    </w:p>
    <w:p w:rsidR="0004170D" w:rsidRPr="00DF14E1" w:rsidRDefault="0004170D" w:rsidP="009675DD">
      <w:pPr>
        <w:pStyle w:val="Applicationdirecte"/>
      </w:pPr>
      <w:r w:rsidRPr="00DF14E1">
        <w:t>This Regulation shall be binding in its entirety and directly applicable in all Member States.</w:t>
      </w:r>
    </w:p>
    <w:p w:rsidR="0004170D" w:rsidRPr="00DF14E1" w:rsidRDefault="00A72EF0" w:rsidP="00A72EF0">
      <w:pPr>
        <w:pStyle w:val="Fait"/>
      </w:pPr>
      <w:r w:rsidRPr="00A72EF0">
        <w:t>Done at Brussels,</w:t>
      </w:r>
    </w:p>
    <w:p w:rsidR="0004170D" w:rsidRPr="00DF14E1" w:rsidRDefault="0004170D" w:rsidP="0004170D">
      <w:pPr>
        <w:pStyle w:val="Institutionquisigne"/>
      </w:pPr>
      <w:r w:rsidRPr="00DF14E1">
        <w:tab/>
        <w:t>For the Commission</w:t>
      </w:r>
    </w:p>
    <w:p w:rsidR="00553957" w:rsidRPr="005E4E75" w:rsidRDefault="0004170D" w:rsidP="0004170D">
      <w:pPr>
        <w:pStyle w:val="Personnequisigne"/>
        <w:rPr>
          <w:lang w:val="de-DE"/>
        </w:rPr>
      </w:pPr>
      <w:r w:rsidRPr="00DF14E1">
        <w:tab/>
      </w:r>
      <w:r w:rsidRPr="005E4E75">
        <w:rPr>
          <w:lang w:val="de-DE"/>
        </w:rPr>
        <w:t xml:space="preserve">The </w:t>
      </w:r>
      <w:proofErr w:type="spellStart"/>
      <w:r w:rsidRPr="005E4E75">
        <w:rPr>
          <w:lang w:val="de-DE"/>
        </w:rPr>
        <w:t>President</w:t>
      </w:r>
      <w:proofErr w:type="spellEnd"/>
    </w:p>
    <w:p w:rsidR="0004170D" w:rsidRPr="005E4E75" w:rsidRDefault="00553957" w:rsidP="0004170D">
      <w:pPr>
        <w:pStyle w:val="Personnequisigne"/>
        <w:rPr>
          <w:lang w:val="de-DE"/>
        </w:rPr>
      </w:pPr>
      <w:r w:rsidRPr="005E4E75">
        <w:rPr>
          <w:lang w:val="de-DE"/>
        </w:rPr>
        <w:tab/>
        <w:t>Ursula von der Leyen</w:t>
      </w:r>
      <w:r w:rsidR="0004170D" w:rsidRPr="005E4E75">
        <w:rPr>
          <w:lang w:val="de-DE"/>
        </w:rPr>
        <w:br/>
      </w:r>
      <w:r w:rsidR="0004170D" w:rsidRPr="005E4E75">
        <w:rPr>
          <w:lang w:val="de-DE"/>
        </w:rPr>
        <w:tab/>
      </w:r>
      <w:r w:rsidR="0004170D" w:rsidRPr="005E4E75">
        <w:rPr>
          <w:lang w:val="de-DE"/>
        </w:rPr>
        <w:br/>
      </w:r>
      <w:r w:rsidR="00FF364B" w:rsidRPr="005E4E75">
        <w:rPr>
          <w:lang w:val="de-DE"/>
        </w:rPr>
        <w:tab/>
      </w:r>
      <w:r w:rsidR="0004170D" w:rsidRPr="005E4E75">
        <w:rPr>
          <w:lang w:val="de-DE"/>
        </w:rPr>
        <w:br/>
      </w:r>
      <w:r w:rsidR="0004170D" w:rsidRPr="005E4E75">
        <w:rPr>
          <w:lang w:val="de-DE"/>
        </w:rPr>
        <w:br/>
      </w:r>
      <w:r w:rsidR="0004170D" w:rsidRPr="005E4E75">
        <w:rPr>
          <w:lang w:val="de-DE"/>
        </w:rPr>
        <w:tab/>
      </w:r>
    </w:p>
    <w:sectPr w:rsidR="0004170D" w:rsidRPr="005E4E75" w:rsidSect="00632AF6">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D60" w:rsidRDefault="00066D60" w:rsidP="0004170D">
      <w:pPr>
        <w:spacing w:before="0" w:after="0"/>
      </w:pPr>
      <w:r>
        <w:separator/>
      </w:r>
    </w:p>
  </w:endnote>
  <w:endnote w:type="continuationSeparator" w:id="0">
    <w:p w:rsidR="00066D60" w:rsidRDefault="00066D60" w:rsidP="0004170D">
      <w:pPr>
        <w:spacing w:before="0" w:after="0"/>
      </w:pPr>
      <w:r>
        <w:continuationSeparator/>
      </w:r>
    </w:p>
  </w:endnote>
  <w:endnote w:type="continuationNotice" w:id="1">
    <w:p w:rsidR="00066D60" w:rsidRDefault="00066D6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2C6" w:rsidRPr="00632AF6" w:rsidRDefault="00632AF6" w:rsidP="00632AF6">
    <w:pPr>
      <w:pStyle w:val="Footer"/>
      <w:rPr>
        <w:rFonts w:ascii="Arial" w:hAnsi="Arial" w:cs="Arial"/>
        <w:b/>
        <w:sz w:val="48"/>
      </w:rPr>
    </w:pPr>
    <w:r w:rsidRPr="00632AF6">
      <w:rPr>
        <w:rFonts w:ascii="Arial" w:hAnsi="Arial" w:cs="Arial"/>
        <w:b/>
        <w:sz w:val="48"/>
      </w:rPr>
      <w:t>EN</w:t>
    </w:r>
    <w:r w:rsidRPr="00632AF6">
      <w:rPr>
        <w:rFonts w:ascii="Arial" w:hAnsi="Arial" w:cs="Arial"/>
        <w:b/>
        <w:sz w:val="48"/>
      </w:rPr>
      <w:tab/>
    </w:r>
    <w:r w:rsidRPr="00632AF6">
      <w:rPr>
        <w:rFonts w:ascii="Arial" w:hAnsi="Arial" w:cs="Arial"/>
        <w:b/>
        <w:sz w:val="48"/>
      </w:rPr>
      <w:tab/>
    </w:r>
    <w:r w:rsidRPr="00632AF6">
      <w:tab/>
    </w:r>
    <w:proofErr w:type="spellStart"/>
    <w:r w:rsidRPr="00632AF6">
      <w:rPr>
        <w:rFonts w:ascii="Arial" w:hAnsi="Arial" w:cs="Arial"/>
        <w:b/>
        <w:sz w:val="48"/>
      </w:rPr>
      <w:t>EN</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AF6" w:rsidRPr="00632AF6" w:rsidRDefault="00632AF6" w:rsidP="00632AF6">
    <w:pPr>
      <w:pStyle w:val="Footer"/>
      <w:rPr>
        <w:rFonts w:ascii="Arial" w:hAnsi="Arial" w:cs="Arial"/>
        <w:b/>
        <w:sz w:val="48"/>
      </w:rPr>
    </w:pPr>
    <w:r w:rsidRPr="00632AF6">
      <w:rPr>
        <w:rFonts w:ascii="Arial" w:hAnsi="Arial" w:cs="Arial"/>
        <w:b/>
        <w:sz w:val="48"/>
      </w:rPr>
      <w:t>EN</w:t>
    </w:r>
    <w:r w:rsidRPr="00632AF6">
      <w:rPr>
        <w:rFonts w:ascii="Arial" w:hAnsi="Arial" w:cs="Arial"/>
        <w:b/>
        <w:sz w:val="48"/>
      </w:rPr>
      <w:tab/>
    </w:r>
    <w:r>
      <w:fldChar w:fldCharType="begin"/>
    </w:r>
    <w:r>
      <w:instrText xml:space="preserve"> PAGE  \* MERGEFORMAT </w:instrText>
    </w:r>
    <w:r>
      <w:fldChar w:fldCharType="separate"/>
    </w:r>
    <w:r w:rsidR="002A48C4">
      <w:rPr>
        <w:noProof/>
      </w:rPr>
      <w:t>11</w:t>
    </w:r>
    <w:r>
      <w:fldChar w:fldCharType="end"/>
    </w:r>
    <w:r>
      <w:tab/>
    </w:r>
    <w:r w:rsidRPr="00632AF6">
      <w:tab/>
    </w:r>
    <w:r w:rsidRPr="00632AF6">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AF6" w:rsidRPr="00632AF6" w:rsidRDefault="00632AF6" w:rsidP="00632A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D60" w:rsidRDefault="00066D60" w:rsidP="0004170D">
      <w:pPr>
        <w:spacing w:before="0" w:after="0"/>
      </w:pPr>
      <w:r>
        <w:separator/>
      </w:r>
    </w:p>
  </w:footnote>
  <w:footnote w:type="continuationSeparator" w:id="0">
    <w:p w:rsidR="00066D60" w:rsidRDefault="00066D60" w:rsidP="0004170D">
      <w:pPr>
        <w:spacing w:before="0" w:after="0"/>
      </w:pPr>
      <w:r>
        <w:continuationSeparator/>
      </w:r>
    </w:p>
  </w:footnote>
  <w:footnote w:type="continuationNotice" w:id="1">
    <w:p w:rsidR="00066D60" w:rsidRDefault="00066D60">
      <w:pPr>
        <w:spacing w:before="0" w:after="0"/>
      </w:pPr>
    </w:p>
  </w:footnote>
  <w:footnote w:id="2">
    <w:p w:rsidR="00D642C6" w:rsidRPr="005823FE" w:rsidRDefault="00D642C6" w:rsidP="00195285">
      <w:pPr>
        <w:pStyle w:val="FootnoteText"/>
        <w:ind w:left="567" w:hanging="567"/>
      </w:pPr>
      <w:r w:rsidRPr="005823FE">
        <w:rPr>
          <w:rStyle w:val="FootnoteReference"/>
        </w:rPr>
        <w:footnoteRef/>
      </w:r>
      <w:r w:rsidRPr="005823FE">
        <w:tab/>
        <w:t>OJ L 176, 27.6.2013, p. 1.</w:t>
      </w:r>
    </w:p>
  </w:footnote>
  <w:footnote w:id="3">
    <w:p w:rsidR="00D642C6" w:rsidRPr="003460F1" w:rsidRDefault="00D642C6" w:rsidP="00A72EF0">
      <w:pPr>
        <w:pStyle w:val="FootnoteText"/>
        <w:ind w:left="567" w:hanging="567"/>
      </w:pPr>
      <w:r w:rsidRPr="005823FE">
        <w:rPr>
          <w:rStyle w:val="FootnoteReference"/>
        </w:rPr>
        <w:footnoteRef/>
      </w:r>
      <w:r w:rsidRPr="005823FE">
        <w:tab/>
      </w:r>
      <w:r w:rsidR="006430F5" w:rsidRPr="006430F5">
        <w:t xml:space="preserve">Basel Committee on Banking Supervision of the Bank for International Settlements, DIS Disclosure requirements, December 2019. </w:t>
      </w:r>
    </w:p>
  </w:footnote>
  <w:footnote w:id="4">
    <w:p w:rsidR="00D642C6" w:rsidRPr="00A72EF0" w:rsidRDefault="004328FB" w:rsidP="00A72EF0">
      <w:pPr>
        <w:pStyle w:val="FootnoteText"/>
        <w:ind w:left="567" w:hanging="567"/>
        <w:rPr>
          <w:rStyle w:val="FootnoteReference"/>
          <w:vertAlign w:val="baseline"/>
          <w:lang w:val="en-US"/>
        </w:rPr>
      </w:pPr>
      <w:r w:rsidRPr="00EB4A85">
        <w:rPr>
          <w:rStyle w:val="FootnoteReference"/>
        </w:rPr>
        <w:footnoteRef/>
      </w:r>
      <w:r w:rsidR="00FA4569">
        <w:tab/>
      </w:r>
      <w:r w:rsidR="00967C75" w:rsidRPr="00967C75">
        <w:rPr>
          <w:lang w:val="en-US"/>
        </w:rPr>
        <w:t>Regulation (EU) No 575/2013 of the European Parliament and of the Council of 26 June 2013 on prudential requirements for credit institutions and investment firms and amending Regulation (EU) No 648/2012 (</w:t>
      </w:r>
      <w:hyperlink r:id="rId1" w:history="1">
        <w:r w:rsidR="00967C75" w:rsidRPr="00967C75">
          <w:rPr>
            <w:rStyle w:val="Hyperlink"/>
            <w:lang w:val="en-US"/>
          </w:rPr>
          <w:t>OJ L 176, 27.6.2013, p. 1</w:t>
        </w:r>
      </w:hyperlink>
      <w:r w:rsidR="00967C75" w:rsidRPr="00967C75">
        <w:rPr>
          <w:lang w:val="en-US"/>
        </w:rPr>
        <w:t>).</w:t>
      </w:r>
    </w:p>
  </w:footnote>
  <w:footnote w:id="5">
    <w:p w:rsidR="00D642C6" w:rsidRPr="00587191" w:rsidRDefault="00D642C6" w:rsidP="00A72EF0">
      <w:pPr>
        <w:pStyle w:val="FootnoteText"/>
        <w:ind w:left="567" w:hanging="567"/>
      </w:pPr>
      <w:r w:rsidRPr="005823FE">
        <w:rPr>
          <w:rStyle w:val="FootnoteReference"/>
        </w:rPr>
        <w:footnoteRef/>
      </w:r>
      <w:r w:rsidRPr="005823FE">
        <w:tab/>
        <w:t>Commission Implementing Regulation (EU) No 1423/2013 of 20 December 2013 laying down implementing technical standards with regard to disclosure of own funds requirements for institutions according to Regulation (EU) No 575/2013 of the European Parliament and of the Council (OJ L 355, 31.12.2013, p. 60)</w:t>
      </w:r>
      <w:r w:rsidRPr="00587191">
        <w:t>.</w:t>
      </w:r>
    </w:p>
  </w:footnote>
  <w:footnote w:id="6">
    <w:p w:rsidR="00D642C6" w:rsidRPr="005823FE" w:rsidRDefault="00D642C6" w:rsidP="00A72EF0">
      <w:pPr>
        <w:pStyle w:val="FootnoteText"/>
        <w:ind w:left="567" w:hanging="567"/>
      </w:pPr>
      <w:r w:rsidRPr="005823FE">
        <w:rPr>
          <w:rStyle w:val="FootnoteReference"/>
        </w:rPr>
        <w:footnoteRef/>
      </w:r>
      <w:r w:rsidRPr="005823FE">
        <w:tab/>
      </w:r>
      <w:proofErr w:type="gramStart"/>
      <w:r w:rsidRPr="005823FE">
        <w:t>Commission Delegated Regulation (EU) 2015/1555 of 28 May 2015 supplementing Regulation (EU) No 575/2013 of the European Parliament and of the Council with regard to regulatory technical standards for the disclosure of information in relation to the compliance of institutions with the requirement for a countercyclical capital buffer in accordance with Article 440 (OJ L 244, 19.9.2015, p. 1).</w:t>
      </w:r>
      <w:proofErr w:type="gramEnd"/>
    </w:p>
  </w:footnote>
  <w:footnote w:id="7">
    <w:p w:rsidR="00D642C6" w:rsidRPr="005823FE" w:rsidRDefault="00D642C6" w:rsidP="00A72EF0">
      <w:pPr>
        <w:pStyle w:val="FootnoteText"/>
        <w:ind w:left="567" w:hanging="567"/>
      </w:pPr>
      <w:r w:rsidRPr="005823FE">
        <w:rPr>
          <w:rStyle w:val="FootnoteReference"/>
        </w:rPr>
        <w:footnoteRef/>
      </w:r>
      <w:r w:rsidRPr="005823FE">
        <w:tab/>
        <w:t xml:space="preserve">Commission Implementing Regulation (EU) 2016/200 of 15 February 2016 laying down implementing technical standards with regard to disclosure of the </w:t>
      </w:r>
      <w:proofErr w:type="gramStart"/>
      <w:r w:rsidRPr="005823FE">
        <w:t>leverage</w:t>
      </w:r>
      <w:proofErr w:type="gramEnd"/>
      <w:r w:rsidRPr="005823FE">
        <w:t xml:space="preserve"> ratio for institutions, according to Regulation (EU) No 575/2013 of the European Parliament and of the Council (OJ L 39, 16.2.2016, p. 5).</w:t>
      </w:r>
    </w:p>
  </w:footnote>
  <w:footnote w:id="8">
    <w:p w:rsidR="00D642C6" w:rsidRPr="005823FE" w:rsidRDefault="00D642C6" w:rsidP="00A72EF0">
      <w:pPr>
        <w:pStyle w:val="FootnoteText"/>
        <w:ind w:left="567" w:hanging="567"/>
      </w:pPr>
      <w:r w:rsidRPr="005823FE">
        <w:rPr>
          <w:rStyle w:val="FootnoteReference"/>
        </w:rPr>
        <w:footnoteRef/>
      </w:r>
      <w:r w:rsidRPr="005823FE">
        <w:tab/>
        <w:t>Commission Delegated Regulation (EU) 2017/2295 of 4 September 2017 supplementing Regulation (EU) No 575/2013 of the European Parliament and of the Council with regard to regulatory technical standards for disclosure of encumbered and unencumbered assets (OJ L 329, 13.12.2017, p. 6).</w:t>
      </w:r>
    </w:p>
  </w:footnote>
  <w:footnote w:id="9">
    <w:p w:rsidR="00D642C6" w:rsidRPr="00A72EF0" w:rsidRDefault="00D642C6" w:rsidP="00967C75">
      <w:pPr>
        <w:pStyle w:val="FootnoteText"/>
        <w:ind w:left="567" w:hanging="567"/>
        <w:rPr>
          <w:lang w:val="en-US"/>
        </w:rPr>
      </w:pPr>
      <w:r w:rsidRPr="005823FE">
        <w:rPr>
          <w:rStyle w:val="FootnoteReference"/>
        </w:rPr>
        <w:footnoteRef/>
      </w:r>
      <w:r w:rsidRPr="005823FE">
        <w:tab/>
      </w:r>
      <w:r w:rsidR="00967C75" w:rsidRPr="00967C75">
        <w:rPr>
          <w:lang w:val="en-US"/>
        </w:rPr>
        <w:t>Guidelines EBA/GL/2018/10 of the European Banking Authority of 17 December 2018 on disclosure of non-performing and forborne exposures.</w:t>
      </w:r>
    </w:p>
  </w:footnote>
  <w:footnote w:id="10">
    <w:p w:rsidR="00D642C6" w:rsidRPr="00587191" w:rsidRDefault="00D642C6" w:rsidP="00195285">
      <w:pPr>
        <w:pStyle w:val="FootnoteText"/>
        <w:ind w:left="567" w:hanging="567"/>
      </w:pPr>
      <w:r w:rsidRPr="004328FB">
        <w:rPr>
          <w:rStyle w:val="FootnoteReference"/>
        </w:rPr>
        <w:footnoteRef/>
      </w:r>
      <w:r w:rsidR="004328FB">
        <w:tab/>
      </w:r>
      <w:r w:rsidRPr="005823FE">
        <w:t>Regulation (EU) 2017/2401 of the European Parliament and of the Council of 12 December 2017 amending Regulation (EU) No 575/2013 on pruden</w:t>
      </w:r>
      <w:r w:rsidRPr="00587191">
        <w:t>tial requirements for credit institutions and investment firms (OJ L 347, 28.12.2017, p. 1).</w:t>
      </w:r>
    </w:p>
  </w:footnote>
  <w:footnote w:id="11">
    <w:p w:rsidR="00D642C6" w:rsidRPr="00587191" w:rsidRDefault="00D642C6" w:rsidP="00195285">
      <w:pPr>
        <w:pStyle w:val="FootnoteText"/>
        <w:ind w:left="567" w:hanging="567"/>
      </w:pPr>
      <w:r w:rsidRPr="005823FE">
        <w:rPr>
          <w:rStyle w:val="FootnoteReference"/>
        </w:rPr>
        <w:footnoteRef/>
      </w:r>
      <w:r w:rsidRPr="005823FE">
        <w:tab/>
      </w:r>
      <w:proofErr w:type="gramStart"/>
      <w:r w:rsidRPr="005823FE">
        <w:rPr>
          <w:shd w:val="clear" w:color="auto" w:fill="FFFFFF"/>
        </w:rPr>
        <w:t>Regulation (EU) 2017/2402 of the European Parliament and of the Council of 12 December 2017 laying down a general framework for securitisation and creating a spe</w:t>
      </w:r>
      <w:r w:rsidRPr="00587191">
        <w:rPr>
          <w:shd w:val="clear" w:color="auto" w:fill="FFFFFF"/>
        </w:rPr>
        <w:t xml:space="preserve">cific framework for simple, transparent and standardised securitisation, and amending Directives 2009/65/EC, 2009/138/EC, </w:t>
      </w:r>
      <w:r w:rsidR="00967C75">
        <w:rPr>
          <w:shd w:val="clear" w:color="auto" w:fill="FFFFFF"/>
        </w:rPr>
        <w:t xml:space="preserve">and </w:t>
      </w:r>
      <w:r w:rsidRPr="00587191">
        <w:rPr>
          <w:shd w:val="clear" w:color="auto" w:fill="FFFFFF"/>
        </w:rPr>
        <w:t>2011/61/EU and Regulations (EC) No 1060/2009 and (EU) No 648/2012 (</w:t>
      </w:r>
      <w:r w:rsidRPr="00587191">
        <w:t>OJ L 347, 28.12.2017, p. 35</w:t>
      </w:r>
      <w:r w:rsidRPr="00587191">
        <w:rPr>
          <w:shd w:val="clear" w:color="auto" w:fill="FFFFFF"/>
        </w:rPr>
        <w:t>).</w:t>
      </w:r>
      <w:proofErr w:type="gramEnd"/>
    </w:p>
  </w:footnote>
  <w:footnote w:id="12">
    <w:p w:rsidR="00D642C6" w:rsidRPr="00587191" w:rsidRDefault="00D642C6" w:rsidP="00195285">
      <w:pPr>
        <w:pStyle w:val="FootnoteText"/>
        <w:ind w:left="567" w:hanging="567"/>
      </w:pPr>
      <w:r w:rsidRPr="005823FE">
        <w:rPr>
          <w:rStyle w:val="FootnoteReference"/>
        </w:rPr>
        <w:footnoteRef/>
      </w:r>
      <w:r w:rsidRPr="005823FE">
        <w:tab/>
        <w:t>Regulation (EU) No 1093/2010 of the European Parliament and of the Council of 24 November 2010 establishing a European Supervisory Authority (European Banking Authority), amending Decision No 716/2009/EC and repealing Commission Decision 2009/78/EC (OJ</w:t>
      </w:r>
      <w:r w:rsidR="00967C75">
        <w:t xml:space="preserve"> </w:t>
      </w:r>
      <w:r w:rsidRPr="005823FE">
        <w:t>L 331, 15.12.20</w:t>
      </w:r>
      <w:r w:rsidR="00967C75">
        <w:t>1</w:t>
      </w:r>
      <w:r w:rsidRPr="005823FE">
        <w:t>0, p.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2"/>
  </w:num>
  <w:num w:numId="32">
    <w:abstractNumId w:val="21"/>
  </w:num>
  <w:num w:numId="33">
    <w:abstractNumId w:val="11"/>
  </w:num>
  <w:num w:numId="34">
    <w:abstractNumId w:val="13"/>
  </w:num>
  <w:num w:numId="35">
    <w:abstractNumId w:val="9"/>
  </w:num>
  <w:num w:numId="36">
    <w:abstractNumId w:val="20"/>
  </w:num>
  <w:num w:numId="37">
    <w:abstractNumId w:val="8"/>
  </w:num>
  <w:num w:numId="38">
    <w:abstractNumId w:val="14"/>
  </w:num>
  <w:num w:numId="39">
    <w:abstractNumId w:val="17"/>
  </w:num>
  <w:num w:numId="40">
    <w:abstractNumId w:val="18"/>
  </w:num>
  <w:num w:numId="41">
    <w:abstractNumId w:val="10"/>
  </w:num>
  <w:num w:numId="42">
    <w:abstractNumId w:val="16"/>
  </w:num>
  <w:num w:numId="43">
    <w:abstractNumId w:val="2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1-03-05 17:10:40"/>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87"/>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1"/>
    <w:docVar w:name="LW_COVERPAGE_EXISTS" w:val="True"/>
    <w:docVar w:name="LW_COVERPAGE_GUID" w:val="057912DA-787C-4893-BAF4-83316653C5F0"/>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lt;EMPTY&gt;"/>
    <w:docVar w:name="LW_ID_DOCMODEL" w:val="SJ-004"/>
    <w:docVar w:name="LW_ID_DOCSIGNATURE" w:val="SJ-004"/>
    <w:docVar w:name="LW_ID_DOCSTRUCTURE" w:val="COM/AA"/>
    <w:docVar w:name="LW_ID_DOCTYPE" w:val="SJ-004"/>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laying down implementing technical standards with regard to public disclosures by institutions of the information referred to in Titles II and III of Part Eight of Regulation (EU) No 575/2013 of the European Parliament and of the Council and repealing Commission Implementing Regulation (EU) No 1423/2013, Commission Delegated Regulation (EU) 2015/1555, Commission Implementing Regulation (EU) 2016/200 and Commission Delegated Regulation (EU) 2017/2295_x000b__x000b_"/>
    <w:docVar w:name="LW_TYPE.DOC.CP" w:val="COMMISSION IMPLEMENTING REGULATION (EU) \u8230?/..."/>
  </w:docVars>
  <w:rsids>
    <w:rsidRoot w:val="0004170D"/>
    <w:rsid w:val="0000233F"/>
    <w:rsid w:val="00010CC7"/>
    <w:rsid w:val="0002231C"/>
    <w:rsid w:val="00023622"/>
    <w:rsid w:val="000302BA"/>
    <w:rsid w:val="00036497"/>
    <w:rsid w:val="0004170D"/>
    <w:rsid w:val="000530A8"/>
    <w:rsid w:val="00066D60"/>
    <w:rsid w:val="000715FC"/>
    <w:rsid w:val="000747E8"/>
    <w:rsid w:val="00075194"/>
    <w:rsid w:val="0008268D"/>
    <w:rsid w:val="000965A4"/>
    <w:rsid w:val="000A7C56"/>
    <w:rsid w:val="000B18AB"/>
    <w:rsid w:val="000B31D0"/>
    <w:rsid w:val="000B4D68"/>
    <w:rsid w:val="000B5ADE"/>
    <w:rsid w:val="000B75F5"/>
    <w:rsid w:val="000C0000"/>
    <w:rsid w:val="000C2A47"/>
    <w:rsid w:val="000C4EBE"/>
    <w:rsid w:val="000C60D7"/>
    <w:rsid w:val="000D57AD"/>
    <w:rsid w:val="000F1AE0"/>
    <w:rsid w:val="00105D7C"/>
    <w:rsid w:val="00124000"/>
    <w:rsid w:val="00124B31"/>
    <w:rsid w:val="0012658B"/>
    <w:rsid w:val="00130336"/>
    <w:rsid w:val="00133A68"/>
    <w:rsid w:val="00142DC9"/>
    <w:rsid w:val="0014569E"/>
    <w:rsid w:val="00151336"/>
    <w:rsid w:val="0015237E"/>
    <w:rsid w:val="001612FE"/>
    <w:rsid w:val="00164D08"/>
    <w:rsid w:val="00167DBD"/>
    <w:rsid w:val="00173862"/>
    <w:rsid w:val="00175820"/>
    <w:rsid w:val="00183568"/>
    <w:rsid w:val="00184CD1"/>
    <w:rsid w:val="00190EC6"/>
    <w:rsid w:val="00194CD4"/>
    <w:rsid w:val="00195285"/>
    <w:rsid w:val="001C49B7"/>
    <w:rsid w:val="001D579B"/>
    <w:rsid w:val="001D5E4E"/>
    <w:rsid w:val="0020373E"/>
    <w:rsid w:val="00204CA9"/>
    <w:rsid w:val="00223E6D"/>
    <w:rsid w:val="00254B69"/>
    <w:rsid w:val="002554D0"/>
    <w:rsid w:val="00257DE9"/>
    <w:rsid w:val="00262584"/>
    <w:rsid w:val="002907D3"/>
    <w:rsid w:val="00292A0A"/>
    <w:rsid w:val="002933BD"/>
    <w:rsid w:val="00296DB6"/>
    <w:rsid w:val="002A48C4"/>
    <w:rsid w:val="002A6E84"/>
    <w:rsid w:val="002C0C3E"/>
    <w:rsid w:val="002C1097"/>
    <w:rsid w:val="002C433D"/>
    <w:rsid w:val="002D22E3"/>
    <w:rsid w:val="002E2681"/>
    <w:rsid w:val="002E3B6F"/>
    <w:rsid w:val="002E476B"/>
    <w:rsid w:val="00305114"/>
    <w:rsid w:val="00312E0D"/>
    <w:rsid w:val="00316F57"/>
    <w:rsid w:val="00324024"/>
    <w:rsid w:val="00334AD0"/>
    <w:rsid w:val="00334D45"/>
    <w:rsid w:val="00336F4D"/>
    <w:rsid w:val="00342795"/>
    <w:rsid w:val="003460F1"/>
    <w:rsid w:val="00352527"/>
    <w:rsid w:val="00356414"/>
    <w:rsid w:val="00362906"/>
    <w:rsid w:val="00362E56"/>
    <w:rsid w:val="0036351A"/>
    <w:rsid w:val="00387DA9"/>
    <w:rsid w:val="003A1165"/>
    <w:rsid w:val="003A35E9"/>
    <w:rsid w:val="003B2A70"/>
    <w:rsid w:val="003B73C9"/>
    <w:rsid w:val="003C1E7F"/>
    <w:rsid w:val="003C4F11"/>
    <w:rsid w:val="003D2479"/>
    <w:rsid w:val="003D44B9"/>
    <w:rsid w:val="003D6311"/>
    <w:rsid w:val="003E3102"/>
    <w:rsid w:val="003E38FD"/>
    <w:rsid w:val="00401969"/>
    <w:rsid w:val="00403378"/>
    <w:rsid w:val="00414EB3"/>
    <w:rsid w:val="004166C6"/>
    <w:rsid w:val="00424D6E"/>
    <w:rsid w:val="004328FB"/>
    <w:rsid w:val="00433CFD"/>
    <w:rsid w:val="0044155A"/>
    <w:rsid w:val="004427A5"/>
    <w:rsid w:val="00442C93"/>
    <w:rsid w:val="00444CBF"/>
    <w:rsid w:val="00445AB9"/>
    <w:rsid w:val="004515BE"/>
    <w:rsid w:val="00453D69"/>
    <w:rsid w:val="00461468"/>
    <w:rsid w:val="0047525C"/>
    <w:rsid w:val="00476884"/>
    <w:rsid w:val="00480310"/>
    <w:rsid w:val="00486017"/>
    <w:rsid w:val="004939A4"/>
    <w:rsid w:val="00496B08"/>
    <w:rsid w:val="00497414"/>
    <w:rsid w:val="004A1CDB"/>
    <w:rsid w:val="004A255E"/>
    <w:rsid w:val="004B0164"/>
    <w:rsid w:val="004B6788"/>
    <w:rsid w:val="004B7AEA"/>
    <w:rsid w:val="004C4F9A"/>
    <w:rsid w:val="004E05C8"/>
    <w:rsid w:val="00501B9B"/>
    <w:rsid w:val="0053062E"/>
    <w:rsid w:val="00535526"/>
    <w:rsid w:val="00552202"/>
    <w:rsid w:val="00553957"/>
    <w:rsid w:val="00563765"/>
    <w:rsid w:val="005715DB"/>
    <w:rsid w:val="00580B2A"/>
    <w:rsid w:val="00581093"/>
    <w:rsid w:val="005823FE"/>
    <w:rsid w:val="00587191"/>
    <w:rsid w:val="005A7F5C"/>
    <w:rsid w:val="005B07FD"/>
    <w:rsid w:val="005C3834"/>
    <w:rsid w:val="005C4422"/>
    <w:rsid w:val="005E2A3F"/>
    <w:rsid w:val="005E4E75"/>
    <w:rsid w:val="005F2549"/>
    <w:rsid w:val="005F490A"/>
    <w:rsid w:val="005F7F66"/>
    <w:rsid w:val="00625AFA"/>
    <w:rsid w:val="0063239A"/>
    <w:rsid w:val="00632AF6"/>
    <w:rsid w:val="006430F5"/>
    <w:rsid w:val="00646429"/>
    <w:rsid w:val="00646DA2"/>
    <w:rsid w:val="006518A1"/>
    <w:rsid w:val="00656F3B"/>
    <w:rsid w:val="00670714"/>
    <w:rsid w:val="00693D08"/>
    <w:rsid w:val="00693F0A"/>
    <w:rsid w:val="006947FE"/>
    <w:rsid w:val="006A32A4"/>
    <w:rsid w:val="006A7F00"/>
    <w:rsid w:val="006D20F7"/>
    <w:rsid w:val="006E0911"/>
    <w:rsid w:val="006E3B08"/>
    <w:rsid w:val="006F2F67"/>
    <w:rsid w:val="006F4232"/>
    <w:rsid w:val="006F792A"/>
    <w:rsid w:val="00701631"/>
    <w:rsid w:val="00704A57"/>
    <w:rsid w:val="00717B5E"/>
    <w:rsid w:val="007241CC"/>
    <w:rsid w:val="00725875"/>
    <w:rsid w:val="0073287A"/>
    <w:rsid w:val="007328EB"/>
    <w:rsid w:val="00732B32"/>
    <w:rsid w:val="007475DB"/>
    <w:rsid w:val="00755F0F"/>
    <w:rsid w:val="00755F6F"/>
    <w:rsid w:val="00756C6D"/>
    <w:rsid w:val="00786078"/>
    <w:rsid w:val="00792BDA"/>
    <w:rsid w:val="0079582A"/>
    <w:rsid w:val="007A1D1D"/>
    <w:rsid w:val="007A231C"/>
    <w:rsid w:val="007A76EC"/>
    <w:rsid w:val="007B1860"/>
    <w:rsid w:val="007C003F"/>
    <w:rsid w:val="007D178B"/>
    <w:rsid w:val="007E5F66"/>
    <w:rsid w:val="007E66A7"/>
    <w:rsid w:val="007F579D"/>
    <w:rsid w:val="007F676F"/>
    <w:rsid w:val="0080055A"/>
    <w:rsid w:val="00800894"/>
    <w:rsid w:val="00802909"/>
    <w:rsid w:val="008326B8"/>
    <w:rsid w:val="008568F5"/>
    <w:rsid w:val="00856A5A"/>
    <w:rsid w:val="00861266"/>
    <w:rsid w:val="00877878"/>
    <w:rsid w:val="00886F23"/>
    <w:rsid w:val="00892FEE"/>
    <w:rsid w:val="008A33A3"/>
    <w:rsid w:val="008A5096"/>
    <w:rsid w:val="008A5945"/>
    <w:rsid w:val="008A6A1E"/>
    <w:rsid w:val="008B6784"/>
    <w:rsid w:val="008B78EA"/>
    <w:rsid w:val="008C19A5"/>
    <w:rsid w:val="008C51D0"/>
    <w:rsid w:val="008D42B0"/>
    <w:rsid w:val="008D6EA6"/>
    <w:rsid w:val="00905357"/>
    <w:rsid w:val="00921F21"/>
    <w:rsid w:val="00922950"/>
    <w:rsid w:val="00923CC6"/>
    <w:rsid w:val="00926007"/>
    <w:rsid w:val="009310C9"/>
    <w:rsid w:val="00931C56"/>
    <w:rsid w:val="00941988"/>
    <w:rsid w:val="0094247F"/>
    <w:rsid w:val="009458BD"/>
    <w:rsid w:val="00951C31"/>
    <w:rsid w:val="00956448"/>
    <w:rsid w:val="00963178"/>
    <w:rsid w:val="00965673"/>
    <w:rsid w:val="00965716"/>
    <w:rsid w:val="00966B3C"/>
    <w:rsid w:val="009675DD"/>
    <w:rsid w:val="00967C75"/>
    <w:rsid w:val="0097765D"/>
    <w:rsid w:val="009777B7"/>
    <w:rsid w:val="00993FAE"/>
    <w:rsid w:val="00995CF9"/>
    <w:rsid w:val="00997228"/>
    <w:rsid w:val="009A0FCB"/>
    <w:rsid w:val="009A56F4"/>
    <w:rsid w:val="009B4728"/>
    <w:rsid w:val="009C5CB4"/>
    <w:rsid w:val="009F40BE"/>
    <w:rsid w:val="00A10245"/>
    <w:rsid w:val="00A228D5"/>
    <w:rsid w:val="00A260ED"/>
    <w:rsid w:val="00A26E4D"/>
    <w:rsid w:val="00A27898"/>
    <w:rsid w:val="00A3263C"/>
    <w:rsid w:val="00A518E0"/>
    <w:rsid w:val="00A5494A"/>
    <w:rsid w:val="00A70AF9"/>
    <w:rsid w:val="00A72EF0"/>
    <w:rsid w:val="00A762FD"/>
    <w:rsid w:val="00A84A3E"/>
    <w:rsid w:val="00A858BC"/>
    <w:rsid w:val="00A91F18"/>
    <w:rsid w:val="00AB786E"/>
    <w:rsid w:val="00AD027A"/>
    <w:rsid w:val="00AD4A67"/>
    <w:rsid w:val="00AD58EF"/>
    <w:rsid w:val="00AE2C32"/>
    <w:rsid w:val="00AE3F40"/>
    <w:rsid w:val="00AE6C16"/>
    <w:rsid w:val="00B30A70"/>
    <w:rsid w:val="00B41102"/>
    <w:rsid w:val="00B609A7"/>
    <w:rsid w:val="00B61C46"/>
    <w:rsid w:val="00B711DB"/>
    <w:rsid w:val="00B8013E"/>
    <w:rsid w:val="00B80AC9"/>
    <w:rsid w:val="00B861EE"/>
    <w:rsid w:val="00B90336"/>
    <w:rsid w:val="00BA0CA9"/>
    <w:rsid w:val="00BA6C63"/>
    <w:rsid w:val="00BA7AD9"/>
    <w:rsid w:val="00BB093D"/>
    <w:rsid w:val="00BB60B6"/>
    <w:rsid w:val="00BC75BD"/>
    <w:rsid w:val="00BD158D"/>
    <w:rsid w:val="00BE1C5E"/>
    <w:rsid w:val="00BF182F"/>
    <w:rsid w:val="00C02ED9"/>
    <w:rsid w:val="00C05465"/>
    <w:rsid w:val="00C14839"/>
    <w:rsid w:val="00C16675"/>
    <w:rsid w:val="00C24911"/>
    <w:rsid w:val="00C25E54"/>
    <w:rsid w:val="00C278CC"/>
    <w:rsid w:val="00C36E0D"/>
    <w:rsid w:val="00C40BF9"/>
    <w:rsid w:val="00C41BFF"/>
    <w:rsid w:val="00C47BED"/>
    <w:rsid w:val="00C5099A"/>
    <w:rsid w:val="00C61949"/>
    <w:rsid w:val="00C81C3A"/>
    <w:rsid w:val="00C84B15"/>
    <w:rsid w:val="00C91C95"/>
    <w:rsid w:val="00C94DC0"/>
    <w:rsid w:val="00CA348C"/>
    <w:rsid w:val="00CA57C3"/>
    <w:rsid w:val="00CA5835"/>
    <w:rsid w:val="00CB377F"/>
    <w:rsid w:val="00CC3294"/>
    <w:rsid w:val="00CC620B"/>
    <w:rsid w:val="00CC62AE"/>
    <w:rsid w:val="00CD689A"/>
    <w:rsid w:val="00CE5120"/>
    <w:rsid w:val="00CE62E1"/>
    <w:rsid w:val="00CF0948"/>
    <w:rsid w:val="00CF6BC4"/>
    <w:rsid w:val="00D001B4"/>
    <w:rsid w:val="00D2760A"/>
    <w:rsid w:val="00D34C25"/>
    <w:rsid w:val="00D602DE"/>
    <w:rsid w:val="00D642C6"/>
    <w:rsid w:val="00D76B54"/>
    <w:rsid w:val="00D9176D"/>
    <w:rsid w:val="00DC2475"/>
    <w:rsid w:val="00DD2BA0"/>
    <w:rsid w:val="00DF14E1"/>
    <w:rsid w:val="00E0170F"/>
    <w:rsid w:val="00E10715"/>
    <w:rsid w:val="00E14194"/>
    <w:rsid w:val="00E174B5"/>
    <w:rsid w:val="00E206C9"/>
    <w:rsid w:val="00E23611"/>
    <w:rsid w:val="00E42EC8"/>
    <w:rsid w:val="00E5338C"/>
    <w:rsid w:val="00E5388C"/>
    <w:rsid w:val="00E62304"/>
    <w:rsid w:val="00E6427C"/>
    <w:rsid w:val="00E76705"/>
    <w:rsid w:val="00E76D3F"/>
    <w:rsid w:val="00E8665C"/>
    <w:rsid w:val="00EA0958"/>
    <w:rsid w:val="00EA3E25"/>
    <w:rsid w:val="00EA6449"/>
    <w:rsid w:val="00EB4A85"/>
    <w:rsid w:val="00EC422C"/>
    <w:rsid w:val="00ED3421"/>
    <w:rsid w:val="00EF3146"/>
    <w:rsid w:val="00EF6392"/>
    <w:rsid w:val="00F04CDC"/>
    <w:rsid w:val="00F15C9D"/>
    <w:rsid w:val="00F31307"/>
    <w:rsid w:val="00F335A5"/>
    <w:rsid w:val="00F37426"/>
    <w:rsid w:val="00F5043B"/>
    <w:rsid w:val="00F53E64"/>
    <w:rsid w:val="00F6330E"/>
    <w:rsid w:val="00F676B3"/>
    <w:rsid w:val="00F83A04"/>
    <w:rsid w:val="00F855B3"/>
    <w:rsid w:val="00F91209"/>
    <w:rsid w:val="00F93ED1"/>
    <w:rsid w:val="00F978FE"/>
    <w:rsid w:val="00F97AAB"/>
    <w:rsid w:val="00FA2322"/>
    <w:rsid w:val="00FA4569"/>
    <w:rsid w:val="00FA53E3"/>
    <w:rsid w:val="00FB4483"/>
    <w:rsid w:val="00FD6645"/>
    <w:rsid w:val="00FF2606"/>
    <w:rsid w:val="00FF364B"/>
    <w:rsid w:val="00FF5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9B7138"/>
    <w:pPr>
      <w:keepNext/>
      <w:numPr>
        <w:numId w:val="3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6"/>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en-GB"/>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lang w:val="en-US"/>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semiHidden/>
    <w:unhideWhenUsed/>
    <w:rsid w:val="000B31D0"/>
    <w:rPr>
      <w:sz w:val="20"/>
      <w:szCs w:val="20"/>
    </w:rPr>
  </w:style>
  <w:style w:type="character" w:customStyle="1" w:styleId="CommentTextChar">
    <w:name w:val="Comment Text Char"/>
    <w:basedOn w:val="DefaultParagraphFont"/>
    <w:link w:val="CommentText"/>
    <w:uiPriority w:val="99"/>
    <w:semiHidden/>
    <w:rsid w:val="000B31D0"/>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en-GB"/>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en-GB"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paragraph" w:styleId="Subtitle">
    <w:name w:val="Subtitle"/>
    <w:next w:val="Normal"/>
    <w:link w:val="SubtitleChar"/>
    <w:autoRedefine/>
    <w:uiPriority w:val="11"/>
    <w:qFormat/>
    <w:rsid w:val="00A858BC"/>
    <w:pPr>
      <w:numPr>
        <w:ilvl w:val="1"/>
      </w:numPr>
      <w:spacing w:before="240" w:after="120" w:line="240" w:lineRule="auto"/>
    </w:pPr>
    <w:rPr>
      <w:rFonts w:asciiTheme="majorHAnsi" w:eastAsiaTheme="majorEastAsia" w:hAnsiTheme="majorHAnsi" w:cstheme="majorBidi"/>
      <w:color w:val="4F81BD" w:themeColor="accent1"/>
      <w:sz w:val="32"/>
      <w:szCs w:val="32"/>
      <w:lang w:val="en-GB"/>
    </w:rPr>
  </w:style>
  <w:style w:type="character" w:customStyle="1" w:styleId="SubtitleChar">
    <w:name w:val="Subtitle Char"/>
    <w:basedOn w:val="DefaultParagraphFont"/>
    <w:link w:val="Subtitle"/>
    <w:uiPriority w:val="11"/>
    <w:rsid w:val="00A858BC"/>
    <w:rPr>
      <w:rFonts w:asciiTheme="majorHAnsi" w:eastAsiaTheme="majorEastAsia" w:hAnsiTheme="majorHAnsi" w:cstheme="majorBidi"/>
      <w:color w:val="4F81BD" w:themeColor="accent1"/>
      <w:sz w:val="32"/>
      <w:szCs w:val="32"/>
      <w:lang w:val="en-GB"/>
    </w:rPr>
  </w:style>
  <w:style w:type="character" w:customStyle="1" w:styleId="super">
    <w:name w:val="super"/>
    <w:basedOn w:val="DefaultParagraphFont"/>
    <w:rsid w:val="00B90336"/>
  </w:style>
  <w:style w:type="character" w:styleId="FollowedHyperlink">
    <w:name w:val="FollowedHyperlink"/>
    <w:basedOn w:val="DefaultParagraphFont"/>
    <w:uiPriority w:val="99"/>
    <w:semiHidden/>
    <w:unhideWhenUsed/>
    <w:rsid w:val="00342795"/>
    <w:rPr>
      <w:color w:val="800080" w:themeColor="followedHyperlink"/>
      <w:u w:val="single"/>
    </w:rPr>
  </w:style>
  <w:style w:type="paragraph" w:styleId="Revision">
    <w:name w:val="Revision"/>
    <w:hidden/>
    <w:uiPriority w:val="99"/>
    <w:semiHidden/>
    <w:rsid w:val="00C94DC0"/>
    <w:pPr>
      <w:spacing w:after="0" w:line="240" w:lineRule="auto"/>
    </w:pPr>
    <w:rPr>
      <w:rFonts w:ascii="Times New Roman" w:hAnsi="Times New Roman" w:cs="Times New Roman"/>
      <w:sz w:val="24"/>
      <w:lang w:val="en-GB"/>
    </w:rPr>
  </w:style>
  <w:style w:type="paragraph" w:styleId="NormalWeb">
    <w:name w:val="Normal (Web)"/>
    <w:basedOn w:val="Normal"/>
    <w:uiPriority w:val="99"/>
    <w:unhideWhenUsed/>
    <w:rsid w:val="00195285"/>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195285"/>
    <w:rPr>
      <w:i/>
      <w:iCs/>
    </w:rPr>
  </w:style>
  <w:style w:type="table" w:styleId="TableGrid">
    <w:name w:val="Table Grid"/>
    <w:basedOn w:val="TableNormal"/>
    <w:uiPriority w:val="59"/>
    <w:rsid w:val="005F2549"/>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5823FE"/>
    <w:pPr>
      <w:spacing w:before="0" w:after="0"/>
    </w:pPr>
    <w:rPr>
      <w:sz w:val="20"/>
      <w:szCs w:val="20"/>
    </w:rPr>
  </w:style>
  <w:style w:type="character" w:customStyle="1" w:styleId="EndnoteTextChar">
    <w:name w:val="Endnote Text Char"/>
    <w:basedOn w:val="DefaultParagraphFont"/>
    <w:link w:val="EndnoteText"/>
    <w:uiPriority w:val="99"/>
    <w:semiHidden/>
    <w:rsid w:val="005823FE"/>
    <w:rPr>
      <w:rFonts w:ascii="Times New Roman" w:hAnsi="Times New Roman" w:cs="Times New Roman"/>
      <w:sz w:val="20"/>
      <w:szCs w:val="20"/>
      <w:lang w:val="en-GB"/>
    </w:rPr>
  </w:style>
  <w:style w:type="character" w:styleId="EndnoteReference">
    <w:name w:val="endnote reference"/>
    <w:basedOn w:val="DefaultParagraphFont"/>
    <w:uiPriority w:val="99"/>
    <w:semiHidden/>
    <w:unhideWhenUsed/>
    <w:rsid w:val="005823FE"/>
    <w:rPr>
      <w:vertAlign w:val="superscript"/>
    </w:rPr>
  </w:style>
  <w:style w:type="paragraph" w:styleId="Header">
    <w:name w:val="header"/>
    <w:basedOn w:val="Normal"/>
    <w:link w:val="HeaderChar"/>
    <w:uiPriority w:val="99"/>
    <w:unhideWhenUsed/>
    <w:rsid w:val="00632AF6"/>
    <w:pPr>
      <w:tabs>
        <w:tab w:val="center" w:pos="4535"/>
        <w:tab w:val="right" w:pos="9071"/>
      </w:tabs>
      <w:spacing w:before="0"/>
    </w:pPr>
  </w:style>
  <w:style w:type="character" w:customStyle="1" w:styleId="HeaderChar">
    <w:name w:val="Header Char"/>
    <w:basedOn w:val="DefaultParagraphFont"/>
    <w:link w:val="Header"/>
    <w:uiPriority w:val="99"/>
    <w:rsid w:val="00632AF6"/>
    <w:rPr>
      <w:rFonts w:ascii="Times New Roman" w:hAnsi="Times New Roman" w:cs="Times New Roman"/>
      <w:sz w:val="24"/>
      <w:lang w:val="en-GB"/>
    </w:rPr>
  </w:style>
  <w:style w:type="paragraph" w:styleId="Footer">
    <w:name w:val="footer"/>
    <w:basedOn w:val="Normal"/>
    <w:link w:val="FooterChar"/>
    <w:uiPriority w:val="99"/>
    <w:unhideWhenUsed/>
    <w:rsid w:val="00632AF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632AF6"/>
    <w:rPr>
      <w:rFonts w:ascii="Times New Roman" w:hAnsi="Times New Roman" w:cs="Times New Roman"/>
      <w:sz w:val="24"/>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632AF6"/>
    <w:pPr>
      <w:tabs>
        <w:tab w:val="center" w:pos="7285"/>
        <w:tab w:val="right" w:pos="14003"/>
      </w:tabs>
      <w:spacing w:before="0"/>
    </w:pPr>
  </w:style>
  <w:style w:type="paragraph" w:customStyle="1" w:styleId="FooterLandscape">
    <w:name w:val="FooterLandscape"/>
    <w:basedOn w:val="Normal"/>
    <w:rsid w:val="00632AF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632AF6"/>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632AF6"/>
    <w:pPr>
      <w:spacing w:before="0"/>
      <w:jc w:val="right"/>
    </w:pPr>
    <w:rPr>
      <w:sz w:val="28"/>
    </w:rPr>
  </w:style>
  <w:style w:type="paragraph" w:customStyle="1" w:styleId="FooterSensitivity">
    <w:name w:val="Footer Sensitivity"/>
    <w:basedOn w:val="Normal"/>
    <w:rsid w:val="00632AF6"/>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30"/>
      </w:numPr>
    </w:pPr>
  </w:style>
  <w:style w:type="paragraph" w:customStyle="1" w:styleId="Tiret1">
    <w:name w:val="Tiret 1"/>
    <w:basedOn w:val="Point1"/>
    <w:rsid w:val="009B7138"/>
    <w:pPr>
      <w:numPr>
        <w:numId w:val="31"/>
      </w:numPr>
    </w:pPr>
  </w:style>
  <w:style w:type="paragraph" w:customStyle="1" w:styleId="Tiret2">
    <w:name w:val="Tiret 2"/>
    <w:basedOn w:val="Point2"/>
    <w:rsid w:val="009B7138"/>
    <w:pPr>
      <w:numPr>
        <w:numId w:val="32"/>
      </w:numPr>
    </w:pPr>
  </w:style>
  <w:style w:type="paragraph" w:customStyle="1" w:styleId="Tiret3">
    <w:name w:val="Tiret 3"/>
    <w:basedOn w:val="Point3"/>
    <w:rsid w:val="009B7138"/>
    <w:pPr>
      <w:numPr>
        <w:numId w:val="33"/>
      </w:numPr>
    </w:pPr>
  </w:style>
  <w:style w:type="paragraph" w:customStyle="1" w:styleId="Tiret4">
    <w:name w:val="Tiret 4"/>
    <w:basedOn w:val="Point4"/>
    <w:rsid w:val="009B7138"/>
    <w:pPr>
      <w:numPr>
        <w:numId w:val="34"/>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5"/>
      </w:numPr>
    </w:pPr>
  </w:style>
  <w:style w:type="paragraph" w:customStyle="1" w:styleId="NumPar2">
    <w:name w:val="NumPar 2"/>
    <w:basedOn w:val="Normal"/>
    <w:next w:val="Text1"/>
    <w:rsid w:val="009B7138"/>
    <w:pPr>
      <w:numPr>
        <w:ilvl w:val="1"/>
        <w:numId w:val="35"/>
      </w:numPr>
    </w:pPr>
  </w:style>
  <w:style w:type="paragraph" w:customStyle="1" w:styleId="NumPar3">
    <w:name w:val="NumPar 3"/>
    <w:basedOn w:val="Normal"/>
    <w:next w:val="Text1"/>
    <w:rsid w:val="009B7138"/>
    <w:pPr>
      <w:numPr>
        <w:ilvl w:val="2"/>
        <w:numId w:val="35"/>
      </w:numPr>
    </w:pPr>
  </w:style>
  <w:style w:type="paragraph" w:customStyle="1" w:styleId="NumPar4">
    <w:name w:val="NumPar 4"/>
    <w:basedOn w:val="Normal"/>
    <w:next w:val="Text1"/>
    <w:rsid w:val="009B7138"/>
    <w:pPr>
      <w:numPr>
        <w:ilvl w:val="3"/>
        <w:numId w:val="35"/>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7"/>
      </w:numPr>
    </w:pPr>
  </w:style>
  <w:style w:type="paragraph" w:customStyle="1" w:styleId="Point1number">
    <w:name w:val="Point 1 (number)"/>
    <w:basedOn w:val="Normal"/>
    <w:rsid w:val="009B7138"/>
    <w:pPr>
      <w:numPr>
        <w:ilvl w:val="2"/>
        <w:numId w:val="37"/>
      </w:numPr>
    </w:pPr>
  </w:style>
  <w:style w:type="paragraph" w:customStyle="1" w:styleId="Point2number">
    <w:name w:val="Point 2 (number)"/>
    <w:basedOn w:val="Normal"/>
    <w:rsid w:val="009B7138"/>
    <w:pPr>
      <w:numPr>
        <w:ilvl w:val="4"/>
        <w:numId w:val="37"/>
      </w:numPr>
    </w:pPr>
  </w:style>
  <w:style w:type="paragraph" w:customStyle="1" w:styleId="Point3number">
    <w:name w:val="Point 3 (number)"/>
    <w:basedOn w:val="Normal"/>
    <w:rsid w:val="009B7138"/>
    <w:pPr>
      <w:numPr>
        <w:ilvl w:val="6"/>
        <w:numId w:val="37"/>
      </w:numPr>
    </w:pPr>
  </w:style>
  <w:style w:type="paragraph" w:customStyle="1" w:styleId="Point0letter">
    <w:name w:val="Point 0 (letter)"/>
    <w:basedOn w:val="Normal"/>
    <w:rsid w:val="009B7138"/>
    <w:pPr>
      <w:numPr>
        <w:ilvl w:val="1"/>
        <w:numId w:val="37"/>
      </w:numPr>
    </w:pPr>
  </w:style>
  <w:style w:type="paragraph" w:customStyle="1" w:styleId="Point1letter">
    <w:name w:val="Point 1 (letter)"/>
    <w:basedOn w:val="Normal"/>
    <w:rsid w:val="009B7138"/>
    <w:pPr>
      <w:numPr>
        <w:ilvl w:val="3"/>
        <w:numId w:val="37"/>
      </w:numPr>
    </w:pPr>
  </w:style>
  <w:style w:type="paragraph" w:customStyle="1" w:styleId="Point2letter">
    <w:name w:val="Point 2 (letter)"/>
    <w:basedOn w:val="Normal"/>
    <w:rsid w:val="009B7138"/>
    <w:pPr>
      <w:numPr>
        <w:ilvl w:val="5"/>
        <w:numId w:val="37"/>
      </w:numPr>
    </w:pPr>
  </w:style>
  <w:style w:type="paragraph" w:customStyle="1" w:styleId="Point3letter">
    <w:name w:val="Point 3 (letter)"/>
    <w:basedOn w:val="Normal"/>
    <w:rsid w:val="009B7138"/>
    <w:pPr>
      <w:numPr>
        <w:ilvl w:val="7"/>
        <w:numId w:val="37"/>
      </w:numPr>
    </w:pPr>
  </w:style>
  <w:style w:type="paragraph" w:customStyle="1" w:styleId="Point4letter">
    <w:name w:val="Point 4 (letter)"/>
    <w:basedOn w:val="Normal"/>
    <w:rsid w:val="009B7138"/>
    <w:pPr>
      <w:numPr>
        <w:ilvl w:val="8"/>
        <w:numId w:val="37"/>
      </w:numPr>
    </w:pPr>
  </w:style>
  <w:style w:type="paragraph" w:customStyle="1" w:styleId="Bullet0">
    <w:name w:val="Bullet 0"/>
    <w:basedOn w:val="Normal"/>
    <w:rsid w:val="009B7138"/>
    <w:pPr>
      <w:numPr>
        <w:numId w:val="38"/>
      </w:numPr>
    </w:pPr>
  </w:style>
  <w:style w:type="paragraph" w:customStyle="1" w:styleId="Bullet1">
    <w:name w:val="Bullet 1"/>
    <w:basedOn w:val="Normal"/>
    <w:rsid w:val="009B7138"/>
    <w:pPr>
      <w:numPr>
        <w:numId w:val="39"/>
      </w:numPr>
    </w:pPr>
  </w:style>
  <w:style w:type="paragraph" w:customStyle="1" w:styleId="Bullet2">
    <w:name w:val="Bullet 2"/>
    <w:basedOn w:val="Normal"/>
    <w:rsid w:val="009B7138"/>
    <w:pPr>
      <w:numPr>
        <w:numId w:val="40"/>
      </w:numPr>
    </w:pPr>
  </w:style>
  <w:style w:type="paragraph" w:customStyle="1" w:styleId="Bullet3">
    <w:name w:val="Bullet 3"/>
    <w:basedOn w:val="Normal"/>
    <w:rsid w:val="009B7138"/>
    <w:pPr>
      <w:numPr>
        <w:numId w:val="41"/>
      </w:numPr>
    </w:pPr>
  </w:style>
  <w:style w:type="paragraph" w:customStyle="1" w:styleId="Bullet4">
    <w:name w:val="Bullet 4"/>
    <w:basedOn w:val="Normal"/>
    <w:rsid w:val="009B7138"/>
    <w:pPr>
      <w:numPr>
        <w:numId w:val="42"/>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3"/>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6432">
      <w:bodyDiv w:val="1"/>
      <w:marLeft w:val="0"/>
      <w:marRight w:val="0"/>
      <w:marTop w:val="0"/>
      <w:marBottom w:val="0"/>
      <w:divBdr>
        <w:top w:val="none" w:sz="0" w:space="0" w:color="auto"/>
        <w:left w:val="none" w:sz="0" w:space="0" w:color="auto"/>
        <w:bottom w:val="none" w:sz="0" w:space="0" w:color="auto"/>
        <w:right w:val="none" w:sz="0" w:space="0" w:color="auto"/>
      </w:divBdr>
    </w:div>
    <w:div w:id="302201858">
      <w:bodyDiv w:val="1"/>
      <w:marLeft w:val="0"/>
      <w:marRight w:val="0"/>
      <w:marTop w:val="0"/>
      <w:marBottom w:val="0"/>
      <w:divBdr>
        <w:top w:val="none" w:sz="0" w:space="0" w:color="auto"/>
        <w:left w:val="none" w:sz="0" w:space="0" w:color="auto"/>
        <w:bottom w:val="none" w:sz="0" w:space="0" w:color="auto"/>
        <w:right w:val="none" w:sz="0" w:space="0" w:color="auto"/>
      </w:divBdr>
    </w:div>
    <w:div w:id="314528207">
      <w:bodyDiv w:val="1"/>
      <w:marLeft w:val="0"/>
      <w:marRight w:val="0"/>
      <w:marTop w:val="0"/>
      <w:marBottom w:val="0"/>
      <w:divBdr>
        <w:top w:val="none" w:sz="0" w:space="0" w:color="auto"/>
        <w:left w:val="none" w:sz="0" w:space="0" w:color="auto"/>
        <w:bottom w:val="none" w:sz="0" w:space="0" w:color="auto"/>
        <w:right w:val="none" w:sz="0" w:space="0" w:color="auto"/>
      </w:divBdr>
    </w:div>
    <w:div w:id="361520172">
      <w:bodyDiv w:val="1"/>
      <w:marLeft w:val="0"/>
      <w:marRight w:val="0"/>
      <w:marTop w:val="0"/>
      <w:marBottom w:val="0"/>
      <w:divBdr>
        <w:top w:val="none" w:sz="0" w:space="0" w:color="auto"/>
        <w:left w:val="none" w:sz="0" w:space="0" w:color="auto"/>
        <w:bottom w:val="none" w:sz="0" w:space="0" w:color="auto"/>
        <w:right w:val="none" w:sz="0" w:space="0" w:color="auto"/>
      </w:divBdr>
    </w:div>
    <w:div w:id="1176383404">
      <w:bodyDiv w:val="1"/>
      <w:marLeft w:val="0"/>
      <w:marRight w:val="0"/>
      <w:marTop w:val="0"/>
      <w:marBottom w:val="0"/>
      <w:divBdr>
        <w:top w:val="none" w:sz="0" w:space="0" w:color="auto"/>
        <w:left w:val="none" w:sz="0" w:space="0" w:color="auto"/>
        <w:bottom w:val="none" w:sz="0" w:space="0" w:color="auto"/>
        <w:right w:val="none" w:sz="0" w:space="0" w:color="auto"/>
      </w:divBdr>
    </w:div>
    <w:div w:id="1451976894">
      <w:bodyDiv w:val="1"/>
      <w:marLeft w:val="0"/>
      <w:marRight w:val="0"/>
      <w:marTop w:val="0"/>
      <w:marBottom w:val="0"/>
      <w:divBdr>
        <w:top w:val="none" w:sz="0" w:space="0" w:color="auto"/>
        <w:left w:val="none" w:sz="0" w:space="0" w:color="auto"/>
        <w:bottom w:val="none" w:sz="0" w:space="0" w:color="auto"/>
        <w:right w:val="none" w:sz="0" w:space="0" w:color="auto"/>
      </w:divBdr>
    </w:div>
    <w:div w:id="1964074617">
      <w:bodyDiv w:val="1"/>
      <w:marLeft w:val="0"/>
      <w:marRight w:val="0"/>
      <w:marTop w:val="0"/>
      <w:marBottom w:val="0"/>
      <w:divBdr>
        <w:top w:val="none" w:sz="0" w:space="0" w:color="auto"/>
        <w:left w:val="none" w:sz="0" w:space="0" w:color="auto"/>
        <w:bottom w:val="none" w:sz="0" w:space="0" w:color="auto"/>
        <w:right w:val="none" w:sz="0" w:space="0" w:color="auto"/>
      </w:divBdr>
    </w:div>
    <w:div w:id="209867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E2BD0-E5CD-4FE9-9804-BDA8BA2E6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1</Pages>
  <Words>4544</Words>
  <Characters>23178</Characters>
  <Application>Microsoft Office Word</Application>
  <DocSecurity>0</DocSecurity>
  <Lines>413</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2021-03-05T16:10:00Z</dcterms:created>
  <dcterms:modified xsi:type="dcterms:W3CDTF">2021-03-05T16:10:00Z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Category">
    <vt:lpwstr>COM/AA</vt:lpwstr>
  </property>
  <property fmtid="{D5CDD505-2E9C-101B-9397-08002B2CF9AE}" pid="5" name="Version">
    <vt:lpwstr>6.0.1.0</vt:lpwstr>
  </property>
  <property fmtid="{D5CDD505-2E9C-101B-9397-08002B2CF9AE}" pid="6" name="Created using">
    <vt:lpwstr>LW 6.0, Build 20171009</vt:lpwstr>
  </property>
  <property fmtid="{D5CDD505-2E9C-101B-9397-08002B2CF9AE}" pid="7" name="Part">
    <vt:lpwstr>1</vt:lpwstr>
  </property>
  <property fmtid="{D5CDD505-2E9C-101B-9397-08002B2CF9AE}" pid="8" name="Total parts">
    <vt:lpwstr>1</vt:lpwstr>
  </property>
  <property fmtid="{D5CDD505-2E9C-101B-9397-08002B2CF9AE}" pid="9" name="LWTemplateID">
    <vt:lpwstr>SJ-004</vt:lpwstr>
  </property>
  <property fmtid="{D5CDD505-2E9C-101B-9397-08002B2CF9AE}" pid="10" name="DQCStatus">
    <vt:lpwstr>Green (DQC version 03)</vt:lpwstr>
  </property>
</Properties>
</file>