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7CEE" w:rsidRPr="00A33695" w:rsidRDefault="003105C6" w:rsidP="00A33695">
      <w:pPr>
        <w:jc w:val="center"/>
        <w:rPr>
          <w:rFonts w:ascii="Times New Roman" w:hAnsi="Times New Roman"/>
          <w:sz w:val="28"/>
          <w:szCs w:val="28"/>
          <w:lang w:val="en-US"/>
        </w:rPr>
      </w:pPr>
      <w:r w:rsidRPr="00A33695">
        <w:rPr>
          <w:rFonts w:ascii="Times New Roman" w:hAnsi="Times New Roman"/>
          <w:sz w:val="28"/>
          <w:szCs w:val="28"/>
          <w:lang w:val="en-US"/>
        </w:rPr>
        <w:t>ANNEX II</w:t>
      </w:r>
    </w:p>
    <w:p w:rsidR="00C87CEE" w:rsidRPr="0017440D" w:rsidRDefault="005666F4" w:rsidP="00C87CEE">
      <w:pPr>
        <w:jc w:val="center"/>
        <w:rPr>
          <w:rFonts w:ascii="Times New Roman" w:hAnsi="Times New Roman"/>
          <w:b/>
          <w:sz w:val="24"/>
          <w:lang w:eastAsia="de-DE"/>
        </w:rPr>
      </w:pPr>
      <w:r>
        <w:rPr>
          <w:rFonts w:ascii="Times New Roman" w:hAnsi="Times New Roman"/>
          <w:b/>
          <w:sz w:val="24"/>
          <w:lang w:eastAsia="de-DE"/>
        </w:rPr>
        <w:t>REPORTING ON OWN FUNDS REQUIREMENTS</w:t>
      </w:r>
    </w:p>
    <w:p w:rsidR="003105C6" w:rsidRPr="00A33695" w:rsidRDefault="003105C6" w:rsidP="00094776">
      <w:pPr>
        <w:pStyle w:val="InstructionsText2"/>
      </w:pPr>
      <w:r w:rsidRPr="003105C6">
        <w:t>This Annex contains additional instructions for the tables (hereinafter “COREP”) included in Annex I of this Regulation. This Annex complements the instructions in format of references included in the t</w:t>
      </w:r>
      <w:r w:rsidRPr="003105C6">
        <w:t>a</w:t>
      </w:r>
      <w:r w:rsidRPr="003105C6">
        <w:t>bles in Annex I.</w:t>
      </w:r>
    </w:p>
    <w:p w:rsidR="00D64B66" w:rsidRPr="00A33695" w:rsidRDefault="003105C6" w:rsidP="00094776">
      <w:pPr>
        <w:pStyle w:val="InstructionsText2"/>
      </w:pPr>
      <w:r w:rsidRPr="00A33695">
        <w:t>Table of Contents</w:t>
      </w:r>
    </w:p>
    <w:p w:rsidR="00DE0962" w:rsidRPr="0017440D" w:rsidRDefault="00DE0962" w:rsidP="00331FE6">
      <w:pPr>
        <w:rPr>
          <w:rFonts w:ascii="Times New Roman" w:hAnsi="Times New Roman"/>
          <w:b/>
          <w:bCs/>
        </w:rPr>
      </w:pPr>
    </w:p>
    <w:p w:rsidR="003D431C" w:rsidRPr="0017440D" w:rsidRDefault="003D431C" w:rsidP="00EC5046">
      <w:pPr>
        <w:rPr>
          <w:rFonts w:ascii="Times New Roman" w:hAnsi="Times New Roman"/>
        </w:rPr>
      </w:pPr>
    </w:p>
    <w:p w:rsidR="00393539" w:rsidRPr="0017440D" w:rsidRDefault="003105C6" w:rsidP="00D64B66">
      <w:pPr>
        <w:pStyle w:val="berschrift2"/>
        <w:rPr>
          <w:rFonts w:ascii="Times New Roman" w:hAnsi="Times New Roman"/>
        </w:rPr>
      </w:pPr>
      <w:bookmarkStart w:id="0" w:name="_Toc264038394"/>
      <w:bookmarkStart w:id="1" w:name="_Toc330394117"/>
      <w:r w:rsidRPr="003105C6">
        <w:rPr>
          <w:rFonts w:ascii="Times New Roman" w:hAnsi="Times New Roman"/>
        </w:rPr>
        <w:t>PART I:</w:t>
      </w:r>
      <w:bookmarkEnd w:id="0"/>
      <w:r w:rsidRPr="003105C6">
        <w:rPr>
          <w:rFonts w:ascii="Times New Roman" w:hAnsi="Times New Roman"/>
        </w:rPr>
        <w:t xml:space="preserve"> GENERAL INSTRUCTIONS</w:t>
      </w:r>
      <w:bookmarkEnd w:id="1"/>
    </w:p>
    <w:p w:rsidR="00A801A9" w:rsidRPr="0017440D" w:rsidRDefault="00A801A9" w:rsidP="00EC5046">
      <w:pPr>
        <w:rPr>
          <w:rFonts w:ascii="Times New Roman" w:hAnsi="Times New Roman"/>
        </w:rPr>
      </w:pPr>
    </w:p>
    <w:p w:rsidR="003105C6" w:rsidRPr="003105C6" w:rsidRDefault="003105C6" w:rsidP="00020516">
      <w:pPr>
        <w:pStyle w:val="Instructionsberschrift2"/>
        <w:numPr>
          <w:ilvl w:val="0"/>
          <w:numId w:val="46"/>
        </w:numPr>
        <w:rPr>
          <w:rFonts w:ascii="Times New Roman" w:hAnsi="Times New Roman" w:cs="Times New Roman"/>
          <w:szCs w:val="20"/>
          <w:u w:val="none"/>
        </w:rPr>
      </w:pPr>
      <w:bookmarkStart w:id="2" w:name="_Toc330394118"/>
      <w:r w:rsidRPr="003105C6">
        <w:rPr>
          <w:rFonts w:ascii="Times New Roman" w:hAnsi="Times New Roman" w:cs="Times New Roman"/>
          <w:u w:val="none"/>
        </w:rPr>
        <w:t>Structure and conventions</w:t>
      </w:r>
      <w:bookmarkEnd w:id="2"/>
    </w:p>
    <w:p w:rsidR="003105C6" w:rsidRPr="003105C6" w:rsidRDefault="003105C6" w:rsidP="00020516">
      <w:pPr>
        <w:pStyle w:val="Instructionsberschrift2"/>
        <w:numPr>
          <w:ilvl w:val="1"/>
          <w:numId w:val="46"/>
        </w:numPr>
        <w:rPr>
          <w:rFonts w:ascii="Times New Roman" w:hAnsi="Times New Roman" w:cs="Times New Roman"/>
          <w:u w:val="none"/>
        </w:rPr>
      </w:pPr>
      <w:bookmarkStart w:id="3" w:name="_Toc330394119"/>
      <w:bookmarkStart w:id="4" w:name="_Toc264038399"/>
      <w:bookmarkStart w:id="5" w:name="_Toc294018834"/>
      <w:r w:rsidRPr="003105C6">
        <w:rPr>
          <w:rFonts w:ascii="Times New Roman" w:hAnsi="Times New Roman" w:cs="Times New Roman"/>
          <w:u w:val="none"/>
        </w:rPr>
        <w:t>Structure</w:t>
      </w:r>
      <w:bookmarkEnd w:id="3"/>
    </w:p>
    <w:p w:rsidR="00393539" w:rsidRPr="0017440D" w:rsidRDefault="003105C6" w:rsidP="00094776">
      <w:pPr>
        <w:pStyle w:val="InstructionsText2"/>
      </w:pPr>
      <w:r w:rsidRPr="003105C6">
        <w:t>Overall, the framework consists of five blocks of templates:</w:t>
      </w:r>
    </w:p>
    <w:p w:rsidR="00393539" w:rsidRPr="0017440D" w:rsidRDefault="003105C6" w:rsidP="00393539">
      <w:pPr>
        <w:ind w:left="720"/>
        <w:rPr>
          <w:rFonts w:ascii="Times New Roman" w:hAnsi="Times New Roman"/>
          <w:szCs w:val="20"/>
        </w:rPr>
      </w:pPr>
      <w:r w:rsidRPr="003105C6">
        <w:rPr>
          <w:rFonts w:ascii="Times New Roman" w:hAnsi="Times New Roman"/>
          <w:szCs w:val="20"/>
        </w:rPr>
        <w:t xml:space="preserve">1. Capital adequacy, an overview of regulatory capital; </w:t>
      </w:r>
      <w:proofErr w:type="gramStart"/>
      <w:r w:rsidRPr="003105C6">
        <w:rPr>
          <w:rFonts w:ascii="Times New Roman" w:hAnsi="Times New Roman"/>
          <w:szCs w:val="20"/>
        </w:rPr>
        <w:t>total</w:t>
      </w:r>
      <w:proofErr w:type="gramEnd"/>
      <w:r w:rsidRPr="003105C6">
        <w:rPr>
          <w:rFonts w:ascii="Times New Roman" w:hAnsi="Times New Roman"/>
          <w:szCs w:val="20"/>
        </w:rPr>
        <w:t xml:space="preserve"> risk exposure amount; </w:t>
      </w:r>
      <w:proofErr w:type="gramStart"/>
      <w:r w:rsidRPr="003105C6">
        <w:rPr>
          <w:rFonts w:ascii="Times New Roman" w:hAnsi="Times New Roman"/>
          <w:szCs w:val="20"/>
        </w:rPr>
        <w:t>and</w:t>
      </w:r>
      <w:proofErr w:type="gramEnd"/>
      <w:r w:rsidRPr="003105C6">
        <w:rPr>
          <w:rFonts w:ascii="Times New Roman" w:hAnsi="Times New Roman"/>
          <w:szCs w:val="20"/>
        </w:rPr>
        <w:t>, in the case of consolidated groups, an overview of the fulfilment of the solvency requirements by consolidated and individual entities;</w:t>
      </w:r>
    </w:p>
    <w:p w:rsidR="00393539" w:rsidRPr="0017440D" w:rsidRDefault="003105C6" w:rsidP="00393539">
      <w:pPr>
        <w:ind w:left="720"/>
        <w:rPr>
          <w:rFonts w:ascii="Times New Roman" w:hAnsi="Times New Roman"/>
          <w:szCs w:val="20"/>
        </w:rPr>
      </w:pPr>
      <w:r w:rsidRPr="003105C6">
        <w:rPr>
          <w:rFonts w:ascii="Times New Roman" w:hAnsi="Times New Roman"/>
          <w:szCs w:val="20"/>
        </w:rPr>
        <w:t>Information related to the application of different approaches for the assessment of Pillar I capital r</w:t>
      </w:r>
      <w:r w:rsidRPr="003105C6">
        <w:rPr>
          <w:rFonts w:ascii="Times New Roman" w:hAnsi="Times New Roman"/>
          <w:szCs w:val="20"/>
        </w:rPr>
        <w:t>e</w:t>
      </w:r>
      <w:r w:rsidRPr="003105C6">
        <w:rPr>
          <w:rFonts w:ascii="Times New Roman" w:hAnsi="Times New Roman"/>
          <w:szCs w:val="20"/>
        </w:rPr>
        <w:t>quirements for:</w:t>
      </w:r>
    </w:p>
    <w:p w:rsidR="00393539" w:rsidRPr="0017440D" w:rsidRDefault="003105C6" w:rsidP="00393539">
      <w:pPr>
        <w:ind w:left="720"/>
        <w:rPr>
          <w:rFonts w:ascii="Times New Roman" w:hAnsi="Times New Roman"/>
          <w:szCs w:val="20"/>
        </w:rPr>
      </w:pPr>
      <w:r w:rsidRPr="003105C6">
        <w:rPr>
          <w:rFonts w:ascii="Times New Roman" w:hAnsi="Times New Roman"/>
          <w:szCs w:val="20"/>
        </w:rPr>
        <w:t>2. Credit risk (including counterparty, dilution and settlement risks);</w:t>
      </w:r>
    </w:p>
    <w:p w:rsidR="00393539" w:rsidRPr="0017440D" w:rsidRDefault="003105C6" w:rsidP="00393539">
      <w:pPr>
        <w:ind w:left="720"/>
        <w:rPr>
          <w:rFonts w:ascii="Times New Roman" w:hAnsi="Times New Roman"/>
          <w:szCs w:val="20"/>
        </w:rPr>
      </w:pPr>
      <w:r w:rsidRPr="003105C6">
        <w:rPr>
          <w:rFonts w:ascii="Times New Roman" w:hAnsi="Times New Roman"/>
          <w:szCs w:val="20"/>
        </w:rPr>
        <w:t>3. Market risk (i.e. position risk in trading book, foreign exchange risk and commodities risk);</w:t>
      </w:r>
    </w:p>
    <w:p w:rsidR="00393539" w:rsidRPr="0017440D" w:rsidRDefault="003105C6" w:rsidP="00393539">
      <w:pPr>
        <w:ind w:left="720"/>
        <w:rPr>
          <w:rFonts w:ascii="Times New Roman" w:hAnsi="Times New Roman"/>
          <w:szCs w:val="20"/>
        </w:rPr>
      </w:pPr>
      <w:r w:rsidRPr="003105C6">
        <w:rPr>
          <w:rFonts w:ascii="Times New Roman" w:hAnsi="Times New Roman"/>
          <w:szCs w:val="20"/>
        </w:rPr>
        <w:t>4. Operational risk;</w:t>
      </w:r>
    </w:p>
    <w:p w:rsidR="003D56DE" w:rsidRPr="0017440D" w:rsidRDefault="003105C6" w:rsidP="00094776">
      <w:pPr>
        <w:pStyle w:val="InstructionsText2"/>
      </w:pPr>
      <w:r w:rsidRPr="003105C6">
        <w:t>For each template legal references are provided. Further detailed information regarding more general aspects of the reporting of each block of templates, instructions concerning specific positions as well as examples and validation rules are included in these Guidelines for implementation of the Common R</w:t>
      </w:r>
      <w:r w:rsidRPr="003105C6">
        <w:t>e</w:t>
      </w:r>
      <w:r w:rsidRPr="003105C6">
        <w:t>porting framework.</w:t>
      </w:r>
    </w:p>
    <w:p w:rsidR="003D56DE" w:rsidRPr="0017440D" w:rsidRDefault="003105C6" w:rsidP="00094776">
      <w:pPr>
        <w:pStyle w:val="InstructionsText2"/>
      </w:pPr>
      <w:r w:rsidRPr="003105C6">
        <w:t>Institutions report only those templates that are relevant depending on the approach used for determi</w:t>
      </w:r>
      <w:r w:rsidRPr="003105C6">
        <w:t>n</w:t>
      </w:r>
      <w:r w:rsidRPr="003105C6">
        <w:t>ing own funds requirements.</w:t>
      </w:r>
    </w:p>
    <w:p w:rsidR="003105C6" w:rsidRPr="003105C6" w:rsidRDefault="003105C6" w:rsidP="003105C6">
      <w:pPr>
        <w:pBdr>
          <w:top w:val="single" w:sz="4" w:space="1" w:color="auto"/>
          <w:left w:val="single" w:sz="4" w:space="4" w:color="auto"/>
          <w:bottom w:val="single" w:sz="4" w:space="1" w:color="auto"/>
          <w:right w:val="single" w:sz="4" w:space="4" w:color="auto"/>
        </w:pBdr>
        <w:ind w:left="720"/>
        <w:rPr>
          <w:rFonts w:ascii="Times New Roman" w:hAnsi="Times New Roman"/>
          <w:szCs w:val="20"/>
        </w:rPr>
      </w:pPr>
      <w:r w:rsidRPr="003105C6">
        <w:rPr>
          <w:rFonts w:ascii="Times New Roman" w:hAnsi="Times New Roman"/>
          <w:szCs w:val="20"/>
        </w:rPr>
        <w:t>Explanatory text for consultation purposes:</w:t>
      </w:r>
    </w:p>
    <w:p w:rsidR="003105C6" w:rsidRPr="003105C6" w:rsidRDefault="003105C6" w:rsidP="003105C6">
      <w:pPr>
        <w:pBdr>
          <w:top w:val="single" w:sz="4" w:space="1" w:color="auto"/>
          <w:left w:val="single" w:sz="4" w:space="4" w:color="auto"/>
          <w:bottom w:val="single" w:sz="4" w:space="1" w:color="auto"/>
          <w:right w:val="single" w:sz="4" w:space="4" w:color="auto"/>
        </w:pBdr>
        <w:ind w:left="720"/>
        <w:rPr>
          <w:rFonts w:ascii="Times New Roman" w:hAnsi="Times New Roman"/>
          <w:szCs w:val="20"/>
        </w:rPr>
      </w:pPr>
      <w:r w:rsidRPr="003105C6">
        <w:rPr>
          <w:rFonts w:ascii="Times New Roman" w:hAnsi="Times New Roman"/>
          <w:szCs w:val="20"/>
        </w:rPr>
        <w:t>E.g. in case an institutions holds securitisation positions and the institution calculates the risk-weighted exposure amounts under the IRB Approach according to Part 3 Title II chapter 5, section 3, subsection 4 of CRR, then only the templates CR SEC IRB and SEC Details shall be reported, but not CR SEC SA.</w:t>
      </w:r>
    </w:p>
    <w:p w:rsidR="003105C6" w:rsidRPr="003105C6" w:rsidRDefault="003105C6" w:rsidP="00020516">
      <w:pPr>
        <w:pStyle w:val="Instructionsberschrift2"/>
        <w:numPr>
          <w:ilvl w:val="1"/>
          <w:numId w:val="46"/>
        </w:numPr>
        <w:rPr>
          <w:rFonts w:ascii="Times New Roman" w:hAnsi="Times New Roman" w:cs="Times New Roman"/>
          <w:u w:val="none"/>
        </w:rPr>
      </w:pPr>
      <w:bookmarkStart w:id="6" w:name="_Toc330394120"/>
      <w:r w:rsidRPr="003105C6">
        <w:rPr>
          <w:rFonts w:ascii="Times New Roman" w:hAnsi="Times New Roman" w:cs="Times New Roman"/>
          <w:u w:val="none"/>
        </w:rPr>
        <w:t>Numbering convention</w:t>
      </w:r>
      <w:bookmarkEnd w:id="6"/>
    </w:p>
    <w:p w:rsidR="00393539" w:rsidRPr="0017440D" w:rsidRDefault="003105C6" w:rsidP="00094776">
      <w:pPr>
        <w:pStyle w:val="InstructionsText2"/>
      </w:pPr>
      <w:r w:rsidRPr="003105C6">
        <w:t>The document will follow the labelling convention set in the following table, when referring to the co</w:t>
      </w:r>
      <w:r w:rsidRPr="003105C6">
        <w:t>l</w:t>
      </w:r>
      <w:r w:rsidRPr="003105C6">
        <w:t>umns, rows and cells of the templates. These numerical codes are extensively used in the validation rules.</w:t>
      </w:r>
    </w:p>
    <w:p w:rsidR="00900C1D" w:rsidRPr="0017440D" w:rsidRDefault="003105C6" w:rsidP="00094776">
      <w:pPr>
        <w:pStyle w:val="InstructionsText2"/>
      </w:pPr>
      <w:r w:rsidRPr="003105C6">
        <w:t>The following general notation is followed in the instructions: {Template</w:t>
      </w:r>
      <w:proofErr w:type="gramStart"/>
      <w:r w:rsidRPr="003105C6">
        <w:t>;Row</w:t>
      </w:r>
      <w:proofErr w:type="gramEnd"/>
      <w:r w:rsidRPr="003105C6">
        <w:t>;Column}.</w:t>
      </w:r>
    </w:p>
    <w:p w:rsidR="00DB2DD0" w:rsidRPr="0017440D" w:rsidRDefault="003105C6" w:rsidP="00DB2DD0">
      <w:pPr>
        <w:pBdr>
          <w:top w:val="single" w:sz="4" w:space="1" w:color="auto"/>
          <w:left w:val="single" w:sz="4" w:space="4" w:color="auto"/>
          <w:bottom w:val="single" w:sz="4" w:space="1" w:color="auto"/>
          <w:right w:val="single" w:sz="4" w:space="4" w:color="auto"/>
        </w:pBdr>
        <w:ind w:left="720"/>
        <w:rPr>
          <w:rFonts w:ascii="Times New Roman" w:hAnsi="Times New Roman"/>
          <w:szCs w:val="20"/>
        </w:rPr>
      </w:pPr>
      <w:r w:rsidRPr="003105C6">
        <w:rPr>
          <w:rFonts w:ascii="Times New Roman" w:hAnsi="Times New Roman"/>
          <w:szCs w:val="20"/>
        </w:rPr>
        <w:t>Explanatory text for consultation purposes:</w:t>
      </w:r>
    </w:p>
    <w:p w:rsidR="003105C6" w:rsidRPr="003105C6" w:rsidRDefault="003105C6" w:rsidP="003105C6">
      <w:pPr>
        <w:pBdr>
          <w:top w:val="single" w:sz="4" w:space="1" w:color="auto"/>
          <w:left w:val="single" w:sz="4" w:space="4" w:color="auto"/>
          <w:bottom w:val="single" w:sz="4" w:space="1" w:color="auto"/>
          <w:right w:val="single" w:sz="4" w:space="4" w:color="auto"/>
        </w:pBdr>
        <w:ind w:left="720"/>
        <w:rPr>
          <w:rFonts w:ascii="Times New Roman" w:hAnsi="Times New Roman"/>
          <w:szCs w:val="20"/>
        </w:rPr>
      </w:pPr>
      <w:r w:rsidRPr="003105C6">
        <w:rPr>
          <w:rFonts w:ascii="Times New Roman" w:hAnsi="Times New Roman"/>
          <w:szCs w:val="20"/>
        </w:rPr>
        <w:t>For example: {CRSA</w:t>
      </w:r>
      <w:proofErr w:type="gramStart"/>
      <w:r w:rsidRPr="003105C6">
        <w:rPr>
          <w:rFonts w:ascii="Times New Roman" w:hAnsi="Times New Roman"/>
          <w:szCs w:val="20"/>
        </w:rPr>
        <w:t>;010</w:t>
      </w:r>
      <w:proofErr w:type="gramEnd"/>
      <w:r w:rsidRPr="003105C6">
        <w:rPr>
          <w:rFonts w:ascii="Times New Roman" w:hAnsi="Times New Roman"/>
          <w:szCs w:val="20"/>
        </w:rPr>
        <w:t>;020} refers to the data point row 010, column 020 of CRSA template.</w:t>
      </w:r>
    </w:p>
    <w:p w:rsidR="002E4EB7" w:rsidRPr="0017440D" w:rsidRDefault="003105C6" w:rsidP="00094776">
      <w:pPr>
        <w:pStyle w:val="InstructionsText2"/>
        <w:rPr>
          <w:rFonts w:eastAsia="Arial"/>
        </w:rPr>
      </w:pPr>
      <w:r w:rsidRPr="003105C6">
        <w:rPr>
          <w:rFonts w:eastAsia="Arial"/>
        </w:rPr>
        <w:lastRenderedPageBreak/>
        <w:t>In the case of validations inside a template, in which only data points of that template is used, notations will not refer to a template: {Row</w:t>
      </w:r>
      <w:proofErr w:type="gramStart"/>
      <w:r w:rsidRPr="003105C6">
        <w:rPr>
          <w:rFonts w:eastAsia="Arial"/>
        </w:rPr>
        <w:t>;Column</w:t>
      </w:r>
      <w:proofErr w:type="gramEnd"/>
      <w:r w:rsidRPr="003105C6">
        <w:rPr>
          <w:rFonts w:eastAsia="Arial"/>
        </w:rPr>
        <w:t>}.</w:t>
      </w:r>
    </w:p>
    <w:p w:rsidR="002E4EB7" w:rsidRPr="0017440D" w:rsidRDefault="003105C6" w:rsidP="00094776">
      <w:pPr>
        <w:pStyle w:val="InstructionsText2"/>
        <w:rPr>
          <w:rFonts w:eastAsia="Arial"/>
        </w:rPr>
      </w:pPr>
      <w:r w:rsidRPr="003105C6">
        <w:rPr>
          <w:rFonts w:eastAsia="Arial"/>
        </w:rPr>
        <w:t>In the case of templates with only one column, only rows will be referred to.</w:t>
      </w:r>
      <w:r w:rsidRPr="003105C6">
        <w:t xml:space="preserve"> {Template;Row}</w:t>
      </w:r>
    </w:p>
    <w:p w:rsidR="00DB2DD0" w:rsidRPr="0017440D" w:rsidRDefault="003105C6" w:rsidP="00DB2DD0">
      <w:pPr>
        <w:pBdr>
          <w:top w:val="single" w:sz="4" w:space="1" w:color="auto"/>
          <w:left w:val="single" w:sz="4" w:space="4" w:color="auto"/>
          <w:bottom w:val="single" w:sz="4" w:space="1" w:color="auto"/>
          <w:right w:val="single" w:sz="4" w:space="4" w:color="auto"/>
        </w:pBdr>
        <w:ind w:left="720"/>
        <w:rPr>
          <w:rFonts w:ascii="Times New Roman" w:hAnsi="Times New Roman"/>
          <w:szCs w:val="20"/>
        </w:rPr>
      </w:pPr>
      <w:r w:rsidRPr="003105C6">
        <w:rPr>
          <w:rFonts w:ascii="Times New Roman" w:hAnsi="Times New Roman"/>
          <w:szCs w:val="20"/>
        </w:rPr>
        <w:t>Explanatory text for consultation purposes:</w:t>
      </w:r>
    </w:p>
    <w:p w:rsidR="003105C6" w:rsidRPr="003105C6" w:rsidRDefault="003105C6" w:rsidP="003105C6">
      <w:pPr>
        <w:pBdr>
          <w:top w:val="single" w:sz="4" w:space="1" w:color="auto"/>
          <w:left w:val="single" w:sz="4" w:space="4" w:color="auto"/>
          <w:bottom w:val="single" w:sz="4" w:space="1" w:color="auto"/>
          <w:right w:val="single" w:sz="4" w:space="4" w:color="auto"/>
        </w:pBdr>
        <w:ind w:left="720"/>
        <w:rPr>
          <w:rFonts w:ascii="Times New Roman" w:hAnsi="Times New Roman"/>
          <w:szCs w:val="20"/>
        </w:rPr>
      </w:pPr>
      <w:r w:rsidRPr="003105C6">
        <w:rPr>
          <w:rFonts w:ascii="Times New Roman" w:hAnsi="Times New Roman"/>
          <w:szCs w:val="20"/>
        </w:rPr>
        <w:t>For example: {CA2</w:t>
      </w:r>
      <w:proofErr w:type="gramStart"/>
      <w:r w:rsidRPr="003105C6">
        <w:rPr>
          <w:rFonts w:ascii="Times New Roman" w:hAnsi="Times New Roman"/>
          <w:szCs w:val="20"/>
        </w:rPr>
        <w:t>;010</w:t>
      </w:r>
      <w:proofErr w:type="gramEnd"/>
      <w:r w:rsidRPr="003105C6">
        <w:rPr>
          <w:rFonts w:ascii="Times New Roman" w:hAnsi="Times New Roman"/>
          <w:szCs w:val="20"/>
        </w:rPr>
        <w:t>} refers to the row 010 of CA2.</w:t>
      </w:r>
    </w:p>
    <w:p w:rsidR="00727756" w:rsidRPr="0017440D" w:rsidRDefault="003105C6" w:rsidP="00094776">
      <w:pPr>
        <w:pStyle w:val="InstructionsText2"/>
        <w:rPr>
          <w:rFonts w:eastAsia="Arial"/>
        </w:rPr>
      </w:pPr>
      <w:r w:rsidRPr="003105C6">
        <w:rPr>
          <w:rFonts w:eastAsia="Arial"/>
        </w:rPr>
        <w:t>An asterisk sign will be used to express that the validation is done for the rows or columns specified b</w:t>
      </w:r>
      <w:r w:rsidRPr="003105C6">
        <w:rPr>
          <w:rFonts w:eastAsia="Arial"/>
        </w:rPr>
        <w:t>e</w:t>
      </w:r>
      <w:r w:rsidRPr="003105C6">
        <w:rPr>
          <w:rFonts w:eastAsia="Arial"/>
        </w:rPr>
        <w:t>fore.</w:t>
      </w:r>
    </w:p>
    <w:p w:rsidR="00DB2DD0" w:rsidRPr="0017440D" w:rsidRDefault="003105C6" w:rsidP="00DB2DD0">
      <w:pPr>
        <w:pBdr>
          <w:top w:val="single" w:sz="4" w:space="1" w:color="auto"/>
          <w:left w:val="single" w:sz="4" w:space="4" w:color="auto"/>
          <w:bottom w:val="single" w:sz="4" w:space="1" w:color="auto"/>
          <w:right w:val="single" w:sz="4" w:space="4" w:color="auto"/>
        </w:pBdr>
        <w:ind w:left="720"/>
        <w:rPr>
          <w:rFonts w:ascii="Times New Roman" w:hAnsi="Times New Roman"/>
          <w:szCs w:val="20"/>
        </w:rPr>
      </w:pPr>
      <w:r w:rsidRPr="003105C6">
        <w:rPr>
          <w:rFonts w:ascii="Times New Roman" w:hAnsi="Times New Roman"/>
          <w:szCs w:val="20"/>
        </w:rPr>
        <w:t>Explanatory text for consultation purposes:</w:t>
      </w:r>
    </w:p>
    <w:p w:rsidR="003105C6" w:rsidRPr="003105C6" w:rsidRDefault="003105C6" w:rsidP="003105C6">
      <w:pPr>
        <w:pBdr>
          <w:top w:val="single" w:sz="4" w:space="1" w:color="auto"/>
          <w:left w:val="single" w:sz="4" w:space="4" w:color="auto"/>
          <w:bottom w:val="single" w:sz="4" w:space="1" w:color="auto"/>
          <w:right w:val="single" w:sz="4" w:space="4" w:color="auto"/>
        </w:pBdr>
        <w:ind w:left="720"/>
        <w:rPr>
          <w:rFonts w:ascii="Times New Roman" w:hAnsi="Times New Roman"/>
          <w:szCs w:val="20"/>
        </w:rPr>
      </w:pPr>
      <w:r w:rsidRPr="003105C6">
        <w:rPr>
          <w:rFonts w:ascii="Times New Roman" w:hAnsi="Times New Roman"/>
          <w:szCs w:val="20"/>
        </w:rPr>
        <w:t>For example: “For columns 010 to 050, {CRSA</w:t>
      </w:r>
      <w:proofErr w:type="gramStart"/>
      <w:r w:rsidRPr="003105C6">
        <w:rPr>
          <w:rFonts w:ascii="Times New Roman" w:hAnsi="Times New Roman"/>
          <w:szCs w:val="20"/>
        </w:rPr>
        <w:t>;010</w:t>
      </w:r>
      <w:proofErr w:type="gramEnd"/>
      <w:r w:rsidRPr="003105C6">
        <w:rPr>
          <w:rFonts w:ascii="Times New Roman" w:hAnsi="Times New Roman"/>
          <w:szCs w:val="20"/>
        </w:rPr>
        <w:t>;*}”means row 010 of CRSA, for the columns 010 to 050.</w:t>
      </w:r>
    </w:p>
    <w:p w:rsidR="003105C6" w:rsidRPr="003105C6" w:rsidRDefault="003105C6" w:rsidP="00020516">
      <w:pPr>
        <w:pStyle w:val="Instructionsberschrift2"/>
        <w:numPr>
          <w:ilvl w:val="1"/>
          <w:numId w:val="46"/>
        </w:numPr>
        <w:rPr>
          <w:rFonts w:ascii="Times New Roman" w:hAnsi="Times New Roman" w:cs="Times New Roman"/>
          <w:u w:val="none"/>
        </w:rPr>
      </w:pPr>
      <w:bookmarkStart w:id="7" w:name="_Toc330394121"/>
      <w:r w:rsidRPr="003105C6">
        <w:rPr>
          <w:rFonts w:ascii="Times New Roman" w:hAnsi="Times New Roman" w:cs="Times New Roman"/>
          <w:u w:val="none"/>
        </w:rPr>
        <w:t>Sign convention</w:t>
      </w:r>
      <w:bookmarkEnd w:id="4"/>
      <w:bookmarkEnd w:id="5"/>
      <w:bookmarkEnd w:id="7"/>
    </w:p>
    <w:p w:rsidR="00393539" w:rsidRPr="0017440D" w:rsidRDefault="003105C6" w:rsidP="00094776">
      <w:pPr>
        <w:pStyle w:val="InstructionsText2"/>
      </w:pPr>
      <w:r w:rsidRPr="003105C6">
        <w:t>Any amount that increases the own funds or the capital requirements will be reported as a positive fi</w:t>
      </w:r>
      <w:r w:rsidRPr="003105C6">
        <w:t>g</w:t>
      </w:r>
      <w:r w:rsidRPr="003105C6">
        <w:t xml:space="preserve">ure. On the contrary, any amount that reduces the total </w:t>
      </w:r>
      <w:proofErr w:type="gramStart"/>
      <w:r w:rsidRPr="003105C6">
        <w:t>own</w:t>
      </w:r>
      <w:proofErr w:type="gramEnd"/>
      <w:r w:rsidRPr="003105C6">
        <w:t xml:space="preserve"> funds or the capital requirements will be r</w:t>
      </w:r>
      <w:r w:rsidRPr="003105C6">
        <w:t>e</w:t>
      </w:r>
      <w:r w:rsidRPr="003105C6">
        <w:t>ported as a negative figure. Where there is a negative sign (-) preceding the label of an item no positive figure is expected to be reported for that item.</w:t>
      </w:r>
    </w:p>
    <w:p w:rsidR="00A801A9" w:rsidRPr="0017440D" w:rsidRDefault="00A801A9" w:rsidP="00005FFC">
      <w:pPr>
        <w:rPr>
          <w:rFonts w:ascii="Times New Roman" w:hAnsi="Times New Roman"/>
        </w:rPr>
        <w:sectPr w:rsidR="00A801A9" w:rsidRPr="0017440D" w:rsidSect="00A801A9">
          <w:footerReference w:type="default" r:id="rId8"/>
          <w:endnotePr>
            <w:numFmt w:val="decimal"/>
          </w:endnotePr>
          <w:pgSz w:w="11906" w:h="16838"/>
          <w:pgMar w:top="1417" w:right="1417" w:bottom="1134" w:left="1417" w:header="708" w:footer="708" w:gutter="0"/>
          <w:cols w:space="708"/>
          <w:docGrid w:linePitch="360"/>
        </w:sectPr>
      </w:pPr>
      <w:bookmarkStart w:id="8" w:name="_Toc264033192"/>
      <w:bookmarkEnd w:id="8"/>
    </w:p>
    <w:p w:rsidR="00393539" w:rsidRPr="0017440D" w:rsidRDefault="00393539" w:rsidP="00005FFC">
      <w:pPr>
        <w:rPr>
          <w:rFonts w:ascii="Times New Roman" w:hAnsi="Times New Roman"/>
        </w:rPr>
      </w:pPr>
    </w:p>
    <w:p w:rsidR="00A801A9" w:rsidRPr="0017440D" w:rsidRDefault="003105C6" w:rsidP="00D64B66">
      <w:pPr>
        <w:pStyle w:val="berschrift2"/>
        <w:rPr>
          <w:rFonts w:ascii="Times New Roman" w:hAnsi="Times New Roman"/>
        </w:rPr>
      </w:pPr>
      <w:bookmarkStart w:id="9" w:name="_Toc330394122"/>
      <w:r w:rsidRPr="003105C6">
        <w:rPr>
          <w:rFonts w:ascii="Times New Roman" w:hAnsi="Times New Roman"/>
        </w:rPr>
        <w:t>PART II: TEMPLATE RELATED INSTRUCTIONS</w:t>
      </w:r>
      <w:bookmarkEnd w:id="9"/>
    </w:p>
    <w:p w:rsidR="00D946DB" w:rsidRPr="0017440D" w:rsidRDefault="00D946DB" w:rsidP="00D946DB">
      <w:pPr>
        <w:rPr>
          <w:rFonts w:ascii="Times New Roman" w:hAnsi="Times New Roman"/>
        </w:rPr>
      </w:pPr>
    </w:p>
    <w:p w:rsidR="00D946DB" w:rsidRPr="0017440D" w:rsidRDefault="00D946DB" w:rsidP="00D946DB">
      <w:pPr>
        <w:spacing w:after="0"/>
        <w:rPr>
          <w:rFonts w:ascii="Times New Roman" w:hAnsi="Times New Roman"/>
          <w:szCs w:val="20"/>
        </w:rPr>
      </w:pPr>
    </w:p>
    <w:p w:rsidR="00D946DB" w:rsidRPr="0017440D" w:rsidRDefault="00D946DB" w:rsidP="00D946DB">
      <w:pPr>
        <w:spacing w:after="0"/>
        <w:rPr>
          <w:rFonts w:ascii="Times New Roman" w:hAnsi="Times New Roman"/>
          <w:szCs w:val="20"/>
        </w:rPr>
      </w:pPr>
    </w:p>
    <w:p w:rsidR="00222CD3" w:rsidRDefault="00222CD3" w:rsidP="00D946DB">
      <w:pPr>
        <w:spacing w:after="0"/>
        <w:rPr>
          <w:rFonts w:ascii="Times New Roman" w:hAnsi="Times New Roman"/>
          <w:szCs w:val="20"/>
        </w:rPr>
      </w:pPr>
    </w:p>
    <w:p w:rsidR="00561E90" w:rsidRPr="003105C6" w:rsidRDefault="00222CD3" w:rsidP="00561E90">
      <w:pPr>
        <w:pStyle w:val="Instructionsberschrift2"/>
        <w:numPr>
          <w:ilvl w:val="1"/>
          <w:numId w:val="45"/>
        </w:numPr>
        <w:rPr>
          <w:rFonts w:ascii="Times New Roman" w:hAnsi="Times New Roman" w:cs="Times New Roman"/>
        </w:rPr>
      </w:pPr>
      <w:r>
        <w:rPr>
          <w:rFonts w:ascii="Times New Roman" w:hAnsi="Times New Roman"/>
          <w:szCs w:val="20"/>
        </w:rPr>
        <w:br w:type="page"/>
      </w:r>
      <w:bookmarkStart w:id="10" w:name="_Toc295829919"/>
      <w:bookmarkStart w:id="11" w:name="_Toc310415031"/>
      <w:r w:rsidR="00561E90" w:rsidRPr="003105C6">
        <w:rPr>
          <w:rFonts w:ascii="Times New Roman" w:hAnsi="Times New Roman" w:cs="Times New Roman"/>
        </w:rPr>
        <w:lastRenderedPageBreak/>
        <w:t>CR EQU IRB – Equity exposures under the internal ratings based approach</w:t>
      </w:r>
      <w:bookmarkEnd w:id="10"/>
      <w:bookmarkEnd w:id="11"/>
    </w:p>
    <w:p w:rsidR="00561E90" w:rsidRPr="003105C6" w:rsidRDefault="00561E90" w:rsidP="00561E90">
      <w:pPr>
        <w:pStyle w:val="Instructionsberschrift2"/>
        <w:numPr>
          <w:ilvl w:val="2"/>
          <w:numId w:val="45"/>
        </w:numPr>
        <w:rPr>
          <w:rFonts w:ascii="Times New Roman" w:hAnsi="Times New Roman" w:cs="Times New Roman"/>
        </w:rPr>
      </w:pPr>
      <w:bookmarkStart w:id="12" w:name="_Toc239157382"/>
      <w:bookmarkStart w:id="13" w:name="_Toc295829920"/>
      <w:bookmarkStart w:id="14" w:name="_Toc310415032"/>
      <w:r w:rsidRPr="003105C6">
        <w:rPr>
          <w:rFonts w:ascii="Times New Roman" w:hAnsi="Times New Roman" w:cs="Times New Roman"/>
        </w:rPr>
        <w:t>General remarks</w:t>
      </w:r>
      <w:bookmarkEnd w:id="12"/>
      <w:bookmarkEnd w:id="13"/>
      <w:bookmarkEnd w:id="14"/>
    </w:p>
    <w:p w:rsidR="00561E90" w:rsidRPr="0017440D" w:rsidRDefault="00561E90" w:rsidP="00561E90">
      <w:pPr>
        <w:pStyle w:val="InstructionsText2"/>
      </w:pPr>
      <w:r w:rsidRPr="003105C6">
        <w:t>The CR EQU IRB template provides information on the calculation of risk weighted exposure amounts for credit risk (Article 87(3) point (a) of CRR) according to the IRB method (Part Three, Title II, Cha</w:t>
      </w:r>
      <w:r w:rsidRPr="003105C6">
        <w:t>p</w:t>
      </w:r>
      <w:r w:rsidRPr="003105C6">
        <w:t>ter 3 of CRR) for equity exposures referred to in Article 142(2) point (e) of CRR.</w:t>
      </w:r>
    </w:p>
    <w:p w:rsidR="00561E90" w:rsidRPr="0017440D" w:rsidRDefault="00561E90" w:rsidP="00561E90">
      <w:pPr>
        <w:pStyle w:val="InstructionsText2"/>
      </w:pPr>
      <w:r w:rsidRPr="003105C6">
        <w:t>According to Article 142(6) of CRR, the following exposures shall be assigned to the  equity exposure class:</w:t>
      </w:r>
    </w:p>
    <w:p w:rsidR="00561E90" w:rsidRPr="003105C6" w:rsidRDefault="00561E90" w:rsidP="00561E90">
      <w:pPr>
        <w:pStyle w:val="InstructionsText"/>
        <w:ind w:left="709"/>
      </w:pPr>
      <w:proofErr w:type="gramStart"/>
      <w:r w:rsidRPr="003105C6">
        <w:t>non-debt</w:t>
      </w:r>
      <w:proofErr w:type="gramEnd"/>
      <w:r w:rsidRPr="003105C6">
        <w:t xml:space="preserve"> exposures conveying a subordinated, residual claim on the assets or income of the issuer; or</w:t>
      </w:r>
    </w:p>
    <w:p w:rsidR="00561E90" w:rsidRDefault="00561E90" w:rsidP="00561E90">
      <w:pPr>
        <w:pStyle w:val="InstructionsText"/>
        <w:ind w:left="709"/>
      </w:pPr>
      <w:proofErr w:type="gramStart"/>
      <w:r w:rsidRPr="003105C6">
        <w:t>debt</w:t>
      </w:r>
      <w:proofErr w:type="gramEnd"/>
      <w:r w:rsidRPr="003105C6">
        <w:t xml:space="preserve"> exposures and other securities, partnerships, derivatives, or other vehicles, the economic substance of which is similar to the exposures specified in point (a).</w:t>
      </w:r>
    </w:p>
    <w:p w:rsidR="00561E90" w:rsidRPr="003105C6" w:rsidRDefault="00561E90" w:rsidP="00561E90">
      <w:pPr>
        <w:pStyle w:val="InstructionsText"/>
        <w:ind w:left="709"/>
      </w:pPr>
    </w:p>
    <w:p w:rsidR="00561E90" w:rsidRPr="0017440D" w:rsidRDefault="00561E90" w:rsidP="00561E90">
      <w:pPr>
        <w:pStyle w:val="InstructionsText2"/>
      </w:pPr>
      <w:r w:rsidRPr="003105C6">
        <w:t>Collective investment undertakings treated according to the simple risk weight approach as referred to in Article 147 of CRR shall also be reported in the CR EQU IRB template.</w:t>
      </w:r>
    </w:p>
    <w:p w:rsidR="00561E90" w:rsidRPr="0017440D" w:rsidRDefault="00561E90" w:rsidP="00561E90">
      <w:pPr>
        <w:pStyle w:val="InstructionsText2"/>
      </w:pPr>
      <w:r w:rsidRPr="003105C6">
        <w:t xml:space="preserve">In accordance with Article 146(1) of CRR, institutions shall provide the CR EQU IRB template only when applying one of the three approaches referred to in Article 150 of CRR: </w:t>
      </w:r>
    </w:p>
    <w:p w:rsidR="00561E90" w:rsidRPr="003105C6" w:rsidRDefault="00561E90" w:rsidP="00561E90">
      <w:pPr>
        <w:pStyle w:val="InstructionsText"/>
        <w:ind w:left="709"/>
      </w:pPr>
      <w:proofErr w:type="gramStart"/>
      <w:r w:rsidRPr="003105C6">
        <w:t>the</w:t>
      </w:r>
      <w:proofErr w:type="gramEnd"/>
      <w:r w:rsidRPr="003105C6">
        <w:t xml:space="preserve"> Simple Risk Weight approach, </w:t>
      </w:r>
    </w:p>
    <w:p w:rsidR="00561E90" w:rsidRPr="003105C6" w:rsidRDefault="00561E90" w:rsidP="00561E90">
      <w:pPr>
        <w:pStyle w:val="InstructionsText"/>
        <w:ind w:left="709"/>
      </w:pPr>
      <w:proofErr w:type="gramStart"/>
      <w:r w:rsidRPr="003105C6">
        <w:t>the</w:t>
      </w:r>
      <w:proofErr w:type="gramEnd"/>
      <w:r w:rsidRPr="003105C6">
        <w:t xml:space="preserve"> PD/LGD approach, or </w:t>
      </w:r>
    </w:p>
    <w:p w:rsidR="00561E90" w:rsidRDefault="00561E90" w:rsidP="00561E90">
      <w:pPr>
        <w:pStyle w:val="InstructionsText"/>
        <w:ind w:left="709"/>
      </w:pPr>
      <w:proofErr w:type="gramStart"/>
      <w:r w:rsidRPr="003105C6">
        <w:t>the</w:t>
      </w:r>
      <w:proofErr w:type="gramEnd"/>
      <w:r w:rsidRPr="003105C6">
        <w:t xml:space="preserve"> Internal Models approach.</w:t>
      </w:r>
    </w:p>
    <w:p w:rsidR="00561E90" w:rsidRPr="003105C6" w:rsidRDefault="00561E90" w:rsidP="00561E90">
      <w:pPr>
        <w:pStyle w:val="InstructionsText"/>
        <w:ind w:left="709"/>
      </w:pPr>
    </w:p>
    <w:p w:rsidR="00561E90" w:rsidRPr="0017440D" w:rsidRDefault="00561E90" w:rsidP="00561E90">
      <w:pPr>
        <w:pStyle w:val="InstructionsText2"/>
      </w:pPr>
      <w:r w:rsidRPr="003105C6">
        <w:t>The following equity claims shall not be reported in the CR EQU IRB template:</w:t>
      </w:r>
    </w:p>
    <w:p w:rsidR="00561E90" w:rsidRPr="003105C6" w:rsidRDefault="00561E90" w:rsidP="00561E90">
      <w:pPr>
        <w:pStyle w:val="InstructionsText"/>
        <w:ind w:left="709"/>
      </w:pPr>
      <w:r w:rsidRPr="003105C6">
        <w:t xml:space="preserve">Equity exposures in the trading book (in case where institutions are not exempted from calculating own funds requirements for trading book positions according to Article 89 of CRR). </w:t>
      </w:r>
    </w:p>
    <w:p w:rsidR="00561E90" w:rsidRPr="003105C6" w:rsidRDefault="00561E90" w:rsidP="00561E90">
      <w:pPr>
        <w:pStyle w:val="InstructionsText"/>
        <w:ind w:left="709"/>
      </w:pPr>
      <w:r w:rsidRPr="003105C6">
        <w:t>Equity exposures subject to the partial use of the standardised approach (Article 145 of CRR), inclu</w:t>
      </w:r>
      <w:r w:rsidRPr="003105C6">
        <w:t>d</w:t>
      </w:r>
      <w:r w:rsidRPr="003105C6">
        <w:t>ing:</w:t>
      </w:r>
    </w:p>
    <w:p w:rsidR="00561E90" w:rsidRPr="003105C6" w:rsidRDefault="00561E90" w:rsidP="00561E90">
      <w:pPr>
        <w:pStyle w:val="InstructionsText"/>
        <w:ind w:left="709"/>
      </w:pPr>
      <w:r w:rsidRPr="003105C6">
        <w:t>Grandfathered equity exposures according to Article 472(1) of CRR,</w:t>
      </w:r>
    </w:p>
    <w:p w:rsidR="00561E90" w:rsidRPr="003105C6" w:rsidRDefault="00561E90" w:rsidP="00561E90">
      <w:pPr>
        <w:pStyle w:val="InstructionsText"/>
        <w:ind w:left="709"/>
      </w:pPr>
      <w:r w:rsidRPr="003105C6">
        <w:t>Equity exposures to entities whose credit obligations are assigned a 0% risk weight under the Standar</w:t>
      </w:r>
      <w:r w:rsidRPr="003105C6">
        <w:t>d</w:t>
      </w:r>
      <w:r w:rsidRPr="003105C6">
        <w:t>ised Approach, including those publicly sponsored entities where a 0% risk weight can be applied (Art</w:t>
      </w:r>
      <w:r w:rsidRPr="003105C6">
        <w:t>i</w:t>
      </w:r>
      <w:r w:rsidRPr="003105C6">
        <w:t>cle 145(1) point (g) of CRR),</w:t>
      </w:r>
    </w:p>
    <w:p w:rsidR="00561E90" w:rsidRPr="003105C6" w:rsidRDefault="00561E90" w:rsidP="00561E90">
      <w:pPr>
        <w:pStyle w:val="InstructionsText"/>
        <w:ind w:left="709"/>
      </w:pPr>
      <w:r w:rsidRPr="003105C6">
        <w:t>Equity exposures incurred under legislated programmes to promote specified sectors of the economy that provide significant subsidies for the investment to the institution and involve some form of go</w:t>
      </w:r>
      <w:r w:rsidRPr="003105C6">
        <w:t>v</w:t>
      </w:r>
      <w:r w:rsidRPr="003105C6">
        <w:t>ernment oversight and restrictions on the equity investments (Article 145(1) point (h) of CRR).</w:t>
      </w:r>
    </w:p>
    <w:p w:rsidR="00561E90" w:rsidRDefault="00561E90" w:rsidP="00561E90">
      <w:pPr>
        <w:pStyle w:val="InstructionsText"/>
        <w:ind w:left="709"/>
      </w:pPr>
      <w:r w:rsidRPr="003105C6">
        <w:t>Equity exposures to ancillary services undertakings whose risk weighted exposure amounts may be ca</w:t>
      </w:r>
      <w:r w:rsidRPr="003105C6">
        <w:t>l</w:t>
      </w:r>
      <w:r w:rsidRPr="003105C6">
        <w:t xml:space="preserve">culated according to the treatment of “other non credit-obligation assets” (in accordance with Article 150(1) of CRR). </w:t>
      </w:r>
    </w:p>
    <w:p w:rsidR="00561E90" w:rsidRPr="003105C6" w:rsidRDefault="00561E90" w:rsidP="00561E90">
      <w:pPr>
        <w:pStyle w:val="InstructionsText"/>
        <w:ind w:left="709"/>
      </w:pPr>
      <w:r>
        <w:t>Equity claims deducted from own funds in accordance with Articles 43 and 45 of the CRR.</w:t>
      </w:r>
    </w:p>
    <w:p w:rsidR="00561E90" w:rsidRPr="003105C6" w:rsidRDefault="00561E90" w:rsidP="00561E90">
      <w:pPr>
        <w:pStyle w:val="Instructionsberschrift2"/>
        <w:numPr>
          <w:ilvl w:val="2"/>
          <w:numId w:val="45"/>
        </w:numPr>
        <w:rPr>
          <w:rFonts w:ascii="Times New Roman" w:hAnsi="Times New Roman" w:cs="Times New Roman"/>
        </w:rPr>
      </w:pPr>
      <w:bookmarkStart w:id="15" w:name="_Toc295829921"/>
      <w:bookmarkStart w:id="16" w:name="_Toc310415033"/>
      <w:r w:rsidRPr="003105C6">
        <w:rPr>
          <w:rFonts w:ascii="Times New Roman" w:hAnsi="Times New Roman" w:cs="Times New Roman"/>
        </w:rPr>
        <w:t>Instructions concerning specific positions</w:t>
      </w:r>
      <w:bookmarkEnd w:id="15"/>
      <w:bookmarkEnd w:id="16"/>
    </w:p>
    <w:p w:rsidR="00561E90" w:rsidRPr="0017440D" w:rsidRDefault="00561E90" w:rsidP="00561E90">
      <w:pPr>
        <w:rPr>
          <w:rFonts w:ascii="Times New Roman" w:hAnsi="Times New Roman"/>
        </w:rPr>
      </w:pPr>
      <w:r w:rsidRPr="003105C6">
        <w:rPr>
          <w:rFonts w:ascii="Times New Roman" w:hAnsi="Times New Roman"/>
        </w:rPr>
        <w:t>Instructions by columns</w:t>
      </w:r>
    </w:p>
    <w:tbl>
      <w:tblPr>
        <w:tblW w:w="0" w:type="auto"/>
        <w:tblLook w:val="01E0"/>
      </w:tblPr>
      <w:tblGrid>
        <w:gridCol w:w="852"/>
        <w:gridCol w:w="8004"/>
      </w:tblGrid>
      <w:tr w:rsidR="00561E90" w:rsidRPr="0017440D" w:rsidTr="001500D4">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rsidR="00561E90" w:rsidRPr="0017440D" w:rsidRDefault="00561E90" w:rsidP="00863D03">
            <w:pPr>
              <w:spacing w:beforeLines="60" w:afterLines="60"/>
              <w:rPr>
                <w:rStyle w:val="InstructionsTabelleText"/>
                <w:rFonts w:ascii="Times New Roman" w:hAnsi="Times New Roman"/>
                <w:b/>
              </w:rPr>
            </w:pPr>
            <w:r w:rsidRPr="003105C6">
              <w:rPr>
                <w:rStyle w:val="InstructionsTabelleText"/>
                <w:rFonts w:ascii="Times New Roman" w:hAnsi="Times New Roman"/>
                <w:b/>
              </w:rPr>
              <w:t>Columns</w:t>
            </w:r>
          </w:p>
        </w:tc>
      </w:tr>
      <w:tr w:rsidR="00561E90" w:rsidRPr="0017440D" w:rsidTr="001500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Borders>
              <w:top w:val="single" w:sz="4" w:space="0" w:color="auto"/>
            </w:tcBorders>
          </w:tcPr>
          <w:p w:rsidR="00561E90" w:rsidRPr="0017440D" w:rsidRDefault="00561E90" w:rsidP="00863D03">
            <w:pPr>
              <w:spacing w:beforeLines="60" w:afterLines="60"/>
              <w:rPr>
                <w:rStyle w:val="InstructionsTabelleText"/>
                <w:rFonts w:ascii="Times New Roman" w:hAnsi="Times New Roman"/>
              </w:rPr>
            </w:pPr>
            <w:r w:rsidRPr="003105C6">
              <w:rPr>
                <w:rStyle w:val="InstructionsTabelleText"/>
                <w:rFonts w:ascii="Times New Roman" w:hAnsi="Times New Roman"/>
              </w:rPr>
              <w:t>010</w:t>
            </w:r>
          </w:p>
        </w:tc>
        <w:tc>
          <w:tcPr>
            <w:tcW w:w="8004" w:type="dxa"/>
            <w:tcBorders>
              <w:top w:val="single" w:sz="4" w:space="0" w:color="auto"/>
            </w:tcBorders>
          </w:tcPr>
          <w:p w:rsidR="00561E90" w:rsidRPr="003105C6" w:rsidRDefault="00561E90" w:rsidP="00863D03">
            <w:pPr>
              <w:spacing w:beforeLines="60" w:afterLines="60"/>
              <w:rPr>
                <w:rStyle w:val="InstructionsTabelleberschrift"/>
                <w:rFonts w:ascii="Times New Roman" w:hAnsi="Times New Roman"/>
              </w:rPr>
            </w:pPr>
            <w:r w:rsidRPr="003105C6">
              <w:rPr>
                <w:rStyle w:val="InstructionsTabelleberschrift"/>
                <w:rFonts w:ascii="Times New Roman" w:hAnsi="Times New Roman"/>
              </w:rPr>
              <w:t xml:space="preserve">INTERNAL RATING SYSTEM  </w:t>
            </w:r>
          </w:p>
          <w:p w:rsidR="00561E90" w:rsidRPr="003105C6" w:rsidRDefault="00561E90" w:rsidP="00863D03">
            <w:pPr>
              <w:spacing w:beforeLines="60" w:afterLines="60"/>
              <w:rPr>
                <w:rStyle w:val="InstructionsTabelleberschrift"/>
                <w:rFonts w:ascii="Times New Roman" w:hAnsi="Times New Roman"/>
              </w:rPr>
            </w:pPr>
            <w:r w:rsidRPr="003105C6">
              <w:rPr>
                <w:rStyle w:val="InstructionsTabelleberschrift"/>
                <w:rFonts w:ascii="Times New Roman" w:hAnsi="Times New Roman"/>
              </w:rPr>
              <w:t>PD ASSIGNED TO THE OBLIGOR GRADE</w:t>
            </w:r>
          </w:p>
          <w:p w:rsidR="00561E90" w:rsidRPr="003105C6" w:rsidRDefault="00561E90" w:rsidP="00863D03">
            <w:pPr>
              <w:spacing w:beforeLines="60" w:afterLines="60"/>
              <w:rPr>
                <w:rStyle w:val="InstructionsTabelleText"/>
                <w:rFonts w:ascii="Times New Roman" w:hAnsi="Times New Roman"/>
              </w:rPr>
            </w:pPr>
            <w:r w:rsidRPr="003105C6">
              <w:rPr>
                <w:rStyle w:val="InstructionsTabelleText"/>
                <w:rFonts w:ascii="Times New Roman" w:hAnsi="Times New Roman"/>
              </w:rPr>
              <w:t>Institutions applying the PD/LGD approach report in column 010 the probability of default (PD) calculated in accordance with the provisions referred to in Article 161(1) of CRR.</w:t>
            </w:r>
          </w:p>
          <w:p w:rsidR="00561E90" w:rsidRPr="003105C6" w:rsidRDefault="00561E90" w:rsidP="00863D03">
            <w:pPr>
              <w:spacing w:beforeLines="60" w:afterLines="60"/>
              <w:rPr>
                <w:rStyle w:val="InstructionsTabelleText"/>
                <w:rFonts w:ascii="Times New Roman" w:hAnsi="Times New Roman"/>
              </w:rPr>
            </w:pPr>
            <w:r w:rsidRPr="003105C6">
              <w:rPr>
                <w:rStyle w:val="InstructionsTabelleText"/>
                <w:rFonts w:ascii="Times New Roman" w:hAnsi="Times New Roman"/>
              </w:rPr>
              <w:t xml:space="preserve">The PD assigned to the obligor grade or pool to be reported shall be in line with the minimum requirements as laid down in Part Three, Title II, Chapter 3, </w:t>
            </w:r>
            <w:proofErr w:type="gramStart"/>
            <w:r w:rsidRPr="003105C6">
              <w:rPr>
                <w:rStyle w:val="InstructionsTabelleText"/>
                <w:rFonts w:ascii="Times New Roman" w:hAnsi="Times New Roman"/>
              </w:rPr>
              <w:t>Section</w:t>
            </w:r>
            <w:proofErr w:type="gramEnd"/>
            <w:r w:rsidRPr="003105C6">
              <w:rPr>
                <w:rStyle w:val="InstructionsTabelleText"/>
                <w:rFonts w:ascii="Times New Roman" w:hAnsi="Times New Roman"/>
              </w:rPr>
              <w:t xml:space="preserve"> 6 of CRR. For each indivi</w:t>
            </w:r>
            <w:r w:rsidRPr="003105C6">
              <w:rPr>
                <w:rStyle w:val="InstructionsTabelleText"/>
                <w:rFonts w:ascii="Times New Roman" w:hAnsi="Times New Roman"/>
              </w:rPr>
              <w:t>d</w:t>
            </w:r>
            <w:r w:rsidRPr="003105C6">
              <w:rPr>
                <w:rStyle w:val="InstructionsTabelleText"/>
                <w:rFonts w:ascii="Times New Roman" w:hAnsi="Times New Roman"/>
              </w:rPr>
              <w:t>ual grade or pool, the PD assigned to that specific obligor grade or pool shall be reported. All r</w:t>
            </w:r>
            <w:r w:rsidRPr="003105C6">
              <w:rPr>
                <w:rStyle w:val="InstructionsTabelleText"/>
                <w:rFonts w:ascii="Times New Roman" w:hAnsi="Times New Roman"/>
              </w:rPr>
              <w:t>e</w:t>
            </w:r>
            <w:r w:rsidRPr="003105C6">
              <w:rPr>
                <w:rStyle w:val="InstructionsTabelleText"/>
                <w:rFonts w:ascii="Times New Roman" w:hAnsi="Times New Roman"/>
              </w:rPr>
              <w:lastRenderedPageBreak/>
              <w:t>ported risk parameters shall be derived from the risk parameters used in the internal rating sy</w:t>
            </w:r>
            <w:r w:rsidRPr="003105C6">
              <w:rPr>
                <w:rStyle w:val="InstructionsTabelleText"/>
                <w:rFonts w:ascii="Times New Roman" w:hAnsi="Times New Roman"/>
              </w:rPr>
              <w:t>s</w:t>
            </w:r>
            <w:r w:rsidRPr="003105C6">
              <w:rPr>
                <w:rStyle w:val="InstructionsTabelleText"/>
                <w:rFonts w:ascii="Times New Roman" w:hAnsi="Times New Roman"/>
              </w:rPr>
              <w:t>tem approved by the respective competent authority.</w:t>
            </w:r>
          </w:p>
          <w:p w:rsidR="00561E90" w:rsidRPr="003105C6" w:rsidRDefault="00561E90" w:rsidP="00863D03">
            <w:pPr>
              <w:spacing w:beforeLines="60" w:afterLines="60"/>
              <w:rPr>
                <w:rStyle w:val="InstructionsTabelleText"/>
                <w:rFonts w:ascii="Times New Roman" w:hAnsi="Times New Roman"/>
              </w:rPr>
            </w:pPr>
            <w:r w:rsidRPr="003105C6">
              <w:rPr>
                <w:rStyle w:val="InstructionsTabelleText"/>
                <w:rFonts w:ascii="Times New Roman" w:hAnsi="Times New Roman"/>
              </w:rPr>
              <w:t>For figures corresponding to an aggregation of obligor grades or pools (e.g. “total exposures”) the exposure weighted average of the PDs assigned to the obligor grades or pools included in the aggregation shall be provided. All exposures, including defaulted exposures are to be considered for the purpose of the calculation of the exposure weighted average PD. For the calculation of the exposure-weighted average PD, the exposure value taking into account unfunded credit pr</w:t>
            </w:r>
            <w:r w:rsidRPr="003105C6">
              <w:rPr>
                <w:rStyle w:val="InstructionsTabelleText"/>
                <w:rFonts w:ascii="Times New Roman" w:hAnsi="Times New Roman"/>
              </w:rPr>
              <w:t>o</w:t>
            </w:r>
            <w:r w:rsidRPr="003105C6">
              <w:rPr>
                <w:rStyle w:val="InstructionsTabelleText"/>
                <w:rFonts w:ascii="Times New Roman" w:hAnsi="Times New Roman"/>
              </w:rPr>
              <w:t xml:space="preserve">tection (column 060) shall be used for weighting purposes. </w:t>
            </w:r>
          </w:p>
        </w:tc>
      </w:tr>
      <w:tr w:rsidR="00561E90" w:rsidRPr="0017440D" w:rsidTr="001500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561E90" w:rsidRPr="0017440D" w:rsidRDefault="00561E90" w:rsidP="00863D03">
            <w:pPr>
              <w:spacing w:beforeLines="60" w:afterLines="60"/>
              <w:rPr>
                <w:rStyle w:val="InstructionsTabelleText"/>
                <w:rFonts w:ascii="Times New Roman" w:hAnsi="Times New Roman"/>
              </w:rPr>
            </w:pPr>
            <w:r w:rsidRPr="003105C6">
              <w:rPr>
                <w:rStyle w:val="InstructionsTabelleText"/>
                <w:rFonts w:ascii="Times New Roman" w:hAnsi="Times New Roman"/>
              </w:rPr>
              <w:lastRenderedPageBreak/>
              <w:t>020</w:t>
            </w:r>
          </w:p>
        </w:tc>
        <w:tc>
          <w:tcPr>
            <w:tcW w:w="8004" w:type="dxa"/>
          </w:tcPr>
          <w:p w:rsidR="00561E90" w:rsidRPr="003105C6" w:rsidRDefault="00561E90" w:rsidP="00863D03">
            <w:pPr>
              <w:spacing w:beforeLines="60" w:afterLines="60"/>
              <w:rPr>
                <w:rStyle w:val="InstructionsTabelleberschrift"/>
                <w:rFonts w:ascii="Times New Roman" w:hAnsi="Times New Roman"/>
              </w:rPr>
            </w:pPr>
            <w:r w:rsidRPr="003105C6">
              <w:rPr>
                <w:rStyle w:val="InstructionsTabelleberschrift"/>
                <w:rFonts w:ascii="Times New Roman" w:hAnsi="Times New Roman"/>
              </w:rPr>
              <w:t>ORIGINAL EXPOSURE PRE CONVERSION FACTORS</w:t>
            </w:r>
          </w:p>
          <w:p w:rsidR="00561E90" w:rsidRPr="0017440D" w:rsidRDefault="00561E90" w:rsidP="001500D4">
            <w:pPr>
              <w:autoSpaceDE w:val="0"/>
              <w:autoSpaceDN w:val="0"/>
              <w:adjustRightInd w:val="0"/>
              <w:spacing w:before="0" w:after="0"/>
              <w:rPr>
                <w:rStyle w:val="InstructionsTabelleText"/>
                <w:rFonts w:ascii="Times New Roman" w:hAnsi="Times New Roman"/>
              </w:rPr>
            </w:pPr>
            <w:r w:rsidRPr="003105C6">
              <w:rPr>
                <w:rStyle w:val="InstructionsTabelleText"/>
                <w:rFonts w:ascii="Times New Roman" w:hAnsi="Times New Roman"/>
              </w:rPr>
              <w:t>Institutions report in column 020 the original exposure value (pre conversion factors). According to the provisions laid down in Article 163 of CRR</w:t>
            </w:r>
            <w:r w:rsidRPr="003105C6">
              <w:rPr>
                <w:rStyle w:val="InstructionsTabelleText"/>
                <w:rFonts w:ascii="Times New Roman" w:hAnsi="Times New Roman"/>
                <w:szCs w:val="20"/>
              </w:rPr>
              <w:t xml:space="preserve">, the exposure value for equity exposures shall be the accounting value remaining after specific credit risk adjustments. The </w:t>
            </w:r>
            <w:r w:rsidRPr="003105C6">
              <w:rPr>
                <w:rFonts w:ascii="Times New Roman" w:hAnsi="Times New Roman"/>
                <w:szCs w:val="20"/>
              </w:rPr>
              <w:t>exposure value of off-balance sheet equity exposures shall be its nominal value after reducing its nominal value by specific credit risk adjustments for this exposure.</w:t>
            </w:r>
          </w:p>
          <w:p w:rsidR="00561E90" w:rsidRPr="0017440D" w:rsidRDefault="00561E90" w:rsidP="00863D03">
            <w:pPr>
              <w:spacing w:beforeLines="60" w:afterLines="60"/>
              <w:rPr>
                <w:rStyle w:val="InstructionsTabelleText"/>
                <w:rFonts w:ascii="Times New Roman" w:hAnsi="Times New Roman"/>
              </w:rPr>
            </w:pPr>
            <w:r w:rsidRPr="003105C6">
              <w:rPr>
                <w:rStyle w:val="InstructionsTabelleText"/>
                <w:rFonts w:ascii="Times New Roman" w:hAnsi="Times New Roman"/>
              </w:rPr>
              <w:t>Institutions also include in column 020 off balance sheet items referred to in Annex I of CRR a</w:t>
            </w:r>
            <w:r w:rsidRPr="003105C6">
              <w:rPr>
                <w:rStyle w:val="InstructionsTabelleText"/>
                <w:rFonts w:ascii="Times New Roman" w:hAnsi="Times New Roman"/>
              </w:rPr>
              <w:t>s</w:t>
            </w:r>
            <w:r w:rsidRPr="003105C6">
              <w:rPr>
                <w:rStyle w:val="InstructionsTabelleText"/>
                <w:rFonts w:ascii="Times New Roman" w:hAnsi="Times New Roman"/>
              </w:rPr>
              <w:t>signed to the “equity claims” exposure class (e.g. “the unpaid portion of partly-paid shares”).</w:t>
            </w:r>
          </w:p>
          <w:p w:rsidR="00561E90" w:rsidRPr="003105C6" w:rsidRDefault="00561E90" w:rsidP="00863D03">
            <w:pPr>
              <w:spacing w:beforeLines="60" w:afterLines="60"/>
              <w:rPr>
                <w:rStyle w:val="InstructionsTabelleText"/>
                <w:rFonts w:ascii="Times New Roman" w:hAnsi="Times New Roman"/>
              </w:rPr>
            </w:pPr>
            <w:r w:rsidRPr="003105C6">
              <w:rPr>
                <w:rStyle w:val="InstructionsTabelleText"/>
                <w:rFonts w:ascii="Times New Roman" w:hAnsi="Times New Roman"/>
              </w:rPr>
              <w:t xml:space="preserve">Institutions applying the </w:t>
            </w:r>
            <w:r w:rsidRPr="003105C6">
              <w:rPr>
                <w:rStyle w:val="InstructionsTabelleText"/>
                <w:rFonts w:ascii="Times New Roman" w:hAnsi="Times New Roman"/>
                <w:lang w:eastAsia="de-DE"/>
              </w:rPr>
              <w:t xml:space="preserve">Simple Risk Weight approach or the PD/LGD approach (as referred to in Article 161(1) also consider the offsetting provisions referred to in Article 150(2) of CRR. </w:t>
            </w:r>
          </w:p>
        </w:tc>
      </w:tr>
      <w:tr w:rsidR="00561E90" w:rsidRPr="0017440D" w:rsidTr="001500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561E90" w:rsidRPr="0017440D" w:rsidRDefault="00561E90" w:rsidP="00863D03">
            <w:pPr>
              <w:spacing w:beforeLines="60" w:afterLines="60"/>
              <w:rPr>
                <w:rStyle w:val="InstructionsTabelleText"/>
                <w:rFonts w:ascii="Times New Roman" w:hAnsi="Times New Roman"/>
              </w:rPr>
            </w:pPr>
            <w:r w:rsidRPr="003105C6">
              <w:rPr>
                <w:rStyle w:val="InstructionsTabelleText"/>
                <w:rFonts w:ascii="Times New Roman" w:hAnsi="Times New Roman"/>
              </w:rPr>
              <w:t>030-040</w:t>
            </w:r>
          </w:p>
        </w:tc>
        <w:tc>
          <w:tcPr>
            <w:tcW w:w="8004" w:type="dxa"/>
          </w:tcPr>
          <w:p w:rsidR="00561E90" w:rsidRPr="003105C6" w:rsidRDefault="00561E90" w:rsidP="00863D03">
            <w:pPr>
              <w:spacing w:beforeLines="60" w:afterLines="60"/>
              <w:rPr>
                <w:rStyle w:val="InstructionsTabelleberschrift"/>
                <w:rFonts w:ascii="Times New Roman" w:hAnsi="Times New Roman"/>
              </w:rPr>
            </w:pPr>
            <w:r w:rsidRPr="003105C6">
              <w:rPr>
                <w:rStyle w:val="InstructionsTabelleberschrift"/>
                <w:rFonts w:ascii="Times New Roman" w:hAnsi="Times New Roman"/>
              </w:rPr>
              <w:t>CREDIT RISK MITIGATION (CRM) TECHNIQUES WITH SUBSTITUTION E</w:t>
            </w:r>
            <w:r w:rsidRPr="003105C6">
              <w:rPr>
                <w:rStyle w:val="InstructionsTabelleberschrift"/>
                <w:rFonts w:ascii="Times New Roman" w:hAnsi="Times New Roman"/>
              </w:rPr>
              <w:t>F</w:t>
            </w:r>
            <w:r w:rsidRPr="003105C6">
              <w:rPr>
                <w:rStyle w:val="InstructionsTabelleberschrift"/>
                <w:rFonts w:ascii="Times New Roman" w:hAnsi="Times New Roman"/>
              </w:rPr>
              <w:t>FECTS ON THE EXPOSURE</w:t>
            </w:r>
          </w:p>
          <w:p w:rsidR="00561E90" w:rsidRPr="003105C6" w:rsidRDefault="00561E90" w:rsidP="00863D03">
            <w:pPr>
              <w:spacing w:beforeLines="60" w:afterLines="60"/>
              <w:rPr>
                <w:rStyle w:val="InstructionsTabelleberschrift"/>
                <w:rFonts w:ascii="Times New Roman" w:hAnsi="Times New Roman"/>
              </w:rPr>
            </w:pPr>
            <w:r w:rsidRPr="003105C6">
              <w:rPr>
                <w:rStyle w:val="InstructionsTabelleberschrift"/>
                <w:rFonts w:ascii="Times New Roman" w:hAnsi="Times New Roman"/>
              </w:rPr>
              <w:t>UNFUNDED CREDIT PROTECTION</w:t>
            </w:r>
          </w:p>
          <w:p w:rsidR="00561E90" w:rsidRPr="003105C6" w:rsidRDefault="00561E90" w:rsidP="00863D03">
            <w:pPr>
              <w:spacing w:beforeLines="60" w:afterLines="60"/>
              <w:rPr>
                <w:rStyle w:val="InstructionsTabelleberschrift"/>
                <w:rFonts w:ascii="Times New Roman" w:hAnsi="Times New Roman"/>
              </w:rPr>
            </w:pPr>
            <w:r w:rsidRPr="003105C6">
              <w:rPr>
                <w:rStyle w:val="InstructionsTabelleberschrift"/>
                <w:rFonts w:ascii="Times New Roman" w:hAnsi="Times New Roman"/>
              </w:rPr>
              <w:t>GUARANTEES</w:t>
            </w:r>
          </w:p>
          <w:p w:rsidR="00561E90" w:rsidRPr="003105C6" w:rsidRDefault="00561E90" w:rsidP="00863D03">
            <w:pPr>
              <w:spacing w:beforeLines="60" w:afterLines="60"/>
              <w:rPr>
                <w:rStyle w:val="InstructionsTabelleberschrift"/>
                <w:rFonts w:ascii="Times New Roman" w:hAnsi="Times New Roman"/>
              </w:rPr>
            </w:pPr>
            <w:r w:rsidRPr="003105C6">
              <w:rPr>
                <w:rStyle w:val="InstructionsTabelleberschrift"/>
                <w:rFonts w:ascii="Times New Roman" w:hAnsi="Times New Roman"/>
              </w:rPr>
              <w:t>CREDIT DERIVATIVES</w:t>
            </w:r>
          </w:p>
          <w:p w:rsidR="00561E90" w:rsidRPr="003105C6" w:rsidRDefault="00561E90" w:rsidP="00863D03">
            <w:pPr>
              <w:spacing w:beforeLines="60" w:afterLines="60"/>
              <w:rPr>
                <w:rStyle w:val="InstructionsTabelleText"/>
                <w:rFonts w:ascii="Times New Roman" w:hAnsi="Times New Roman"/>
                <w:lang w:eastAsia="de-DE"/>
              </w:rPr>
            </w:pPr>
            <w:r w:rsidRPr="003105C6">
              <w:rPr>
                <w:rStyle w:val="InstructionsTabelleText"/>
                <w:rFonts w:ascii="Times New Roman" w:hAnsi="Times New Roman"/>
              </w:rPr>
              <w:t>Irrespective of the approach adopted for the calculation of risk weighted exposure amounts for equity exposures, institutions may recognize unfunded credit protection obtained on equity exp</w:t>
            </w:r>
            <w:r w:rsidRPr="003105C6">
              <w:rPr>
                <w:rStyle w:val="InstructionsTabelleText"/>
                <w:rFonts w:ascii="Times New Roman" w:hAnsi="Times New Roman"/>
              </w:rPr>
              <w:t>o</w:t>
            </w:r>
            <w:r w:rsidRPr="003105C6">
              <w:rPr>
                <w:rStyle w:val="InstructionsTabelleText"/>
                <w:rFonts w:ascii="Times New Roman" w:hAnsi="Times New Roman"/>
              </w:rPr>
              <w:t>sures (</w:t>
            </w:r>
            <w:r w:rsidRPr="003105C6">
              <w:rPr>
                <w:rStyle w:val="InstructionsTabelleText"/>
                <w:rFonts w:ascii="Times New Roman" w:hAnsi="Times New Roman"/>
                <w:lang w:eastAsia="de-DE"/>
              </w:rPr>
              <w:t>Article 150(2),(3) and (4) of CRR). Institutions applying the Simple Risk Weight a</w:t>
            </w:r>
            <w:r w:rsidRPr="003105C6">
              <w:rPr>
                <w:rStyle w:val="InstructionsTabelleText"/>
                <w:rFonts w:ascii="Times New Roman" w:hAnsi="Times New Roman"/>
                <w:lang w:eastAsia="de-DE"/>
              </w:rPr>
              <w:t>p</w:t>
            </w:r>
            <w:r w:rsidRPr="003105C6">
              <w:rPr>
                <w:rStyle w:val="InstructionsTabelleText"/>
                <w:rFonts w:ascii="Times New Roman" w:hAnsi="Times New Roman"/>
                <w:lang w:eastAsia="de-DE"/>
              </w:rPr>
              <w:t>proach or the PD/LGD approach report in columns 030 and 040 the amount of unfunded credit protection under the form of guarantees (column 030) or credit derivatives (column 040) reco</w:t>
            </w:r>
            <w:r w:rsidRPr="003105C6">
              <w:rPr>
                <w:rStyle w:val="InstructionsTabelleText"/>
                <w:rFonts w:ascii="Times New Roman" w:hAnsi="Times New Roman"/>
                <w:lang w:eastAsia="de-DE"/>
              </w:rPr>
              <w:t>g</w:t>
            </w:r>
            <w:r w:rsidRPr="003105C6">
              <w:rPr>
                <w:rStyle w:val="InstructionsTabelleText"/>
                <w:rFonts w:ascii="Times New Roman" w:hAnsi="Times New Roman"/>
                <w:lang w:eastAsia="de-DE"/>
              </w:rPr>
              <w:t>nised in accordance with the methods set out in Part Three, Title II, Chapter 4 of CRR.</w:t>
            </w:r>
          </w:p>
        </w:tc>
      </w:tr>
      <w:tr w:rsidR="00561E90" w:rsidRPr="0017440D" w:rsidTr="001500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561E90" w:rsidRPr="0017440D" w:rsidRDefault="00561E90" w:rsidP="00863D03">
            <w:pPr>
              <w:spacing w:beforeLines="60" w:afterLines="60"/>
              <w:rPr>
                <w:rStyle w:val="InstructionsTabelleText"/>
                <w:rFonts w:ascii="Times New Roman" w:hAnsi="Times New Roman"/>
              </w:rPr>
            </w:pPr>
            <w:r w:rsidRPr="003105C6">
              <w:rPr>
                <w:rStyle w:val="InstructionsTabelleText"/>
                <w:rFonts w:ascii="Times New Roman" w:hAnsi="Times New Roman"/>
              </w:rPr>
              <w:t>050</w:t>
            </w:r>
          </w:p>
        </w:tc>
        <w:tc>
          <w:tcPr>
            <w:tcW w:w="8004" w:type="dxa"/>
          </w:tcPr>
          <w:p w:rsidR="00561E90" w:rsidRPr="003105C6" w:rsidRDefault="00561E90" w:rsidP="00863D03">
            <w:pPr>
              <w:spacing w:beforeLines="60" w:afterLines="60"/>
              <w:rPr>
                <w:rStyle w:val="InstructionsTabelleberschrift"/>
                <w:rFonts w:ascii="Times New Roman" w:hAnsi="Times New Roman"/>
              </w:rPr>
            </w:pPr>
            <w:r w:rsidRPr="003105C6">
              <w:rPr>
                <w:rStyle w:val="InstructionsTabelleberschrift"/>
                <w:rFonts w:ascii="Times New Roman" w:hAnsi="Times New Roman"/>
              </w:rPr>
              <w:t>CREDIT RISK MITIGATION (CRM) TECHNIQUES WITH SUBSTITUTION E</w:t>
            </w:r>
            <w:r w:rsidRPr="003105C6">
              <w:rPr>
                <w:rStyle w:val="InstructionsTabelleberschrift"/>
                <w:rFonts w:ascii="Times New Roman" w:hAnsi="Times New Roman"/>
              </w:rPr>
              <w:t>F</w:t>
            </w:r>
            <w:r w:rsidRPr="003105C6">
              <w:rPr>
                <w:rStyle w:val="InstructionsTabelleberschrift"/>
                <w:rFonts w:ascii="Times New Roman" w:hAnsi="Times New Roman"/>
              </w:rPr>
              <w:t>FECTS ON THE EXPOSURE</w:t>
            </w:r>
          </w:p>
          <w:p w:rsidR="00561E90" w:rsidRPr="003105C6" w:rsidRDefault="00561E90" w:rsidP="00863D03">
            <w:pPr>
              <w:spacing w:beforeLines="60" w:afterLines="60"/>
              <w:rPr>
                <w:rStyle w:val="InstructionsTabelleberschrift"/>
                <w:rFonts w:ascii="Times New Roman" w:hAnsi="Times New Roman"/>
              </w:rPr>
            </w:pPr>
            <w:r w:rsidRPr="003105C6">
              <w:rPr>
                <w:rStyle w:val="InstructionsTabelleberschrift"/>
                <w:rFonts w:ascii="Times New Roman" w:hAnsi="Times New Roman"/>
              </w:rPr>
              <w:t>SUBSTITUTION OF THE EXPOSURE DUE TO CRM</w:t>
            </w:r>
          </w:p>
          <w:p w:rsidR="00561E90" w:rsidRPr="003105C6" w:rsidRDefault="00561E90" w:rsidP="00863D03">
            <w:pPr>
              <w:spacing w:beforeLines="60" w:afterLines="60"/>
              <w:rPr>
                <w:rStyle w:val="InstructionsTabelleberschrift"/>
                <w:rFonts w:ascii="Times New Roman" w:hAnsi="Times New Roman"/>
              </w:rPr>
            </w:pPr>
            <w:r w:rsidRPr="003105C6">
              <w:rPr>
                <w:rStyle w:val="InstructionsTabelleberschrift"/>
                <w:rFonts w:ascii="Times New Roman" w:hAnsi="Times New Roman"/>
              </w:rPr>
              <w:t>(-) TOTAL OUTFLOWS</w:t>
            </w:r>
          </w:p>
          <w:p w:rsidR="00561E90" w:rsidRPr="003105C6" w:rsidRDefault="00561E90" w:rsidP="00863D03">
            <w:pPr>
              <w:spacing w:beforeLines="60" w:afterLines="60"/>
              <w:rPr>
                <w:rStyle w:val="InstructionsTabelleText"/>
                <w:rFonts w:ascii="Times New Roman" w:hAnsi="Times New Roman"/>
              </w:rPr>
            </w:pPr>
            <w:r w:rsidRPr="003105C6">
              <w:rPr>
                <w:rStyle w:val="InstructionsTabelleText"/>
                <w:rFonts w:ascii="Times New Roman" w:hAnsi="Times New Roman"/>
              </w:rPr>
              <w:t>Institutions report in column 050 the part of the original exposure pre conversion factors covered by unfunded credit protection</w:t>
            </w:r>
            <w:r w:rsidRPr="003105C6">
              <w:rPr>
                <w:rStyle w:val="InstructionsTabelleText"/>
                <w:rFonts w:ascii="Times New Roman" w:hAnsi="Times New Roman"/>
                <w:lang w:eastAsia="de-DE"/>
              </w:rPr>
              <w:t xml:space="preserve"> recognised in accordance with the methods set out in Part Three, Title II, Chapter 4 of CRR.</w:t>
            </w:r>
          </w:p>
        </w:tc>
      </w:tr>
      <w:tr w:rsidR="00561E90" w:rsidRPr="0017440D" w:rsidTr="001500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561E90" w:rsidRDefault="00561E90" w:rsidP="00863D03">
            <w:pPr>
              <w:spacing w:beforeLines="60" w:afterLines="60"/>
              <w:rPr>
                <w:rStyle w:val="InstructionsTabelleText"/>
                <w:rFonts w:ascii="Times New Roman" w:hAnsi="Times New Roman"/>
              </w:rPr>
            </w:pPr>
            <w:r w:rsidRPr="003105C6">
              <w:rPr>
                <w:rStyle w:val="InstructionsTabelleText"/>
                <w:rFonts w:ascii="Times New Roman" w:hAnsi="Times New Roman"/>
              </w:rPr>
              <w:t>060</w:t>
            </w:r>
          </w:p>
        </w:tc>
        <w:tc>
          <w:tcPr>
            <w:tcW w:w="8004" w:type="dxa"/>
          </w:tcPr>
          <w:p w:rsidR="00561E90" w:rsidRPr="003105C6" w:rsidRDefault="00561E90" w:rsidP="00863D03">
            <w:pPr>
              <w:spacing w:beforeLines="60" w:afterLines="60"/>
              <w:rPr>
                <w:rStyle w:val="InstructionsTabelleberschrift"/>
                <w:rFonts w:ascii="Times New Roman" w:hAnsi="Times New Roman"/>
              </w:rPr>
            </w:pPr>
            <w:r w:rsidRPr="003105C6">
              <w:rPr>
                <w:rStyle w:val="InstructionsTabelleberschrift"/>
                <w:rFonts w:ascii="Times New Roman" w:hAnsi="Times New Roman"/>
              </w:rPr>
              <w:t>EXPOSURE VALUE</w:t>
            </w:r>
          </w:p>
          <w:p w:rsidR="00561E90" w:rsidRPr="003105C6" w:rsidRDefault="00561E90" w:rsidP="00863D03">
            <w:pPr>
              <w:spacing w:beforeLines="60" w:afterLines="60"/>
              <w:rPr>
                <w:rStyle w:val="InstructionsTabelleText"/>
                <w:rFonts w:ascii="Times New Roman" w:hAnsi="Times New Roman"/>
              </w:rPr>
            </w:pPr>
            <w:r w:rsidRPr="003105C6">
              <w:rPr>
                <w:rStyle w:val="InstructionsTabelleText"/>
                <w:rFonts w:ascii="Times New Roman" w:hAnsi="Times New Roman"/>
              </w:rPr>
              <w:t xml:space="preserve">Institutions </w:t>
            </w:r>
            <w:r w:rsidRPr="003105C6">
              <w:rPr>
                <w:rStyle w:val="InstructionsTabelleText"/>
                <w:rFonts w:ascii="Times New Roman" w:hAnsi="Times New Roman"/>
                <w:lang w:eastAsia="de-DE"/>
              </w:rPr>
              <w:t>applying the Simple Risk Weight approach or the PD/LGD approach</w:t>
            </w:r>
            <w:r w:rsidRPr="003105C6">
              <w:rPr>
                <w:rStyle w:val="InstructionsTabelleText"/>
                <w:rFonts w:ascii="Times New Roman" w:hAnsi="Times New Roman"/>
              </w:rPr>
              <w:t xml:space="preserve"> report in co</w:t>
            </w:r>
            <w:r w:rsidRPr="003105C6">
              <w:rPr>
                <w:rStyle w:val="InstructionsTabelleText"/>
                <w:rFonts w:ascii="Times New Roman" w:hAnsi="Times New Roman"/>
              </w:rPr>
              <w:t>l</w:t>
            </w:r>
            <w:r w:rsidRPr="003105C6">
              <w:rPr>
                <w:rStyle w:val="InstructionsTabelleText"/>
                <w:rFonts w:ascii="Times New Roman" w:hAnsi="Times New Roman"/>
              </w:rPr>
              <w:t xml:space="preserve">umn 060 the exposure value taking into account substitution effects stemming from unfunded credit protection (Article 150(2) and (3), Article 163 of CRR). </w:t>
            </w:r>
          </w:p>
          <w:p w:rsidR="00561E90" w:rsidRPr="003105C6" w:rsidRDefault="00561E90" w:rsidP="00863D03">
            <w:pPr>
              <w:spacing w:beforeLines="60" w:afterLines="60"/>
              <w:rPr>
                <w:rStyle w:val="InstructionsTabelleText"/>
                <w:rFonts w:ascii="Times New Roman" w:hAnsi="Times New Roman"/>
              </w:rPr>
            </w:pPr>
            <w:r w:rsidRPr="003105C6">
              <w:rPr>
                <w:rStyle w:val="InstructionsTabelleText"/>
                <w:rFonts w:ascii="Times New Roman" w:hAnsi="Times New Roman"/>
              </w:rPr>
              <w:t>As a reminder, in the case of equity off-balance sheet exposures, the exposure value shall be the nominal value after specific credit risk adjustments (Article 163 of CRR).</w:t>
            </w:r>
          </w:p>
        </w:tc>
      </w:tr>
      <w:tr w:rsidR="00561E90" w:rsidRPr="0017440D" w:rsidTr="001500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561E90" w:rsidRDefault="00561E90" w:rsidP="00863D03">
            <w:pPr>
              <w:spacing w:beforeLines="60" w:afterLines="60"/>
              <w:rPr>
                <w:rStyle w:val="InstructionsTabelleText"/>
                <w:rFonts w:ascii="Times New Roman" w:hAnsi="Times New Roman"/>
              </w:rPr>
            </w:pPr>
            <w:r w:rsidRPr="003105C6">
              <w:rPr>
                <w:rStyle w:val="InstructionsTabelleText"/>
                <w:rFonts w:ascii="Times New Roman" w:hAnsi="Times New Roman"/>
              </w:rPr>
              <w:t>070</w:t>
            </w:r>
          </w:p>
        </w:tc>
        <w:tc>
          <w:tcPr>
            <w:tcW w:w="8004" w:type="dxa"/>
          </w:tcPr>
          <w:p w:rsidR="00561E90" w:rsidRPr="003105C6" w:rsidRDefault="00561E90" w:rsidP="00863D03">
            <w:pPr>
              <w:spacing w:beforeLines="60" w:afterLines="60"/>
              <w:rPr>
                <w:rStyle w:val="InstructionsTabelleberschrift"/>
                <w:rFonts w:ascii="Times New Roman" w:hAnsi="Times New Roman"/>
              </w:rPr>
            </w:pPr>
            <w:r w:rsidRPr="003105C6">
              <w:rPr>
                <w:rStyle w:val="InstructionsTabelleberschrift"/>
                <w:rFonts w:ascii="Times New Roman" w:hAnsi="Times New Roman"/>
              </w:rPr>
              <w:t>EXPOSURE WEIGHTED AVERAGE LGD</w:t>
            </w:r>
          </w:p>
          <w:p w:rsidR="00561E90" w:rsidRPr="003105C6" w:rsidRDefault="00561E90" w:rsidP="00863D03">
            <w:pPr>
              <w:spacing w:beforeLines="60" w:afterLines="60"/>
              <w:rPr>
                <w:rStyle w:val="InstructionsTabelleText"/>
                <w:rFonts w:ascii="Times New Roman" w:hAnsi="Times New Roman"/>
              </w:rPr>
            </w:pPr>
            <w:r w:rsidRPr="003105C6">
              <w:rPr>
                <w:rStyle w:val="InstructionsTabelleText"/>
                <w:rFonts w:ascii="Times New Roman" w:hAnsi="Times New Roman"/>
              </w:rPr>
              <w:t xml:space="preserve">Institutions applying the PD/LGD approach report in column 070 (rows 040-001 to 040-NNN) the exposure weighted average of the LGDs assigned to the obligor grades or pools included in </w:t>
            </w:r>
            <w:r w:rsidRPr="003105C6">
              <w:rPr>
                <w:rStyle w:val="InstructionsTabelleText"/>
                <w:rFonts w:ascii="Times New Roman" w:hAnsi="Times New Roman"/>
              </w:rPr>
              <w:lastRenderedPageBreak/>
              <w:t>the aggregation; the same applies for row 020. The exposure value taking into account unfunded credit protection (column 060) shall be used for the calculation of the exposure-weighted ave</w:t>
            </w:r>
            <w:r w:rsidRPr="003105C6">
              <w:rPr>
                <w:rStyle w:val="InstructionsTabelleText"/>
                <w:rFonts w:ascii="Times New Roman" w:hAnsi="Times New Roman"/>
              </w:rPr>
              <w:t>r</w:t>
            </w:r>
            <w:r w:rsidRPr="003105C6">
              <w:rPr>
                <w:rStyle w:val="InstructionsTabelleText"/>
                <w:rFonts w:ascii="Times New Roman" w:hAnsi="Times New Roman"/>
              </w:rPr>
              <w:t>age LGD. Institutions shall take into accounts the provisions laid down in 161(2) of CRR.</w:t>
            </w:r>
          </w:p>
        </w:tc>
      </w:tr>
      <w:tr w:rsidR="00561E90" w:rsidRPr="0017440D" w:rsidTr="001500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561E90" w:rsidRPr="003105C6" w:rsidRDefault="00561E90" w:rsidP="00863D03">
            <w:pPr>
              <w:spacing w:beforeLines="60" w:afterLines="60"/>
              <w:rPr>
                <w:rStyle w:val="InstructionsTabelleText"/>
                <w:rFonts w:ascii="Times New Roman" w:hAnsi="Times New Roman"/>
              </w:rPr>
            </w:pPr>
            <w:r w:rsidRPr="003105C6">
              <w:rPr>
                <w:rStyle w:val="InstructionsTabelleText"/>
                <w:rFonts w:ascii="Times New Roman" w:hAnsi="Times New Roman"/>
              </w:rPr>
              <w:lastRenderedPageBreak/>
              <w:t>080</w:t>
            </w:r>
          </w:p>
        </w:tc>
        <w:tc>
          <w:tcPr>
            <w:tcW w:w="8004" w:type="dxa"/>
          </w:tcPr>
          <w:p w:rsidR="00561E90" w:rsidRPr="003105C6" w:rsidRDefault="00561E90" w:rsidP="00863D03">
            <w:pPr>
              <w:spacing w:beforeLines="60" w:afterLines="60"/>
              <w:rPr>
                <w:rStyle w:val="InstructionsTabelleberschrift"/>
                <w:rFonts w:ascii="Times New Roman" w:hAnsi="Times New Roman"/>
              </w:rPr>
            </w:pPr>
            <w:r w:rsidRPr="003105C6">
              <w:rPr>
                <w:rStyle w:val="InstructionsTabelleberschrift"/>
                <w:rFonts w:ascii="Times New Roman" w:hAnsi="Times New Roman"/>
              </w:rPr>
              <w:t>RISK WEIGHTED EXPOSURE AMOUNT</w:t>
            </w:r>
          </w:p>
          <w:p w:rsidR="00561E90" w:rsidRPr="003105C6" w:rsidRDefault="00561E90" w:rsidP="00863D03">
            <w:pPr>
              <w:spacing w:beforeLines="60" w:afterLines="60"/>
              <w:rPr>
                <w:rStyle w:val="InstructionsTabelleText"/>
                <w:rFonts w:ascii="Times New Roman" w:hAnsi="Times New Roman"/>
              </w:rPr>
            </w:pPr>
            <w:r w:rsidRPr="003105C6">
              <w:rPr>
                <w:rStyle w:val="InstructionsTabelleText"/>
                <w:rFonts w:ascii="Times New Roman" w:hAnsi="Times New Roman"/>
              </w:rPr>
              <w:t>Institutions report risk-weighted exposure amounts for equity exposures in column 080, calc</w:t>
            </w:r>
            <w:r w:rsidRPr="003105C6">
              <w:rPr>
                <w:rStyle w:val="InstructionsTabelleText"/>
                <w:rFonts w:ascii="Times New Roman" w:hAnsi="Times New Roman"/>
              </w:rPr>
              <w:t>u</w:t>
            </w:r>
            <w:r w:rsidRPr="003105C6">
              <w:rPr>
                <w:rStyle w:val="InstructionsTabelleText"/>
                <w:rFonts w:ascii="Times New Roman" w:hAnsi="Times New Roman"/>
              </w:rPr>
              <w:t>lated in accordance with the provisions laid down in Article 150 of CRR</w:t>
            </w:r>
            <w:r w:rsidRPr="003105C6">
              <w:rPr>
                <w:rStyle w:val="InstructionsTabelleText"/>
                <w:rFonts w:ascii="Times New Roman" w:hAnsi="Times New Roman"/>
                <w:lang w:eastAsia="de-DE"/>
              </w:rPr>
              <w:t>.</w:t>
            </w:r>
          </w:p>
          <w:p w:rsidR="00561E90" w:rsidRPr="003105C6" w:rsidRDefault="00561E90" w:rsidP="00863D03">
            <w:pPr>
              <w:spacing w:beforeLines="60" w:afterLines="60"/>
              <w:rPr>
                <w:rStyle w:val="InstructionsTabelleText"/>
                <w:rFonts w:ascii="Times New Roman" w:hAnsi="Times New Roman"/>
                <w:lang w:eastAsia="de-DE"/>
              </w:rPr>
            </w:pPr>
            <w:r w:rsidRPr="003105C6">
              <w:rPr>
                <w:rStyle w:val="InstructionsTabelleText"/>
                <w:rFonts w:ascii="Times New Roman" w:hAnsi="Times New Roman"/>
                <w:lang w:eastAsia="de-DE"/>
              </w:rPr>
              <w:t>In case where institutions applying the PD/LGD approach do not have sufficient information to use the definition of default set out in Article 174 of CRR, a scaling factor of 1.5 shall be a</w:t>
            </w:r>
            <w:r w:rsidRPr="003105C6">
              <w:rPr>
                <w:rStyle w:val="InstructionsTabelleText"/>
                <w:rFonts w:ascii="Times New Roman" w:hAnsi="Times New Roman"/>
                <w:lang w:eastAsia="de-DE"/>
              </w:rPr>
              <w:t>s</w:t>
            </w:r>
            <w:r w:rsidRPr="003105C6">
              <w:rPr>
                <w:rStyle w:val="InstructionsTabelleText"/>
                <w:rFonts w:ascii="Times New Roman" w:hAnsi="Times New Roman"/>
                <w:lang w:eastAsia="de-DE"/>
              </w:rPr>
              <w:t xml:space="preserve">signed to the risk weights when calculating risk weighted exposure amounts (Article 150(3) of CRR). </w:t>
            </w:r>
          </w:p>
          <w:p w:rsidR="00561E90" w:rsidRPr="003105C6" w:rsidRDefault="00561E90" w:rsidP="00863D03">
            <w:pPr>
              <w:spacing w:beforeLines="60" w:afterLines="60"/>
              <w:rPr>
                <w:rStyle w:val="InstructionsTabelleText"/>
                <w:rFonts w:ascii="Times New Roman" w:hAnsi="Times New Roman"/>
              </w:rPr>
            </w:pPr>
            <w:r w:rsidRPr="003105C6">
              <w:rPr>
                <w:rStyle w:val="InstructionsTabelleText"/>
                <w:rFonts w:ascii="Times New Roman" w:hAnsi="Times New Roman"/>
                <w:lang w:eastAsia="de-DE"/>
              </w:rPr>
              <w:t xml:space="preserve">With regard to the input parameter M (Maturity) to the risk-weight function, </w:t>
            </w:r>
            <w:r w:rsidRPr="003105C6">
              <w:rPr>
                <w:rStyle w:val="InstructionsTabelleText"/>
                <w:rFonts w:ascii="Times New Roman" w:hAnsi="Times New Roman"/>
              </w:rPr>
              <w:t>the maturity a</w:t>
            </w:r>
            <w:r w:rsidRPr="003105C6">
              <w:rPr>
                <w:rStyle w:val="InstructionsTabelleText"/>
                <w:rFonts w:ascii="Times New Roman" w:hAnsi="Times New Roman"/>
              </w:rPr>
              <w:t>s</w:t>
            </w:r>
            <w:r w:rsidRPr="003105C6">
              <w:rPr>
                <w:rStyle w:val="InstructionsTabelleText"/>
                <w:rFonts w:ascii="Times New Roman" w:hAnsi="Times New Roman"/>
              </w:rPr>
              <w:t>signed to equity exposures equals 5 years (Article 161(3) of CRR).</w:t>
            </w:r>
          </w:p>
        </w:tc>
      </w:tr>
      <w:tr w:rsidR="00561E90" w:rsidRPr="0017440D" w:rsidTr="001500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561E90" w:rsidRPr="003105C6" w:rsidRDefault="00561E90" w:rsidP="00863D03">
            <w:pPr>
              <w:spacing w:beforeLines="60" w:afterLines="60"/>
              <w:rPr>
                <w:rStyle w:val="InstructionsTabelleText"/>
                <w:rFonts w:ascii="Times New Roman" w:hAnsi="Times New Roman"/>
              </w:rPr>
            </w:pPr>
            <w:r w:rsidRPr="003105C6">
              <w:rPr>
                <w:rStyle w:val="InstructionsTabelleText"/>
                <w:rFonts w:ascii="Times New Roman" w:hAnsi="Times New Roman"/>
              </w:rPr>
              <w:t>090</w:t>
            </w:r>
          </w:p>
        </w:tc>
        <w:tc>
          <w:tcPr>
            <w:tcW w:w="8004" w:type="dxa"/>
          </w:tcPr>
          <w:p w:rsidR="00561E90" w:rsidRPr="003105C6" w:rsidRDefault="00561E90" w:rsidP="00863D03">
            <w:pPr>
              <w:spacing w:beforeLines="60" w:afterLines="60"/>
              <w:rPr>
                <w:rStyle w:val="InstructionsTabelleberschrift"/>
                <w:rFonts w:ascii="Times New Roman" w:hAnsi="Times New Roman"/>
              </w:rPr>
            </w:pPr>
            <w:r w:rsidRPr="003105C6">
              <w:rPr>
                <w:rStyle w:val="InstructionsTabelleberschrift"/>
                <w:rFonts w:ascii="Times New Roman" w:hAnsi="Times New Roman"/>
              </w:rPr>
              <w:t>MEMORANDUM ITEM: EXPECTED LOSS AMOUNT</w:t>
            </w:r>
          </w:p>
          <w:p w:rsidR="00561E90" w:rsidRPr="003105C6" w:rsidRDefault="00561E90" w:rsidP="00863D03">
            <w:pPr>
              <w:spacing w:beforeLines="60" w:afterLines="60"/>
              <w:rPr>
                <w:rStyle w:val="InstructionsTabelleText"/>
                <w:rFonts w:ascii="Times New Roman" w:hAnsi="Times New Roman"/>
              </w:rPr>
            </w:pPr>
            <w:r w:rsidRPr="003105C6">
              <w:rPr>
                <w:rStyle w:val="InstructionsTabelleText"/>
                <w:rFonts w:ascii="Times New Roman" w:hAnsi="Times New Roman"/>
              </w:rPr>
              <w:t xml:space="preserve">Institutions report in column 090 the expected loss amount for equity exposures </w:t>
            </w:r>
            <w:r w:rsidRPr="003105C6">
              <w:rPr>
                <w:rStyle w:val="InstructionsTabelleText"/>
                <w:rFonts w:ascii="Times New Roman" w:hAnsi="Times New Roman"/>
                <w:lang w:eastAsia="de-DE"/>
              </w:rPr>
              <w:t>calculated in a</w:t>
            </w:r>
            <w:r w:rsidRPr="003105C6">
              <w:rPr>
                <w:rStyle w:val="InstructionsTabelleText"/>
                <w:rFonts w:ascii="Times New Roman" w:hAnsi="Times New Roman"/>
                <w:lang w:eastAsia="de-DE"/>
              </w:rPr>
              <w:t>c</w:t>
            </w:r>
            <w:r w:rsidRPr="003105C6">
              <w:rPr>
                <w:rStyle w:val="InstructionsTabelleText"/>
                <w:rFonts w:ascii="Times New Roman" w:hAnsi="Times New Roman"/>
                <w:lang w:eastAsia="de-DE"/>
              </w:rPr>
              <w:t xml:space="preserve">cordance with </w:t>
            </w:r>
            <w:r w:rsidRPr="003105C6">
              <w:rPr>
                <w:rStyle w:val="InstructionsTabelleText"/>
                <w:rFonts w:ascii="Times New Roman" w:hAnsi="Times New Roman"/>
              </w:rPr>
              <w:t xml:space="preserve">Article 154(4), (7), (8) and (9) of CRR. </w:t>
            </w:r>
          </w:p>
        </w:tc>
      </w:tr>
    </w:tbl>
    <w:p w:rsidR="00561E90" w:rsidRPr="003105C6" w:rsidRDefault="00561E90" w:rsidP="00863D03">
      <w:pPr>
        <w:pStyle w:val="berschrift3"/>
        <w:numPr>
          <w:ilvl w:val="2"/>
          <w:numId w:val="0"/>
        </w:numPr>
        <w:tabs>
          <w:tab w:val="num" w:pos="1134"/>
        </w:tabs>
        <w:spacing w:beforeLines="60" w:afterLines="60"/>
        <w:ind w:left="1134" w:hanging="1134"/>
        <w:rPr>
          <w:rFonts w:ascii="Times New Roman" w:hAnsi="Times New Roman"/>
          <w:b w:val="0"/>
          <w:bCs/>
          <w:sz w:val="22"/>
          <w:szCs w:val="22"/>
          <w:u w:val="single"/>
        </w:rPr>
      </w:pPr>
    </w:p>
    <w:p w:rsidR="00561E90" w:rsidRPr="0017440D" w:rsidRDefault="00561E90" w:rsidP="00561E90">
      <w:pPr>
        <w:outlineLvl w:val="0"/>
        <w:rPr>
          <w:rFonts w:ascii="Times New Roman" w:hAnsi="Times New Roman"/>
        </w:rPr>
      </w:pPr>
      <w:bookmarkStart w:id="17" w:name="_Toc310415034"/>
      <w:r w:rsidRPr="003105C6">
        <w:rPr>
          <w:rFonts w:ascii="Times New Roman" w:hAnsi="Times New Roman"/>
        </w:rPr>
        <w:t>Instructions by rows</w:t>
      </w:r>
      <w:bookmarkEnd w:id="17"/>
    </w:p>
    <w:p w:rsidR="00561E90" w:rsidRPr="0017440D" w:rsidRDefault="00561E90" w:rsidP="00561E90">
      <w:pPr>
        <w:pStyle w:val="InstructionsText2"/>
      </w:pPr>
      <w:r w:rsidRPr="003105C6">
        <w:t>In accordance with Article 150 of CRR, institutions may employ different approaches (Simple Risk Weight approach, PD/LGD approach or Internal Models approach) to different portfolios when they use these different approaches internally.</w:t>
      </w:r>
    </w:p>
    <w:tbl>
      <w:tblPr>
        <w:tblW w:w="0" w:type="auto"/>
        <w:tblLook w:val="01E0"/>
      </w:tblPr>
      <w:tblGrid>
        <w:gridCol w:w="1428"/>
        <w:gridCol w:w="7434"/>
      </w:tblGrid>
      <w:tr w:rsidR="00561E90" w:rsidRPr="0017440D" w:rsidTr="001500D4">
        <w:tc>
          <w:tcPr>
            <w:tcW w:w="8862" w:type="dxa"/>
            <w:gridSpan w:val="2"/>
            <w:tcBorders>
              <w:top w:val="single" w:sz="4" w:space="0" w:color="auto"/>
              <w:left w:val="single" w:sz="4" w:space="0" w:color="auto"/>
              <w:bottom w:val="single" w:sz="4" w:space="0" w:color="auto"/>
              <w:right w:val="single" w:sz="4" w:space="0" w:color="auto"/>
            </w:tcBorders>
            <w:shd w:val="clear" w:color="auto" w:fill="BFBFBF"/>
          </w:tcPr>
          <w:p w:rsidR="00561E90" w:rsidRPr="0017440D" w:rsidRDefault="00561E90" w:rsidP="00863D03">
            <w:pPr>
              <w:spacing w:beforeLines="60" w:afterLines="60"/>
              <w:rPr>
                <w:rStyle w:val="InstructionsTabelleText"/>
                <w:rFonts w:ascii="Times New Roman" w:hAnsi="Times New Roman"/>
                <w:b/>
              </w:rPr>
            </w:pPr>
            <w:r w:rsidRPr="003105C6">
              <w:rPr>
                <w:rStyle w:val="InstructionsTabelleText"/>
                <w:rFonts w:ascii="Times New Roman" w:hAnsi="Times New Roman"/>
                <w:b/>
              </w:rPr>
              <w:t>Rows</w:t>
            </w:r>
          </w:p>
        </w:tc>
      </w:tr>
      <w:tr w:rsidR="00561E90" w:rsidRPr="0017440D" w:rsidTr="001500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28" w:type="dxa"/>
            <w:tcBorders>
              <w:top w:val="single" w:sz="4" w:space="0" w:color="auto"/>
            </w:tcBorders>
          </w:tcPr>
          <w:p w:rsidR="00561E90" w:rsidRPr="0017440D" w:rsidRDefault="00561E90" w:rsidP="00A803C9">
            <w:pPr>
              <w:spacing w:beforeLines="60" w:afterLines="60"/>
              <w:rPr>
                <w:rStyle w:val="InstructionsTabelleText"/>
                <w:rFonts w:ascii="Times New Roman" w:hAnsi="Times New Roman"/>
              </w:rPr>
            </w:pPr>
            <w:r w:rsidRPr="003105C6">
              <w:rPr>
                <w:rStyle w:val="InstructionsTabelleText"/>
                <w:rFonts w:ascii="Times New Roman" w:hAnsi="Times New Roman"/>
              </w:rPr>
              <w:t xml:space="preserve">020, </w:t>
            </w:r>
            <w:r w:rsidR="00A803C9">
              <w:rPr>
                <w:rStyle w:val="InstructionsTabelleText"/>
                <w:rFonts w:ascii="Times New Roman" w:hAnsi="Times New Roman"/>
              </w:rPr>
              <w:t>CR EQU IRB 2</w:t>
            </w:r>
          </w:p>
        </w:tc>
        <w:tc>
          <w:tcPr>
            <w:tcW w:w="7434" w:type="dxa"/>
            <w:tcBorders>
              <w:top w:val="single" w:sz="4" w:space="0" w:color="auto"/>
            </w:tcBorders>
          </w:tcPr>
          <w:p w:rsidR="00561E90" w:rsidRPr="003105C6" w:rsidRDefault="00561E90" w:rsidP="00863D03">
            <w:pPr>
              <w:keepNext/>
              <w:spacing w:beforeLines="60" w:afterLines="60"/>
              <w:rPr>
                <w:rStyle w:val="InstructionsTabelleberschrift"/>
                <w:rFonts w:ascii="Times New Roman" w:hAnsi="Times New Roman"/>
              </w:rPr>
            </w:pPr>
            <w:r w:rsidRPr="003105C6">
              <w:rPr>
                <w:rStyle w:val="InstructionsTabelleberschrift"/>
                <w:rFonts w:ascii="Times New Roman" w:hAnsi="Times New Roman"/>
              </w:rPr>
              <w:t xml:space="preserve">1. PD/LGD APRROACH: TOTAL </w:t>
            </w:r>
          </w:p>
          <w:p w:rsidR="00561E90" w:rsidRPr="003105C6" w:rsidRDefault="00561E90" w:rsidP="00863D03">
            <w:pPr>
              <w:keepNext/>
              <w:spacing w:beforeLines="60" w:afterLines="60"/>
              <w:rPr>
                <w:rStyle w:val="InstructionsTabelleberschrift"/>
                <w:rFonts w:ascii="Times New Roman" w:hAnsi="Times New Roman"/>
              </w:rPr>
            </w:pPr>
            <w:r w:rsidRPr="003105C6">
              <w:rPr>
                <w:rStyle w:val="InstructionsTabelleberschrift"/>
                <w:rFonts w:ascii="Times New Roman" w:hAnsi="Times New Roman"/>
              </w:rPr>
              <w:t>BREAKDOWN OF TOTAL EXPOSURES UNDER THE PD/LGD APRROACH BY OBLIGOR GRADES:</w:t>
            </w:r>
          </w:p>
          <w:p w:rsidR="00561E90" w:rsidRPr="003105C6" w:rsidRDefault="00561E90" w:rsidP="00863D03">
            <w:pPr>
              <w:keepNext/>
              <w:spacing w:beforeLines="60" w:afterLines="60"/>
              <w:rPr>
                <w:rStyle w:val="InstructionsTabelleText"/>
                <w:rFonts w:ascii="Times New Roman" w:hAnsi="Times New Roman"/>
              </w:rPr>
            </w:pPr>
            <w:r w:rsidRPr="003105C6">
              <w:rPr>
                <w:rStyle w:val="InstructionsTabelleText"/>
                <w:rFonts w:ascii="Times New Roman" w:hAnsi="Times New Roman"/>
              </w:rPr>
              <w:t xml:space="preserve">Institutions applying the </w:t>
            </w:r>
            <w:r w:rsidRPr="003105C6">
              <w:rPr>
                <w:rStyle w:val="InstructionsTabelleText"/>
                <w:rFonts w:ascii="Times New Roman" w:hAnsi="Times New Roman"/>
                <w:lang w:eastAsia="de-DE"/>
              </w:rPr>
              <w:t xml:space="preserve">PD/LGD approach (Article 150(3) of CRR) </w:t>
            </w:r>
            <w:r w:rsidRPr="003105C6">
              <w:rPr>
                <w:rStyle w:val="InstructionsTabelleText"/>
                <w:rFonts w:ascii="Times New Roman" w:hAnsi="Times New Roman"/>
              </w:rPr>
              <w:t xml:space="preserve">report the requested information in rows 020 and </w:t>
            </w:r>
            <w:r w:rsidR="00A803C9">
              <w:rPr>
                <w:rStyle w:val="InstructionsTabelleText"/>
                <w:rFonts w:ascii="Times New Roman" w:hAnsi="Times New Roman"/>
              </w:rPr>
              <w:t>CR EQU IRB 2</w:t>
            </w:r>
            <w:r w:rsidRPr="003105C6">
              <w:rPr>
                <w:rStyle w:val="InstructionsTabelleText"/>
                <w:rFonts w:ascii="Times New Roman" w:hAnsi="Times New Roman"/>
              </w:rPr>
              <w:t>.</w:t>
            </w:r>
          </w:p>
          <w:p w:rsidR="00561E90" w:rsidRPr="003105C6" w:rsidRDefault="00561E90" w:rsidP="00863D03">
            <w:pPr>
              <w:keepNext/>
              <w:spacing w:beforeLines="60" w:afterLines="60"/>
              <w:rPr>
                <w:rStyle w:val="InstructionsTabelleText"/>
                <w:rFonts w:ascii="Times New Roman" w:hAnsi="Times New Roman"/>
              </w:rPr>
            </w:pPr>
            <w:r w:rsidRPr="003105C6">
              <w:rPr>
                <w:rStyle w:val="InstructionsTabelleText"/>
                <w:rFonts w:ascii="Times New Roman" w:hAnsi="Times New Roman"/>
              </w:rPr>
              <w:t xml:space="preserve">In case where institutions using the </w:t>
            </w:r>
            <w:r w:rsidRPr="003105C6">
              <w:rPr>
                <w:rStyle w:val="InstructionsTabelleText"/>
                <w:rFonts w:ascii="Times New Roman" w:hAnsi="Times New Roman"/>
                <w:lang w:eastAsia="de-DE"/>
              </w:rPr>
              <w:t xml:space="preserve">PD/LGD approach </w:t>
            </w:r>
            <w:r w:rsidRPr="003105C6">
              <w:rPr>
                <w:rStyle w:val="InstructionsTabelleText"/>
                <w:rFonts w:ascii="Times New Roman" w:hAnsi="Times New Roman"/>
              </w:rPr>
              <w:t xml:space="preserve">apply a unique rating system or are able to report according to an internal master scale, institutions report in rows 040-001 to 040-NNN the rating grades or pools associated to this unique rating system / </w:t>
            </w:r>
            <w:proofErr w:type="spellStart"/>
            <w:r w:rsidRPr="003105C6">
              <w:rPr>
                <w:rStyle w:val="InstructionsTabelleText"/>
                <w:rFonts w:ascii="Times New Roman" w:hAnsi="Times New Roman"/>
              </w:rPr>
              <w:t>maste</w:t>
            </w:r>
            <w:r w:rsidRPr="003105C6">
              <w:rPr>
                <w:rStyle w:val="InstructionsTabelleText"/>
                <w:rFonts w:ascii="Times New Roman" w:hAnsi="Times New Roman"/>
              </w:rPr>
              <w:t>r</w:t>
            </w:r>
            <w:r w:rsidRPr="003105C6">
              <w:rPr>
                <w:rStyle w:val="InstructionsTabelleText"/>
                <w:rFonts w:ascii="Times New Roman" w:hAnsi="Times New Roman"/>
              </w:rPr>
              <w:t>scale</w:t>
            </w:r>
            <w:proofErr w:type="spellEnd"/>
            <w:r w:rsidRPr="003105C6">
              <w:rPr>
                <w:rStyle w:val="InstructionsTabelleText"/>
                <w:rFonts w:ascii="Times New Roman" w:hAnsi="Times New Roman"/>
              </w:rPr>
              <w:t>. In any other case, the different rating systems shall be merged and ordered accor</w:t>
            </w:r>
            <w:r w:rsidRPr="003105C6">
              <w:rPr>
                <w:rStyle w:val="InstructionsTabelleText"/>
                <w:rFonts w:ascii="Times New Roman" w:hAnsi="Times New Roman"/>
              </w:rPr>
              <w:t>d</w:t>
            </w:r>
            <w:r w:rsidRPr="003105C6">
              <w:rPr>
                <w:rStyle w:val="InstructionsTabelleText"/>
                <w:rFonts w:ascii="Times New Roman" w:hAnsi="Times New Roman"/>
              </w:rPr>
              <w:t xml:space="preserve">ing to the following criteria: Obligor grades or pools of the different rating systems shall be pooled together and ordered from the lower PD assigned to each obligor grade or pool to the higher. </w:t>
            </w:r>
          </w:p>
          <w:p w:rsidR="00561E90" w:rsidRPr="003105C6" w:rsidRDefault="00561E90" w:rsidP="00863D03">
            <w:pPr>
              <w:keepNext/>
              <w:spacing w:beforeLines="60" w:afterLines="60"/>
              <w:rPr>
                <w:rStyle w:val="InstructionsTabelleText"/>
                <w:rFonts w:ascii="Times New Roman" w:hAnsi="Times New Roman"/>
              </w:rPr>
            </w:pPr>
            <w:r w:rsidRPr="003105C6">
              <w:rPr>
                <w:rStyle w:val="InstructionsTabelleText"/>
                <w:rFonts w:ascii="Times New Roman" w:hAnsi="Times New Roman"/>
              </w:rPr>
              <w:t>For the calculation of the information relating to the non-defaulted assets (row 030), only those exposure which were not assigned a PD of 100% (in rows 040-001 to 040-NNN) have to be taken into account.</w:t>
            </w:r>
          </w:p>
        </w:tc>
      </w:tr>
      <w:tr w:rsidR="00561E90" w:rsidRPr="0017440D" w:rsidTr="001500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28" w:type="dxa"/>
          </w:tcPr>
          <w:p w:rsidR="00561E90" w:rsidRPr="0017440D" w:rsidRDefault="00561E90" w:rsidP="00863D03">
            <w:pPr>
              <w:spacing w:beforeLines="60" w:afterLines="60"/>
              <w:rPr>
                <w:rStyle w:val="InstructionsTabelleText"/>
                <w:rFonts w:ascii="Times New Roman" w:hAnsi="Times New Roman"/>
              </w:rPr>
            </w:pPr>
            <w:r w:rsidRPr="003105C6">
              <w:rPr>
                <w:rStyle w:val="InstructionsTabelleText"/>
                <w:rFonts w:ascii="Times New Roman" w:hAnsi="Times New Roman"/>
              </w:rPr>
              <w:t>050- 090</w:t>
            </w:r>
          </w:p>
        </w:tc>
        <w:tc>
          <w:tcPr>
            <w:tcW w:w="7434" w:type="dxa"/>
          </w:tcPr>
          <w:p w:rsidR="00561E90" w:rsidRPr="0017440D" w:rsidRDefault="00561E90" w:rsidP="001500D4">
            <w:pPr>
              <w:rPr>
                <w:rStyle w:val="InstructionsTabelleText"/>
                <w:rFonts w:ascii="Times New Roman" w:hAnsi="Times New Roman"/>
                <w:b/>
                <w:u w:val="single"/>
              </w:rPr>
            </w:pPr>
            <w:r w:rsidRPr="003105C6">
              <w:rPr>
                <w:rStyle w:val="InstructionsTabelleText"/>
                <w:rFonts w:ascii="Times New Roman" w:hAnsi="Times New Roman"/>
                <w:b/>
                <w:u w:val="single"/>
              </w:rPr>
              <w:t>2. SIMPLE RISK WEIGHT APPROACH: TOTAL</w:t>
            </w:r>
          </w:p>
          <w:p w:rsidR="00561E90" w:rsidRPr="0017440D" w:rsidRDefault="00561E90" w:rsidP="001500D4">
            <w:pPr>
              <w:rPr>
                <w:rStyle w:val="InstructionsTabelleText"/>
                <w:rFonts w:ascii="Times New Roman" w:hAnsi="Times New Roman"/>
                <w:b/>
                <w:u w:val="single"/>
              </w:rPr>
            </w:pPr>
            <w:r w:rsidRPr="003105C6">
              <w:rPr>
                <w:rStyle w:val="InstructionsTabelleText"/>
                <w:rFonts w:ascii="Times New Roman" w:hAnsi="Times New Roman"/>
                <w:b/>
                <w:u w:val="single"/>
              </w:rPr>
              <w:t>BREAKDOWN OF TOTAL EXPOSURES UNDER THE SIMPLE RISK WEIGHT APRROACH BY RISK WEIGHTS:</w:t>
            </w:r>
          </w:p>
          <w:p w:rsidR="00561E90" w:rsidRPr="0017440D" w:rsidRDefault="00561E90" w:rsidP="00863D03">
            <w:pPr>
              <w:keepNext/>
              <w:spacing w:beforeLines="60" w:afterLines="60"/>
              <w:rPr>
                <w:rStyle w:val="InstructionsTabelleText"/>
                <w:rFonts w:ascii="Times New Roman" w:hAnsi="Times New Roman"/>
              </w:rPr>
            </w:pPr>
            <w:r w:rsidRPr="003105C6">
              <w:rPr>
                <w:rStyle w:val="InstructionsTabelleText"/>
                <w:rFonts w:ascii="Times New Roman" w:hAnsi="Times New Roman"/>
              </w:rPr>
              <w:t>Institutions applying the Simple Risk Weight approach (Article 150(2) of CRR) report the requested information according to the characteristics of the underlying exposures in rows 050 to 090.</w:t>
            </w:r>
          </w:p>
        </w:tc>
      </w:tr>
      <w:tr w:rsidR="00561E90" w:rsidRPr="0017440D" w:rsidTr="001500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28" w:type="dxa"/>
          </w:tcPr>
          <w:p w:rsidR="00561E90" w:rsidRPr="0017440D" w:rsidRDefault="00561E90" w:rsidP="00863D03">
            <w:pPr>
              <w:spacing w:beforeLines="60" w:afterLines="60"/>
              <w:rPr>
                <w:rStyle w:val="InstructionsTabelleText"/>
                <w:rFonts w:ascii="Times New Roman" w:hAnsi="Times New Roman"/>
              </w:rPr>
            </w:pPr>
            <w:r w:rsidRPr="003105C6">
              <w:rPr>
                <w:rStyle w:val="InstructionsTabelleText"/>
                <w:rFonts w:ascii="Times New Roman" w:hAnsi="Times New Roman"/>
              </w:rPr>
              <w:lastRenderedPageBreak/>
              <w:t>100</w:t>
            </w:r>
          </w:p>
        </w:tc>
        <w:tc>
          <w:tcPr>
            <w:tcW w:w="7434" w:type="dxa"/>
          </w:tcPr>
          <w:p w:rsidR="00561E90" w:rsidRPr="0017440D" w:rsidRDefault="00561E90" w:rsidP="001500D4">
            <w:pPr>
              <w:rPr>
                <w:rStyle w:val="InstructionsTabelleberschrift"/>
                <w:rFonts w:ascii="Times New Roman" w:hAnsi="Times New Roman"/>
              </w:rPr>
            </w:pPr>
            <w:r w:rsidRPr="003105C6">
              <w:rPr>
                <w:rStyle w:val="InstructionsTabelleberschrift"/>
                <w:rFonts w:ascii="Times New Roman" w:hAnsi="Times New Roman"/>
              </w:rPr>
              <w:t>3. INTERNAL MODELS APPROACH</w:t>
            </w:r>
          </w:p>
          <w:p w:rsidR="00561E90" w:rsidRPr="003105C6" w:rsidRDefault="00561E90" w:rsidP="001500D4">
            <w:pPr>
              <w:pStyle w:val="InstructionsText"/>
              <w:rPr>
                <w:rStyle w:val="FormatvorlageInstructionsTabelleText"/>
                <w:rFonts w:ascii="Times New Roman" w:hAnsi="Times New Roman"/>
                <w:bCs w:val="0"/>
                <w:szCs w:val="22"/>
                <w:lang w:eastAsia="en-US"/>
              </w:rPr>
            </w:pPr>
            <w:r w:rsidRPr="003105C6">
              <w:rPr>
                <w:rStyle w:val="FormatvorlageInstructionsTabelleText"/>
                <w:rFonts w:ascii="Times New Roman" w:hAnsi="Times New Roman"/>
              </w:rPr>
              <w:t>Institutions applying the Internal Models approach (Article 150(4) of CRR) report the r</w:t>
            </w:r>
            <w:r w:rsidRPr="003105C6">
              <w:rPr>
                <w:rStyle w:val="FormatvorlageInstructionsTabelleText"/>
                <w:rFonts w:ascii="Times New Roman" w:hAnsi="Times New Roman"/>
              </w:rPr>
              <w:t>e</w:t>
            </w:r>
            <w:r w:rsidRPr="003105C6">
              <w:rPr>
                <w:rStyle w:val="FormatvorlageInstructionsTabelleText"/>
                <w:rFonts w:ascii="Times New Roman" w:hAnsi="Times New Roman"/>
              </w:rPr>
              <w:t>quested information in row 100.</w:t>
            </w:r>
          </w:p>
        </w:tc>
      </w:tr>
      <w:tr w:rsidR="00561E90" w:rsidRPr="0017440D" w:rsidTr="001500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28" w:type="dxa"/>
            <w:tcBorders>
              <w:top w:val="single" w:sz="4" w:space="0" w:color="auto"/>
              <w:left w:val="single" w:sz="4" w:space="0" w:color="auto"/>
              <w:bottom w:val="single" w:sz="4" w:space="0" w:color="auto"/>
              <w:right w:val="single" w:sz="4" w:space="0" w:color="auto"/>
            </w:tcBorders>
          </w:tcPr>
          <w:p w:rsidR="00561E90" w:rsidRPr="0017440D" w:rsidRDefault="00561E90" w:rsidP="00863D03">
            <w:pPr>
              <w:spacing w:beforeLines="60" w:afterLines="60"/>
              <w:rPr>
                <w:rStyle w:val="InstructionsTabelleText"/>
                <w:rFonts w:ascii="Times New Roman" w:hAnsi="Times New Roman"/>
              </w:rPr>
            </w:pPr>
            <w:r>
              <w:rPr>
                <w:rStyle w:val="InstructionsTabelleText"/>
                <w:rFonts w:ascii="Times New Roman" w:hAnsi="Times New Roman"/>
              </w:rPr>
              <w:t>110</w:t>
            </w:r>
          </w:p>
        </w:tc>
        <w:tc>
          <w:tcPr>
            <w:tcW w:w="7434" w:type="dxa"/>
            <w:tcBorders>
              <w:top w:val="single" w:sz="4" w:space="0" w:color="auto"/>
              <w:left w:val="single" w:sz="4" w:space="0" w:color="auto"/>
              <w:bottom w:val="single" w:sz="4" w:space="0" w:color="auto"/>
              <w:right w:val="single" w:sz="4" w:space="0" w:color="auto"/>
            </w:tcBorders>
          </w:tcPr>
          <w:p w:rsidR="00561E90" w:rsidRPr="007A72F6" w:rsidRDefault="00561E90" w:rsidP="001500D4">
            <w:pPr>
              <w:rPr>
                <w:rStyle w:val="InstructionsTabelleberschrift"/>
                <w:rFonts w:ascii="Times New Roman" w:hAnsi="Times New Roman"/>
              </w:rPr>
            </w:pPr>
            <w:r>
              <w:rPr>
                <w:rStyle w:val="InstructionsTabelleberschrift"/>
                <w:rFonts w:ascii="Times New Roman" w:hAnsi="Times New Roman"/>
              </w:rPr>
              <w:t>4</w:t>
            </w:r>
            <w:r w:rsidRPr="003105C6">
              <w:rPr>
                <w:rStyle w:val="InstructionsTabelleberschrift"/>
                <w:rFonts w:ascii="Times New Roman" w:hAnsi="Times New Roman"/>
              </w:rPr>
              <w:t xml:space="preserve">. </w:t>
            </w:r>
            <w:r>
              <w:rPr>
                <w:rStyle w:val="InstructionsTabelleberschrift"/>
                <w:rFonts w:ascii="Times New Roman" w:hAnsi="Times New Roman"/>
              </w:rPr>
              <w:t>EQUITY POSITIONS IN FINANCIAL SECTOR ENTITIES RISKWEIGHTED A</w:t>
            </w:r>
            <w:r w:rsidR="007A72F6" w:rsidRPr="007A72F6">
              <w:rPr>
                <w:rStyle w:val="InstructionsTabelleberschrift"/>
                <w:rFonts w:ascii="Times New Roman" w:hAnsi="Times New Roman"/>
              </w:rPr>
              <w:t>T 250% AND OTHER EQUITY EXPOSURES SUBJECT TO RISK WEIGHTS</w:t>
            </w:r>
          </w:p>
          <w:p w:rsidR="00561E90" w:rsidRPr="000227EC" w:rsidRDefault="00561E90" w:rsidP="001500D4">
            <w:pPr>
              <w:rPr>
                <w:rStyle w:val="FormatvorlageInstructionsTabelleText"/>
                <w:rFonts w:ascii="Times New Roman" w:hAnsi="Times New Roman"/>
              </w:rPr>
            </w:pPr>
            <w:r w:rsidRPr="000227EC">
              <w:rPr>
                <w:rStyle w:val="FormatvorlageInstructionsTabelleText"/>
                <w:rFonts w:ascii="Times New Roman" w:hAnsi="Times New Roman"/>
              </w:rPr>
              <w:t xml:space="preserve">Institutions </w:t>
            </w:r>
            <w:r>
              <w:rPr>
                <w:rStyle w:val="FormatvorlageInstructionsTabelleText"/>
                <w:rFonts w:ascii="Times New Roman" w:hAnsi="Times New Roman"/>
              </w:rPr>
              <w:t xml:space="preserve">applying the IRB approach </w:t>
            </w:r>
            <w:r w:rsidRPr="000227EC">
              <w:rPr>
                <w:rStyle w:val="FormatvorlageInstructionsTabelleText"/>
                <w:rFonts w:ascii="Times New Roman" w:hAnsi="Times New Roman"/>
              </w:rPr>
              <w:t xml:space="preserve">shall report the risk weighted exposure amount of equity </w:t>
            </w:r>
            <w:r>
              <w:rPr>
                <w:rStyle w:val="FormatvorlageInstructionsTabelleText"/>
                <w:rFonts w:ascii="Times New Roman" w:hAnsi="Times New Roman"/>
              </w:rPr>
              <w:t>positions in financial sector entities treated in accordance with Article 45(2) of the CRR in row 110</w:t>
            </w:r>
            <w:r w:rsidRPr="000227EC">
              <w:rPr>
                <w:rStyle w:val="FormatvorlageInstructionsTabelleText"/>
                <w:rFonts w:ascii="Times New Roman" w:hAnsi="Times New Roman"/>
              </w:rPr>
              <w:t>.</w:t>
            </w:r>
          </w:p>
        </w:tc>
      </w:tr>
    </w:tbl>
    <w:p w:rsidR="00561E90" w:rsidRPr="0017440D" w:rsidRDefault="00561E90" w:rsidP="00561E90">
      <w:pPr>
        <w:rPr>
          <w:rFonts w:ascii="Times New Roman" w:hAnsi="Times New Roman"/>
        </w:rPr>
      </w:pPr>
    </w:p>
    <w:p w:rsidR="00561E90" w:rsidRPr="0017440D" w:rsidRDefault="00561E90" w:rsidP="00561E90">
      <w:pPr>
        <w:rPr>
          <w:rFonts w:ascii="Times New Roman" w:hAnsi="Times New Roman"/>
        </w:rPr>
      </w:pPr>
    </w:p>
    <w:p w:rsidR="00561E90" w:rsidRPr="0017440D" w:rsidRDefault="00561E90" w:rsidP="00561E90">
      <w:pPr>
        <w:rPr>
          <w:rFonts w:ascii="Times New Roman" w:hAnsi="Times New Roman"/>
        </w:rPr>
      </w:pPr>
    </w:p>
    <w:p w:rsidR="00222CD3" w:rsidRDefault="00222CD3">
      <w:pPr>
        <w:spacing w:before="0" w:after="0"/>
        <w:jc w:val="left"/>
        <w:rPr>
          <w:rFonts w:ascii="Times New Roman" w:hAnsi="Times New Roman"/>
          <w:szCs w:val="20"/>
        </w:rPr>
      </w:pPr>
    </w:p>
    <w:sectPr w:rsidR="00222CD3" w:rsidSect="00B51F42">
      <w:footerReference w:type="even" r:id="rId9"/>
      <w:footerReference w:type="default" r:id="rId10"/>
      <w:headerReference w:type="first" r:id="rId11"/>
      <w:endnotePr>
        <w:numFmt w:val="decimal"/>
      </w:endnotePr>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487F" w:rsidRDefault="004C487F" w:rsidP="00D946DB">
      <w:pPr>
        <w:spacing w:before="0" w:after="0"/>
      </w:pPr>
      <w:r>
        <w:separator/>
      </w:r>
    </w:p>
  </w:endnote>
  <w:endnote w:type="continuationSeparator" w:id="0">
    <w:p w:rsidR="004C487F" w:rsidRDefault="004C487F" w:rsidP="00D946DB">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487F" w:rsidRPr="00A772B4" w:rsidRDefault="00863D03">
    <w:pPr>
      <w:pStyle w:val="Fuzeile"/>
      <w:jc w:val="right"/>
      <w:rPr>
        <w:rFonts w:ascii="Times New Roman" w:hAnsi="Times New Roman"/>
      </w:rPr>
    </w:pPr>
    <w:r w:rsidRPr="00A772B4">
      <w:rPr>
        <w:rFonts w:ascii="Times New Roman" w:hAnsi="Times New Roman"/>
      </w:rPr>
      <w:fldChar w:fldCharType="begin"/>
    </w:r>
    <w:r w:rsidR="004C487F" w:rsidRPr="00A772B4">
      <w:rPr>
        <w:rFonts w:ascii="Times New Roman" w:hAnsi="Times New Roman"/>
      </w:rPr>
      <w:instrText xml:space="preserve"> PAGE   \* MERGEFORMAT </w:instrText>
    </w:r>
    <w:r w:rsidRPr="00A772B4">
      <w:rPr>
        <w:rFonts w:ascii="Times New Roman" w:hAnsi="Times New Roman"/>
      </w:rPr>
      <w:fldChar w:fldCharType="separate"/>
    </w:r>
    <w:r w:rsidR="00A803C9">
      <w:rPr>
        <w:rFonts w:ascii="Times New Roman" w:hAnsi="Times New Roman"/>
        <w:noProof/>
      </w:rPr>
      <w:t>1</w:t>
    </w:r>
    <w:r w:rsidRPr="00A772B4">
      <w:rPr>
        <w:rFonts w:ascii="Times New Roman" w:hAnsi="Times New Roman"/>
      </w:rPr>
      <w:fldChar w:fldCharType="end"/>
    </w:r>
  </w:p>
  <w:p w:rsidR="004C487F" w:rsidRDefault="004C487F">
    <w:pPr>
      <w:pStyle w:val="Fuzeil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487F" w:rsidRDefault="00863D03">
    <w:pPr>
      <w:pStyle w:val="Fuzeile"/>
      <w:framePr w:wrap="auto" w:vAnchor="text" w:hAnchor="margin" w:xAlign="right" w:y="1"/>
      <w:rPr>
        <w:rStyle w:val="Seitenzahl"/>
      </w:rPr>
    </w:pPr>
    <w:r>
      <w:rPr>
        <w:rStyle w:val="Seitenzahl"/>
      </w:rPr>
      <w:fldChar w:fldCharType="begin"/>
    </w:r>
    <w:r w:rsidR="004C487F">
      <w:rPr>
        <w:rStyle w:val="Seitenzahl"/>
      </w:rPr>
      <w:instrText xml:space="preserve">PAGE  </w:instrText>
    </w:r>
    <w:r>
      <w:rPr>
        <w:rStyle w:val="Seitenzahl"/>
      </w:rPr>
      <w:fldChar w:fldCharType="end"/>
    </w:r>
  </w:p>
  <w:p w:rsidR="004C487F" w:rsidRDefault="004C487F">
    <w:pPr>
      <w:pStyle w:val="Fuzeile"/>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487F" w:rsidRPr="00A772B4" w:rsidRDefault="00863D03">
    <w:pPr>
      <w:pStyle w:val="Fuzeile"/>
      <w:jc w:val="right"/>
      <w:rPr>
        <w:rFonts w:ascii="Times New Roman" w:hAnsi="Times New Roman"/>
      </w:rPr>
    </w:pPr>
    <w:r w:rsidRPr="00A772B4">
      <w:rPr>
        <w:rFonts w:ascii="Times New Roman" w:hAnsi="Times New Roman"/>
      </w:rPr>
      <w:fldChar w:fldCharType="begin"/>
    </w:r>
    <w:r w:rsidR="004C487F" w:rsidRPr="00A772B4">
      <w:rPr>
        <w:rFonts w:ascii="Times New Roman" w:hAnsi="Times New Roman"/>
      </w:rPr>
      <w:instrText xml:space="preserve"> PAGE   \* MERGEFORMAT </w:instrText>
    </w:r>
    <w:r w:rsidRPr="00A772B4">
      <w:rPr>
        <w:rFonts w:ascii="Times New Roman" w:hAnsi="Times New Roman"/>
      </w:rPr>
      <w:fldChar w:fldCharType="separate"/>
    </w:r>
    <w:r w:rsidR="00A803C9">
      <w:rPr>
        <w:rFonts w:ascii="Times New Roman" w:hAnsi="Times New Roman"/>
        <w:noProof/>
      </w:rPr>
      <w:t>3</w:t>
    </w:r>
    <w:r w:rsidRPr="00A772B4">
      <w:rPr>
        <w:rFonts w:ascii="Times New Roman" w:hAnsi="Times New Roman"/>
      </w:rPr>
      <w:fldChar w:fldCharType="end"/>
    </w:r>
  </w:p>
  <w:p w:rsidR="004C487F" w:rsidRPr="00A772B4" w:rsidRDefault="004C487F" w:rsidP="00A772B4">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487F" w:rsidRDefault="004C487F" w:rsidP="00D946DB">
      <w:pPr>
        <w:spacing w:before="0" w:after="0"/>
      </w:pPr>
      <w:r>
        <w:separator/>
      </w:r>
    </w:p>
  </w:footnote>
  <w:footnote w:type="continuationSeparator" w:id="0">
    <w:p w:rsidR="004C487F" w:rsidRDefault="004C487F" w:rsidP="00D946DB">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487F" w:rsidRDefault="004C487F">
    <w:pP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139C3"/>
    <w:multiLevelType w:val="hybridMultilevel"/>
    <w:tmpl w:val="5EC8873A"/>
    <w:lvl w:ilvl="0" w:tplc="040A0017">
      <w:start w:val="4"/>
      <w:numFmt w:val="bullet"/>
      <w:lvlText w:val="-"/>
      <w:lvlJc w:val="left"/>
      <w:pPr>
        <w:ind w:left="720" w:hanging="360"/>
      </w:pPr>
      <w:rPr>
        <w:rFonts w:ascii="Arial" w:eastAsia="Times New Roman" w:hAnsi="Arial"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nsid w:val="03B9036A"/>
    <w:multiLevelType w:val="hybridMultilevel"/>
    <w:tmpl w:val="44D86FDE"/>
    <w:lvl w:ilvl="0" w:tplc="11985612">
      <w:start w:val="1"/>
      <w:numFmt w:val="lowerLetter"/>
      <w:lvlText w:val="%1)"/>
      <w:lvlJc w:val="left"/>
      <w:pPr>
        <w:ind w:left="720" w:hanging="360"/>
      </w:pPr>
    </w:lvl>
    <w:lvl w:ilvl="1" w:tplc="7BF04568" w:tentative="1">
      <w:start w:val="1"/>
      <w:numFmt w:val="lowerLetter"/>
      <w:lvlText w:val="%2."/>
      <w:lvlJc w:val="left"/>
      <w:pPr>
        <w:ind w:left="1440" w:hanging="360"/>
      </w:pPr>
    </w:lvl>
    <w:lvl w:ilvl="2" w:tplc="1312D95E" w:tentative="1">
      <w:start w:val="1"/>
      <w:numFmt w:val="lowerRoman"/>
      <w:lvlText w:val="%3."/>
      <w:lvlJc w:val="right"/>
      <w:pPr>
        <w:ind w:left="2160" w:hanging="180"/>
      </w:pPr>
    </w:lvl>
    <w:lvl w:ilvl="3" w:tplc="95821618" w:tentative="1">
      <w:start w:val="1"/>
      <w:numFmt w:val="decimal"/>
      <w:lvlText w:val="%4."/>
      <w:lvlJc w:val="left"/>
      <w:pPr>
        <w:ind w:left="2880" w:hanging="360"/>
      </w:pPr>
    </w:lvl>
    <w:lvl w:ilvl="4" w:tplc="13F2729E" w:tentative="1">
      <w:start w:val="1"/>
      <w:numFmt w:val="lowerLetter"/>
      <w:lvlText w:val="%5."/>
      <w:lvlJc w:val="left"/>
      <w:pPr>
        <w:ind w:left="3600" w:hanging="360"/>
      </w:pPr>
    </w:lvl>
    <w:lvl w:ilvl="5" w:tplc="910CE34E" w:tentative="1">
      <w:start w:val="1"/>
      <w:numFmt w:val="lowerRoman"/>
      <w:lvlText w:val="%6."/>
      <w:lvlJc w:val="right"/>
      <w:pPr>
        <w:ind w:left="4320" w:hanging="180"/>
      </w:pPr>
    </w:lvl>
    <w:lvl w:ilvl="6" w:tplc="C63A4C20" w:tentative="1">
      <w:start w:val="1"/>
      <w:numFmt w:val="decimal"/>
      <w:lvlText w:val="%7."/>
      <w:lvlJc w:val="left"/>
      <w:pPr>
        <w:ind w:left="5040" w:hanging="360"/>
      </w:pPr>
    </w:lvl>
    <w:lvl w:ilvl="7" w:tplc="DA1E6D38" w:tentative="1">
      <w:start w:val="1"/>
      <w:numFmt w:val="lowerLetter"/>
      <w:lvlText w:val="%8."/>
      <w:lvlJc w:val="left"/>
      <w:pPr>
        <w:ind w:left="5760" w:hanging="360"/>
      </w:pPr>
    </w:lvl>
    <w:lvl w:ilvl="8" w:tplc="6EE00492" w:tentative="1">
      <w:start w:val="1"/>
      <w:numFmt w:val="lowerRoman"/>
      <w:lvlText w:val="%9."/>
      <w:lvlJc w:val="right"/>
      <w:pPr>
        <w:ind w:left="6480" w:hanging="180"/>
      </w:pPr>
    </w:lvl>
  </w:abstractNum>
  <w:abstractNum w:abstractNumId="2">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3">
    <w:nsid w:val="065D5978"/>
    <w:multiLevelType w:val="hybridMultilevel"/>
    <w:tmpl w:val="19AC6092"/>
    <w:lvl w:ilvl="0" w:tplc="27381462">
      <w:start w:val="1"/>
      <w:numFmt w:val="lowerLetter"/>
      <w:lvlText w:val="%1)"/>
      <w:lvlJc w:val="left"/>
      <w:pPr>
        <w:ind w:left="720" w:hanging="360"/>
      </w:pPr>
    </w:lvl>
    <w:lvl w:ilvl="1" w:tplc="404E6B4E" w:tentative="1">
      <w:start w:val="1"/>
      <w:numFmt w:val="lowerLetter"/>
      <w:lvlText w:val="%2."/>
      <w:lvlJc w:val="left"/>
      <w:pPr>
        <w:ind w:left="1440" w:hanging="360"/>
      </w:pPr>
    </w:lvl>
    <w:lvl w:ilvl="2" w:tplc="F61422D0" w:tentative="1">
      <w:start w:val="1"/>
      <w:numFmt w:val="lowerRoman"/>
      <w:lvlText w:val="%3."/>
      <w:lvlJc w:val="right"/>
      <w:pPr>
        <w:ind w:left="2160" w:hanging="180"/>
      </w:pPr>
    </w:lvl>
    <w:lvl w:ilvl="3" w:tplc="05A036E0" w:tentative="1">
      <w:start w:val="1"/>
      <w:numFmt w:val="decimal"/>
      <w:lvlText w:val="%4."/>
      <w:lvlJc w:val="left"/>
      <w:pPr>
        <w:ind w:left="2880" w:hanging="360"/>
      </w:pPr>
    </w:lvl>
    <w:lvl w:ilvl="4" w:tplc="97FAD02E" w:tentative="1">
      <w:start w:val="1"/>
      <w:numFmt w:val="lowerLetter"/>
      <w:lvlText w:val="%5."/>
      <w:lvlJc w:val="left"/>
      <w:pPr>
        <w:ind w:left="3600" w:hanging="360"/>
      </w:pPr>
    </w:lvl>
    <w:lvl w:ilvl="5" w:tplc="0A34EEA6" w:tentative="1">
      <w:start w:val="1"/>
      <w:numFmt w:val="lowerRoman"/>
      <w:lvlText w:val="%6."/>
      <w:lvlJc w:val="right"/>
      <w:pPr>
        <w:ind w:left="4320" w:hanging="180"/>
      </w:pPr>
    </w:lvl>
    <w:lvl w:ilvl="6" w:tplc="F6804410" w:tentative="1">
      <w:start w:val="1"/>
      <w:numFmt w:val="decimal"/>
      <w:lvlText w:val="%7."/>
      <w:lvlJc w:val="left"/>
      <w:pPr>
        <w:ind w:left="5040" w:hanging="360"/>
      </w:pPr>
    </w:lvl>
    <w:lvl w:ilvl="7" w:tplc="67ACBCC2" w:tentative="1">
      <w:start w:val="1"/>
      <w:numFmt w:val="lowerLetter"/>
      <w:lvlText w:val="%8."/>
      <w:lvlJc w:val="left"/>
      <w:pPr>
        <w:ind w:left="5760" w:hanging="360"/>
      </w:pPr>
    </w:lvl>
    <w:lvl w:ilvl="8" w:tplc="DD12BC32" w:tentative="1">
      <w:start w:val="1"/>
      <w:numFmt w:val="lowerRoman"/>
      <w:lvlText w:val="%9."/>
      <w:lvlJc w:val="right"/>
      <w:pPr>
        <w:ind w:left="6480" w:hanging="180"/>
      </w:pPr>
    </w:lvl>
  </w:abstractNum>
  <w:abstractNum w:abstractNumId="4">
    <w:nsid w:val="127717DD"/>
    <w:multiLevelType w:val="hybridMultilevel"/>
    <w:tmpl w:val="E57661CC"/>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6">
    <w:nsid w:val="15F91B49"/>
    <w:multiLevelType w:val="hybridMultilevel"/>
    <w:tmpl w:val="D7CC27B6"/>
    <w:lvl w:ilvl="0" w:tplc="313E771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nsid w:val="19C145A5"/>
    <w:multiLevelType w:val="multilevel"/>
    <w:tmpl w:val="005C4994"/>
    <w:lvl w:ilvl="0">
      <w:start w:val="5"/>
      <w:numFmt w:val="decimal"/>
      <w:lvlText w:val="%1."/>
      <w:lvlJc w:val="left"/>
      <w:pPr>
        <w:ind w:left="405" w:hanging="40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nsid w:val="1A222FF4"/>
    <w:multiLevelType w:val="hybridMultilevel"/>
    <w:tmpl w:val="4F422C64"/>
    <w:lvl w:ilvl="0" w:tplc="91F28F2A">
      <w:start w:val="1"/>
      <w:numFmt w:val="decimal"/>
      <w:lvlText w:val="%1."/>
      <w:lvlJc w:val="left"/>
      <w:pPr>
        <w:tabs>
          <w:tab w:val="num" w:pos="539"/>
        </w:tabs>
        <w:ind w:left="539" w:hanging="539"/>
      </w:pPr>
      <w:rPr>
        <w:rFonts w:cs="Times New Roman" w:hint="default"/>
      </w:rPr>
    </w:lvl>
    <w:lvl w:ilvl="1" w:tplc="DAA0A6E0">
      <w:start w:val="1"/>
      <w:numFmt w:val="lowerLetter"/>
      <w:lvlText w:val="%2."/>
      <w:lvlJc w:val="left"/>
      <w:pPr>
        <w:tabs>
          <w:tab w:val="num" w:pos="1440"/>
        </w:tabs>
        <w:ind w:left="1440" w:hanging="360"/>
      </w:pPr>
      <w:rPr>
        <w:rFonts w:hint="default"/>
      </w:rPr>
    </w:lvl>
    <w:lvl w:ilvl="2" w:tplc="0407001B">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9">
    <w:nsid w:val="1B8740C3"/>
    <w:multiLevelType w:val="hybridMultilevel"/>
    <w:tmpl w:val="19AC6092"/>
    <w:lvl w:ilvl="0" w:tplc="04090003">
      <w:start w:val="1"/>
      <w:numFmt w:val="lowerLetter"/>
      <w:lvlText w:val="%1)"/>
      <w:lvlJc w:val="left"/>
      <w:pPr>
        <w:ind w:left="720" w:hanging="360"/>
      </w:pPr>
    </w:lvl>
    <w:lvl w:ilvl="1" w:tplc="04090005"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1">
    <w:nsid w:val="1EC51552"/>
    <w:multiLevelType w:val="hybridMultilevel"/>
    <w:tmpl w:val="C6A2D7DA"/>
    <w:lvl w:ilvl="0" w:tplc="0407001B">
      <w:start w:val="1"/>
      <w:numFmt w:val="lowerRoman"/>
      <w:lvlText w:val="%1."/>
      <w:lvlJc w:val="right"/>
      <w:pPr>
        <w:tabs>
          <w:tab w:val="num" w:pos="1440"/>
        </w:tabs>
        <w:ind w:left="1440" w:hanging="360"/>
      </w:pPr>
      <w:rPr>
        <w:rFonts w:hint="default"/>
      </w:rPr>
    </w:lvl>
    <w:lvl w:ilvl="1" w:tplc="55727D7A" w:tentative="1">
      <w:start w:val="1"/>
      <w:numFmt w:val="bullet"/>
      <w:lvlText w:val="o"/>
      <w:lvlJc w:val="left"/>
      <w:pPr>
        <w:tabs>
          <w:tab w:val="num" w:pos="2160"/>
        </w:tabs>
        <w:ind w:left="2160" w:hanging="360"/>
      </w:pPr>
      <w:rPr>
        <w:rFonts w:ascii="Courier New" w:hAnsi="Courier New" w:hint="default"/>
      </w:rPr>
    </w:lvl>
    <w:lvl w:ilvl="2" w:tplc="1C506D3E" w:tentative="1">
      <w:start w:val="1"/>
      <w:numFmt w:val="bullet"/>
      <w:lvlText w:val=""/>
      <w:lvlJc w:val="left"/>
      <w:pPr>
        <w:tabs>
          <w:tab w:val="num" w:pos="2880"/>
        </w:tabs>
        <w:ind w:left="2880" w:hanging="360"/>
      </w:pPr>
      <w:rPr>
        <w:rFonts w:ascii="Wingdings" w:hAnsi="Wingdings" w:hint="default"/>
      </w:rPr>
    </w:lvl>
    <w:lvl w:ilvl="3" w:tplc="745C8968" w:tentative="1">
      <w:start w:val="1"/>
      <w:numFmt w:val="bullet"/>
      <w:lvlText w:val=""/>
      <w:lvlJc w:val="left"/>
      <w:pPr>
        <w:tabs>
          <w:tab w:val="num" w:pos="3600"/>
        </w:tabs>
        <w:ind w:left="3600" w:hanging="360"/>
      </w:pPr>
      <w:rPr>
        <w:rFonts w:ascii="Symbol" w:hAnsi="Symbol" w:hint="default"/>
      </w:rPr>
    </w:lvl>
    <w:lvl w:ilvl="4" w:tplc="EFB810E6" w:tentative="1">
      <w:start w:val="1"/>
      <w:numFmt w:val="bullet"/>
      <w:lvlText w:val="o"/>
      <w:lvlJc w:val="left"/>
      <w:pPr>
        <w:tabs>
          <w:tab w:val="num" w:pos="4320"/>
        </w:tabs>
        <w:ind w:left="4320" w:hanging="360"/>
      </w:pPr>
      <w:rPr>
        <w:rFonts w:ascii="Courier New" w:hAnsi="Courier New" w:hint="default"/>
      </w:rPr>
    </w:lvl>
    <w:lvl w:ilvl="5" w:tplc="A3FED1D2" w:tentative="1">
      <w:start w:val="1"/>
      <w:numFmt w:val="bullet"/>
      <w:lvlText w:val=""/>
      <w:lvlJc w:val="left"/>
      <w:pPr>
        <w:tabs>
          <w:tab w:val="num" w:pos="5040"/>
        </w:tabs>
        <w:ind w:left="5040" w:hanging="360"/>
      </w:pPr>
      <w:rPr>
        <w:rFonts w:ascii="Wingdings" w:hAnsi="Wingdings" w:hint="default"/>
      </w:rPr>
    </w:lvl>
    <w:lvl w:ilvl="6" w:tplc="FB98B5A8" w:tentative="1">
      <w:start w:val="1"/>
      <w:numFmt w:val="bullet"/>
      <w:lvlText w:val=""/>
      <w:lvlJc w:val="left"/>
      <w:pPr>
        <w:tabs>
          <w:tab w:val="num" w:pos="5760"/>
        </w:tabs>
        <w:ind w:left="5760" w:hanging="360"/>
      </w:pPr>
      <w:rPr>
        <w:rFonts w:ascii="Symbol" w:hAnsi="Symbol" w:hint="default"/>
      </w:rPr>
    </w:lvl>
    <w:lvl w:ilvl="7" w:tplc="8D00D734" w:tentative="1">
      <w:start w:val="1"/>
      <w:numFmt w:val="bullet"/>
      <w:lvlText w:val="o"/>
      <w:lvlJc w:val="left"/>
      <w:pPr>
        <w:tabs>
          <w:tab w:val="num" w:pos="6480"/>
        </w:tabs>
        <w:ind w:left="6480" w:hanging="360"/>
      </w:pPr>
      <w:rPr>
        <w:rFonts w:ascii="Courier New" w:hAnsi="Courier New" w:hint="default"/>
      </w:rPr>
    </w:lvl>
    <w:lvl w:ilvl="8" w:tplc="A128F330" w:tentative="1">
      <w:start w:val="1"/>
      <w:numFmt w:val="bullet"/>
      <w:lvlText w:val=""/>
      <w:lvlJc w:val="left"/>
      <w:pPr>
        <w:tabs>
          <w:tab w:val="num" w:pos="7200"/>
        </w:tabs>
        <w:ind w:left="7200" w:hanging="360"/>
      </w:pPr>
      <w:rPr>
        <w:rFonts w:ascii="Wingdings" w:hAnsi="Wingdings" w:hint="default"/>
      </w:rPr>
    </w:lvl>
  </w:abstractNum>
  <w:abstractNum w:abstractNumId="12">
    <w:nsid w:val="1F8B59CF"/>
    <w:multiLevelType w:val="hybridMultilevel"/>
    <w:tmpl w:val="3C40D654"/>
    <w:lvl w:ilvl="0" w:tplc="04070019">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nsid w:val="26164BE1"/>
    <w:multiLevelType w:val="hybridMultilevel"/>
    <w:tmpl w:val="4D400654"/>
    <w:lvl w:ilvl="0" w:tplc="040A0017">
      <w:start w:val="4"/>
      <w:numFmt w:val="bullet"/>
      <w:lvlText w:val="-"/>
      <w:lvlJc w:val="left"/>
      <w:pPr>
        <w:tabs>
          <w:tab w:val="num" w:pos="717"/>
        </w:tabs>
        <w:ind w:left="717" w:hanging="357"/>
      </w:pPr>
      <w:rPr>
        <w:rFonts w:ascii="Arial" w:eastAsia="Times New Roman" w:hAnsi="Arial" w:hint="default"/>
      </w:rPr>
    </w:lvl>
    <w:lvl w:ilvl="1" w:tplc="040A0019" w:tentative="1">
      <w:start w:val="1"/>
      <w:numFmt w:val="bullet"/>
      <w:lvlText w:val="o"/>
      <w:lvlJc w:val="left"/>
      <w:pPr>
        <w:tabs>
          <w:tab w:val="num" w:pos="1800"/>
        </w:tabs>
        <w:ind w:left="1800" w:hanging="360"/>
      </w:pPr>
      <w:rPr>
        <w:rFonts w:ascii="Courier New" w:hAnsi="Courier New" w:hint="default"/>
      </w:rPr>
    </w:lvl>
    <w:lvl w:ilvl="2" w:tplc="040A001B" w:tentative="1">
      <w:start w:val="1"/>
      <w:numFmt w:val="bullet"/>
      <w:lvlText w:val=""/>
      <w:lvlJc w:val="left"/>
      <w:pPr>
        <w:tabs>
          <w:tab w:val="num" w:pos="2520"/>
        </w:tabs>
        <w:ind w:left="2520" w:hanging="360"/>
      </w:pPr>
      <w:rPr>
        <w:rFonts w:ascii="Wingdings" w:hAnsi="Wingdings" w:hint="default"/>
      </w:rPr>
    </w:lvl>
    <w:lvl w:ilvl="3" w:tplc="040A000F" w:tentative="1">
      <w:start w:val="1"/>
      <w:numFmt w:val="bullet"/>
      <w:lvlText w:val=""/>
      <w:lvlJc w:val="left"/>
      <w:pPr>
        <w:tabs>
          <w:tab w:val="num" w:pos="3240"/>
        </w:tabs>
        <w:ind w:left="3240" w:hanging="360"/>
      </w:pPr>
      <w:rPr>
        <w:rFonts w:ascii="Symbol" w:hAnsi="Symbol" w:hint="default"/>
      </w:rPr>
    </w:lvl>
    <w:lvl w:ilvl="4" w:tplc="040A0019" w:tentative="1">
      <w:start w:val="1"/>
      <w:numFmt w:val="bullet"/>
      <w:lvlText w:val="o"/>
      <w:lvlJc w:val="left"/>
      <w:pPr>
        <w:tabs>
          <w:tab w:val="num" w:pos="3960"/>
        </w:tabs>
        <w:ind w:left="3960" w:hanging="360"/>
      </w:pPr>
      <w:rPr>
        <w:rFonts w:ascii="Courier New" w:hAnsi="Courier New" w:hint="default"/>
      </w:rPr>
    </w:lvl>
    <w:lvl w:ilvl="5" w:tplc="040A001B" w:tentative="1">
      <w:start w:val="1"/>
      <w:numFmt w:val="bullet"/>
      <w:lvlText w:val=""/>
      <w:lvlJc w:val="left"/>
      <w:pPr>
        <w:tabs>
          <w:tab w:val="num" w:pos="4680"/>
        </w:tabs>
        <w:ind w:left="4680" w:hanging="360"/>
      </w:pPr>
      <w:rPr>
        <w:rFonts w:ascii="Wingdings" w:hAnsi="Wingdings" w:hint="default"/>
      </w:rPr>
    </w:lvl>
    <w:lvl w:ilvl="6" w:tplc="040A000F" w:tentative="1">
      <w:start w:val="1"/>
      <w:numFmt w:val="bullet"/>
      <w:lvlText w:val=""/>
      <w:lvlJc w:val="left"/>
      <w:pPr>
        <w:tabs>
          <w:tab w:val="num" w:pos="5400"/>
        </w:tabs>
        <w:ind w:left="5400" w:hanging="360"/>
      </w:pPr>
      <w:rPr>
        <w:rFonts w:ascii="Symbol" w:hAnsi="Symbol" w:hint="default"/>
      </w:rPr>
    </w:lvl>
    <w:lvl w:ilvl="7" w:tplc="040A0019" w:tentative="1">
      <w:start w:val="1"/>
      <w:numFmt w:val="bullet"/>
      <w:lvlText w:val="o"/>
      <w:lvlJc w:val="left"/>
      <w:pPr>
        <w:tabs>
          <w:tab w:val="num" w:pos="6120"/>
        </w:tabs>
        <w:ind w:left="6120" w:hanging="360"/>
      </w:pPr>
      <w:rPr>
        <w:rFonts w:ascii="Courier New" w:hAnsi="Courier New" w:hint="default"/>
      </w:rPr>
    </w:lvl>
    <w:lvl w:ilvl="8" w:tplc="040A001B" w:tentative="1">
      <w:start w:val="1"/>
      <w:numFmt w:val="bullet"/>
      <w:lvlText w:val=""/>
      <w:lvlJc w:val="left"/>
      <w:pPr>
        <w:tabs>
          <w:tab w:val="num" w:pos="6840"/>
        </w:tabs>
        <w:ind w:left="6840" w:hanging="360"/>
      </w:pPr>
      <w:rPr>
        <w:rFonts w:ascii="Wingdings" w:hAnsi="Wingdings" w:hint="default"/>
      </w:rPr>
    </w:lvl>
  </w:abstractNum>
  <w:abstractNum w:abstractNumId="14">
    <w:nsid w:val="265E1C6C"/>
    <w:multiLevelType w:val="hybridMultilevel"/>
    <w:tmpl w:val="21DE9D90"/>
    <w:lvl w:ilvl="0" w:tplc="5614B816">
      <w:start w:val="1"/>
      <w:numFmt w:val="bullet"/>
      <w:lvlText w:val=""/>
      <w:lvlJc w:val="left"/>
      <w:pPr>
        <w:tabs>
          <w:tab w:val="num" w:pos="720"/>
        </w:tabs>
        <w:ind w:left="720" w:hanging="360"/>
      </w:pPr>
      <w:rPr>
        <w:rFonts w:ascii="Symbol" w:hAnsi="Symbol" w:hint="default"/>
      </w:rPr>
    </w:lvl>
    <w:lvl w:ilvl="1" w:tplc="BE3EE6E8" w:tentative="1">
      <w:start w:val="1"/>
      <w:numFmt w:val="bullet"/>
      <w:lvlText w:val="o"/>
      <w:lvlJc w:val="left"/>
      <w:pPr>
        <w:tabs>
          <w:tab w:val="num" w:pos="1440"/>
        </w:tabs>
        <w:ind w:left="1440" w:hanging="360"/>
      </w:pPr>
      <w:rPr>
        <w:rFonts w:ascii="Courier New" w:hAnsi="Courier New" w:hint="default"/>
      </w:rPr>
    </w:lvl>
    <w:lvl w:ilvl="2" w:tplc="EB2EFE10" w:tentative="1">
      <w:start w:val="1"/>
      <w:numFmt w:val="bullet"/>
      <w:lvlText w:val=""/>
      <w:lvlJc w:val="left"/>
      <w:pPr>
        <w:tabs>
          <w:tab w:val="num" w:pos="2160"/>
        </w:tabs>
        <w:ind w:left="2160" w:hanging="360"/>
      </w:pPr>
      <w:rPr>
        <w:rFonts w:ascii="Wingdings" w:hAnsi="Wingdings" w:hint="default"/>
      </w:rPr>
    </w:lvl>
    <w:lvl w:ilvl="3" w:tplc="6E0AEA0A" w:tentative="1">
      <w:start w:val="1"/>
      <w:numFmt w:val="bullet"/>
      <w:lvlText w:val=""/>
      <w:lvlJc w:val="left"/>
      <w:pPr>
        <w:tabs>
          <w:tab w:val="num" w:pos="2880"/>
        </w:tabs>
        <w:ind w:left="2880" w:hanging="360"/>
      </w:pPr>
      <w:rPr>
        <w:rFonts w:ascii="Symbol" w:hAnsi="Symbol" w:hint="default"/>
      </w:rPr>
    </w:lvl>
    <w:lvl w:ilvl="4" w:tplc="185CE796" w:tentative="1">
      <w:start w:val="1"/>
      <w:numFmt w:val="bullet"/>
      <w:lvlText w:val="o"/>
      <w:lvlJc w:val="left"/>
      <w:pPr>
        <w:tabs>
          <w:tab w:val="num" w:pos="3600"/>
        </w:tabs>
        <w:ind w:left="3600" w:hanging="360"/>
      </w:pPr>
      <w:rPr>
        <w:rFonts w:ascii="Courier New" w:hAnsi="Courier New" w:hint="default"/>
      </w:rPr>
    </w:lvl>
    <w:lvl w:ilvl="5" w:tplc="EBEC3E38" w:tentative="1">
      <w:start w:val="1"/>
      <w:numFmt w:val="bullet"/>
      <w:lvlText w:val=""/>
      <w:lvlJc w:val="left"/>
      <w:pPr>
        <w:tabs>
          <w:tab w:val="num" w:pos="4320"/>
        </w:tabs>
        <w:ind w:left="4320" w:hanging="360"/>
      </w:pPr>
      <w:rPr>
        <w:rFonts w:ascii="Wingdings" w:hAnsi="Wingdings" w:hint="default"/>
      </w:rPr>
    </w:lvl>
    <w:lvl w:ilvl="6" w:tplc="3BF81190" w:tentative="1">
      <w:start w:val="1"/>
      <w:numFmt w:val="bullet"/>
      <w:lvlText w:val=""/>
      <w:lvlJc w:val="left"/>
      <w:pPr>
        <w:tabs>
          <w:tab w:val="num" w:pos="5040"/>
        </w:tabs>
        <w:ind w:left="5040" w:hanging="360"/>
      </w:pPr>
      <w:rPr>
        <w:rFonts w:ascii="Symbol" w:hAnsi="Symbol" w:hint="default"/>
      </w:rPr>
    </w:lvl>
    <w:lvl w:ilvl="7" w:tplc="3F669EA0" w:tentative="1">
      <w:start w:val="1"/>
      <w:numFmt w:val="bullet"/>
      <w:lvlText w:val="o"/>
      <w:lvlJc w:val="left"/>
      <w:pPr>
        <w:tabs>
          <w:tab w:val="num" w:pos="5760"/>
        </w:tabs>
        <w:ind w:left="5760" w:hanging="360"/>
      </w:pPr>
      <w:rPr>
        <w:rFonts w:ascii="Courier New" w:hAnsi="Courier New" w:hint="default"/>
      </w:rPr>
    </w:lvl>
    <w:lvl w:ilvl="8" w:tplc="F0E056FA" w:tentative="1">
      <w:start w:val="1"/>
      <w:numFmt w:val="bullet"/>
      <w:lvlText w:val=""/>
      <w:lvlJc w:val="left"/>
      <w:pPr>
        <w:tabs>
          <w:tab w:val="num" w:pos="6480"/>
        </w:tabs>
        <w:ind w:left="6480" w:hanging="360"/>
      </w:pPr>
      <w:rPr>
        <w:rFonts w:ascii="Wingdings" w:hAnsi="Wingdings" w:hint="default"/>
      </w:rPr>
    </w:lvl>
  </w:abstractNum>
  <w:abstractNum w:abstractNumId="15">
    <w:nsid w:val="28806F6A"/>
    <w:multiLevelType w:val="hybridMultilevel"/>
    <w:tmpl w:val="C6A2D7DA"/>
    <w:lvl w:ilvl="0" w:tplc="0407001B">
      <w:start w:val="1"/>
      <w:numFmt w:val="lowerRoman"/>
      <w:lvlText w:val="%1."/>
      <w:lvlJc w:val="right"/>
      <w:pPr>
        <w:tabs>
          <w:tab w:val="num" w:pos="795"/>
        </w:tabs>
        <w:ind w:left="795" w:hanging="360"/>
      </w:pPr>
      <w:rPr>
        <w:rFonts w:hint="default"/>
      </w:rPr>
    </w:lvl>
    <w:lvl w:ilvl="1" w:tplc="55727D7A" w:tentative="1">
      <w:start w:val="1"/>
      <w:numFmt w:val="bullet"/>
      <w:lvlText w:val="o"/>
      <w:lvlJc w:val="left"/>
      <w:pPr>
        <w:tabs>
          <w:tab w:val="num" w:pos="1515"/>
        </w:tabs>
        <w:ind w:left="1515" w:hanging="360"/>
      </w:pPr>
      <w:rPr>
        <w:rFonts w:ascii="Courier New" w:hAnsi="Courier New" w:hint="default"/>
      </w:rPr>
    </w:lvl>
    <w:lvl w:ilvl="2" w:tplc="1C506D3E" w:tentative="1">
      <w:start w:val="1"/>
      <w:numFmt w:val="bullet"/>
      <w:lvlText w:val=""/>
      <w:lvlJc w:val="left"/>
      <w:pPr>
        <w:tabs>
          <w:tab w:val="num" w:pos="2235"/>
        </w:tabs>
        <w:ind w:left="2235" w:hanging="360"/>
      </w:pPr>
      <w:rPr>
        <w:rFonts w:ascii="Wingdings" w:hAnsi="Wingdings" w:hint="default"/>
      </w:rPr>
    </w:lvl>
    <w:lvl w:ilvl="3" w:tplc="745C8968" w:tentative="1">
      <w:start w:val="1"/>
      <w:numFmt w:val="bullet"/>
      <w:lvlText w:val=""/>
      <w:lvlJc w:val="left"/>
      <w:pPr>
        <w:tabs>
          <w:tab w:val="num" w:pos="2955"/>
        </w:tabs>
        <w:ind w:left="2955" w:hanging="360"/>
      </w:pPr>
      <w:rPr>
        <w:rFonts w:ascii="Symbol" w:hAnsi="Symbol" w:hint="default"/>
      </w:rPr>
    </w:lvl>
    <w:lvl w:ilvl="4" w:tplc="EFB810E6" w:tentative="1">
      <w:start w:val="1"/>
      <w:numFmt w:val="bullet"/>
      <w:lvlText w:val="o"/>
      <w:lvlJc w:val="left"/>
      <w:pPr>
        <w:tabs>
          <w:tab w:val="num" w:pos="3675"/>
        </w:tabs>
        <w:ind w:left="3675" w:hanging="360"/>
      </w:pPr>
      <w:rPr>
        <w:rFonts w:ascii="Courier New" w:hAnsi="Courier New" w:hint="default"/>
      </w:rPr>
    </w:lvl>
    <w:lvl w:ilvl="5" w:tplc="A3FED1D2" w:tentative="1">
      <w:start w:val="1"/>
      <w:numFmt w:val="bullet"/>
      <w:lvlText w:val=""/>
      <w:lvlJc w:val="left"/>
      <w:pPr>
        <w:tabs>
          <w:tab w:val="num" w:pos="4395"/>
        </w:tabs>
        <w:ind w:left="4395" w:hanging="360"/>
      </w:pPr>
      <w:rPr>
        <w:rFonts w:ascii="Wingdings" w:hAnsi="Wingdings" w:hint="default"/>
      </w:rPr>
    </w:lvl>
    <w:lvl w:ilvl="6" w:tplc="FB98B5A8" w:tentative="1">
      <w:start w:val="1"/>
      <w:numFmt w:val="bullet"/>
      <w:lvlText w:val=""/>
      <w:lvlJc w:val="left"/>
      <w:pPr>
        <w:tabs>
          <w:tab w:val="num" w:pos="5115"/>
        </w:tabs>
        <w:ind w:left="5115" w:hanging="360"/>
      </w:pPr>
      <w:rPr>
        <w:rFonts w:ascii="Symbol" w:hAnsi="Symbol" w:hint="default"/>
      </w:rPr>
    </w:lvl>
    <w:lvl w:ilvl="7" w:tplc="8D00D734" w:tentative="1">
      <w:start w:val="1"/>
      <w:numFmt w:val="bullet"/>
      <w:lvlText w:val="o"/>
      <w:lvlJc w:val="left"/>
      <w:pPr>
        <w:tabs>
          <w:tab w:val="num" w:pos="5835"/>
        </w:tabs>
        <w:ind w:left="5835" w:hanging="360"/>
      </w:pPr>
      <w:rPr>
        <w:rFonts w:ascii="Courier New" w:hAnsi="Courier New" w:hint="default"/>
      </w:rPr>
    </w:lvl>
    <w:lvl w:ilvl="8" w:tplc="A128F330" w:tentative="1">
      <w:start w:val="1"/>
      <w:numFmt w:val="bullet"/>
      <w:lvlText w:val=""/>
      <w:lvlJc w:val="left"/>
      <w:pPr>
        <w:tabs>
          <w:tab w:val="num" w:pos="6555"/>
        </w:tabs>
        <w:ind w:left="6555" w:hanging="360"/>
      </w:pPr>
      <w:rPr>
        <w:rFonts w:ascii="Wingdings" w:hAnsi="Wingdings" w:hint="default"/>
      </w:rPr>
    </w:lvl>
  </w:abstractNum>
  <w:abstractNum w:abstractNumId="16">
    <w:nsid w:val="298D3E4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7">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2E8D2277"/>
    <w:multiLevelType w:val="hybridMultilevel"/>
    <w:tmpl w:val="D7B4AA3E"/>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9">
    <w:nsid w:val="2F7D7F02"/>
    <w:multiLevelType w:val="multilevel"/>
    <w:tmpl w:val="0407001D"/>
    <w:numStyleLink w:val="Formatvorlage3"/>
  </w:abstractNum>
  <w:abstractNum w:abstractNumId="20">
    <w:nsid w:val="33057CB8"/>
    <w:multiLevelType w:val="hybridMultilevel"/>
    <w:tmpl w:val="EA70702C"/>
    <w:lvl w:ilvl="0" w:tplc="236EA62C">
      <w:start w:val="1"/>
      <w:numFmt w:val="decimal"/>
      <w:pStyle w:val="InstructionsText2"/>
      <w:lvlText w:val="%1."/>
      <w:lvlJc w:val="left"/>
      <w:pPr>
        <w:ind w:left="720" w:hanging="360"/>
      </w:pPr>
    </w:lvl>
    <w:lvl w:ilvl="1" w:tplc="04070003">
      <w:start w:val="1"/>
      <w:numFmt w:val="lowerLetter"/>
      <w:lvlText w:val="%2."/>
      <w:lvlJc w:val="left"/>
      <w:pPr>
        <w:ind w:left="1440" w:hanging="360"/>
      </w:pPr>
    </w:lvl>
    <w:lvl w:ilvl="2" w:tplc="04070005" w:tentative="1">
      <w:start w:val="1"/>
      <w:numFmt w:val="lowerRoman"/>
      <w:lvlText w:val="%3."/>
      <w:lvlJc w:val="right"/>
      <w:pPr>
        <w:ind w:left="2160" w:hanging="180"/>
      </w:pPr>
    </w:lvl>
    <w:lvl w:ilvl="3" w:tplc="0407000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1">
    <w:nsid w:val="342F395B"/>
    <w:multiLevelType w:val="hybridMultilevel"/>
    <w:tmpl w:val="457CF2E2"/>
    <w:lvl w:ilvl="0" w:tplc="A3DCA00A">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2">
    <w:nsid w:val="35F710B0"/>
    <w:multiLevelType w:val="hybridMultilevel"/>
    <w:tmpl w:val="FD22CF7A"/>
    <w:lvl w:ilvl="0" w:tplc="BDD2BF50">
      <w:start w:val="10"/>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24">
    <w:nsid w:val="383050FB"/>
    <w:multiLevelType w:val="hybridMultilevel"/>
    <w:tmpl w:val="DFA8D8CC"/>
    <w:lvl w:ilvl="0" w:tplc="23CCC556">
      <w:start w:val="1"/>
      <w:numFmt w:val="bullet"/>
      <w:lvlText w:val="o"/>
      <w:lvlJc w:val="left"/>
      <w:pPr>
        <w:tabs>
          <w:tab w:val="num" w:pos="720"/>
        </w:tabs>
        <w:ind w:left="720" w:hanging="360"/>
      </w:pPr>
      <w:rPr>
        <w:rFonts w:ascii="Courier New" w:hAnsi="Courier New"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nsid w:val="39A11958"/>
    <w:multiLevelType w:val="hybridMultilevel"/>
    <w:tmpl w:val="FC90A374"/>
    <w:lvl w:ilvl="0" w:tplc="040A0001">
      <w:start w:val="1"/>
      <w:numFmt w:val="bullet"/>
      <w:lvlText w:val=""/>
      <w:lvlJc w:val="left"/>
      <w:pPr>
        <w:ind w:left="753" w:hanging="360"/>
      </w:pPr>
      <w:rPr>
        <w:rFonts w:ascii="Symbol" w:hAnsi="Symbol" w:hint="default"/>
      </w:rPr>
    </w:lvl>
    <w:lvl w:ilvl="1" w:tplc="040A0003" w:tentative="1">
      <w:start w:val="1"/>
      <w:numFmt w:val="bullet"/>
      <w:lvlText w:val="o"/>
      <w:lvlJc w:val="left"/>
      <w:pPr>
        <w:ind w:left="1473" w:hanging="360"/>
      </w:pPr>
      <w:rPr>
        <w:rFonts w:ascii="Courier New" w:hAnsi="Courier New" w:cs="Courier New" w:hint="default"/>
      </w:rPr>
    </w:lvl>
    <w:lvl w:ilvl="2" w:tplc="040A0005" w:tentative="1">
      <w:start w:val="1"/>
      <w:numFmt w:val="bullet"/>
      <w:lvlText w:val=""/>
      <w:lvlJc w:val="left"/>
      <w:pPr>
        <w:ind w:left="2193" w:hanging="360"/>
      </w:pPr>
      <w:rPr>
        <w:rFonts w:ascii="Wingdings" w:hAnsi="Wingdings" w:hint="default"/>
      </w:rPr>
    </w:lvl>
    <w:lvl w:ilvl="3" w:tplc="040A0001" w:tentative="1">
      <w:start w:val="1"/>
      <w:numFmt w:val="bullet"/>
      <w:lvlText w:val=""/>
      <w:lvlJc w:val="left"/>
      <w:pPr>
        <w:ind w:left="2913" w:hanging="360"/>
      </w:pPr>
      <w:rPr>
        <w:rFonts w:ascii="Symbol" w:hAnsi="Symbol" w:hint="default"/>
      </w:rPr>
    </w:lvl>
    <w:lvl w:ilvl="4" w:tplc="040A0003" w:tentative="1">
      <w:start w:val="1"/>
      <w:numFmt w:val="bullet"/>
      <w:lvlText w:val="o"/>
      <w:lvlJc w:val="left"/>
      <w:pPr>
        <w:ind w:left="3633" w:hanging="360"/>
      </w:pPr>
      <w:rPr>
        <w:rFonts w:ascii="Courier New" w:hAnsi="Courier New" w:cs="Courier New" w:hint="default"/>
      </w:rPr>
    </w:lvl>
    <w:lvl w:ilvl="5" w:tplc="040A0005" w:tentative="1">
      <w:start w:val="1"/>
      <w:numFmt w:val="bullet"/>
      <w:lvlText w:val=""/>
      <w:lvlJc w:val="left"/>
      <w:pPr>
        <w:ind w:left="4353" w:hanging="360"/>
      </w:pPr>
      <w:rPr>
        <w:rFonts w:ascii="Wingdings" w:hAnsi="Wingdings" w:hint="default"/>
      </w:rPr>
    </w:lvl>
    <w:lvl w:ilvl="6" w:tplc="040A0001" w:tentative="1">
      <w:start w:val="1"/>
      <w:numFmt w:val="bullet"/>
      <w:lvlText w:val=""/>
      <w:lvlJc w:val="left"/>
      <w:pPr>
        <w:ind w:left="5073" w:hanging="360"/>
      </w:pPr>
      <w:rPr>
        <w:rFonts w:ascii="Symbol" w:hAnsi="Symbol" w:hint="default"/>
      </w:rPr>
    </w:lvl>
    <w:lvl w:ilvl="7" w:tplc="040A0003" w:tentative="1">
      <w:start w:val="1"/>
      <w:numFmt w:val="bullet"/>
      <w:lvlText w:val="o"/>
      <w:lvlJc w:val="left"/>
      <w:pPr>
        <w:ind w:left="5793" w:hanging="360"/>
      </w:pPr>
      <w:rPr>
        <w:rFonts w:ascii="Courier New" w:hAnsi="Courier New" w:cs="Courier New" w:hint="default"/>
      </w:rPr>
    </w:lvl>
    <w:lvl w:ilvl="8" w:tplc="040A0005" w:tentative="1">
      <w:start w:val="1"/>
      <w:numFmt w:val="bullet"/>
      <w:lvlText w:val=""/>
      <w:lvlJc w:val="left"/>
      <w:pPr>
        <w:ind w:left="6513" w:hanging="360"/>
      </w:pPr>
      <w:rPr>
        <w:rFonts w:ascii="Wingdings" w:hAnsi="Wingdings" w:hint="default"/>
      </w:rPr>
    </w:lvl>
  </w:abstractNum>
  <w:abstractNum w:abstractNumId="26">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nsid w:val="41E06437"/>
    <w:multiLevelType w:val="hybridMultilevel"/>
    <w:tmpl w:val="63368D06"/>
    <w:lvl w:ilvl="0" w:tplc="AFB2E206">
      <w:start w:val="327"/>
      <w:numFmt w:val="bullet"/>
      <w:lvlText w:val=""/>
      <w:lvlJc w:val="left"/>
      <w:pPr>
        <w:ind w:left="720" w:hanging="360"/>
      </w:pPr>
      <w:rPr>
        <w:rFonts w:ascii="Wingdings" w:eastAsia="Times New Roman" w:hAnsi="Wingdings"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nsid w:val="435970AA"/>
    <w:multiLevelType w:val="hybridMultilevel"/>
    <w:tmpl w:val="72DA8D0C"/>
    <w:lvl w:ilvl="0" w:tplc="5600CEDC">
      <w:start w:val="1"/>
      <w:numFmt w:val="lowerLetter"/>
      <w:lvlText w:val="(%1)"/>
      <w:lvlJc w:val="left"/>
      <w:pPr>
        <w:ind w:left="1210" w:hanging="360"/>
      </w:pPr>
      <w:rPr>
        <w:rFonts w:hint="default"/>
      </w:rPr>
    </w:lvl>
    <w:lvl w:ilvl="1" w:tplc="0C0A0019" w:tentative="1">
      <w:start w:val="1"/>
      <w:numFmt w:val="lowerLetter"/>
      <w:lvlText w:val="%2."/>
      <w:lvlJc w:val="left"/>
      <w:pPr>
        <w:ind w:left="1930" w:hanging="360"/>
      </w:pPr>
    </w:lvl>
    <w:lvl w:ilvl="2" w:tplc="0C0A001B" w:tentative="1">
      <w:start w:val="1"/>
      <w:numFmt w:val="lowerRoman"/>
      <w:lvlText w:val="%3."/>
      <w:lvlJc w:val="right"/>
      <w:pPr>
        <w:ind w:left="2650" w:hanging="180"/>
      </w:pPr>
    </w:lvl>
    <w:lvl w:ilvl="3" w:tplc="0C0A000F" w:tentative="1">
      <w:start w:val="1"/>
      <w:numFmt w:val="decimal"/>
      <w:lvlText w:val="%4."/>
      <w:lvlJc w:val="left"/>
      <w:pPr>
        <w:ind w:left="3370" w:hanging="360"/>
      </w:pPr>
    </w:lvl>
    <w:lvl w:ilvl="4" w:tplc="0C0A0019" w:tentative="1">
      <w:start w:val="1"/>
      <w:numFmt w:val="lowerLetter"/>
      <w:lvlText w:val="%5."/>
      <w:lvlJc w:val="left"/>
      <w:pPr>
        <w:ind w:left="4090" w:hanging="360"/>
      </w:pPr>
    </w:lvl>
    <w:lvl w:ilvl="5" w:tplc="0C0A001B" w:tentative="1">
      <w:start w:val="1"/>
      <w:numFmt w:val="lowerRoman"/>
      <w:lvlText w:val="%6."/>
      <w:lvlJc w:val="right"/>
      <w:pPr>
        <w:ind w:left="4810" w:hanging="180"/>
      </w:pPr>
    </w:lvl>
    <w:lvl w:ilvl="6" w:tplc="0C0A000F" w:tentative="1">
      <w:start w:val="1"/>
      <w:numFmt w:val="decimal"/>
      <w:lvlText w:val="%7."/>
      <w:lvlJc w:val="left"/>
      <w:pPr>
        <w:ind w:left="5530" w:hanging="360"/>
      </w:pPr>
    </w:lvl>
    <w:lvl w:ilvl="7" w:tplc="0C0A0019" w:tentative="1">
      <w:start w:val="1"/>
      <w:numFmt w:val="lowerLetter"/>
      <w:lvlText w:val="%8."/>
      <w:lvlJc w:val="left"/>
      <w:pPr>
        <w:ind w:left="6250" w:hanging="360"/>
      </w:pPr>
    </w:lvl>
    <w:lvl w:ilvl="8" w:tplc="0C0A001B" w:tentative="1">
      <w:start w:val="1"/>
      <w:numFmt w:val="lowerRoman"/>
      <w:lvlText w:val="%9."/>
      <w:lvlJc w:val="right"/>
      <w:pPr>
        <w:ind w:left="6970" w:hanging="180"/>
      </w:pPr>
    </w:lvl>
  </w:abstractNum>
  <w:abstractNum w:abstractNumId="29">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0">
    <w:nsid w:val="4C576841"/>
    <w:multiLevelType w:val="hybridMultilevel"/>
    <w:tmpl w:val="958812F6"/>
    <w:lvl w:ilvl="0" w:tplc="661CD2C6">
      <w:start w:val="1"/>
      <w:numFmt w:val="bullet"/>
      <w:lvlText w:val="o"/>
      <w:lvlJc w:val="left"/>
      <w:pPr>
        <w:tabs>
          <w:tab w:val="num" w:pos="720"/>
        </w:tabs>
        <w:ind w:left="720" w:hanging="360"/>
      </w:pPr>
      <w:rPr>
        <w:rFonts w:ascii="Courier New" w:hAnsi="Courier New" w:hint="default"/>
      </w:rPr>
    </w:lvl>
    <w:lvl w:ilvl="1" w:tplc="04070019">
      <w:start w:val="1"/>
      <w:numFmt w:val="bullet"/>
      <w:lvlText w:val=""/>
      <w:lvlJc w:val="left"/>
      <w:pPr>
        <w:tabs>
          <w:tab w:val="num" w:pos="1440"/>
        </w:tabs>
        <w:ind w:left="1440" w:hanging="360"/>
      </w:pPr>
      <w:rPr>
        <w:rFonts w:ascii="Wingdings" w:hAnsi="Wingdings"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1">
    <w:nsid w:val="4C644F1E"/>
    <w:multiLevelType w:val="hybridMultilevel"/>
    <w:tmpl w:val="19AC6092"/>
    <w:lvl w:ilvl="0" w:tplc="C242F26A">
      <w:start w:val="1"/>
      <w:numFmt w:val="lowerLetter"/>
      <w:lvlText w:val="%1)"/>
      <w:lvlJc w:val="left"/>
      <w:pPr>
        <w:ind w:left="720" w:hanging="360"/>
      </w:pPr>
    </w:lvl>
    <w:lvl w:ilvl="1" w:tplc="5F7EFB24" w:tentative="1">
      <w:start w:val="1"/>
      <w:numFmt w:val="lowerLetter"/>
      <w:lvlText w:val="%2."/>
      <w:lvlJc w:val="left"/>
      <w:pPr>
        <w:ind w:left="1440" w:hanging="360"/>
      </w:pPr>
    </w:lvl>
    <w:lvl w:ilvl="2" w:tplc="30EC1DB6" w:tentative="1">
      <w:start w:val="1"/>
      <w:numFmt w:val="lowerRoman"/>
      <w:lvlText w:val="%3."/>
      <w:lvlJc w:val="right"/>
      <w:pPr>
        <w:ind w:left="2160" w:hanging="180"/>
      </w:pPr>
    </w:lvl>
    <w:lvl w:ilvl="3" w:tplc="45C2B2E8" w:tentative="1">
      <w:start w:val="1"/>
      <w:numFmt w:val="decimal"/>
      <w:lvlText w:val="%4."/>
      <w:lvlJc w:val="left"/>
      <w:pPr>
        <w:ind w:left="2880" w:hanging="360"/>
      </w:pPr>
    </w:lvl>
    <w:lvl w:ilvl="4" w:tplc="06A8C0D2" w:tentative="1">
      <w:start w:val="1"/>
      <w:numFmt w:val="lowerLetter"/>
      <w:lvlText w:val="%5."/>
      <w:lvlJc w:val="left"/>
      <w:pPr>
        <w:ind w:left="3600" w:hanging="360"/>
      </w:pPr>
    </w:lvl>
    <w:lvl w:ilvl="5" w:tplc="C44E76DC" w:tentative="1">
      <w:start w:val="1"/>
      <w:numFmt w:val="lowerRoman"/>
      <w:lvlText w:val="%6."/>
      <w:lvlJc w:val="right"/>
      <w:pPr>
        <w:ind w:left="4320" w:hanging="180"/>
      </w:pPr>
    </w:lvl>
    <w:lvl w:ilvl="6" w:tplc="30B4D070" w:tentative="1">
      <w:start w:val="1"/>
      <w:numFmt w:val="decimal"/>
      <w:lvlText w:val="%7."/>
      <w:lvlJc w:val="left"/>
      <w:pPr>
        <w:ind w:left="5040" w:hanging="360"/>
      </w:pPr>
    </w:lvl>
    <w:lvl w:ilvl="7" w:tplc="FF1219AA" w:tentative="1">
      <w:start w:val="1"/>
      <w:numFmt w:val="lowerLetter"/>
      <w:lvlText w:val="%8."/>
      <w:lvlJc w:val="left"/>
      <w:pPr>
        <w:ind w:left="5760" w:hanging="360"/>
      </w:pPr>
    </w:lvl>
    <w:lvl w:ilvl="8" w:tplc="F7BC8E82" w:tentative="1">
      <w:start w:val="1"/>
      <w:numFmt w:val="lowerRoman"/>
      <w:lvlText w:val="%9."/>
      <w:lvlJc w:val="right"/>
      <w:pPr>
        <w:ind w:left="6480" w:hanging="180"/>
      </w:pPr>
    </w:lvl>
  </w:abstractNum>
  <w:abstractNum w:abstractNumId="32">
    <w:nsid w:val="4EB95802"/>
    <w:multiLevelType w:val="multilevel"/>
    <w:tmpl w:val="0407001D"/>
    <w:styleLink w:val="Formatvorlage3"/>
    <w:lvl w:ilvl="0">
      <w:start w:val="1"/>
      <w:numFmt w:val="none"/>
      <w:pStyle w:val="berschrift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34">
    <w:nsid w:val="542857ED"/>
    <w:multiLevelType w:val="hybridMultilevel"/>
    <w:tmpl w:val="C6A2D7DA"/>
    <w:lvl w:ilvl="0" w:tplc="0407001B">
      <w:start w:val="1"/>
      <w:numFmt w:val="lowerRoman"/>
      <w:lvlText w:val="%1."/>
      <w:lvlJc w:val="right"/>
      <w:pPr>
        <w:tabs>
          <w:tab w:val="num" w:pos="795"/>
        </w:tabs>
        <w:ind w:left="795" w:hanging="360"/>
      </w:pPr>
      <w:rPr>
        <w:rFonts w:hint="default"/>
      </w:rPr>
    </w:lvl>
    <w:lvl w:ilvl="1" w:tplc="55727D7A" w:tentative="1">
      <w:start w:val="1"/>
      <w:numFmt w:val="bullet"/>
      <w:lvlText w:val="o"/>
      <w:lvlJc w:val="left"/>
      <w:pPr>
        <w:tabs>
          <w:tab w:val="num" w:pos="1515"/>
        </w:tabs>
        <w:ind w:left="1515" w:hanging="360"/>
      </w:pPr>
      <w:rPr>
        <w:rFonts w:ascii="Courier New" w:hAnsi="Courier New" w:hint="default"/>
      </w:rPr>
    </w:lvl>
    <w:lvl w:ilvl="2" w:tplc="1C506D3E" w:tentative="1">
      <w:start w:val="1"/>
      <w:numFmt w:val="bullet"/>
      <w:lvlText w:val=""/>
      <w:lvlJc w:val="left"/>
      <w:pPr>
        <w:tabs>
          <w:tab w:val="num" w:pos="2235"/>
        </w:tabs>
        <w:ind w:left="2235" w:hanging="360"/>
      </w:pPr>
      <w:rPr>
        <w:rFonts w:ascii="Wingdings" w:hAnsi="Wingdings" w:hint="default"/>
      </w:rPr>
    </w:lvl>
    <w:lvl w:ilvl="3" w:tplc="745C8968" w:tentative="1">
      <w:start w:val="1"/>
      <w:numFmt w:val="bullet"/>
      <w:lvlText w:val=""/>
      <w:lvlJc w:val="left"/>
      <w:pPr>
        <w:tabs>
          <w:tab w:val="num" w:pos="2955"/>
        </w:tabs>
        <w:ind w:left="2955" w:hanging="360"/>
      </w:pPr>
      <w:rPr>
        <w:rFonts w:ascii="Symbol" w:hAnsi="Symbol" w:hint="default"/>
      </w:rPr>
    </w:lvl>
    <w:lvl w:ilvl="4" w:tplc="EFB810E6" w:tentative="1">
      <w:start w:val="1"/>
      <w:numFmt w:val="bullet"/>
      <w:lvlText w:val="o"/>
      <w:lvlJc w:val="left"/>
      <w:pPr>
        <w:tabs>
          <w:tab w:val="num" w:pos="3675"/>
        </w:tabs>
        <w:ind w:left="3675" w:hanging="360"/>
      </w:pPr>
      <w:rPr>
        <w:rFonts w:ascii="Courier New" w:hAnsi="Courier New" w:hint="default"/>
      </w:rPr>
    </w:lvl>
    <w:lvl w:ilvl="5" w:tplc="A3FED1D2" w:tentative="1">
      <w:start w:val="1"/>
      <w:numFmt w:val="bullet"/>
      <w:lvlText w:val=""/>
      <w:lvlJc w:val="left"/>
      <w:pPr>
        <w:tabs>
          <w:tab w:val="num" w:pos="4395"/>
        </w:tabs>
        <w:ind w:left="4395" w:hanging="360"/>
      </w:pPr>
      <w:rPr>
        <w:rFonts w:ascii="Wingdings" w:hAnsi="Wingdings" w:hint="default"/>
      </w:rPr>
    </w:lvl>
    <w:lvl w:ilvl="6" w:tplc="FB98B5A8" w:tentative="1">
      <w:start w:val="1"/>
      <w:numFmt w:val="bullet"/>
      <w:lvlText w:val=""/>
      <w:lvlJc w:val="left"/>
      <w:pPr>
        <w:tabs>
          <w:tab w:val="num" w:pos="5115"/>
        </w:tabs>
        <w:ind w:left="5115" w:hanging="360"/>
      </w:pPr>
      <w:rPr>
        <w:rFonts w:ascii="Symbol" w:hAnsi="Symbol" w:hint="default"/>
      </w:rPr>
    </w:lvl>
    <w:lvl w:ilvl="7" w:tplc="8D00D734" w:tentative="1">
      <w:start w:val="1"/>
      <w:numFmt w:val="bullet"/>
      <w:lvlText w:val="o"/>
      <w:lvlJc w:val="left"/>
      <w:pPr>
        <w:tabs>
          <w:tab w:val="num" w:pos="5835"/>
        </w:tabs>
        <w:ind w:left="5835" w:hanging="360"/>
      </w:pPr>
      <w:rPr>
        <w:rFonts w:ascii="Courier New" w:hAnsi="Courier New" w:hint="default"/>
      </w:rPr>
    </w:lvl>
    <w:lvl w:ilvl="8" w:tplc="A128F330" w:tentative="1">
      <w:start w:val="1"/>
      <w:numFmt w:val="bullet"/>
      <w:lvlText w:val=""/>
      <w:lvlJc w:val="left"/>
      <w:pPr>
        <w:tabs>
          <w:tab w:val="num" w:pos="6555"/>
        </w:tabs>
        <w:ind w:left="6555" w:hanging="360"/>
      </w:pPr>
      <w:rPr>
        <w:rFonts w:ascii="Wingdings" w:hAnsi="Wingdings" w:hint="default"/>
      </w:rPr>
    </w:lvl>
  </w:abstractNum>
  <w:abstractNum w:abstractNumId="35">
    <w:nsid w:val="57D72E97"/>
    <w:multiLevelType w:val="hybridMultilevel"/>
    <w:tmpl w:val="44D86FDE"/>
    <w:lvl w:ilvl="0" w:tplc="BABE924A">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7">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38">
    <w:nsid w:val="63515FE5"/>
    <w:multiLevelType w:val="multilevel"/>
    <w:tmpl w:val="18D61A16"/>
    <w:lvl w:ilvl="0">
      <w:start w:val="1"/>
      <w:numFmt w:val="decimal"/>
      <w:lvlText w:val="%1"/>
      <w:lvlJc w:val="left"/>
      <w:pPr>
        <w:ind w:left="600" w:hanging="600"/>
      </w:pPr>
      <w:rPr>
        <w:rFonts w:hint="default"/>
      </w:rPr>
    </w:lvl>
    <w:lvl w:ilvl="1">
      <w:start w:val="1"/>
      <w:numFmt w:val="decimal"/>
      <w:lvlText w:val="%1.%2"/>
      <w:lvlJc w:val="left"/>
      <w:pPr>
        <w:ind w:left="611" w:hanging="600"/>
      </w:pPr>
      <w:rPr>
        <w:rFonts w:hint="default"/>
      </w:rPr>
    </w:lvl>
    <w:lvl w:ilvl="2">
      <w:start w:val="1"/>
      <w:numFmt w:val="decimal"/>
      <w:lvlText w:val="%1.%2.%3"/>
      <w:lvlJc w:val="left"/>
      <w:pPr>
        <w:ind w:left="742" w:hanging="720"/>
      </w:pPr>
      <w:rPr>
        <w:rFonts w:hint="default"/>
      </w:rPr>
    </w:lvl>
    <w:lvl w:ilvl="3">
      <w:start w:val="1"/>
      <w:numFmt w:val="decimal"/>
      <w:lvlText w:val="%1.%2.%3.%4"/>
      <w:lvlJc w:val="left"/>
      <w:pPr>
        <w:ind w:left="753" w:hanging="720"/>
      </w:pPr>
      <w:rPr>
        <w:rFonts w:hint="default"/>
      </w:rPr>
    </w:lvl>
    <w:lvl w:ilvl="4">
      <w:start w:val="1"/>
      <w:numFmt w:val="decimal"/>
      <w:lvlText w:val="%1.%2.%3.%4.%5"/>
      <w:lvlJc w:val="left"/>
      <w:pPr>
        <w:ind w:left="764" w:hanging="720"/>
      </w:pPr>
      <w:rPr>
        <w:rFonts w:hint="default"/>
      </w:rPr>
    </w:lvl>
    <w:lvl w:ilvl="5">
      <w:start w:val="1"/>
      <w:numFmt w:val="decimal"/>
      <w:lvlText w:val="%1.%2.%3.%4.%5.%6"/>
      <w:lvlJc w:val="left"/>
      <w:pPr>
        <w:ind w:left="1135" w:hanging="1080"/>
      </w:pPr>
      <w:rPr>
        <w:rFonts w:hint="default"/>
      </w:rPr>
    </w:lvl>
    <w:lvl w:ilvl="6">
      <w:start w:val="1"/>
      <w:numFmt w:val="decimal"/>
      <w:lvlText w:val="%1.%2.%3.%4.%5.%6.%7"/>
      <w:lvlJc w:val="left"/>
      <w:pPr>
        <w:ind w:left="1146" w:hanging="1080"/>
      </w:pPr>
      <w:rPr>
        <w:rFonts w:hint="default"/>
      </w:rPr>
    </w:lvl>
    <w:lvl w:ilvl="7">
      <w:start w:val="1"/>
      <w:numFmt w:val="decimal"/>
      <w:lvlText w:val="%1.%2.%3.%4.%5.%6.%7.%8"/>
      <w:lvlJc w:val="left"/>
      <w:pPr>
        <w:ind w:left="1517" w:hanging="1440"/>
      </w:pPr>
      <w:rPr>
        <w:rFonts w:hint="default"/>
      </w:rPr>
    </w:lvl>
    <w:lvl w:ilvl="8">
      <w:start w:val="1"/>
      <w:numFmt w:val="decimal"/>
      <w:lvlText w:val="%1.%2.%3.%4.%5.%6.%7.%8.%9"/>
      <w:lvlJc w:val="left"/>
      <w:pPr>
        <w:ind w:left="1528" w:hanging="1440"/>
      </w:pPr>
      <w:rPr>
        <w:rFonts w:hint="default"/>
      </w:rPr>
    </w:lvl>
  </w:abstractNum>
  <w:abstractNum w:abstractNumId="39">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1">
    <w:nsid w:val="64FB3E53"/>
    <w:multiLevelType w:val="hybridMultilevel"/>
    <w:tmpl w:val="E172833E"/>
    <w:lvl w:ilvl="0" w:tplc="040A0017">
      <w:start w:val="1"/>
      <w:numFmt w:val="bullet"/>
      <w:lvlText w:val=""/>
      <w:lvlJc w:val="left"/>
      <w:pPr>
        <w:ind w:left="1440" w:hanging="360"/>
      </w:pPr>
      <w:rPr>
        <w:rFonts w:ascii="Symbol" w:hAnsi="Symbol" w:hint="default"/>
      </w:rPr>
    </w:lvl>
    <w:lvl w:ilvl="1" w:tplc="040A0019" w:tentative="1">
      <w:start w:val="1"/>
      <w:numFmt w:val="bullet"/>
      <w:lvlText w:val="o"/>
      <w:lvlJc w:val="left"/>
      <w:pPr>
        <w:ind w:left="2160" w:hanging="360"/>
      </w:pPr>
      <w:rPr>
        <w:rFonts w:ascii="Courier New" w:hAnsi="Courier New" w:hint="default"/>
      </w:rPr>
    </w:lvl>
    <w:lvl w:ilvl="2" w:tplc="040A001B" w:tentative="1">
      <w:start w:val="1"/>
      <w:numFmt w:val="bullet"/>
      <w:lvlText w:val=""/>
      <w:lvlJc w:val="left"/>
      <w:pPr>
        <w:ind w:left="2880" w:hanging="360"/>
      </w:pPr>
      <w:rPr>
        <w:rFonts w:ascii="Wingdings" w:hAnsi="Wingdings" w:hint="default"/>
      </w:rPr>
    </w:lvl>
    <w:lvl w:ilvl="3" w:tplc="040A000F" w:tentative="1">
      <w:start w:val="1"/>
      <w:numFmt w:val="bullet"/>
      <w:lvlText w:val=""/>
      <w:lvlJc w:val="left"/>
      <w:pPr>
        <w:ind w:left="3600" w:hanging="360"/>
      </w:pPr>
      <w:rPr>
        <w:rFonts w:ascii="Symbol" w:hAnsi="Symbol" w:hint="default"/>
      </w:rPr>
    </w:lvl>
    <w:lvl w:ilvl="4" w:tplc="040A0019" w:tentative="1">
      <w:start w:val="1"/>
      <w:numFmt w:val="bullet"/>
      <w:lvlText w:val="o"/>
      <w:lvlJc w:val="left"/>
      <w:pPr>
        <w:ind w:left="4320" w:hanging="360"/>
      </w:pPr>
      <w:rPr>
        <w:rFonts w:ascii="Courier New" w:hAnsi="Courier New" w:hint="default"/>
      </w:rPr>
    </w:lvl>
    <w:lvl w:ilvl="5" w:tplc="040A001B" w:tentative="1">
      <w:start w:val="1"/>
      <w:numFmt w:val="bullet"/>
      <w:lvlText w:val=""/>
      <w:lvlJc w:val="left"/>
      <w:pPr>
        <w:ind w:left="5040" w:hanging="360"/>
      </w:pPr>
      <w:rPr>
        <w:rFonts w:ascii="Wingdings" w:hAnsi="Wingdings" w:hint="default"/>
      </w:rPr>
    </w:lvl>
    <w:lvl w:ilvl="6" w:tplc="040A000F" w:tentative="1">
      <w:start w:val="1"/>
      <w:numFmt w:val="bullet"/>
      <w:lvlText w:val=""/>
      <w:lvlJc w:val="left"/>
      <w:pPr>
        <w:ind w:left="5760" w:hanging="360"/>
      </w:pPr>
      <w:rPr>
        <w:rFonts w:ascii="Symbol" w:hAnsi="Symbol" w:hint="default"/>
      </w:rPr>
    </w:lvl>
    <w:lvl w:ilvl="7" w:tplc="040A0019" w:tentative="1">
      <w:start w:val="1"/>
      <w:numFmt w:val="bullet"/>
      <w:lvlText w:val="o"/>
      <w:lvlJc w:val="left"/>
      <w:pPr>
        <w:ind w:left="6480" w:hanging="360"/>
      </w:pPr>
      <w:rPr>
        <w:rFonts w:ascii="Courier New" w:hAnsi="Courier New" w:hint="default"/>
      </w:rPr>
    </w:lvl>
    <w:lvl w:ilvl="8" w:tplc="040A001B" w:tentative="1">
      <w:start w:val="1"/>
      <w:numFmt w:val="bullet"/>
      <w:lvlText w:val=""/>
      <w:lvlJc w:val="left"/>
      <w:pPr>
        <w:ind w:left="7200" w:hanging="360"/>
      </w:pPr>
      <w:rPr>
        <w:rFonts w:ascii="Wingdings" w:hAnsi="Wingdings" w:hint="default"/>
      </w:rPr>
    </w:lvl>
  </w:abstractNum>
  <w:abstractNum w:abstractNumId="42">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43">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4">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5">
    <w:nsid w:val="6A2E284F"/>
    <w:multiLevelType w:val="hybridMultilevel"/>
    <w:tmpl w:val="19AC6092"/>
    <w:lvl w:ilvl="0" w:tplc="08130001">
      <w:start w:val="1"/>
      <w:numFmt w:val="lowerLetter"/>
      <w:lvlText w:val="%1)"/>
      <w:lvlJc w:val="left"/>
      <w:pPr>
        <w:ind w:left="720" w:hanging="360"/>
      </w:pPr>
    </w:lvl>
    <w:lvl w:ilvl="1" w:tplc="08130003" w:tentative="1">
      <w:start w:val="1"/>
      <w:numFmt w:val="lowerLetter"/>
      <w:lvlText w:val="%2."/>
      <w:lvlJc w:val="left"/>
      <w:pPr>
        <w:ind w:left="1440" w:hanging="360"/>
      </w:pPr>
    </w:lvl>
    <w:lvl w:ilvl="2" w:tplc="08130005" w:tentative="1">
      <w:start w:val="1"/>
      <w:numFmt w:val="lowerRoman"/>
      <w:lvlText w:val="%3."/>
      <w:lvlJc w:val="right"/>
      <w:pPr>
        <w:ind w:left="2160" w:hanging="180"/>
      </w:pPr>
    </w:lvl>
    <w:lvl w:ilvl="3" w:tplc="08130001" w:tentative="1">
      <w:start w:val="1"/>
      <w:numFmt w:val="decimal"/>
      <w:lvlText w:val="%4."/>
      <w:lvlJc w:val="left"/>
      <w:pPr>
        <w:ind w:left="2880" w:hanging="360"/>
      </w:pPr>
    </w:lvl>
    <w:lvl w:ilvl="4" w:tplc="08130003" w:tentative="1">
      <w:start w:val="1"/>
      <w:numFmt w:val="lowerLetter"/>
      <w:lvlText w:val="%5."/>
      <w:lvlJc w:val="left"/>
      <w:pPr>
        <w:ind w:left="3600" w:hanging="360"/>
      </w:pPr>
    </w:lvl>
    <w:lvl w:ilvl="5" w:tplc="08130005" w:tentative="1">
      <w:start w:val="1"/>
      <w:numFmt w:val="lowerRoman"/>
      <w:lvlText w:val="%6."/>
      <w:lvlJc w:val="right"/>
      <w:pPr>
        <w:ind w:left="4320" w:hanging="180"/>
      </w:pPr>
    </w:lvl>
    <w:lvl w:ilvl="6" w:tplc="08130001" w:tentative="1">
      <w:start w:val="1"/>
      <w:numFmt w:val="decimal"/>
      <w:lvlText w:val="%7."/>
      <w:lvlJc w:val="left"/>
      <w:pPr>
        <w:ind w:left="5040" w:hanging="360"/>
      </w:pPr>
    </w:lvl>
    <w:lvl w:ilvl="7" w:tplc="08130003" w:tentative="1">
      <w:start w:val="1"/>
      <w:numFmt w:val="lowerLetter"/>
      <w:lvlText w:val="%8."/>
      <w:lvlJc w:val="left"/>
      <w:pPr>
        <w:ind w:left="5760" w:hanging="360"/>
      </w:pPr>
    </w:lvl>
    <w:lvl w:ilvl="8" w:tplc="08130005" w:tentative="1">
      <w:start w:val="1"/>
      <w:numFmt w:val="lowerRoman"/>
      <w:lvlText w:val="%9."/>
      <w:lvlJc w:val="right"/>
      <w:pPr>
        <w:ind w:left="6480" w:hanging="180"/>
      </w:pPr>
    </w:lvl>
  </w:abstractNum>
  <w:abstractNum w:abstractNumId="46">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7">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48">
    <w:nsid w:val="7A1A7D3E"/>
    <w:multiLevelType w:val="hybridMultilevel"/>
    <w:tmpl w:val="01D6D9C0"/>
    <w:lvl w:ilvl="0" w:tplc="FE50EEE0">
      <w:start w:val="459"/>
      <w:numFmt w:val="bullet"/>
      <w:lvlText w:val="-"/>
      <w:lvlJc w:val="left"/>
      <w:pPr>
        <w:tabs>
          <w:tab w:val="num" w:pos="435"/>
        </w:tabs>
        <w:ind w:left="435" w:hanging="360"/>
      </w:pPr>
      <w:rPr>
        <w:rFonts w:ascii="Verdana" w:eastAsia="Calibri" w:hAnsi="Verdana" w:cs="Verdana" w:hint="default"/>
      </w:rPr>
    </w:lvl>
    <w:lvl w:ilvl="1" w:tplc="B7140164" w:tentative="1">
      <w:start w:val="1"/>
      <w:numFmt w:val="bullet"/>
      <w:lvlText w:val="o"/>
      <w:lvlJc w:val="left"/>
      <w:pPr>
        <w:tabs>
          <w:tab w:val="num" w:pos="1155"/>
        </w:tabs>
        <w:ind w:left="1155" w:hanging="360"/>
      </w:pPr>
      <w:rPr>
        <w:rFonts w:ascii="Courier New" w:hAnsi="Courier New" w:cs="Courier New" w:hint="default"/>
      </w:rPr>
    </w:lvl>
    <w:lvl w:ilvl="2" w:tplc="D6424902" w:tentative="1">
      <w:start w:val="1"/>
      <w:numFmt w:val="bullet"/>
      <w:lvlText w:val=""/>
      <w:lvlJc w:val="left"/>
      <w:pPr>
        <w:tabs>
          <w:tab w:val="num" w:pos="1875"/>
        </w:tabs>
        <w:ind w:left="1875" w:hanging="360"/>
      </w:pPr>
      <w:rPr>
        <w:rFonts w:ascii="Wingdings" w:hAnsi="Wingdings" w:hint="default"/>
      </w:rPr>
    </w:lvl>
    <w:lvl w:ilvl="3" w:tplc="33DAADC4" w:tentative="1">
      <w:start w:val="1"/>
      <w:numFmt w:val="bullet"/>
      <w:lvlText w:val=""/>
      <w:lvlJc w:val="left"/>
      <w:pPr>
        <w:tabs>
          <w:tab w:val="num" w:pos="2595"/>
        </w:tabs>
        <w:ind w:left="2595" w:hanging="360"/>
      </w:pPr>
      <w:rPr>
        <w:rFonts w:ascii="Symbol" w:hAnsi="Symbol" w:hint="default"/>
      </w:rPr>
    </w:lvl>
    <w:lvl w:ilvl="4" w:tplc="ACF0F830" w:tentative="1">
      <w:start w:val="1"/>
      <w:numFmt w:val="bullet"/>
      <w:lvlText w:val="o"/>
      <w:lvlJc w:val="left"/>
      <w:pPr>
        <w:tabs>
          <w:tab w:val="num" w:pos="3315"/>
        </w:tabs>
        <w:ind w:left="3315" w:hanging="360"/>
      </w:pPr>
      <w:rPr>
        <w:rFonts w:ascii="Courier New" w:hAnsi="Courier New" w:cs="Courier New" w:hint="default"/>
      </w:rPr>
    </w:lvl>
    <w:lvl w:ilvl="5" w:tplc="CED2DAE4" w:tentative="1">
      <w:start w:val="1"/>
      <w:numFmt w:val="bullet"/>
      <w:lvlText w:val=""/>
      <w:lvlJc w:val="left"/>
      <w:pPr>
        <w:tabs>
          <w:tab w:val="num" w:pos="4035"/>
        </w:tabs>
        <w:ind w:left="4035" w:hanging="360"/>
      </w:pPr>
      <w:rPr>
        <w:rFonts w:ascii="Wingdings" w:hAnsi="Wingdings" w:hint="default"/>
      </w:rPr>
    </w:lvl>
    <w:lvl w:ilvl="6" w:tplc="074A0046" w:tentative="1">
      <w:start w:val="1"/>
      <w:numFmt w:val="bullet"/>
      <w:lvlText w:val=""/>
      <w:lvlJc w:val="left"/>
      <w:pPr>
        <w:tabs>
          <w:tab w:val="num" w:pos="4755"/>
        </w:tabs>
        <w:ind w:left="4755" w:hanging="360"/>
      </w:pPr>
      <w:rPr>
        <w:rFonts w:ascii="Symbol" w:hAnsi="Symbol" w:hint="default"/>
      </w:rPr>
    </w:lvl>
    <w:lvl w:ilvl="7" w:tplc="BBC281FC" w:tentative="1">
      <w:start w:val="1"/>
      <w:numFmt w:val="bullet"/>
      <w:lvlText w:val="o"/>
      <w:lvlJc w:val="left"/>
      <w:pPr>
        <w:tabs>
          <w:tab w:val="num" w:pos="5475"/>
        </w:tabs>
        <w:ind w:left="5475" w:hanging="360"/>
      </w:pPr>
      <w:rPr>
        <w:rFonts w:ascii="Courier New" w:hAnsi="Courier New" w:cs="Courier New" w:hint="default"/>
      </w:rPr>
    </w:lvl>
    <w:lvl w:ilvl="8" w:tplc="03FC3886" w:tentative="1">
      <w:start w:val="1"/>
      <w:numFmt w:val="bullet"/>
      <w:lvlText w:val=""/>
      <w:lvlJc w:val="left"/>
      <w:pPr>
        <w:tabs>
          <w:tab w:val="num" w:pos="6195"/>
        </w:tabs>
        <w:ind w:left="6195" w:hanging="360"/>
      </w:pPr>
      <w:rPr>
        <w:rFonts w:ascii="Wingdings" w:hAnsi="Wingdings" w:hint="default"/>
      </w:rPr>
    </w:lvl>
  </w:abstractNum>
  <w:abstractNum w:abstractNumId="49">
    <w:nsid w:val="7B6F1D02"/>
    <w:multiLevelType w:val="hybridMultilevel"/>
    <w:tmpl w:val="309C1596"/>
    <w:lvl w:ilvl="0" w:tplc="13D2A4B0">
      <w:start w:val="1"/>
      <w:numFmt w:val="bullet"/>
      <w:lvlText w:val=""/>
      <w:lvlJc w:val="left"/>
      <w:pPr>
        <w:tabs>
          <w:tab w:val="num" w:pos="720"/>
        </w:tabs>
        <w:ind w:left="720" w:hanging="360"/>
      </w:pPr>
      <w:rPr>
        <w:rFonts w:ascii="Symbol" w:hAnsi="Symbol" w:hint="default"/>
      </w:rPr>
    </w:lvl>
    <w:lvl w:ilvl="1" w:tplc="72D82CB2" w:tentative="1">
      <w:start w:val="1"/>
      <w:numFmt w:val="bullet"/>
      <w:lvlText w:val="o"/>
      <w:lvlJc w:val="left"/>
      <w:pPr>
        <w:tabs>
          <w:tab w:val="num" w:pos="1440"/>
        </w:tabs>
        <w:ind w:left="1440" w:hanging="360"/>
      </w:pPr>
      <w:rPr>
        <w:rFonts w:ascii="Courier New" w:hAnsi="Courier New" w:hint="default"/>
      </w:rPr>
    </w:lvl>
    <w:lvl w:ilvl="2" w:tplc="F3D860D8" w:tentative="1">
      <w:start w:val="1"/>
      <w:numFmt w:val="bullet"/>
      <w:lvlText w:val=""/>
      <w:lvlJc w:val="left"/>
      <w:pPr>
        <w:tabs>
          <w:tab w:val="num" w:pos="2160"/>
        </w:tabs>
        <w:ind w:left="2160" w:hanging="360"/>
      </w:pPr>
      <w:rPr>
        <w:rFonts w:ascii="Wingdings" w:hAnsi="Wingdings" w:hint="default"/>
      </w:rPr>
    </w:lvl>
    <w:lvl w:ilvl="3" w:tplc="B8088B2A" w:tentative="1">
      <w:start w:val="1"/>
      <w:numFmt w:val="bullet"/>
      <w:lvlText w:val=""/>
      <w:lvlJc w:val="left"/>
      <w:pPr>
        <w:tabs>
          <w:tab w:val="num" w:pos="2880"/>
        </w:tabs>
        <w:ind w:left="2880" w:hanging="360"/>
      </w:pPr>
      <w:rPr>
        <w:rFonts w:ascii="Symbol" w:hAnsi="Symbol" w:hint="default"/>
      </w:rPr>
    </w:lvl>
    <w:lvl w:ilvl="4" w:tplc="71845B34" w:tentative="1">
      <w:start w:val="1"/>
      <w:numFmt w:val="bullet"/>
      <w:lvlText w:val="o"/>
      <w:lvlJc w:val="left"/>
      <w:pPr>
        <w:tabs>
          <w:tab w:val="num" w:pos="3600"/>
        </w:tabs>
        <w:ind w:left="3600" w:hanging="360"/>
      </w:pPr>
      <w:rPr>
        <w:rFonts w:ascii="Courier New" w:hAnsi="Courier New" w:hint="default"/>
      </w:rPr>
    </w:lvl>
    <w:lvl w:ilvl="5" w:tplc="490A9836" w:tentative="1">
      <w:start w:val="1"/>
      <w:numFmt w:val="bullet"/>
      <w:lvlText w:val=""/>
      <w:lvlJc w:val="left"/>
      <w:pPr>
        <w:tabs>
          <w:tab w:val="num" w:pos="4320"/>
        </w:tabs>
        <w:ind w:left="4320" w:hanging="360"/>
      </w:pPr>
      <w:rPr>
        <w:rFonts w:ascii="Wingdings" w:hAnsi="Wingdings" w:hint="default"/>
      </w:rPr>
    </w:lvl>
    <w:lvl w:ilvl="6" w:tplc="E8D84DA6" w:tentative="1">
      <w:start w:val="1"/>
      <w:numFmt w:val="bullet"/>
      <w:lvlText w:val=""/>
      <w:lvlJc w:val="left"/>
      <w:pPr>
        <w:tabs>
          <w:tab w:val="num" w:pos="5040"/>
        </w:tabs>
        <w:ind w:left="5040" w:hanging="360"/>
      </w:pPr>
      <w:rPr>
        <w:rFonts w:ascii="Symbol" w:hAnsi="Symbol" w:hint="default"/>
      </w:rPr>
    </w:lvl>
    <w:lvl w:ilvl="7" w:tplc="2D5EB902" w:tentative="1">
      <w:start w:val="1"/>
      <w:numFmt w:val="bullet"/>
      <w:lvlText w:val="o"/>
      <w:lvlJc w:val="left"/>
      <w:pPr>
        <w:tabs>
          <w:tab w:val="num" w:pos="5760"/>
        </w:tabs>
        <w:ind w:left="5760" w:hanging="360"/>
      </w:pPr>
      <w:rPr>
        <w:rFonts w:ascii="Courier New" w:hAnsi="Courier New" w:hint="default"/>
      </w:rPr>
    </w:lvl>
    <w:lvl w:ilvl="8" w:tplc="29147270" w:tentative="1">
      <w:start w:val="1"/>
      <w:numFmt w:val="bullet"/>
      <w:lvlText w:val=""/>
      <w:lvlJc w:val="left"/>
      <w:pPr>
        <w:tabs>
          <w:tab w:val="num" w:pos="6480"/>
        </w:tabs>
        <w:ind w:left="6480" w:hanging="360"/>
      </w:pPr>
      <w:rPr>
        <w:rFonts w:ascii="Wingdings" w:hAnsi="Wingdings" w:hint="default"/>
      </w:rPr>
    </w:lvl>
  </w:abstractNum>
  <w:abstractNum w:abstractNumId="50">
    <w:nsid w:val="7FDA2A15"/>
    <w:multiLevelType w:val="hybridMultilevel"/>
    <w:tmpl w:val="3C5AC638"/>
    <w:lvl w:ilvl="0" w:tplc="04090003">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7"/>
  </w:num>
  <w:num w:numId="3">
    <w:abstractNumId w:val="47"/>
  </w:num>
  <w:num w:numId="4">
    <w:abstractNumId w:val="29"/>
  </w:num>
  <w:num w:numId="5">
    <w:abstractNumId w:val="43"/>
  </w:num>
  <w:num w:numId="6">
    <w:abstractNumId w:val="26"/>
  </w:num>
  <w:num w:numId="7">
    <w:abstractNumId w:val="46"/>
  </w:num>
  <w:num w:numId="8">
    <w:abstractNumId w:val="10"/>
  </w:num>
  <w:num w:numId="9">
    <w:abstractNumId w:val="39"/>
  </w:num>
  <w:num w:numId="10">
    <w:abstractNumId w:val="23"/>
  </w:num>
  <w:num w:numId="11">
    <w:abstractNumId w:val="33"/>
  </w:num>
  <w:num w:numId="12">
    <w:abstractNumId w:val="17"/>
  </w:num>
  <w:num w:numId="13">
    <w:abstractNumId w:val="13"/>
  </w:num>
  <w:num w:numId="14">
    <w:abstractNumId w:val="50"/>
  </w:num>
  <w:num w:numId="15">
    <w:abstractNumId w:val="14"/>
  </w:num>
  <w:num w:numId="16">
    <w:abstractNumId w:val="24"/>
  </w:num>
  <w:num w:numId="17">
    <w:abstractNumId w:val="30"/>
  </w:num>
  <w:num w:numId="18">
    <w:abstractNumId w:val="4"/>
  </w:num>
  <w:num w:numId="19">
    <w:abstractNumId w:val="21"/>
  </w:num>
  <w:num w:numId="20">
    <w:abstractNumId w:val="48"/>
  </w:num>
  <w:num w:numId="21">
    <w:abstractNumId w:val="35"/>
  </w:num>
  <w:num w:numId="22">
    <w:abstractNumId w:val="1"/>
  </w:num>
  <w:num w:numId="23">
    <w:abstractNumId w:val="3"/>
  </w:num>
  <w:num w:numId="24">
    <w:abstractNumId w:val="31"/>
  </w:num>
  <w:num w:numId="25">
    <w:abstractNumId w:val="45"/>
  </w:num>
  <w:num w:numId="26">
    <w:abstractNumId w:val="9"/>
  </w:num>
  <w:num w:numId="27">
    <w:abstractNumId w:val="42"/>
  </w:num>
  <w:num w:numId="28">
    <w:abstractNumId w:val="36"/>
  </w:num>
  <w:num w:numId="29">
    <w:abstractNumId w:val="20"/>
  </w:num>
  <w:num w:numId="30">
    <w:abstractNumId w:val="27"/>
  </w:num>
  <w:num w:numId="31">
    <w:abstractNumId w:val="41"/>
  </w:num>
  <w:num w:numId="32">
    <w:abstractNumId w:val="6"/>
  </w:num>
  <w:num w:numId="33">
    <w:abstractNumId w:val="7"/>
  </w:num>
  <w:num w:numId="34">
    <w:abstractNumId w:val="49"/>
  </w:num>
  <w:num w:numId="35">
    <w:abstractNumId w:val="8"/>
  </w:num>
  <w:num w:numId="36">
    <w:abstractNumId w:val="32"/>
  </w:num>
  <w:num w:numId="37">
    <w:abstractNumId w:val="19"/>
  </w:num>
  <w:num w:numId="38">
    <w:abstractNumId w:val="44"/>
  </w:num>
  <w:num w:numId="39">
    <w:abstractNumId w:val="34"/>
  </w:num>
  <w:num w:numId="40">
    <w:abstractNumId w:val="15"/>
  </w:num>
  <w:num w:numId="41">
    <w:abstractNumId w:val="11"/>
  </w:num>
  <w:num w:numId="42">
    <w:abstractNumId w:val="12"/>
  </w:num>
  <w:num w:numId="43">
    <w:abstractNumId w:val="0"/>
  </w:num>
  <w:num w:numId="44">
    <w:abstractNumId w:val="5"/>
  </w:num>
  <w:num w:numId="45">
    <w:abstractNumId w:val="40"/>
  </w:num>
  <w:num w:numId="46">
    <w:abstractNumId w:val="16"/>
  </w:num>
  <w:num w:numId="47">
    <w:abstractNumId w:val="25"/>
  </w:num>
  <w:num w:numId="48">
    <w:abstractNumId w:val="28"/>
  </w:num>
  <w:num w:numId="49">
    <w:abstractNumId w:val="38"/>
  </w:num>
  <w:num w:numId="50">
    <w:abstractNumId w:val="42"/>
  </w:num>
  <w:num w:numId="51">
    <w:abstractNumId w:val="42"/>
  </w:num>
  <w:num w:numId="52">
    <w:abstractNumId w:val="42"/>
  </w:num>
  <w:num w:numId="53">
    <w:abstractNumId w:val="20"/>
    <w:lvlOverride w:ilvl="0">
      <w:startOverride w:val="1"/>
    </w:lvlOverride>
  </w:num>
  <w:num w:numId="54">
    <w:abstractNumId w:val="20"/>
    <w:lvlOverride w:ilvl="0">
      <w:startOverride w:val="1"/>
    </w:lvlOverride>
  </w:num>
  <w:num w:numId="55">
    <w:abstractNumId w:val="18"/>
  </w:num>
  <w:num w:numId="56">
    <w:abstractNumId w:val="22"/>
  </w:num>
  <w:numIdMacAtCleanup w:val="4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5004"/>
  <w:doNotTrackFormatting/>
  <w:defaultTabStop w:val="708"/>
  <w:autoHyphenation/>
  <w:hyphenationZone w:val="170"/>
  <w:drawingGridHorizontalSpacing w:val="100"/>
  <w:displayHorizontalDrawingGridEvery w:val="2"/>
  <w:characterSpacingControl w:val="doNotCompress"/>
  <w:footnotePr>
    <w:footnote w:id="-1"/>
    <w:footnote w:id="0"/>
  </w:footnotePr>
  <w:endnotePr>
    <w:numFmt w:val="decimal"/>
    <w:endnote w:id="-1"/>
    <w:endnote w:id="0"/>
  </w:endnotePr>
  <w:compat/>
  <w:rsids>
    <w:rsidRoot w:val="00884FEB"/>
    <w:rsid w:val="000020E5"/>
    <w:rsid w:val="00004FE8"/>
    <w:rsid w:val="00005765"/>
    <w:rsid w:val="00005FFC"/>
    <w:rsid w:val="00007605"/>
    <w:rsid w:val="00007D0D"/>
    <w:rsid w:val="00011BD0"/>
    <w:rsid w:val="00014890"/>
    <w:rsid w:val="00015CF9"/>
    <w:rsid w:val="00020516"/>
    <w:rsid w:val="000232E2"/>
    <w:rsid w:val="000243CE"/>
    <w:rsid w:val="0002657F"/>
    <w:rsid w:val="000326C1"/>
    <w:rsid w:val="00037093"/>
    <w:rsid w:val="000377CC"/>
    <w:rsid w:val="0005400A"/>
    <w:rsid w:val="0005609F"/>
    <w:rsid w:val="00057362"/>
    <w:rsid w:val="00061E48"/>
    <w:rsid w:val="00063085"/>
    <w:rsid w:val="00076091"/>
    <w:rsid w:val="00076880"/>
    <w:rsid w:val="000808CD"/>
    <w:rsid w:val="000828C6"/>
    <w:rsid w:val="000843B3"/>
    <w:rsid w:val="000858A9"/>
    <w:rsid w:val="000903FA"/>
    <w:rsid w:val="00094776"/>
    <w:rsid w:val="000B0EBE"/>
    <w:rsid w:val="000B6A14"/>
    <w:rsid w:val="000D220D"/>
    <w:rsid w:val="000E1572"/>
    <w:rsid w:val="000E29C9"/>
    <w:rsid w:val="000E7BA8"/>
    <w:rsid w:val="000F2F09"/>
    <w:rsid w:val="000F4702"/>
    <w:rsid w:val="000F6A80"/>
    <w:rsid w:val="000F6B25"/>
    <w:rsid w:val="00104370"/>
    <w:rsid w:val="0010455D"/>
    <w:rsid w:val="0012049B"/>
    <w:rsid w:val="001219C2"/>
    <w:rsid w:val="00124B85"/>
    <w:rsid w:val="001250CC"/>
    <w:rsid w:val="00125D44"/>
    <w:rsid w:val="001273B5"/>
    <w:rsid w:val="00133AC1"/>
    <w:rsid w:val="00136316"/>
    <w:rsid w:val="001402DB"/>
    <w:rsid w:val="001432EE"/>
    <w:rsid w:val="00151D8A"/>
    <w:rsid w:val="001570C4"/>
    <w:rsid w:val="001617DC"/>
    <w:rsid w:val="00163DBA"/>
    <w:rsid w:val="00165134"/>
    <w:rsid w:val="001721BD"/>
    <w:rsid w:val="0017440D"/>
    <w:rsid w:val="00175957"/>
    <w:rsid w:val="00183B7A"/>
    <w:rsid w:val="00184E8A"/>
    <w:rsid w:val="001854F6"/>
    <w:rsid w:val="00185877"/>
    <w:rsid w:val="001919E9"/>
    <w:rsid w:val="001A44B3"/>
    <w:rsid w:val="001B21AE"/>
    <w:rsid w:val="001B4EA5"/>
    <w:rsid w:val="001C1392"/>
    <w:rsid w:val="001C2ED9"/>
    <w:rsid w:val="001E01BA"/>
    <w:rsid w:val="001E5A75"/>
    <w:rsid w:val="001E6B9D"/>
    <w:rsid w:val="001E7EA7"/>
    <w:rsid w:val="001F0111"/>
    <w:rsid w:val="001F2920"/>
    <w:rsid w:val="001F5AC3"/>
    <w:rsid w:val="00206D7E"/>
    <w:rsid w:val="0021389C"/>
    <w:rsid w:val="00213DC3"/>
    <w:rsid w:val="0021767A"/>
    <w:rsid w:val="00221103"/>
    <w:rsid w:val="00222596"/>
    <w:rsid w:val="00222AC6"/>
    <w:rsid w:val="00222CD3"/>
    <w:rsid w:val="00225D42"/>
    <w:rsid w:val="0022614A"/>
    <w:rsid w:val="002304AF"/>
    <w:rsid w:val="0023488F"/>
    <w:rsid w:val="002357EA"/>
    <w:rsid w:val="002367E6"/>
    <w:rsid w:val="00237276"/>
    <w:rsid w:val="00241ACE"/>
    <w:rsid w:val="00245325"/>
    <w:rsid w:val="00250176"/>
    <w:rsid w:val="002506A3"/>
    <w:rsid w:val="00253022"/>
    <w:rsid w:val="00254DF6"/>
    <w:rsid w:val="0025607F"/>
    <w:rsid w:val="00262C1B"/>
    <w:rsid w:val="0026485D"/>
    <w:rsid w:val="002664C7"/>
    <w:rsid w:val="00271C8B"/>
    <w:rsid w:val="00276B41"/>
    <w:rsid w:val="0028072E"/>
    <w:rsid w:val="00285E2F"/>
    <w:rsid w:val="002920FF"/>
    <w:rsid w:val="002A04D3"/>
    <w:rsid w:val="002A5969"/>
    <w:rsid w:val="002B15B5"/>
    <w:rsid w:val="002C053E"/>
    <w:rsid w:val="002C41F1"/>
    <w:rsid w:val="002C6263"/>
    <w:rsid w:val="002D3982"/>
    <w:rsid w:val="002D4174"/>
    <w:rsid w:val="002D4E10"/>
    <w:rsid w:val="002D6B9E"/>
    <w:rsid w:val="002E053A"/>
    <w:rsid w:val="002E0DDB"/>
    <w:rsid w:val="002E2061"/>
    <w:rsid w:val="002E3720"/>
    <w:rsid w:val="002E4EB7"/>
    <w:rsid w:val="002E587F"/>
    <w:rsid w:val="002F102D"/>
    <w:rsid w:val="002F170E"/>
    <w:rsid w:val="002F2663"/>
    <w:rsid w:val="002F39A7"/>
    <w:rsid w:val="00300224"/>
    <w:rsid w:val="00306AD1"/>
    <w:rsid w:val="00306F71"/>
    <w:rsid w:val="003105C6"/>
    <w:rsid w:val="00310F05"/>
    <w:rsid w:val="00311B2D"/>
    <w:rsid w:val="003137B9"/>
    <w:rsid w:val="00331FE6"/>
    <w:rsid w:val="00333A44"/>
    <w:rsid w:val="003438E8"/>
    <w:rsid w:val="003459F8"/>
    <w:rsid w:val="00345E53"/>
    <w:rsid w:val="00347FF9"/>
    <w:rsid w:val="00357F63"/>
    <w:rsid w:val="003616A1"/>
    <w:rsid w:val="00371593"/>
    <w:rsid w:val="00383FF2"/>
    <w:rsid w:val="00387E40"/>
    <w:rsid w:val="00390DDA"/>
    <w:rsid w:val="00393539"/>
    <w:rsid w:val="00394FF1"/>
    <w:rsid w:val="003A0C05"/>
    <w:rsid w:val="003A200A"/>
    <w:rsid w:val="003A449C"/>
    <w:rsid w:val="003A5D8C"/>
    <w:rsid w:val="003B3DBB"/>
    <w:rsid w:val="003C0FB5"/>
    <w:rsid w:val="003C2409"/>
    <w:rsid w:val="003C2566"/>
    <w:rsid w:val="003C3AAB"/>
    <w:rsid w:val="003C3B79"/>
    <w:rsid w:val="003C60B9"/>
    <w:rsid w:val="003D10E9"/>
    <w:rsid w:val="003D3CED"/>
    <w:rsid w:val="003D431C"/>
    <w:rsid w:val="003D56DE"/>
    <w:rsid w:val="003E5145"/>
    <w:rsid w:val="003F15BB"/>
    <w:rsid w:val="003F1C3E"/>
    <w:rsid w:val="00401111"/>
    <w:rsid w:val="00405C0A"/>
    <w:rsid w:val="00406209"/>
    <w:rsid w:val="00412D44"/>
    <w:rsid w:val="004133D9"/>
    <w:rsid w:val="00415A1B"/>
    <w:rsid w:val="0043001B"/>
    <w:rsid w:val="004377DA"/>
    <w:rsid w:val="004377E2"/>
    <w:rsid w:val="00443003"/>
    <w:rsid w:val="00445E06"/>
    <w:rsid w:val="00452FEF"/>
    <w:rsid w:val="00455364"/>
    <w:rsid w:val="00461A5A"/>
    <w:rsid w:val="004629A2"/>
    <w:rsid w:val="0047503C"/>
    <w:rsid w:val="00475693"/>
    <w:rsid w:val="0048116C"/>
    <w:rsid w:val="00484DDA"/>
    <w:rsid w:val="004901BE"/>
    <w:rsid w:val="0049208A"/>
    <w:rsid w:val="00496F5D"/>
    <w:rsid w:val="004A5880"/>
    <w:rsid w:val="004A6C52"/>
    <w:rsid w:val="004A7B60"/>
    <w:rsid w:val="004B2A17"/>
    <w:rsid w:val="004B4DF9"/>
    <w:rsid w:val="004C487F"/>
    <w:rsid w:val="004C74EC"/>
    <w:rsid w:val="004E04BF"/>
    <w:rsid w:val="004F458D"/>
    <w:rsid w:val="004F50AF"/>
    <w:rsid w:val="00502FC6"/>
    <w:rsid w:val="0050399F"/>
    <w:rsid w:val="00503F93"/>
    <w:rsid w:val="005067A1"/>
    <w:rsid w:val="005135D6"/>
    <w:rsid w:val="00516AC3"/>
    <w:rsid w:val="00521D56"/>
    <w:rsid w:val="0053078D"/>
    <w:rsid w:val="00530FC7"/>
    <w:rsid w:val="0053327A"/>
    <w:rsid w:val="00533D6A"/>
    <w:rsid w:val="005429A0"/>
    <w:rsid w:val="005511AD"/>
    <w:rsid w:val="00552E3E"/>
    <w:rsid w:val="0055791B"/>
    <w:rsid w:val="00557D09"/>
    <w:rsid w:val="005617F7"/>
    <w:rsid w:val="00561E90"/>
    <w:rsid w:val="00563313"/>
    <w:rsid w:val="00564A89"/>
    <w:rsid w:val="00565031"/>
    <w:rsid w:val="005666F4"/>
    <w:rsid w:val="00585466"/>
    <w:rsid w:val="005911AC"/>
    <w:rsid w:val="00593E1F"/>
    <w:rsid w:val="005A18FB"/>
    <w:rsid w:val="005A2363"/>
    <w:rsid w:val="005A43B1"/>
    <w:rsid w:val="005A6305"/>
    <w:rsid w:val="005B02DE"/>
    <w:rsid w:val="005B0463"/>
    <w:rsid w:val="005B0C8D"/>
    <w:rsid w:val="005B13A0"/>
    <w:rsid w:val="005C1BC9"/>
    <w:rsid w:val="005C287F"/>
    <w:rsid w:val="005C6DEB"/>
    <w:rsid w:val="005C7A91"/>
    <w:rsid w:val="005D3318"/>
    <w:rsid w:val="005F05ED"/>
    <w:rsid w:val="005F5B6B"/>
    <w:rsid w:val="005F5DF8"/>
    <w:rsid w:val="005F6FDF"/>
    <w:rsid w:val="00601450"/>
    <w:rsid w:val="0060723F"/>
    <w:rsid w:val="006108B8"/>
    <w:rsid w:val="00611073"/>
    <w:rsid w:val="0061248F"/>
    <w:rsid w:val="006128D7"/>
    <w:rsid w:val="0061482E"/>
    <w:rsid w:val="0061552A"/>
    <w:rsid w:val="00616264"/>
    <w:rsid w:val="00616690"/>
    <w:rsid w:val="00616E90"/>
    <w:rsid w:val="0062558D"/>
    <w:rsid w:val="00627143"/>
    <w:rsid w:val="006317A9"/>
    <w:rsid w:val="006364E5"/>
    <w:rsid w:val="00643011"/>
    <w:rsid w:val="00650DB8"/>
    <w:rsid w:val="00651C18"/>
    <w:rsid w:val="00652DF7"/>
    <w:rsid w:val="00652F11"/>
    <w:rsid w:val="0066173C"/>
    <w:rsid w:val="006746DB"/>
    <w:rsid w:val="006771CE"/>
    <w:rsid w:val="006778A2"/>
    <w:rsid w:val="006860CB"/>
    <w:rsid w:val="006916DC"/>
    <w:rsid w:val="00696F12"/>
    <w:rsid w:val="006A01F5"/>
    <w:rsid w:val="006A14F6"/>
    <w:rsid w:val="006B19A0"/>
    <w:rsid w:val="006B2A31"/>
    <w:rsid w:val="006B55D6"/>
    <w:rsid w:val="006B5BA8"/>
    <w:rsid w:val="006B7228"/>
    <w:rsid w:val="006C0915"/>
    <w:rsid w:val="006C11BB"/>
    <w:rsid w:val="006C163A"/>
    <w:rsid w:val="006C3FF9"/>
    <w:rsid w:val="006C4136"/>
    <w:rsid w:val="006C4174"/>
    <w:rsid w:val="006C45C6"/>
    <w:rsid w:val="006D49F3"/>
    <w:rsid w:val="006E52E7"/>
    <w:rsid w:val="007111B3"/>
    <w:rsid w:val="00711F3A"/>
    <w:rsid w:val="00712B6C"/>
    <w:rsid w:val="00712BDE"/>
    <w:rsid w:val="00720ADC"/>
    <w:rsid w:val="00721A22"/>
    <w:rsid w:val="00721CEA"/>
    <w:rsid w:val="007233B1"/>
    <w:rsid w:val="007247ED"/>
    <w:rsid w:val="00727756"/>
    <w:rsid w:val="0073581C"/>
    <w:rsid w:val="00736AD5"/>
    <w:rsid w:val="00736D27"/>
    <w:rsid w:val="007420C6"/>
    <w:rsid w:val="007434D0"/>
    <w:rsid w:val="007503D4"/>
    <w:rsid w:val="007546E4"/>
    <w:rsid w:val="0075517F"/>
    <w:rsid w:val="0076257F"/>
    <w:rsid w:val="00763A4B"/>
    <w:rsid w:val="00764E61"/>
    <w:rsid w:val="00765008"/>
    <w:rsid w:val="0078015D"/>
    <w:rsid w:val="00781160"/>
    <w:rsid w:val="007827A3"/>
    <w:rsid w:val="00785E60"/>
    <w:rsid w:val="007864CA"/>
    <w:rsid w:val="00787CDE"/>
    <w:rsid w:val="007A1D61"/>
    <w:rsid w:val="007A40CB"/>
    <w:rsid w:val="007A4CFD"/>
    <w:rsid w:val="007A72F6"/>
    <w:rsid w:val="007B0068"/>
    <w:rsid w:val="007B025E"/>
    <w:rsid w:val="007B0AC3"/>
    <w:rsid w:val="007B5523"/>
    <w:rsid w:val="007C4C33"/>
    <w:rsid w:val="007D2970"/>
    <w:rsid w:val="007D2AEF"/>
    <w:rsid w:val="007D2CE6"/>
    <w:rsid w:val="007D63B3"/>
    <w:rsid w:val="007E18BB"/>
    <w:rsid w:val="007E33D4"/>
    <w:rsid w:val="007E475F"/>
    <w:rsid w:val="007F0442"/>
    <w:rsid w:val="007F6D99"/>
    <w:rsid w:val="007F7A60"/>
    <w:rsid w:val="008004DF"/>
    <w:rsid w:val="008024B2"/>
    <w:rsid w:val="0081176B"/>
    <w:rsid w:val="00816B32"/>
    <w:rsid w:val="00820E23"/>
    <w:rsid w:val="0082105B"/>
    <w:rsid w:val="0083444D"/>
    <w:rsid w:val="008420D9"/>
    <w:rsid w:val="008427C5"/>
    <w:rsid w:val="00844689"/>
    <w:rsid w:val="00845545"/>
    <w:rsid w:val="00856854"/>
    <w:rsid w:val="00863D03"/>
    <w:rsid w:val="0087489F"/>
    <w:rsid w:val="00875044"/>
    <w:rsid w:val="00875C7F"/>
    <w:rsid w:val="008815DE"/>
    <w:rsid w:val="0088172D"/>
    <w:rsid w:val="00884B2C"/>
    <w:rsid w:val="00884FEB"/>
    <w:rsid w:val="0088630E"/>
    <w:rsid w:val="008A49E8"/>
    <w:rsid w:val="008A7A5D"/>
    <w:rsid w:val="008B2F5E"/>
    <w:rsid w:val="008B6066"/>
    <w:rsid w:val="008B7267"/>
    <w:rsid w:val="008C122C"/>
    <w:rsid w:val="008C624D"/>
    <w:rsid w:val="008C6E0B"/>
    <w:rsid w:val="008D1A5E"/>
    <w:rsid w:val="008D2210"/>
    <w:rsid w:val="008E0E86"/>
    <w:rsid w:val="008E0F08"/>
    <w:rsid w:val="008E3CA9"/>
    <w:rsid w:val="008E47D2"/>
    <w:rsid w:val="008F1D51"/>
    <w:rsid w:val="008F50DF"/>
    <w:rsid w:val="00900C1D"/>
    <w:rsid w:val="00910A6A"/>
    <w:rsid w:val="00910AB3"/>
    <w:rsid w:val="00924EEF"/>
    <w:rsid w:val="009371BA"/>
    <w:rsid w:val="0094162B"/>
    <w:rsid w:val="00942368"/>
    <w:rsid w:val="00950950"/>
    <w:rsid w:val="00955F25"/>
    <w:rsid w:val="00965272"/>
    <w:rsid w:val="00967868"/>
    <w:rsid w:val="00971A2C"/>
    <w:rsid w:val="00973B8E"/>
    <w:rsid w:val="0098245F"/>
    <w:rsid w:val="00985397"/>
    <w:rsid w:val="0098778D"/>
    <w:rsid w:val="00991C37"/>
    <w:rsid w:val="0099694B"/>
    <w:rsid w:val="009A1317"/>
    <w:rsid w:val="009A2E43"/>
    <w:rsid w:val="009A4B3E"/>
    <w:rsid w:val="009A6E08"/>
    <w:rsid w:val="009B6CE4"/>
    <w:rsid w:val="009C001E"/>
    <w:rsid w:val="009C2C58"/>
    <w:rsid w:val="009C3801"/>
    <w:rsid w:val="009C4291"/>
    <w:rsid w:val="009C7D6A"/>
    <w:rsid w:val="009D3244"/>
    <w:rsid w:val="009F1084"/>
    <w:rsid w:val="009F3AD0"/>
    <w:rsid w:val="00A01C72"/>
    <w:rsid w:val="00A02850"/>
    <w:rsid w:val="00A03C89"/>
    <w:rsid w:val="00A03DC9"/>
    <w:rsid w:val="00A0483F"/>
    <w:rsid w:val="00A136CD"/>
    <w:rsid w:val="00A24751"/>
    <w:rsid w:val="00A320B1"/>
    <w:rsid w:val="00A33695"/>
    <w:rsid w:val="00A34026"/>
    <w:rsid w:val="00A4309F"/>
    <w:rsid w:val="00A64421"/>
    <w:rsid w:val="00A70A81"/>
    <w:rsid w:val="00A72DF3"/>
    <w:rsid w:val="00A772B4"/>
    <w:rsid w:val="00A801A9"/>
    <w:rsid w:val="00A803C9"/>
    <w:rsid w:val="00A80A02"/>
    <w:rsid w:val="00A85CE0"/>
    <w:rsid w:val="00A86139"/>
    <w:rsid w:val="00A90BDF"/>
    <w:rsid w:val="00AA02BE"/>
    <w:rsid w:val="00AA629F"/>
    <w:rsid w:val="00AB2F46"/>
    <w:rsid w:val="00AB4E51"/>
    <w:rsid w:val="00AB7B8D"/>
    <w:rsid w:val="00AC14E2"/>
    <w:rsid w:val="00AC5975"/>
    <w:rsid w:val="00AC5F45"/>
    <w:rsid w:val="00AD061B"/>
    <w:rsid w:val="00AD4571"/>
    <w:rsid w:val="00AE1CD7"/>
    <w:rsid w:val="00AF1F57"/>
    <w:rsid w:val="00AF62BC"/>
    <w:rsid w:val="00AF672F"/>
    <w:rsid w:val="00AF7FA5"/>
    <w:rsid w:val="00B01163"/>
    <w:rsid w:val="00B057CA"/>
    <w:rsid w:val="00B076A2"/>
    <w:rsid w:val="00B12EA6"/>
    <w:rsid w:val="00B15280"/>
    <w:rsid w:val="00B17100"/>
    <w:rsid w:val="00B171C0"/>
    <w:rsid w:val="00B17999"/>
    <w:rsid w:val="00B22110"/>
    <w:rsid w:val="00B23005"/>
    <w:rsid w:val="00B275E8"/>
    <w:rsid w:val="00B36BA6"/>
    <w:rsid w:val="00B439B1"/>
    <w:rsid w:val="00B4512A"/>
    <w:rsid w:val="00B50194"/>
    <w:rsid w:val="00B51F42"/>
    <w:rsid w:val="00B53030"/>
    <w:rsid w:val="00B822A4"/>
    <w:rsid w:val="00B84BD8"/>
    <w:rsid w:val="00BA6E03"/>
    <w:rsid w:val="00BB50BB"/>
    <w:rsid w:val="00BB6397"/>
    <w:rsid w:val="00BC068F"/>
    <w:rsid w:val="00BC2C58"/>
    <w:rsid w:val="00BD1379"/>
    <w:rsid w:val="00BE1311"/>
    <w:rsid w:val="00BE19C2"/>
    <w:rsid w:val="00BE2BAE"/>
    <w:rsid w:val="00BE358B"/>
    <w:rsid w:val="00BE6DFE"/>
    <w:rsid w:val="00C017D1"/>
    <w:rsid w:val="00C029BC"/>
    <w:rsid w:val="00C04D37"/>
    <w:rsid w:val="00C074C4"/>
    <w:rsid w:val="00C0782A"/>
    <w:rsid w:val="00C12AE0"/>
    <w:rsid w:val="00C12FEB"/>
    <w:rsid w:val="00C25670"/>
    <w:rsid w:val="00C2636B"/>
    <w:rsid w:val="00C277FB"/>
    <w:rsid w:val="00C3194E"/>
    <w:rsid w:val="00C356C8"/>
    <w:rsid w:val="00C35BF5"/>
    <w:rsid w:val="00C367B4"/>
    <w:rsid w:val="00C36B2D"/>
    <w:rsid w:val="00C40D60"/>
    <w:rsid w:val="00C43A7D"/>
    <w:rsid w:val="00C46DB1"/>
    <w:rsid w:val="00C47BD3"/>
    <w:rsid w:val="00C54763"/>
    <w:rsid w:val="00C55649"/>
    <w:rsid w:val="00C563A1"/>
    <w:rsid w:val="00C635CF"/>
    <w:rsid w:val="00C707EE"/>
    <w:rsid w:val="00C80731"/>
    <w:rsid w:val="00C84BAF"/>
    <w:rsid w:val="00C87CEE"/>
    <w:rsid w:val="00C941FF"/>
    <w:rsid w:val="00C960CE"/>
    <w:rsid w:val="00C973FB"/>
    <w:rsid w:val="00CA0146"/>
    <w:rsid w:val="00CA2E80"/>
    <w:rsid w:val="00CA61EE"/>
    <w:rsid w:val="00CB1F27"/>
    <w:rsid w:val="00CB484B"/>
    <w:rsid w:val="00CB4E0C"/>
    <w:rsid w:val="00CB5059"/>
    <w:rsid w:val="00CB6C8D"/>
    <w:rsid w:val="00CC2508"/>
    <w:rsid w:val="00CC5BAD"/>
    <w:rsid w:val="00CC6811"/>
    <w:rsid w:val="00CD7ED8"/>
    <w:rsid w:val="00CE2B78"/>
    <w:rsid w:val="00CE5ACF"/>
    <w:rsid w:val="00CF6D85"/>
    <w:rsid w:val="00D02770"/>
    <w:rsid w:val="00D054C0"/>
    <w:rsid w:val="00D06F70"/>
    <w:rsid w:val="00D10700"/>
    <w:rsid w:val="00D14A32"/>
    <w:rsid w:val="00D15808"/>
    <w:rsid w:val="00D2018B"/>
    <w:rsid w:val="00D20C67"/>
    <w:rsid w:val="00D2506C"/>
    <w:rsid w:val="00D27F99"/>
    <w:rsid w:val="00D30BE6"/>
    <w:rsid w:val="00D31C7A"/>
    <w:rsid w:val="00D34F75"/>
    <w:rsid w:val="00D35C30"/>
    <w:rsid w:val="00D36501"/>
    <w:rsid w:val="00D4194D"/>
    <w:rsid w:val="00D45B15"/>
    <w:rsid w:val="00D47551"/>
    <w:rsid w:val="00D52FEA"/>
    <w:rsid w:val="00D533DD"/>
    <w:rsid w:val="00D56AF5"/>
    <w:rsid w:val="00D60795"/>
    <w:rsid w:val="00D60F96"/>
    <w:rsid w:val="00D6494A"/>
    <w:rsid w:val="00D64B66"/>
    <w:rsid w:val="00D6607A"/>
    <w:rsid w:val="00D66CAA"/>
    <w:rsid w:val="00D77799"/>
    <w:rsid w:val="00D8096D"/>
    <w:rsid w:val="00D81C35"/>
    <w:rsid w:val="00D8369E"/>
    <w:rsid w:val="00D84EB7"/>
    <w:rsid w:val="00D87BAB"/>
    <w:rsid w:val="00D92396"/>
    <w:rsid w:val="00D946DB"/>
    <w:rsid w:val="00DA09F1"/>
    <w:rsid w:val="00DA3B36"/>
    <w:rsid w:val="00DA77E1"/>
    <w:rsid w:val="00DB0F07"/>
    <w:rsid w:val="00DB2DD0"/>
    <w:rsid w:val="00DB3B68"/>
    <w:rsid w:val="00DB40CA"/>
    <w:rsid w:val="00DC03E0"/>
    <w:rsid w:val="00DC2D05"/>
    <w:rsid w:val="00DC40DA"/>
    <w:rsid w:val="00DC44B6"/>
    <w:rsid w:val="00DC4CE4"/>
    <w:rsid w:val="00DD1906"/>
    <w:rsid w:val="00DD72AA"/>
    <w:rsid w:val="00DE0962"/>
    <w:rsid w:val="00DE230A"/>
    <w:rsid w:val="00DE4EF2"/>
    <w:rsid w:val="00E050F3"/>
    <w:rsid w:val="00E052A9"/>
    <w:rsid w:val="00E07C8E"/>
    <w:rsid w:val="00E11F7B"/>
    <w:rsid w:val="00E143FD"/>
    <w:rsid w:val="00E1696D"/>
    <w:rsid w:val="00E1750A"/>
    <w:rsid w:val="00E27969"/>
    <w:rsid w:val="00E32DA2"/>
    <w:rsid w:val="00E33BF7"/>
    <w:rsid w:val="00E41A58"/>
    <w:rsid w:val="00E41E4F"/>
    <w:rsid w:val="00E46936"/>
    <w:rsid w:val="00E47CCD"/>
    <w:rsid w:val="00E509EA"/>
    <w:rsid w:val="00E543B2"/>
    <w:rsid w:val="00E54B05"/>
    <w:rsid w:val="00E60C82"/>
    <w:rsid w:val="00E62EAB"/>
    <w:rsid w:val="00E63DC8"/>
    <w:rsid w:val="00E66040"/>
    <w:rsid w:val="00E75993"/>
    <w:rsid w:val="00E80172"/>
    <w:rsid w:val="00E804CC"/>
    <w:rsid w:val="00EA3FEF"/>
    <w:rsid w:val="00EA4108"/>
    <w:rsid w:val="00EA419C"/>
    <w:rsid w:val="00EB154B"/>
    <w:rsid w:val="00EB5804"/>
    <w:rsid w:val="00EC5046"/>
    <w:rsid w:val="00ED55F7"/>
    <w:rsid w:val="00ED7C8E"/>
    <w:rsid w:val="00EE2205"/>
    <w:rsid w:val="00EE2BDA"/>
    <w:rsid w:val="00EF0DA4"/>
    <w:rsid w:val="00F015E6"/>
    <w:rsid w:val="00F0322C"/>
    <w:rsid w:val="00F1041F"/>
    <w:rsid w:val="00F12EA3"/>
    <w:rsid w:val="00F1455C"/>
    <w:rsid w:val="00F14B07"/>
    <w:rsid w:val="00F271B3"/>
    <w:rsid w:val="00F30076"/>
    <w:rsid w:val="00F325B9"/>
    <w:rsid w:val="00F356CE"/>
    <w:rsid w:val="00F423F0"/>
    <w:rsid w:val="00F463F5"/>
    <w:rsid w:val="00F47628"/>
    <w:rsid w:val="00F5381F"/>
    <w:rsid w:val="00F5524C"/>
    <w:rsid w:val="00F60F37"/>
    <w:rsid w:val="00F61095"/>
    <w:rsid w:val="00F620A2"/>
    <w:rsid w:val="00F63BA7"/>
    <w:rsid w:val="00F777C7"/>
    <w:rsid w:val="00F800B6"/>
    <w:rsid w:val="00F84B2D"/>
    <w:rsid w:val="00F93B5F"/>
    <w:rsid w:val="00FA46C8"/>
    <w:rsid w:val="00FA610E"/>
    <w:rsid w:val="00FA6E69"/>
    <w:rsid w:val="00FB199D"/>
    <w:rsid w:val="00FB1C26"/>
    <w:rsid w:val="00FB1D44"/>
    <w:rsid w:val="00FB4960"/>
    <w:rsid w:val="00FB5258"/>
    <w:rsid w:val="00FB5985"/>
    <w:rsid w:val="00FC371D"/>
    <w:rsid w:val="00FC4D06"/>
    <w:rsid w:val="00FC6D7A"/>
    <w:rsid w:val="00FD5ABD"/>
    <w:rsid w:val="00FD7524"/>
    <w:rsid w:val="00FE4AE0"/>
    <w:rsid w:val="00FE4D22"/>
    <w:rsid w:val="00FF75CC"/>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Times New Roman"/>
        <w:lang w:val="es-ES_tradnl" w:eastAsia="es-ES_trad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1" w:qFormat="1"/>
    <w:lsdException w:name="heading 6" w:uiPriority="0"/>
    <w:lsdException w:name="heading 7" w:uiPriority="0"/>
    <w:lsdException w:name="heading 8" w:uiPriority="0"/>
    <w:lsdException w:name="heading 9"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lsdException w:name="table of figures" w:uiPriority="0"/>
    <w:lsdException w:name="footnote reference" w:uiPriority="0"/>
    <w:lsdException w:name="endnote reference" w:semiHidden="0" w:uiPriority="1" w:unhideWhenUsed="0"/>
    <w:lsdException w:name="endnote text" w:semiHidden="0" w:uiPriority="1" w:unhideWhenUsed="0"/>
    <w:lsdException w:name="Title" w:uiPriority="10" w:unhideWhenUsed="0"/>
    <w:lsdException w:name="Default Paragraph Font" w:uiPriority="1"/>
    <w:lsdException w:name="Subtitle" w:uiPriority="11" w:unhideWhenUsed="0"/>
    <w:lsdException w:name="Strong" w:uiPriority="22" w:unhideWhenUsed="0"/>
    <w:lsdException w:name="Emphasis" w:uiPriority="20" w:unhideWhenUsed="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nhideWhenUsed="0" w:qFormat="1"/>
    <w:lsdException w:name="Quote" w:semiHidden="0"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Standard">
    <w:name w:val="Normal"/>
    <w:qFormat/>
    <w:rsid w:val="00884FEB"/>
    <w:pPr>
      <w:spacing w:before="120" w:after="120"/>
      <w:jc w:val="both"/>
    </w:pPr>
    <w:rPr>
      <w:rFonts w:ascii="Verdana" w:eastAsia="Times New Roman" w:hAnsi="Verdana"/>
      <w:szCs w:val="24"/>
      <w:lang w:val="en-GB" w:eastAsia="en-US"/>
    </w:rPr>
  </w:style>
  <w:style w:type="paragraph" w:styleId="berschrift1">
    <w:name w:val="heading 1"/>
    <w:basedOn w:val="Standard"/>
    <w:next w:val="Standard"/>
    <w:link w:val="berschrift1Zchn"/>
    <w:autoRedefine/>
    <w:qFormat/>
    <w:rsid w:val="005A6305"/>
    <w:pPr>
      <w:keepNext/>
      <w:autoSpaceDE w:val="0"/>
      <w:autoSpaceDN w:val="0"/>
      <w:adjustRightInd w:val="0"/>
      <w:spacing w:before="0" w:after="0"/>
      <w:jc w:val="left"/>
      <w:outlineLvl w:val="0"/>
    </w:pPr>
    <w:rPr>
      <w:b/>
      <w:szCs w:val="20"/>
      <w:u w:val="single"/>
    </w:rPr>
  </w:style>
  <w:style w:type="paragraph" w:styleId="berschrift2">
    <w:name w:val="heading 2"/>
    <w:basedOn w:val="Standard"/>
    <w:next w:val="Standard"/>
    <w:link w:val="berschrift2Zchn"/>
    <w:autoRedefine/>
    <w:uiPriority w:val="99"/>
    <w:qFormat/>
    <w:rsid w:val="001E5A75"/>
    <w:pPr>
      <w:keepNext/>
      <w:spacing w:before="240"/>
      <w:outlineLvl w:val="1"/>
    </w:pPr>
    <w:rPr>
      <w:b/>
      <w:sz w:val="24"/>
    </w:rPr>
  </w:style>
  <w:style w:type="paragraph" w:styleId="berschrift3">
    <w:name w:val="heading 3"/>
    <w:basedOn w:val="Standard"/>
    <w:next w:val="Standard"/>
    <w:link w:val="berschrift3Zchn"/>
    <w:autoRedefine/>
    <w:uiPriority w:val="99"/>
    <w:qFormat/>
    <w:rsid w:val="001E5A75"/>
    <w:pPr>
      <w:keepNext/>
      <w:spacing w:before="180"/>
      <w:outlineLvl w:val="2"/>
    </w:pPr>
    <w:rPr>
      <w:b/>
    </w:rPr>
  </w:style>
  <w:style w:type="paragraph" w:styleId="berschrift4">
    <w:name w:val="heading 4"/>
    <w:basedOn w:val="Standard"/>
    <w:next w:val="Standard"/>
    <w:link w:val="berschrift4Zchn"/>
    <w:autoRedefine/>
    <w:uiPriority w:val="99"/>
    <w:qFormat/>
    <w:rsid w:val="00DE0962"/>
    <w:pPr>
      <w:keepNext/>
      <w:numPr>
        <w:numId w:val="37"/>
      </w:numPr>
      <w:spacing w:before="160"/>
      <w:outlineLvl w:val="3"/>
    </w:pPr>
    <w:rPr>
      <w:b/>
      <w:u w:val="single"/>
    </w:rPr>
  </w:style>
  <w:style w:type="paragraph" w:styleId="berschrift5">
    <w:name w:val="heading 5"/>
    <w:basedOn w:val="Standard"/>
    <w:next w:val="Standard"/>
    <w:link w:val="berschrift5Zchn"/>
    <w:autoRedefine/>
    <w:uiPriority w:val="1"/>
    <w:qFormat/>
    <w:rsid w:val="001E5A75"/>
    <w:pPr>
      <w:keepNext/>
      <w:spacing w:before="140"/>
      <w:outlineLvl w:val="4"/>
    </w:pPr>
    <w:rPr>
      <w:b/>
      <w:i/>
    </w:rPr>
  </w:style>
  <w:style w:type="paragraph" w:styleId="berschrift6">
    <w:name w:val="heading 6"/>
    <w:basedOn w:val="Standard"/>
    <w:next w:val="Standard"/>
    <w:link w:val="berschrift6Zchn"/>
    <w:semiHidden/>
    <w:unhideWhenUsed/>
    <w:rsid w:val="001E5A75"/>
    <w:pPr>
      <w:spacing w:before="240" w:after="60"/>
      <w:outlineLvl w:val="5"/>
    </w:pPr>
    <w:rPr>
      <w:rFonts w:ascii="Times New Roman" w:hAnsi="Times New Roman"/>
      <w:b/>
      <w:bCs/>
      <w:szCs w:val="22"/>
    </w:rPr>
  </w:style>
  <w:style w:type="paragraph" w:styleId="berschrift7">
    <w:name w:val="heading 7"/>
    <w:basedOn w:val="Standard"/>
    <w:next w:val="Standard"/>
    <w:link w:val="berschrift7Zchn"/>
    <w:semiHidden/>
    <w:unhideWhenUsed/>
    <w:rsid w:val="001E5A75"/>
    <w:pPr>
      <w:spacing w:before="240" w:after="60"/>
      <w:outlineLvl w:val="6"/>
    </w:pPr>
    <w:rPr>
      <w:rFonts w:ascii="Times New Roman" w:hAnsi="Times New Roman"/>
      <w:sz w:val="24"/>
    </w:rPr>
  </w:style>
  <w:style w:type="paragraph" w:styleId="berschrift8">
    <w:name w:val="heading 8"/>
    <w:basedOn w:val="Standard"/>
    <w:next w:val="Standard"/>
    <w:link w:val="berschrift8Zchn"/>
    <w:semiHidden/>
    <w:unhideWhenUsed/>
    <w:rsid w:val="001E5A75"/>
    <w:pPr>
      <w:spacing w:before="240" w:after="60"/>
      <w:outlineLvl w:val="7"/>
    </w:pPr>
    <w:rPr>
      <w:rFonts w:ascii="Times New Roman" w:hAnsi="Times New Roman"/>
      <w:i/>
      <w:iCs/>
      <w:sz w:val="24"/>
    </w:rPr>
  </w:style>
  <w:style w:type="paragraph" w:styleId="berschrift9">
    <w:name w:val="heading 9"/>
    <w:basedOn w:val="Standard"/>
    <w:next w:val="Standard"/>
    <w:link w:val="berschrift9Zchn"/>
    <w:semiHidden/>
    <w:unhideWhenUsed/>
    <w:rsid w:val="001E5A75"/>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5A6305"/>
    <w:rPr>
      <w:rFonts w:ascii="Verdana" w:eastAsia="Times New Roman" w:hAnsi="Verdana" w:cs="Times New Roman"/>
      <w:b/>
      <w:sz w:val="20"/>
      <w:szCs w:val="20"/>
      <w:u w:val="single"/>
      <w:lang w:val="en-GB"/>
    </w:rPr>
  </w:style>
  <w:style w:type="paragraph" w:styleId="Abbildungsverzeichnis">
    <w:name w:val="table of figures"/>
    <w:basedOn w:val="Standard"/>
    <w:next w:val="Standard"/>
    <w:semiHidden/>
    <w:rsid w:val="001E5A75"/>
    <w:pPr>
      <w:ind w:left="440" w:hanging="440"/>
    </w:pPr>
  </w:style>
  <w:style w:type="paragraph" w:customStyle="1" w:styleId="Aufzhlungszeichen1">
    <w:name w:val="Aufzählungszeichen1"/>
    <w:basedOn w:val="Standard"/>
    <w:uiPriority w:val="1"/>
    <w:qFormat/>
    <w:rsid w:val="001E5A75"/>
    <w:pPr>
      <w:numPr>
        <w:numId w:val="1"/>
      </w:numPr>
      <w:spacing w:line="240" w:lineRule="exact"/>
    </w:pPr>
  </w:style>
  <w:style w:type="paragraph" w:customStyle="1" w:styleId="Aufzhlungszeichen2">
    <w:name w:val="Aufzählungszeichen2"/>
    <w:basedOn w:val="Standard"/>
    <w:uiPriority w:val="1"/>
    <w:qFormat/>
    <w:rsid w:val="001E5A75"/>
    <w:pPr>
      <w:numPr>
        <w:numId w:val="2"/>
      </w:numPr>
      <w:spacing w:line="240" w:lineRule="exact"/>
    </w:pPr>
  </w:style>
  <w:style w:type="paragraph" w:customStyle="1" w:styleId="Aufzhlungszeichen3">
    <w:name w:val="Aufzählungszeichen3"/>
    <w:basedOn w:val="Standard"/>
    <w:uiPriority w:val="1"/>
    <w:qFormat/>
    <w:rsid w:val="001E5A75"/>
    <w:pPr>
      <w:numPr>
        <w:numId w:val="3"/>
      </w:numPr>
      <w:spacing w:line="240" w:lineRule="exact"/>
    </w:pPr>
  </w:style>
  <w:style w:type="paragraph" w:customStyle="1" w:styleId="Aufzhlungszeichen4">
    <w:name w:val="Aufzählungszeichen4"/>
    <w:basedOn w:val="Standard"/>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unotentext">
    <w:name w:val="footnote text"/>
    <w:basedOn w:val="Standard"/>
    <w:link w:val="FunotentextZchn"/>
    <w:rsid w:val="00C2636B"/>
    <w:pPr>
      <w:spacing w:line="180" w:lineRule="exact"/>
      <w:ind w:left="142" w:hanging="142"/>
    </w:pPr>
    <w:rPr>
      <w:sz w:val="16"/>
      <w:szCs w:val="16"/>
    </w:rPr>
  </w:style>
  <w:style w:type="character" w:customStyle="1" w:styleId="FunotentextZchn">
    <w:name w:val="Fußnotentext Zchn"/>
    <w:basedOn w:val="Absatz-Standardschriftart"/>
    <w:link w:val="Funotentext"/>
    <w:rsid w:val="00C2636B"/>
    <w:rPr>
      <w:rFonts w:ascii="Arial" w:hAnsi="Arial"/>
      <w:sz w:val="16"/>
      <w:szCs w:val="16"/>
      <w:lang w:eastAsia="de-DE"/>
    </w:rPr>
  </w:style>
  <w:style w:type="character" w:styleId="Funotenzeichen">
    <w:name w:val="footnote reference"/>
    <w:basedOn w:val="Absatz-Standardschriftart"/>
    <w:rsid w:val="001E5A75"/>
    <w:rPr>
      <w:rFonts w:ascii="Arial" w:hAnsi="Arial"/>
      <w:dstrike w:val="0"/>
      <w:kern w:val="0"/>
      <w:position w:val="4"/>
      <w:sz w:val="12"/>
      <w:szCs w:val="12"/>
      <w:vertAlign w:val="baseline"/>
    </w:rPr>
  </w:style>
  <w:style w:type="paragraph" w:styleId="Fuzeile">
    <w:name w:val="footer"/>
    <w:basedOn w:val="Standard"/>
    <w:link w:val="FuzeileZchn"/>
    <w:uiPriority w:val="99"/>
    <w:rsid w:val="001E5A75"/>
    <w:pPr>
      <w:tabs>
        <w:tab w:val="center" w:pos="4536"/>
        <w:tab w:val="right" w:pos="9072"/>
      </w:tabs>
    </w:pPr>
    <w:rPr>
      <w:szCs w:val="14"/>
    </w:rPr>
  </w:style>
  <w:style w:type="character" w:customStyle="1" w:styleId="FuzeileZchn">
    <w:name w:val="Fußzeile Zchn"/>
    <w:basedOn w:val="Absatz-Standardschriftart"/>
    <w:link w:val="Fuzeile"/>
    <w:uiPriority w:val="99"/>
    <w:rsid w:val="001E5A75"/>
    <w:rPr>
      <w:rFonts w:ascii="Arial" w:hAnsi="Arial"/>
      <w:szCs w:val="14"/>
      <w:lang w:eastAsia="de-DE"/>
    </w:rPr>
  </w:style>
  <w:style w:type="paragraph" w:customStyle="1" w:styleId="GliederungmitAufzhlung">
    <w:name w:val="Gliederung mit Aufzählung"/>
    <w:basedOn w:val="Standard"/>
    <w:uiPriority w:val="1"/>
    <w:qFormat/>
    <w:rsid w:val="001E5A75"/>
    <w:pPr>
      <w:numPr>
        <w:numId w:val="7"/>
      </w:numPr>
      <w:spacing w:line="312" w:lineRule="auto"/>
    </w:pPr>
  </w:style>
  <w:style w:type="paragraph" w:customStyle="1" w:styleId="GliederungmitNummerierung">
    <w:name w:val="Gliederung mit Nummerierung"/>
    <w:basedOn w:val="Standard"/>
    <w:uiPriority w:val="1"/>
    <w:qFormat/>
    <w:rsid w:val="001E5A75"/>
    <w:pPr>
      <w:numPr>
        <w:numId w:val="8"/>
      </w:numPr>
      <w:spacing w:line="312" w:lineRule="auto"/>
    </w:pPr>
  </w:style>
  <w:style w:type="paragraph" w:customStyle="1" w:styleId="HngEinrckung1">
    <w:name w:val="Häng. Einrückung1"/>
    <w:basedOn w:val="Standard"/>
    <w:uiPriority w:val="1"/>
    <w:qFormat/>
    <w:rsid w:val="001E5A75"/>
    <w:pPr>
      <w:spacing w:line="312" w:lineRule="auto"/>
      <w:ind w:left="567" w:hanging="567"/>
    </w:pPr>
  </w:style>
  <w:style w:type="paragraph" w:customStyle="1" w:styleId="HngEinrckung2">
    <w:name w:val="Häng. Einrückung2"/>
    <w:basedOn w:val="Standard"/>
    <w:uiPriority w:val="1"/>
    <w:qFormat/>
    <w:rsid w:val="001E5A75"/>
    <w:pPr>
      <w:spacing w:line="312" w:lineRule="auto"/>
      <w:ind w:left="1134" w:hanging="567"/>
    </w:pPr>
  </w:style>
  <w:style w:type="paragraph" w:customStyle="1" w:styleId="HngEinrckung3">
    <w:name w:val="Häng. Einrückung3"/>
    <w:basedOn w:val="Standard"/>
    <w:uiPriority w:val="1"/>
    <w:qFormat/>
    <w:rsid w:val="001E5A75"/>
    <w:pPr>
      <w:spacing w:line="312" w:lineRule="auto"/>
      <w:ind w:left="1701" w:hanging="567"/>
    </w:pPr>
  </w:style>
  <w:style w:type="character" w:styleId="Hyperlink">
    <w:name w:val="Hyperlink"/>
    <w:basedOn w:val="Absatz-Standardschriftart"/>
    <w:uiPriority w:val="99"/>
    <w:rsid w:val="001E5A75"/>
    <w:rPr>
      <w:color w:val="0000FF"/>
      <w:u w:val="single"/>
    </w:rPr>
  </w:style>
  <w:style w:type="paragraph" w:styleId="Kopfzeile">
    <w:name w:val="header"/>
    <w:basedOn w:val="Standard"/>
    <w:link w:val="KopfzeileZchn"/>
    <w:uiPriority w:val="99"/>
    <w:rsid w:val="001E5A75"/>
    <w:pPr>
      <w:tabs>
        <w:tab w:val="center" w:pos="4536"/>
        <w:tab w:val="right" w:pos="9072"/>
      </w:tabs>
    </w:pPr>
  </w:style>
  <w:style w:type="character" w:customStyle="1" w:styleId="KopfzeileZchn">
    <w:name w:val="Kopfzeile Zchn"/>
    <w:basedOn w:val="Absatz-Standardschriftart"/>
    <w:link w:val="Kopfzeile"/>
    <w:uiPriority w:val="99"/>
    <w:rsid w:val="001E5A75"/>
    <w:rPr>
      <w:rFonts w:ascii="Arial" w:hAnsi="Arial"/>
      <w:szCs w:val="20"/>
      <w:lang w:eastAsia="de-DE"/>
    </w:rPr>
  </w:style>
  <w:style w:type="paragraph" w:customStyle="1" w:styleId="Marginalspalte">
    <w:name w:val="Marginalspalte"/>
    <w:basedOn w:val="Standard"/>
    <w:uiPriority w:val="1"/>
    <w:qFormat/>
    <w:rsid w:val="001E5A75"/>
    <w:pPr>
      <w:framePr w:w="851" w:h="851" w:hSpace="284" w:wrap="around" w:vAnchor="text" w:hAnchor="page" w:y="1"/>
    </w:pPr>
    <w:rPr>
      <w:i/>
      <w:szCs w:val="22"/>
    </w:rPr>
  </w:style>
  <w:style w:type="paragraph" w:customStyle="1" w:styleId="Nummerierungsart1">
    <w:name w:val="Nummerierungsart1"/>
    <w:basedOn w:val="Standard"/>
    <w:uiPriority w:val="1"/>
    <w:qFormat/>
    <w:rsid w:val="001E5A75"/>
    <w:pPr>
      <w:numPr>
        <w:numId w:val="9"/>
      </w:numPr>
    </w:pPr>
  </w:style>
  <w:style w:type="paragraph" w:customStyle="1" w:styleId="Nummerierungsart2">
    <w:name w:val="Nummerierungsart2"/>
    <w:basedOn w:val="Standard"/>
    <w:uiPriority w:val="1"/>
    <w:qFormat/>
    <w:rsid w:val="001E5A75"/>
    <w:pPr>
      <w:numPr>
        <w:numId w:val="10"/>
      </w:numPr>
    </w:pPr>
  </w:style>
  <w:style w:type="paragraph" w:customStyle="1" w:styleId="Nummerierungsart3">
    <w:name w:val="Nummerierungsart3"/>
    <w:basedOn w:val="Standard"/>
    <w:uiPriority w:val="1"/>
    <w:qFormat/>
    <w:rsid w:val="001E5A75"/>
    <w:pPr>
      <w:numPr>
        <w:numId w:val="11"/>
      </w:numPr>
    </w:pPr>
  </w:style>
  <w:style w:type="paragraph" w:customStyle="1" w:styleId="Nummerierungsart4">
    <w:name w:val="Nummerierungsart4"/>
    <w:basedOn w:val="Standard"/>
    <w:uiPriority w:val="1"/>
    <w:qFormat/>
    <w:rsid w:val="001E5A75"/>
    <w:pPr>
      <w:numPr>
        <w:numId w:val="12"/>
      </w:numPr>
    </w:pPr>
  </w:style>
  <w:style w:type="character" w:styleId="Seitenzahl">
    <w:name w:val="page number"/>
    <w:uiPriority w:val="99"/>
    <w:rsid w:val="001E5A75"/>
    <w:rPr>
      <w:rFonts w:ascii="Arial" w:hAnsi="Arial"/>
      <w:sz w:val="22"/>
      <w:szCs w:val="22"/>
    </w:rPr>
  </w:style>
  <w:style w:type="character" w:customStyle="1" w:styleId="berschrift2Zchn">
    <w:name w:val="Überschrift 2 Zchn"/>
    <w:basedOn w:val="Absatz-Standardschriftart"/>
    <w:link w:val="berschrift2"/>
    <w:uiPriority w:val="99"/>
    <w:rsid w:val="00EC5046"/>
    <w:rPr>
      <w:rFonts w:ascii="Verdana" w:eastAsia="Times New Roman" w:hAnsi="Verdana" w:cs="Times New Roman"/>
      <w:b/>
      <w:szCs w:val="24"/>
      <w:u w:val="single"/>
      <w:lang w:val="en-US"/>
    </w:rPr>
  </w:style>
  <w:style w:type="character" w:customStyle="1" w:styleId="berschrift3Zchn">
    <w:name w:val="Überschrift 3 Zchn"/>
    <w:basedOn w:val="Absatz-Standardschriftart"/>
    <w:link w:val="berschrift3"/>
    <w:uiPriority w:val="99"/>
    <w:rsid w:val="001E5A75"/>
    <w:rPr>
      <w:rFonts w:ascii="Arial" w:hAnsi="Arial"/>
      <w:b/>
      <w:szCs w:val="20"/>
      <w:lang w:eastAsia="de-DE"/>
    </w:rPr>
  </w:style>
  <w:style w:type="character" w:customStyle="1" w:styleId="berschrift4Zchn">
    <w:name w:val="Überschrift 4 Zchn"/>
    <w:basedOn w:val="Absatz-Standardschriftart"/>
    <w:link w:val="berschrift4"/>
    <w:uiPriority w:val="99"/>
    <w:rsid w:val="00DE0962"/>
    <w:rPr>
      <w:rFonts w:ascii="Verdana" w:eastAsia="Times New Roman" w:hAnsi="Verdana" w:cs="Times New Roman"/>
      <w:b/>
      <w:sz w:val="20"/>
      <w:szCs w:val="24"/>
      <w:u w:val="single"/>
      <w:lang w:val="en-GB"/>
    </w:rPr>
  </w:style>
  <w:style w:type="character" w:customStyle="1" w:styleId="berschrift5Zchn">
    <w:name w:val="Überschrift 5 Zchn"/>
    <w:basedOn w:val="Absatz-Standardschriftart"/>
    <w:link w:val="berschrift5"/>
    <w:uiPriority w:val="1"/>
    <w:rsid w:val="001E5A75"/>
    <w:rPr>
      <w:rFonts w:ascii="Arial" w:hAnsi="Arial"/>
      <w:b/>
      <w:i/>
      <w:szCs w:val="20"/>
      <w:lang w:eastAsia="de-DE"/>
    </w:rPr>
  </w:style>
  <w:style w:type="character" w:customStyle="1" w:styleId="berschrift6Zchn">
    <w:name w:val="Überschrift 6 Zchn"/>
    <w:basedOn w:val="Absatz-Standardschriftart"/>
    <w:link w:val="berschrift6"/>
    <w:semiHidden/>
    <w:rsid w:val="001E5A75"/>
    <w:rPr>
      <w:rFonts w:ascii="Times New Roman" w:hAnsi="Times New Roman"/>
      <w:b/>
      <w:bCs/>
      <w:lang w:eastAsia="de-DE"/>
    </w:rPr>
  </w:style>
  <w:style w:type="character" w:customStyle="1" w:styleId="berschrift7Zchn">
    <w:name w:val="Überschrift 7 Zchn"/>
    <w:basedOn w:val="Absatz-Standardschriftart"/>
    <w:link w:val="berschrift7"/>
    <w:semiHidden/>
    <w:rsid w:val="001E5A75"/>
    <w:rPr>
      <w:rFonts w:ascii="Times New Roman" w:hAnsi="Times New Roman"/>
      <w:sz w:val="24"/>
      <w:szCs w:val="20"/>
      <w:lang w:eastAsia="de-DE"/>
    </w:rPr>
  </w:style>
  <w:style w:type="character" w:customStyle="1" w:styleId="berschrift8Zchn">
    <w:name w:val="Überschrift 8 Zchn"/>
    <w:basedOn w:val="Absatz-Standardschriftart"/>
    <w:link w:val="berschrift8"/>
    <w:semiHidden/>
    <w:rsid w:val="001E5A75"/>
    <w:rPr>
      <w:rFonts w:ascii="Times New Roman" w:hAnsi="Times New Roman"/>
      <w:i/>
      <w:iCs/>
      <w:sz w:val="24"/>
      <w:szCs w:val="20"/>
      <w:lang w:eastAsia="de-DE"/>
    </w:rPr>
  </w:style>
  <w:style w:type="character" w:customStyle="1" w:styleId="berschrift9Zchn">
    <w:name w:val="Überschrift 9 Zchn"/>
    <w:basedOn w:val="Absatz-Standardschriftart"/>
    <w:link w:val="berschrift9"/>
    <w:semiHidden/>
    <w:rsid w:val="001E5A75"/>
    <w:rPr>
      <w:rFonts w:ascii="Arial" w:hAnsi="Arial" w:cs="Arial"/>
      <w:lang w:eastAsia="de-DE"/>
    </w:rPr>
  </w:style>
  <w:style w:type="paragraph" w:styleId="Verzeichnis1">
    <w:name w:val="toc 1"/>
    <w:basedOn w:val="Standard"/>
    <w:next w:val="Standard"/>
    <w:autoRedefine/>
    <w:uiPriority w:val="39"/>
    <w:qFormat/>
    <w:rsid w:val="001E5A75"/>
    <w:pPr>
      <w:tabs>
        <w:tab w:val="left" w:pos="794"/>
        <w:tab w:val="right" w:leader="dot" w:pos="9071"/>
      </w:tabs>
      <w:ind w:left="794" w:hanging="794"/>
    </w:pPr>
    <w:rPr>
      <w:b/>
      <w:smallCaps/>
      <w:noProof/>
      <w:sz w:val="24"/>
    </w:rPr>
  </w:style>
  <w:style w:type="paragraph" w:styleId="Verzeichnis2">
    <w:name w:val="toc 2"/>
    <w:basedOn w:val="Standard"/>
    <w:next w:val="Standard"/>
    <w:autoRedefine/>
    <w:uiPriority w:val="39"/>
    <w:qFormat/>
    <w:rsid w:val="001E5A75"/>
    <w:pPr>
      <w:tabs>
        <w:tab w:val="left" w:pos="794"/>
        <w:tab w:val="right" w:leader="dot" w:pos="9071"/>
      </w:tabs>
      <w:spacing w:after="60"/>
      <w:ind w:left="794" w:hanging="794"/>
    </w:pPr>
    <w:rPr>
      <w:b/>
      <w:smallCaps/>
      <w:noProof/>
      <w:szCs w:val="22"/>
    </w:rPr>
  </w:style>
  <w:style w:type="paragraph" w:styleId="Verzeichnis3">
    <w:name w:val="toc 3"/>
    <w:basedOn w:val="Standard"/>
    <w:next w:val="Standard"/>
    <w:autoRedefine/>
    <w:uiPriority w:val="39"/>
    <w:qFormat/>
    <w:rsid w:val="001E5A75"/>
    <w:pPr>
      <w:tabs>
        <w:tab w:val="left" w:pos="794"/>
        <w:tab w:val="right" w:leader="dot" w:pos="9072"/>
      </w:tabs>
      <w:spacing w:after="60"/>
      <w:ind w:left="794" w:hanging="794"/>
    </w:pPr>
    <w:rPr>
      <w:smallCaps/>
      <w:noProof/>
    </w:rPr>
  </w:style>
  <w:style w:type="paragraph" w:styleId="Verzeichnis4">
    <w:name w:val="toc 4"/>
    <w:basedOn w:val="Standard"/>
    <w:next w:val="Standard"/>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Verzeichnis5">
    <w:name w:val="toc 5"/>
    <w:basedOn w:val="Standard"/>
    <w:next w:val="Standard"/>
    <w:autoRedefine/>
    <w:uiPriority w:val="39"/>
    <w:rsid w:val="001E5A75"/>
    <w:pPr>
      <w:tabs>
        <w:tab w:val="left" w:pos="794"/>
        <w:tab w:val="right" w:leader="dot" w:pos="9071"/>
      </w:tabs>
      <w:spacing w:after="40"/>
      <w:ind w:left="794" w:hanging="794"/>
    </w:pPr>
    <w:rPr>
      <w:smallCaps/>
      <w:noProof/>
      <w:sz w:val="18"/>
      <w:szCs w:val="18"/>
    </w:rPr>
  </w:style>
  <w:style w:type="paragraph" w:styleId="Verzeichnis6">
    <w:name w:val="toc 6"/>
    <w:basedOn w:val="Standard"/>
    <w:next w:val="Standard"/>
    <w:autoRedefine/>
    <w:uiPriority w:val="39"/>
    <w:rsid w:val="001E5A75"/>
    <w:pPr>
      <w:tabs>
        <w:tab w:val="left" w:pos="2058"/>
        <w:tab w:val="right" w:leader="dot" w:pos="9071"/>
      </w:tabs>
      <w:ind w:left="1134" w:hanging="1134"/>
    </w:pPr>
    <w:rPr>
      <w:noProof/>
      <w:sz w:val="16"/>
    </w:rPr>
  </w:style>
  <w:style w:type="paragraph" w:styleId="Verzeichnis7">
    <w:name w:val="toc 7"/>
    <w:basedOn w:val="Standard"/>
    <w:next w:val="Standard"/>
    <w:autoRedefine/>
    <w:uiPriority w:val="39"/>
    <w:rsid w:val="001E5A75"/>
    <w:pPr>
      <w:tabs>
        <w:tab w:val="right" w:leader="dot" w:pos="9071"/>
      </w:tabs>
      <w:ind w:left="1134" w:hanging="1134"/>
    </w:pPr>
    <w:rPr>
      <w:sz w:val="16"/>
    </w:rPr>
  </w:style>
  <w:style w:type="paragraph" w:styleId="Verzeichnis8">
    <w:name w:val="toc 8"/>
    <w:basedOn w:val="Standard"/>
    <w:next w:val="Standard"/>
    <w:autoRedefine/>
    <w:uiPriority w:val="39"/>
    <w:rsid w:val="001E5A75"/>
    <w:pPr>
      <w:tabs>
        <w:tab w:val="left" w:pos="2758"/>
        <w:tab w:val="right" w:leader="dot" w:pos="9071"/>
      </w:tabs>
      <w:ind w:left="1361" w:hanging="1361"/>
    </w:pPr>
    <w:rPr>
      <w:noProof/>
      <w:sz w:val="16"/>
    </w:rPr>
  </w:style>
  <w:style w:type="paragraph" w:styleId="Verzeichnis9">
    <w:name w:val="toc 9"/>
    <w:basedOn w:val="Standard"/>
    <w:next w:val="Standard"/>
    <w:autoRedefine/>
    <w:uiPriority w:val="39"/>
    <w:rsid w:val="001E5A75"/>
    <w:pPr>
      <w:tabs>
        <w:tab w:val="right" w:leader="dot" w:pos="9071"/>
      </w:tabs>
      <w:ind w:left="1361" w:hanging="1361"/>
    </w:pPr>
    <w:rPr>
      <w:sz w:val="16"/>
    </w:rPr>
  </w:style>
  <w:style w:type="paragraph" w:styleId="Anfhrungszeichen">
    <w:name w:val="Quote"/>
    <w:basedOn w:val="Standard"/>
    <w:next w:val="Standard"/>
    <w:link w:val="AnfhrungszeichenZchn"/>
    <w:uiPriority w:val="29"/>
    <w:semiHidden/>
    <w:rsid w:val="001E5A75"/>
    <w:rPr>
      <w:i/>
      <w:iCs/>
      <w:color w:val="000000"/>
    </w:rPr>
  </w:style>
  <w:style w:type="character" w:customStyle="1" w:styleId="AnfhrungszeichenZchn">
    <w:name w:val="Anführungszeichen Zchn"/>
    <w:basedOn w:val="Absatz-Standardschriftart"/>
    <w:link w:val="Anfhrungszeichen"/>
    <w:uiPriority w:val="29"/>
    <w:semiHidden/>
    <w:rsid w:val="001E5A75"/>
    <w:rPr>
      <w:rFonts w:ascii="Arial" w:hAnsi="Arial"/>
      <w:i/>
      <w:iCs/>
      <w:color w:val="000000"/>
      <w:szCs w:val="20"/>
      <w:lang w:eastAsia="de-DE"/>
    </w:rPr>
  </w:style>
  <w:style w:type="paragraph" w:styleId="Inhaltsverzeichnisberschrift">
    <w:name w:val="TOC Heading"/>
    <w:basedOn w:val="berschrift1"/>
    <w:next w:val="Standard"/>
    <w:uiPriority w:val="39"/>
    <w:semiHidden/>
    <w:unhideWhenUsed/>
    <w:qFormat/>
    <w:rsid w:val="001E5A75"/>
    <w:pPr>
      <w:keepLines/>
      <w:spacing w:before="480" w:line="311" w:lineRule="auto"/>
      <w:outlineLvl w:val="9"/>
    </w:pPr>
    <w:rPr>
      <w:rFonts w:ascii="Arial" w:hAnsi="Arial"/>
      <w:bCs/>
      <w:color w:val="4B67A3"/>
      <w:szCs w:val="28"/>
    </w:rPr>
  </w:style>
  <w:style w:type="paragraph" w:styleId="Endnotentext">
    <w:name w:val="endnote text"/>
    <w:basedOn w:val="Standard"/>
    <w:link w:val="EndnotentextZchn"/>
    <w:uiPriority w:val="1"/>
    <w:rsid w:val="001E5A75"/>
    <w:pPr>
      <w:spacing w:line="180" w:lineRule="exact"/>
      <w:ind w:left="142" w:hanging="142"/>
    </w:pPr>
    <w:rPr>
      <w:sz w:val="16"/>
    </w:rPr>
  </w:style>
  <w:style w:type="character" w:customStyle="1" w:styleId="EndnotentextZchn">
    <w:name w:val="Endnotentext Zchn"/>
    <w:basedOn w:val="Absatz-Standardschriftart"/>
    <w:link w:val="Endnotentext"/>
    <w:uiPriority w:val="1"/>
    <w:rsid w:val="001E5A75"/>
    <w:rPr>
      <w:rFonts w:ascii="Arial" w:hAnsi="Arial"/>
      <w:sz w:val="16"/>
      <w:szCs w:val="20"/>
      <w:lang w:eastAsia="de-DE"/>
    </w:rPr>
  </w:style>
  <w:style w:type="character" w:styleId="Endnotenzeichen">
    <w:name w:val="endnote reference"/>
    <w:basedOn w:val="Absatz-Standardschriftart"/>
    <w:uiPriority w:val="1"/>
    <w:rsid w:val="001E5A75"/>
    <w:rPr>
      <w:rFonts w:ascii="Arial" w:hAnsi="Arial"/>
      <w:color w:val="auto"/>
      <w:position w:val="4"/>
      <w:sz w:val="12"/>
      <w:vertAlign w:val="baseline"/>
    </w:rPr>
  </w:style>
  <w:style w:type="character" w:customStyle="1" w:styleId="Heading3Char">
    <w:name w:val="Heading 3 Char"/>
    <w:basedOn w:val="Absatz-Standardschriftart"/>
    <w:uiPriority w:val="99"/>
    <w:locked/>
    <w:rsid w:val="00884FEB"/>
    <w:rPr>
      <w:rFonts w:cs="Times New Roman"/>
      <w:sz w:val="24"/>
      <w:szCs w:val="24"/>
      <w:lang w:val="en-US" w:eastAsia="en-US"/>
    </w:rPr>
  </w:style>
  <w:style w:type="paragraph" w:customStyle="1" w:styleId="Ballontekst">
    <w:name w:val="Ballontekst"/>
    <w:basedOn w:val="Standard"/>
    <w:uiPriority w:val="99"/>
    <w:semiHidden/>
    <w:rsid w:val="00884FEB"/>
    <w:rPr>
      <w:rFonts w:ascii="Tahoma" w:hAnsi="Tahoma" w:cs="Tahoma"/>
      <w:sz w:val="16"/>
      <w:szCs w:val="16"/>
    </w:rPr>
  </w:style>
  <w:style w:type="character" w:styleId="Kommentarzeichen">
    <w:name w:val="annotation reference"/>
    <w:basedOn w:val="Absatz-Standardschriftart"/>
    <w:uiPriority w:val="99"/>
    <w:rsid w:val="00884FEB"/>
    <w:rPr>
      <w:rFonts w:cs="Times New Roman"/>
      <w:sz w:val="16"/>
      <w:szCs w:val="16"/>
    </w:rPr>
  </w:style>
  <w:style w:type="paragraph" w:styleId="Kommentartext">
    <w:name w:val="annotation text"/>
    <w:basedOn w:val="Standard"/>
    <w:link w:val="KommentartextZchn"/>
    <w:uiPriority w:val="99"/>
    <w:rsid w:val="00884FEB"/>
    <w:rPr>
      <w:szCs w:val="20"/>
    </w:rPr>
  </w:style>
  <w:style w:type="character" w:customStyle="1" w:styleId="KommentartextZchn">
    <w:name w:val="Kommentartext Zchn"/>
    <w:basedOn w:val="Absatz-Standardschriftart"/>
    <w:link w:val="Kommentartext"/>
    <w:uiPriority w:val="99"/>
    <w:rsid w:val="00884FEB"/>
    <w:rPr>
      <w:rFonts w:ascii="Verdana" w:eastAsia="Times New Roman" w:hAnsi="Verdana" w:cs="Times New Roman"/>
      <w:sz w:val="20"/>
      <w:szCs w:val="20"/>
      <w:lang w:val="en-US"/>
    </w:rPr>
  </w:style>
  <w:style w:type="paragraph" w:customStyle="1" w:styleId="Onderwerpvanopmerking">
    <w:name w:val="Onderwerp van opmerking"/>
    <w:basedOn w:val="Kommentartext"/>
    <w:next w:val="Kommentartext"/>
    <w:uiPriority w:val="99"/>
    <w:semiHidden/>
    <w:rsid w:val="00884FEB"/>
    <w:rPr>
      <w:b/>
      <w:bCs/>
    </w:rPr>
  </w:style>
  <w:style w:type="character" w:styleId="BesuchterHyperlink">
    <w:name w:val="FollowedHyperlink"/>
    <w:basedOn w:val="Absatz-Standardschriftart"/>
    <w:uiPriority w:val="99"/>
    <w:rsid w:val="00884FEB"/>
    <w:rPr>
      <w:rFonts w:cs="Times New Roman"/>
      <w:color w:val="606420"/>
      <w:u w:val="single"/>
    </w:rPr>
  </w:style>
  <w:style w:type="paragraph" w:styleId="Sprechblasentext">
    <w:name w:val="Balloon Text"/>
    <w:basedOn w:val="Standard"/>
    <w:link w:val="SprechblasentextZchn"/>
    <w:uiPriority w:val="99"/>
    <w:rsid w:val="00884FEB"/>
    <w:rPr>
      <w:rFonts w:ascii="Tahoma" w:hAnsi="Tahoma" w:cs="Tahoma"/>
      <w:sz w:val="16"/>
      <w:szCs w:val="16"/>
    </w:rPr>
  </w:style>
  <w:style w:type="character" w:customStyle="1" w:styleId="SprechblasentextZchn">
    <w:name w:val="Sprechblasentext Zchn"/>
    <w:basedOn w:val="Absatz-Standardschriftart"/>
    <w:link w:val="Sprechblasentext"/>
    <w:uiPriority w:val="99"/>
    <w:rsid w:val="00884FEB"/>
    <w:rPr>
      <w:rFonts w:ascii="Tahoma" w:eastAsia="Times New Roman" w:hAnsi="Tahoma" w:cs="Tahoma"/>
      <w:sz w:val="16"/>
      <w:szCs w:val="16"/>
      <w:lang w:val="en-US"/>
    </w:rPr>
  </w:style>
  <w:style w:type="paragraph" w:styleId="Kommentarthema">
    <w:name w:val="annotation subject"/>
    <w:basedOn w:val="Kommentartext"/>
    <w:next w:val="Kommentartext"/>
    <w:link w:val="KommentarthemaZchn"/>
    <w:uiPriority w:val="99"/>
    <w:rsid w:val="00884FEB"/>
    <w:rPr>
      <w:b/>
      <w:bCs/>
    </w:rPr>
  </w:style>
  <w:style w:type="character" w:customStyle="1" w:styleId="KommentarthemaZchn">
    <w:name w:val="Kommentarthema Zchn"/>
    <w:basedOn w:val="KommentartextZchn"/>
    <w:link w:val="Kommentarthema"/>
    <w:uiPriority w:val="99"/>
    <w:rsid w:val="00884FEB"/>
    <w:rPr>
      <w:rFonts w:ascii="Verdana" w:eastAsia="Times New Roman" w:hAnsi="Verdana" w:cs="Times New Roman"/>
      <w:b/>
      <w:bCs/>
      <w:sz w:val="20"/>
      <w:szCs w:val="20"/>
      <w:lang w:val="en-US"/>
    </w:rPr>
  </w:style>
  <w:style w:type="table" w:styleId="Tabellengitternetz">
    <w:name w:val="Table Grid"/>
    <w:aliases w:val="Tabla CUADROS"/>
    <w:basedOn w:val="NormaleTabelle"/>
    <w:uiPriority w:val="59"/>
    <w:rsid w:val="00884FEB"/>
    <w:rPr>
      <w:rFonts w:ascii="Times New Roman" w:eastAsia="Times New Roman" w:hAnsi="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vorlageberschrift4">
    <w:name w:val="Formatvorlage Überschrift 4"/>
    <w:basedOn w:val="berschrift4"/>
    <w:link w:val="Formatvorlageberschrift4Char"/>
    <w:uiPriority w:val="99"/>
    <w:rsid w:val="00884FEB"/>
    <w:pPr>
      <w:spacing w:before="240" w:after="60"/>
    </w:pPr>
    <w:rPr>
      <w:iCs/>
      <w:szCs w:val="28"/>
    </w:rPr>
  </w:style>
  <w:style w:type="character" w:customStyle="1" w:styleId="Formatvorlageberschrift4Char">
    <w:name w:val="Formatvorlage Überschrift 4 Char"/>
    <w:basedOn w:val="berschrift4Zchn"/>
    <w:link w:val="Formatvorlageberschrift4"/>
    <w:uiPriority w:val="99"/>
    <w:locked/>
    <w:rsid w:val="00884FEB"/>
    <w:rPr>
      <w:rFonts w:ascii="Verdana" w:eastAsia="Times New Roman" w:hAnsi="Verdana" w:cs="Times New Roman"/>
      <w:b/>
      <w:iCs/>
      <w:sz w:val="20"/>
      <w:szCs w:val="28"/>
      <w:u w:val="single"/>
      <w:lang w:val="en-GB"/>
    </w:rPr>
  </w:style>
  <w:style w:type="paragraph" w:customStyle="1" w:styleId="Instructionsberschrift1">
    <w:name w:val="Instructions Überschrift 1"/>
    <w:basedOn w:val="berschrift1"/>
    <w:rsid w:val="00884FEB"/>
    <w:pPr>
      <w:tabs>
        <w:tab w:val="num" w:pos="540"/>
      </w:tabs>
      <w:spacing w:before="240"/>
      <w:ind w:left="540" w:hanging="540"/>
    </w:pPr>
    <w:rPr>
      <w:b w:val="0"/>
      <w:kern w:val="32"/>
    </w:rPr>
  </w:style>
  <w:style w:type="paragraph" w:customStyle="1" w:styleId="Instructionsberschrift2">
    <w:name w:val="Instructions Überschrift 2"/>
    <w:basedOn w:val="berschrift2"/>
    <w:rsid w:val="008C122C"/>
    <w:pPr>
      <w:numPr>
        <w:numId w:val="27"/>
      </w:numPr>
      <w:spacing w:after="240"/>
    </w:pPr>
    <w:rPr>
      <w:rFonts w:cs="Arial"/>
      <w:b w:val="0"/>
      <w:sz w:val="20"/>
      <w:u w:val="single"/>
    </w:rPr>
  </w:style>
  <w:style w:type="paragraph" w:customStyle="1" w:styleId="Instructionsberschrift3">
    <w:name w:val="Instructions Überschrift 3"/>
    <w:basedOn w:val="berschrift3"/>
    <w:link w:val="Instructionsberschrift3Zchn"/>
    <w:rsid w:val="006746DB"/>
    <w:pPr>
      <w:numPr>
        <w:numId w:val="28"/>
      </w:numPr>
      <w:spacing w:before="240" w:after="60" w:line="360" w:lineRule="auto"/>
    </w:pPr>
    <w:rPr>
      <w:rFonts w:cs="Arial"/>
      <w:b w:val="0"/>
      <w:szCs w:val="26"/>
      <w:u w:val="single"/>
    </w:rPr>
  </w:style>
  <w:style w:type="character" w:customStyle="1" w:styleId="Instructionsberschrift3Zchn">
    <w:name w:val="Instructions Überschrift 3 Zchn"/>
    <w:basedOn w:val="berschrift3Zchn"/>
    <w:link w:val="Instructionsberschrift3"/>
    <w:locked/>
    <w:rsid w:val="006746DB"/>
    <w:rPr>
      <w:rFonts w:ascii="Verdana" w:eastAsia="Times New Roman" w:hAnsi="Verdana" w:cs="Arial"/>
      <w:b/>
      <w:sz w:val="20"/>
      <w:szCs w:val="26"/>
      <w:u w:val="single"/>
      <w:lang w:val="en-GB" w:eastAsia="de-DE"/>
    </w:rPr>
  </w:style>
  <w:style w:type="paragraph" w:customStyle="1" w:styleId="Instructionsberschrift4">
    <w:name w:val="Instructions Überschrift 4"/>
    <w:basedOn w:val="berschrift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Standard"/>
    <w:link w:val="InstructionsTextChar"/>
    <w:autoRedefine/>
    <w:rsid w:val="00094776"/>
    <w:pPr>
      <w:spacing w:before="0" w:after="0"/>
    </w:pPr>
    <w:rPr>
      <w:rFonts w:ascii="Times New Roman" w:hAnsi="Times New Roman" w:cs="Arial"/>
      <w:szCs w:val="20"/>
      <w:lang w:eastAsia="de-DE"/>
    </w:rPr>
  </w:style>
  <w:style w:type="character" w:customStyle="1" w:styleId="Instructionsberschrift4Char">
    <w:name w:val="Instructions Überschrift 4 Char"/>
    <w:basedOn w:val="berschrift4Zchn"/>
    <w:link w:val="Instructionsberschrift4"/>
    <w:uiPriority w:val="99"/>
    <w:locked/>
    <w:rsid w:val="00884FEB"/>
    <w:rPr>
      <w:rFonts w:ascii="Verdana" w:eastAsia="Times New Roman" w:hAnsi="Verdana" w:cs="Times New Roman"/>
      <w:b/>
      <w:bCs/>
      <w:sz w:val="20"/>
      <w:szCs w:val="24"/>
      <w:u w:val="single"/>
      <w:lang w:val="en-GB"/>
    </w:rPr>
  </w:style>
  <w:style w:type="character" w:customStyle="1" w:styleId="InstructionsTabelleberschrift">
    <w:name w:val="Instructions Tabelle Überschrift"/>
    <w:basedOn w:val="Absatz-Standardschriftart"/>
    <w:qFormat/>
    <w:rsid w:val="00884FEB"/>
    <w:rPr>
      <w:rFonts w:ascii="Verdana" w:hAnsi="Verdana" w:cs="Times New Roman"/>
      <w:b/>
      <w:bCs/>
      <w:sz w:val="20"/>
      <w:u w:val="single"/>
    </w:rPr>
  </w:style>
  <w:style w:type="character" w:customStyle="1" w:styleId="InstructionsTabelleText">
    <w:name w:val="Instructions Tabelle Text"/>
    <w:basedOn w:val="Absatz-Standardschriftart"/>
    <w:rsid w:val="00884FEB"/>
    <w:rPr>
      <w:rFonts w:ascii="Verdana" w:hAnsi="Verdana" w:cs="Times New Roman"/>
      <w:sz w:val="20"/>
    </w:rPr>
  </w:style>
  <w:style w:type="character" w:customStyle="1" w:styleId="FormatvorlageInstructionsTabelleText">
    <w:name w:val="Formatvorlage Instructions Tabelle Text"/>
    <w:basedOn w:val="Absatz-Standardschriftar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rFonts w:cs="Times New Roman"/>
      <w:szCs w:val="20"/>
    </w:rPr>
  </w:style>
  <w:style w:type="paragraph" w:customStyle="1" w:styleId="Texte2">
    <w:name w:val="Texte 2"/>
    <w:basedOn w:val="Standard"/>
    <w:uiPriority w:val="99"/>
    <w:rsid w:val="00884FEB"/>
    <w:pPr>
      <w:spacing w:after="0"/>
      <w:ind w:left="567"/>
    </w:pPr>
    <w:rPr>
      <w:sz w:val="22"/>
      <w:szCs w:val="20"/>
      <w:lang w:eastAsia="fr-FR"/>
    </w:rPr>
  </w:style>
  <w:style w:type="paragraph" w:customStyle="1" w:styleId="Prrafodelista1">
    <w:name w:val="Párrafo de lista1"/>
    <w:basedOn w:val="Standard"/>
    <w:uiPriority w:val="99"/>
    <w:rsid w:val="00884FEB"/>
    <w:pPr>
      <w:ind w:left="720"/>
    </w:pPr>
  </w:style>
  <w:style w:type="paragraph" w:customStyle="1" w:styleId="Prrafodelista2">
    <w:name w:val="Párrafo de lista2"/>
    <w:basedOn w:val="Standard"/>
    <w:uiPriority w:val="99"/>
    <w:rsid w:val="00884FEB"/>
    <w:pPr>
      <w:ind w:left="708"/>
    </w:pPr>
  </w:style>
  <w:style w:type="paragraph" w:styleId="NurText">
    <w:name w:val="Plain Text"/>
    <w:basedOn w:val="Standard"/>
    <w:link w:val="NurTextZchn"/>
    <w:uiPriority w:val="99"/>
    <w:rsid w:val="00884FEB"/>
    <w:pPr>
      <w:spacing w:before="0" w:after="0"/>
      <w:jc w:val="left"/>
    </w:pPr>
    <w:rPr>
      <w:szCs w:val="20"/>
      <w:lang w:val="es-ES_tradnl" w:eastAsia="es-ES_tradnl"/>
    </w:rPr>
  </w:style>
  <w:style w:type="character" w:customStyle="1" w:styleId="NurTextZchn">
    <w:name w:val="Nur Text Zchn"/>
    <w:basedOn w:val="Absatz-Standardschriftart"/>
    <w:link w:val="NurText"/>
    <w:uiPriority w:val="99"/>
    <w:rsid w:val="00884FEB"/>
    <w:rPr>
      <w:rFonts w:ascii="Verdana" w:eastAsia="Times New Roman" w:hAnsi="Verdana" w:cs="Times New Roman"/>
      <w:sz w:val="20"/>
      <w:szCs w:val="20"/>
      <w:lang w:val="es-ES_tradnl" w:eastAsia="es-ES_tradnl"/>
    </w:rPr>
  </w:style>
  <w:style w:type="paragraph" w:customStyle="1" w:styleId="Listenabsatz1">
    <w:name w:val="Listenabsatz1"/>
    <w:basedOn w:val="Standard"/>
    <w:uiPriority w:val="99"/>
    <w:rsid w:val="00884FEB"/>
    <w:pPr>
      <w:ind w:left="708"/>
    </w:pPr>
  </w:style>
  <w:style w:type="character" w:customStyle="1" w:styleId="InstructionsTextChar">
    <w:name w:val="Instructions Text Char"/>
    <w:basedOn w:val="Absatz-Standardschriftart"/>
    <w:link w:val="InstructionsText"/>
    <w:locked/>
    <w:rsid w:val="00094776"/>
    <w:rPr>
      <w:rFonts w:ascii="Times New Roman" w:eastAsia="Times New Roman" w:hAnsi="Times New Roman" w:cs="Arial"/>
      <w:lang w:val="en-GB" w:eastAsia="de-DE"/>
    </w:rPr>
  </w:style>
  <w:style w:type="paragraph" w:styleId="berarbeitung">
    <w:name w:val="Revision"/>
    <w:hidden/>
    <w:uiPriority w:val="99"/>
    <w:semiHidden/>
    <w:rsid w:val="00884FEB"/>
    <w:rPr>
      <w:rFonts w:ascii="Verdana" w:eastAsia="Times New Roman" w:hAnsi="Verdana"/>
      <w:szCs w:val="24"/>
      <w:lang w:val="en-US" w:eastAsia="en-US"/>
    </w:rPr>
  </w:style>
  <w:style w:type="paragraph" w:styleId="Listenabsatz">
    <w:name w:val="List Paragraph"/>
    <w:basedOn w:val="Standard"/>
    <w:uiPriority w:val="99"/>
    <w:qFormat/>
    <w:rsid w:val="00884FEB"/>
    <w:pPr>
      <w:ind w:left="708"/>
    </w:pPr>
  </w:style>
  <w:style w:type="character" w:styleId="Platzhaltertext">
    <w:name w:val="Placeholder Text"/>
    <w:basedOn w:val="Absatz-Standardschriftart"/>
    <w:uiPriority w:val="99"/>
    <w:semiHidden/>
    <w:rsid w:val="00D946DB"/>
    <w:rPr>
      <w:color w:val="808080"/>
    </w:rPr>
  </w:style>
  <w:style w:type="paragraph" w:customStyle="1" w:styleId="InstructionsText2">
    <w:name w:val="Instructions Text 2"/>
    <w:basedOn w:val="InstructionsText"/>
    <w:qFormat/>
    <w:rsid w:val="008F50DF"/>
    <w:pPr>
      <w:numPr>
        <w:numId w:val="29"/>
      </w:numPr>
      <w:spacing w:after="240"/>
    </w:pPr>
  </w:style>
  <w:style w:type="character" w:customStyle="1" w:styleId="Instructionsberschrift3Char">
    <w:name w:val="Instructions Überschrift 3 Char"/>
    <w:basedOn w:val="berschrift3Zchn"/>
    <w:locked/>
    <w:rsid w:val="003B3DBB"/>
    <w:rPr>
      <w:rFonts w:ascii="Verdana" w:hAnsi="Verdana" w:cs="Arial"/>
      <w:b/>
      <w:bCs/>
      <w:szCs w:val="26"/>
      <w:u w:val="single"/>
      <w:lang w:val="en-US" w:eastAsia="en-US" w:bidi="ar-SA"/>
    </w:rPr>
  </w:style>
  <w:style w:type="paragraph" w:customStyle="1" w:styleId="CM4">
    <w:name w:val="CM4"/>
    <w:basedOn w:val="Standard"/>
    <w:next w:val="Standard"/>
    <w:uiPriority w:val="99"/>
    <w:rsid w:val="008815DE"/>
    <w:pPr>
      <w:autoSpaceDE w:val="0"/>
      <w:autoSpaceDN w:val="0"/>
      <w:adjustRightInd w:val="0"/>
      <w:spacing w:before="0" w:after="0"/>
      <w:jc w:val="left"/>
    </w:pPr>
    <w:rPr>
      <w:rFonts w:ascii="Times New Roman" w:eastAsia="Arial" w:hAnsi="Times New Roman"/>
      <w:sz w:val="24"/>
      <w:lang w:val="de-DE"/>
    </w:rPr>
  </w:style>
  <w:style w:type="numbering" w:customStyle="1" w:styleId="Formatvorlage3">
    <w:name w:val="Formatvorlage3"/>
    <w:uiPriority w:val="99"/>
    <w:rsid w:val="00DE0962"/>
    <w:pPr>
      <w:numPr>
        <w:numId w:val="36"/>
      </w:numPr>
    </w:pPr>
  </w:style>
  <w:style w:type="paragraph" w:styleId="Dokumentstruktur">
    <w:name w:val="Document Map"/>
    <w:basedOn w:val="Standard"/>
    <w:link w:val="DokumentstrukturZchn"/>
    <w:uiPriority w:val="99"/>
    <w:semiHidden/>
    <w:unhideWhenUsed/>
    <w:rsid w:val="0088630E"/>
    <w:pPr>
      <w:spacing w:before="0" w:after="0"/>
    </w:pPr>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88630E"/>
    <w:rPr>
      <w:rFonts w:ascii="Tahoma" w:eastAsia="Times New Roman" w:hAnsi="Tahoma" w:cs="Tahoma"/>
      <w:sz w:val="16"/>
      <w:szCs w:val="16"/>
      <w:lang w:val="en-US"/>
    </w:rPr>
  </w:style>
  <w:style w:type="numbering" w:customStyle="1" w:styleId="Formatvorlage4">
    <w:name w:val="Formatvorlage4"/>
    <w:uiPriority w:val="99"/>
    <w:rsid w:val="00FB1D44"/>
    <w:pPr>
      <w:numPr>
        <w:numId w:val="38"/>
      </w:numPr>
    </w:pPr>
  </w:style>
  <w:style w:type="paragraph" w:customStyle="1" w:styleId="Titrearticle">
    <w:name w:val="Titre article"/>
    <w:basedOn w:val="Standard"/>
    <w:next w:val="Standard"/>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Standard"/>
    <w:link w:val="BaseparagraphnumberedChar"/>
    <w:qFormat/>
    <w:rsid w:val="00C87CEE"/>
    <w:pPr>
      <w:numPr>
        <w:numId w:val="44"/>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cs="Times New Roman"/>
      <w:sz w:val="24"/>
      <w:szCs w:val="24"/>
      <w:lang w:val="en-GB" w:eastAsia="en-GB"/>
    </w:rPr>
  </w:style>
  <w:style w:type="character" w:customStyle="1" w:styleId="NumPar1Char">
    <w:name w:val="NumPar 1 Char"/>
    <w:basedOn w:val="Absatz-Standardschriftart"/>
    <w:link w:val="NumPar1"/>
    <w:locked/>
    <w:rsid w:val="00D34F75"/>
    <w:rPr>
      <w:sz w:val="24"/>
      <w:szCs w:val="24"/>
      <w:lang w:val="en-GB" w:eastAsia="de-DE"/>
    </w:rPr>
  </w:style>
  <w:style w:type="paragraph" w:customStyle="1" w:styleId="NumPar1">
    <w:name w:val="NumPar 1"/>
    <w:basedOn w:val="Standard"/>
    <w:next w:val="Standard"/>
    <w:link w:val="NumPar1Char"/>
    <w:rsid w:val="00D34F75"/>
    <w:pPr>
      <w:tabs>
        <w:tab w:val="num" w:pos="850"/>
      </w:tabs>
      <w:ind w:left="850" w:hanging="850"/>
    </w:pPr>
    <w:rPr>
      <w:rFonts w:ascii="Arial" w:eastAsia="Arial" w:hAnsi="Arial"/>
      <w:sz w:val="24"/>
      <w:lang w:eastAsia="de-DE"/>
    </w:rPr>
  </w:style>
  <w:style w:type="character" w:customStyle="1" w:styleId="Point1letterChar">
    <w:name w:val="Point 1 (letter) Char"/>
    <w:basedOn w:val="Absatz-Standardschriftart"/>
    <w:link w:val="Point1letter"/>
    <w:locked/>
    <w:rsid w:val="00D34F75"/>
    <w:rPr>
      <w:sz w:val="24"/>
      <w:szCs w:val="24"/>
      <w:lang w:val="en-GB" w:eastAsia="en-US"/>
    </w:rPr>
  </w:style>
  <w:style w:type="paragraph" w:customStyle="1" w:styleId="Point1letter">
    <w:name w:val="Point 1 (letter)"/>
    <w:basedOn w:val="Standard"/>
    <w:link w:val="Point1letterChar"/>
    <w:rsid w:val="00D34F75"/>
    <w:pPr>
      <w:tabs>
        <w:tab w:val="num" w:pos="360"/>
      </w:tabs>
      <w:ind w:left="1417" w:hanging="567"/>
    </w:pPr>
    <w:rPr>
      <w:rFonts w:ascii="Arial" w:eastAsia="Arial" w:hAnsi="Arial"/>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numbering" w:customStyle="1" w:styleId="Ttulo1Car">
    <w:name w:val="Formatvorlage2"/>
    <w:pPr>
      <w:numPr>
        <w:numId w:val="6"/>
      </w:numPr>
    </w:pPr>
  </w:style>
  <w:style w:type="numbering" w:customStyle="1" w:styleId="Tabladeilustraciones">
    <w:name w:val="Formatvorlage3"/>
    <w:pPr>
      <w:numPr>
        <w:numId w:val="36"/>
      </w:numPr>
    </w:pPr>
  </w:style>
  <w:style w:type="numbering" w:customStyle="1" w:styleId="Aufzhlungszeichen1">
    <w:name w:val="Formatvorlage1"/>
    <w:pPr>
      <w:numPr>
        <w:numId w:val="5"/>
      </w:numPr>
    </w:pPr>
  </w:style>
  <w:style w:type="numbering" w:customStyle="1" w:styleId="Aufzhlungszeichen2">
    <w:name w:val="Formatvorlage4"/>
    <w:pPr>
      <w:numPr>
        <w:numId w:val="38"/>
      </w:numPr>
    </w:pPr>
  </w:style>
</w:styles>
</file>

<file path=word/webSettings.xml><?xml version="1.0" encoding="utf-8"?>
<w:webSettings xmlns:r="http://schemas.openxmlformats.org/officeDocument/2006/relationships" xmlns:w="http://schemas.openxmlformats.org/wordprocessingml/2006/main">
  <w:divs>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389914711">
      <w:bodyDiv w:val="1"/>
      <w:marLeft w:val="0"/>
      <w:marRight w:val="0"/>
      <w:marTop w:val="0"/>
      <w:marBottom w:val="0"/>
      <w:divBdr>
        <w:top w:val="none" w:sz="0" w:space="0" w:color="auto"/>
        <w:left w:val="none" w:sz="0" w:space="0" w:color="auto"/>
        <w:bottom w:val="none" w:sz="0" w:space="0" w:color="auto"/>
        <w:right w:val="none" w:sz="0" w:space="0" w:color="auto"/>
      </w:divBdr>
    </w:div>
    <w:div w:id="1891384768">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 w:id="1985044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3.xm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55985B-91A7-4D8B-AB3D-548AE3C69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1750</Words>
  <Characters>11028</Characters>
  <Application>Microsoft Office Word</Application>
  <DocSecurity>0</DocSecurity>
  <Lines>91</Lines>
  <Paragraphs>25</Paragraphs>
  <ScaleCrop>false</ScaleCrop>
  <HeadingPairs>
    <vt:vector size="6" baseType="variant">
      <vt:variant>
        <vt:lpstr>Titel</vt:lpstr>
      </vt:variant>
      <vt:variant>
        <vt:i4>1</vt:i4>
      </vt:variant>
      <vt:variant>
        <vt:lpstr>Título</vt:lpstr>
      </vt:variant>
      <vt:variant>
        <vt:i4>1</vt:i4>
      </vt:variant>
      <vt:variant>
        <vt:lpstr>Title</vt:lpstr>
      </vt:variant>
      <vt:variant>
        <vt:i4>1</vt:i4>
      </vt:variant>
    </vt:vector>
  </HeadingPairs>
  <TitlesOfParts>
    <vt:vector size="3" baseType="lpstr">
      <vt:lpstr/>
      <vt:lpstr/>
      <vt:lpstr/>
    </vt:vector>
  </TitlesOfParts>
  <Company>Deutsche Bundesbank</Company>
  <LinksUpToDate>false</LinksUpToDate>
  <CharactersWithSpaces>12753</CharactersWithSpaces>
  <SharedDoc>false</SharedDoc>
  <HLinks>
    <vt:vector size="306" baseType="variant">
      <vt:variant>
        <vt:i4>7995501</vt:i4>
      </vt:variant>
      <vt:variant>
        <vt:i4>300</vt:i4>
      </vt:variant>
      <vt:variant>
        <vt:i4>0</vt:i4>
      </vt:variant>
      <vt:variant>
        <vt:i4>5</vt:i4>
      </vt:variant>
      <vt:variant>
        <vt:lpwstr>http://www.eba.europa.eu/cebs/media/Publications/Standards and Guidelines/2011/COREP/GL04rev3CA-GSD.xls</vt:lpwstr>
      </vt:variant>
      <vt:variant>
        <vt:lpwstr/>
      </vt:variant>
      <vt:variant>
        <vt:i4>5898306</vt:i4>
      </vt:variant>
      <vt:variant>
        <vt:i4>297</vt:i4>
      </vt:variant>
      <vt:variant>
        <vt:i4>0</vt:i4>
      </vt:variant>
      <vt:variant>
        <vt:i4>5</vt:i4>
      </vt:variant>
      <vt:variant>
        <vt:lpwstr>http://www.eba.europa.eu/Publications/Consultation-Papers/All-consultations/CP01-CP10/CP04-Revised-2.aspx</vt:lpwstr>
      </vt:variant>
      <vt:variant>
        <vt:lpwstr/>
      </vt:variant>
      <vt:variant>
        <vt:i4>1048626</vt:i4>
      </vt:variant>
      <vt:variant>
        <vt:i4>290</vt:i4>
      </vt:variant>
      <vt:variant>
        <vt:i4>0</vt:i4>
      </vt:variant>
      <vt:variant>
        <vt:i4>5</vt:i4>
      </vt:variant>
      <vt:variant>
        <vt:lpwstr/>
      </vt:variant>
      <vt:variant>
        <vt:lpwstr>_Toc310415075</vt:lpwstr>
      </vt:variant>
      <vt:variant>
        <vt:i4>1048626</vt:i4>
      </vt:variant>
      <vt:variant>
        <vt:i4>284</vt:i4>
      </vt:variant>
      <vt:variant>
        <vt:i4>0</vt:i4>
      </vt:variant>
      <vt:variant>
        <vt:i4>5</vt:i4>
      </vt:variant>
      <vt:variant>
        <vt:lpwstr/>
      </vt:variant>
      <vt:variant>
        <vt:lpwstr>_Toc310415072</vt:lpwstr>
      </vt:variant>
      <vt:variant>
        <vt:i4>1114162</vt:i4>
      </vt:variant>
      <vt:variant>
        <vt:i4>278</vt:i4>
      </vt:variant>
      <vt:variant>
        <vt:i4>0</vt:i4>
      </vt:variant>
      <vt:variant>
        <vt:i4>5</vt:i4>
      </vt:variant>
      <vt:variant>
        <vt:lpwstr/>
      </vt:variant>
      <vt:variant>
        <vt:lpwstr>_Toc310415069</vt:lpwstr>
      </vt:variant>
      <vt:variant>
        <vt:i4>1114162</vt:i4>
      </vt:variant>
      <vt:variant>
        <vt:i4>272</vt:i4>
      </vt:variant>
      <vt:variant>
        <vt:i4>0</vt:i4>
      </vt:variant>
      <vt:variant>
        <vt:i4>5</vt:i4>
      </vt:variant>
      <vt:variant>
        <vt:lpwstr/>
      </vt:variant>
      <vt:variant>
        <vt:lpwstr>_Toc310415066</vt:lpwstr>
      </vt:variant>
      <vt:variant>
        <vt:i4>1114162</vt:i4>
      </vt:variant>
      <vt:variant>
        <vt:i4>266</vt:i4>
      </vt:variant>
      <vt:variant>
        <vt:i4>0</vt:i4>
      </vt:variant>
      <vt:variant>
        <vt:i4>5</vt:i4>
      </vt:variant>
      <vt:variant>
        <vt:lpwstr/>
      </vt:variant>
      <vt:variant>
        <vt:lpwstr>_Toc310415063</vt:lpwstr>
      </vt:variant>
      <vt:variant>
        <vt:i4>1114162</vt:i4>
      </vt:variant>
      <vt:variant>
        <vt:i4>260</vt:i4>
      </vt:variant>
      <vt:variant>
        <vt:i4>0</vt:i4>
      </vt:variant>
      <vt:variant>
        <vt:i4>5</vt:i4>
      </vt:variant>
      <vt:variant>
        <vt:lpwstr/>
      </vt:variant>
      <vt:variant>
        <vt:lpwstr>_Toc310415060</vt:lpwstr>
      </vt:variant>
      <vt:variant>
        <vt:i4>1179698</vt:i4>
      </vt:variant>
      <vt:variant>
        <vt:i4>254</vt:i4>
      </vt:variant>
      <vt:variant>
        <vt:i4>0</vt:i4>
      </vt:variant>
      <vt:variant>
        <vt:i4>5</vt:i4>
      </vt:variant>
      <vt:variant>
        <vt:lpwstr/>
      </vt:variant>
      <vt:variant>
        <vt:lpwstr>_Toc310415057</vt:lpwstr>
      </vt:variant>
      <vt:variant>
        <vt:i4>1179698</vt:i4>
      </vt:variant>
      <vt:variant>
        <vt:i4>248</vt:i4>
      </vt:variant>
      <vt:variant>
        <vt:i4>0</vt:i4>
      </vt:variant>
      <vt:variant>
        <vt:i4>5</vt:i4>
      </vt:variant>
      <vt:variant>
        <vt:lpwstr/>
      </vt:variant>
      <vt:variant>
        <vt:lpwstr>_Toc310415056</vt:lpwstr>
      </vt:variant>
      <vt:variant>
        <vt:i4>1179698</vt:i4>
      </vt:variant>
      <vt:variant>
        <vt:i4>242</vt:i4>
      </vt:variant>
      <vt:variant>
        <vt:i4>0</vt:i4>
      </vt:variant>
      <vt:variant>
        <vt:i4>5</vt:i4>
      </vt:variant>
      <vt:variant>
        <vt:lpwstr/>
      </vt:variant>
      <vt:variant>
        <vt:lpwstr>_Toc310415053</vt:lpwstr>
      </vt:variant>
      <vt:variant>
        <vt:i4>1179698</vt:i4>
      </vt:variant>
      <vt:variant>
        <vt:i4>236</vt:i4>
      </vt:variant>
      <vt:variant>
        <vt:i4>0</vt:i4>
      </vt:variant>
      <vt:variant>
        <vt:i4>5</vt:i4>
      </vt:variant>
      <vt:variant>
        <vt:lpwstr/>
      </vt:variant>
      <vt:variant>
        <vt:lpwstr>_Toc310415050</vt:lpwstr>
      </vt:variant>
      <vt:variant>
        <vt:i4>1245234</vt:i4>
      </vt:variant>
      <vt:variant>
        <vt:i4>230</vt:i4>
      </vt:variant>
      <vt:variant>
        <vt:i4>0</vt:i4>
      </vt:variant>
      <vt:variant>
        <vt:i4>5</vt:i4>
      </vt:variant>
      <vt:variant>
        <vt:lpwstr/>
      </vt:variant>
      <vt:variant>
        <vt:lpwstr>_Toc310415049</vt:lpwstr>
      </vt:variant>
      <vt:variant>
        <vt:i4>1245234</vt:i4>
      </vt:variant>
      <vt:variant>
        <vt:i4>224</vt:i4>
      </vt:variant>
      <vt:variant>
        <vt:i4>0</vt:i4>
      </vt:variant>
      <vt:variant>
        <vt:i4>5</vt:i4>
      </vt:variant>
      <vt:variant>
        <vt:lpwstr/>
      </vt:variant>
      <vt:variant>
        <vt:lpwstr>_Toc310415046</vt:lpwstr>
      </vt:variant>
      <vt:variant>
        <vt:i4>1245234</vt:i4>
      </vt:variant>
      <vt:variant>
        <vt:i4>218</vt:i4>
      </vt:variant>
      <vt:variant>
        <vt:i4>0</vt:i4>
      </vt:variant>
      <vt:variant>
        <vt:i4>5</vt:i4>
      </vt:variant>
      <vt:variant>
        <vt:lpwstr/>
      </vt:variant>
      <vt:variant>
        <vt:lpwstr>_Toc310415042</vt:lpwstr>
      </vt:variant>
      <vt:variant>
        <vt:i4>1310770</vt:i4>
      </vt:variant>
      <vt:variant>
        <vt:i4>212</vt:i4>
      </vt:variant>
      <vt:variant>
        <vt:i4>0</vt:i4>
      </vt:variant>
      <vt:variant>
        <vt:i4>5</vt:i4>
      </vt:variant>
      <vt:variant>
        <vt:lpwstr/>
      </vt:variant>
      <vt:variant>
        <vt:lpwstr>_Toc310415038</vt:lpwstr>
      </vt:variant>
      <vt:variant>
        <vt:i4>1310770</vt:i4>
      </vt:variant>
      <vt:variant>
        <vt:i4>206</vt:i4>
      </vt:variant>
      <vt:variant>
        <vt:i4>0</vt:i4>
      </vt:variant>
      <vt:variant>
        <vt:i4>5</vt:i4>
      </vt:variant>
      <vt:variant>
        <vt:lpwstr/>
      </vt:variant>
      <vt:variant>
        <vt:lpwstr>_Toc310415035</vt:lpwstr>
      </vt:variant>
      <vt:variant>
        <vt:i4>1310770</vt:i4>
      </vt:variant>
      <vt:variant>
        <vt:i4>200</vt:i4>
      </vt:variant>
      <vt:variant>
        <vt:i4>0</vt:i4>
      </vt:variant>
      <vt:variant>
        <vt:i4>5</vt:i4>
      </vt:variant>
      <vt:variant>
        <vt:lpwstr/>
      </vt:variant>
      <vt:variant>
        <vt:lpwstr>_Toc310415031</vt:lpwstr>
      </vt:variant>
      <vt:variant>
        <vt:i4>1376306</vt:i4>
      </vt:variant>
      <vt:variant>
        <vt:i4>194</vt:i4>
      </vt:variant>
      <vt:variant>
        <vt:i4>0</vt:i4>
      </vt:variant>
      <vt:variant>
        <vt:i4>5</vt:i4>
      </vt:variant>
      <vt:variant>
        <vt:lpwstr/>
      </vt:variant>
      <vt:variant>
        <vt:lpwstr>_Toc310415025</vt:lpwstr>
      </vt:variant>
      <vt:variant>
        <vt:i4>1441842</vt:i4>
      </vt:variant>
      <vt:variant>
        <vt:i4>188</vt:i4>
      </vt:variant>
      <vt:variant>
        <vt:i4>0</vt:i4>
      </vt:variant>
      <vt:variant>
        <vt:i4>5</vt:i4>
      </vt:variant>
      <vt:variant>
        <vt:lpwstr/>
      </vt:variant>
      <vt:variant>
        <vt:lpwstr>_Toc310415017</vt:lpwstr>
      </vt:variant>
      <vt:variant>
        <vt:i4>1441842</vt:i4>
      </vt:variant>
      <vt:variant>
        <vt:i4>182</vt:i4>
      </vt:variant>
      <vt:variant>
        <vt:i4>0</vt:i4>
      </vt:variant>
      <vt:variant>
        <vt:i4>5</vt:i4>
      </vt:variant>
      <vt:variant>
        <vt:lpwstr/>
      </vt:variant>
      <vt:variant>
        <vt:lpwstr>_Toc310415014</vt:lpwstr>
      </vt:variant>
      <vt:variant>
        <vt:i4>1441842</vt:i4>
      </vt:variant>
      <vt:variant>
        <vt:i4>176</vt:i4>
      </vt:variant>
      <vt:variant>
        <vt:i4>0</vt:i4>
      </vt:variant>
      <vt:variant>
        <vt:i4>5</vt:i4>
      </vt:variant>
      <vt:variant>
        <vt:lpwstr/>
      </vt:variant>
      <vt:variant>
        <vt:lpwstr>_Toc310415013</vt:lpwstr>
      </vt:variant>
      <vt:variant>
        <vt:i4>1441842</vt:i4>
      </vt:variant>
      <vt:variant>
        <vt:i4>170</vt:i4>
      </vt:variant>
      <vt:variant>
        <vt:i4>0</vt:i4>
      </vt:variant>
      <vt:variant>
        <vt:i4>5</vt:i4>
      </vt:variant>
      <vt:variant>
        <vt:lpwstr/>
      </vt:variant>
      <vt:variant>
        <vt:lpwstr>_Toc310415010</vt:lpwstr>
      </vt:variant>
      <vt:variant>
        <vt:i4>1507378</vt:i4>
      </vt:variant>
      <vt:variant>
        <vt:i4>164</vt:i4>
      </vt:variant>
      <vt:variant>
        <vt:i4>0</vt:i4>
      </vt:variant>
      <vt:variant>
        <vt:i4>5</vt:i4>
      </vt:variant>
      <vt:variant>
        <vt:lpwstr/>
      </vt:variant>
      <vt:variant>
        <vt:lpwstr>_Toc310415009</vt:lpwstr>
      </vt:variant>
      <vt:variant>
        <vt:i4>1507378</vt:i4>
      </vt:variant>
      <vt:variant>
        <vt:i4>158</vt:i4>
      </vt:variant>
      <vt:variant>
        <vt:i4>0</vt:i4>
      </vt:variant>
      <vt:variant>
        <vt:i4>5</vt:i4>
      </vt:variant>
      <vt:variant>
        <vt:lpwstr/>
      </vt:variant>
      <vt:variant>
        <vt:lpwstr>_Toc310415006</vt:lpwstr>
      </vt:variant>
      <vt:variant>
        <vt:i4>1507378</vt:i4>
      </vt:variant>
      <vt:variant>
        <vt:i4>152</vt:i4>
      </vt:variant>
      <vt:variant>
        <vt:i4>0</vt:i4>
      </vt:variant>
      <vt:variant>
        <vt:i4>5</vt:i4>
      </vt:variant>
      <vt:variant>
        <vt:lpwstr/>
      </vt:variant>
      <vt:variant>
        <vt:lpwstr>_Toc310415003</vt:lpwstr>
      </vt:variant>
      <vt:variant>
        <vt:i4>1507378</vt:i4>
      </vt:variant>
      <vt:variant>
        <vt:i4>146</vt:i4>
      </vt:variant>
      <vt:variant>
        <vt:i4>0</vt:i4>
      </vt:variant>
      <vt:variant>
        <vt:i4>5</vt:i4>
      </vt:variant>
      <vt:variant>
        <vt:lpwstr/>
      </vt:variant>
      <vt:variant>
        <vt:lpwstr>_Toc310415000</vt:lpwstr>
      </vt:variant>
      <vt:variant>
        <vt:i4>2031675</vt:i4>
      </vt:variant>
      <vt:variant>
        <vt:i4>140</vt:i4>
      </vt:variant>
      <vt:variant>
        <vt:i4>0</vt:i4>
      </vt:variant>
      <vt:variant>
        <vt:i4>5</vt:i4>
      </vt:variant>
      <vt:variant>
        <vt:lpwstr/>
      </vt:variant>
      <vt:variant>
        <vt:lpwstr>_Toc310414997</vt:lpwstr>
      </vt:variant>
      <vt:variant>
        <vt:i4>2031675</vt:i4>
      </vt:variant>
      <vt:variant>
        <vt:i4>134</vt:i4>
      </vt:variant>
      <vt:variant>
        <vt:i4>0</vt:i4>
      </vt:variant>
      <vt:variant>
        <vt:i4>5</vt:i4>
      </vt:variant>
      <vt:variant>
        <vt:lpwstr/>
      </vt:variant>
      <vt:variant>
        <vt:lpwstr>_Toc310414994</vt:lpwstr>
      </vt:variant>
      <vt:variant>
        <vt:i4>2031675</vt:i4>
      </vt:variant>
      <vt:variant>
        <vt:i4>128</vt:i4>
      </vt:variant>
      <vt:variant>
        <vt:i4>0</vt:i4>
      </vt:variant>
      <vt:variant>
        <vt:i4>5</vt:i4>
      </vt:variant>
      <vt:variant>
        <vt:lpwstr/>
      </vt:variant>
      <vt:variant>
        <vt:lpwstr>_Toc310414993</vt:lpwstr>
      </vt:variant>
      <vt:variant>
        <vt:i4>2031675</vt:i4>
      </vt:variant>
      <vt:variant>
        <vt:i4>122</vt:i4>
      </vt:variant>
      <vt:variant>
        <vt:i4>0</vt:i4>
      </vt:variant>
      <vt:variant>
        <vt:i4>5</vt:i4>
      </vt:variant>
      <vt:variant>
        <vt:lpwstr/>
      </vt:variant>
      <vt:variant>
        <vt:lpwstr>_Toc310414990</vt:lpwstr>
      </vt:variant>
      <vt:variant>
        <vt:i4>1966139</vt:i4>
      </vt:variant>
      <vt:variant>
        <vt:i4>116</vt:i4>
      </vt:variant>
      <vt:variant>
        <vt:i4>0</vt:i4>
      </vt:variant>
      <vt:variant>
        <vt:i4>5</vt:i4>
      </vt:variant>
      <vt:variant>
        <vt:lpwstr/>
      </vt:variant>
      <vt:variant>
        <vt:lpwstr>_Toc310414987</vt:lpwstr>
      </vt:variant>
      <vt:variant>
        <vt:i4>1966139</vt:i4>
      </vt:variant>
      <vt:variant>
        <vt:i4>110</vt:i4>
      </vt:variant>
      <vt:variant>
        <vt:i4>0</vt:i4>
      </vt:variant>
      <vt:variant>
        <vt:i4>5</vt:i4>
      </vt:variant>
      <vt:variant>
        <vt:lpwstr/>
      </vt:variant>
      <vt:variant>
        <vt:lpwstr>_Toc310414986</vt:lpwstr>
      </vt:variant>
      <vt:variant>
        <vt:i4>1966139</vt:i4>
      </vt:variant>
      <vt:variant>
        <vt:i4>104</vt:i4>
      </vt:variant>
      <vt:variant>
        <vt:i4>0</vt:i4>
      </vt:variant>
      <vt:variant>
        <vt:i4>5</vt:i4>
      </vt:variant>
      <vt:variant>
        <vt:lpwstr/>
      </vt:variant>
      <vt:variant>
        <vt:lpwstr>_Toc310414983</vt:lpwstr>
      </vt:variant>
      <vt:variant>
        <vt:i4>1966139</vt:i4>
      </vt:variant>
      <vt:variant>
        <vt:i4>98</vt:i4>
      </vt:variant>
      <vt:variant>
        <vt:i4>0</vt:i4>
      </vt:variant>
      <vt:variant>
        <vt:i4>5</vt:i4>
      </vt:variant>
      <vt:variant>
        <vt:lpwstr/>
      </vt:variant>
      <vt:variant>
        <vt:lpwstr>_Toc310414981</vt:lpwstr>
      </vt:variant>
      <vt:variant>
        <vt:i4>1966139</vt:i4>
      </vt:variant>
      <vt:variant>
        <vt:i4>92</vt:i4>
      </vt:variant>
      <vt:variant>
        <vt:i4>0</vt:i4>
      </vt:variant>
      <vt:variant>
        <vt:i4>5</vt:i4>
      </vt:variant>
      <vt:variant>
        <vt:lpwstr/>
      </vt:variant>
      <vt:variant>
        <vt:lpwstr>_Toc310414980</vt:lpwstr>
      </vt:variant>
      <vt:variant>
        <vt:i4>1114171</vt:i4>
      </vt:variant>
      <vt:variant>
        <vt:i4>86</vt:i4>
      </vt:variant>
      <vt:variant>
        <vt:i4>0</vt:i4>
      </vt:variant>
      <vt:variant>
        <vt:i4>5</vt:i4>
      </vt:variant>
      <vt:variant>
        <vt:lpwstr/>
      </vt:variant>
      <vt:variant>
        <vt:lpwstr>_Toc310414977</vt:lpwstr>
      </vt:variant>
      <vt:variant>
        <vt:i4>1114171</vt:i4>
      </vt:variant>
      <vt:variant>
        <vt:i4>80</vt:i4>
      </vt:variant>
      <vt:variant>
        <vt:i4>0</vt:i4>
      </vt:variant>
      <vt:variant>
        <vt:i4>5</vt:i4>
      </vt:variant>
      <vt:variant>
        <vt:lpwstr/>
      </vt:variant>
      <vt:variant>
        <vt:lpwstr>_Toc310414976</vt:lpwstr>
      </vt:variant>
      <vt:variant>
        <vt:i4>1114171</vt:i4>
      </vt:variant>
      <vt:variant>
        <vt:i4>74</vt:i4>
      </vt:variant>
      <vt:variant>
        <vt:i4>0</vt:i4>
      </vt:variant>
      <vt:variant>
        <vt:i4>5</vt:i4>
      </vt:variant>
      <vt:variant>
        <vt:lpwstr/>
      </vt:variant>
      <vt:variant>
        <vt:lpwstr>_Toc310414975</vt:lpwstr>
      </vt:variant>
      <vt:variant>
        <vt:i4>1114171</vt:i4>
      </vt:variant>
      <vt:variant>
        <vt:i4>68</vt:i4>
      </vt:variant>
      <vt:variant>
        <vt:i4>0</vt:i4>
      </vt:variant>
      <vt:variant>
        <vt:i4>5</vt:i4>
      </vt:variant>
      <vt:variant>
        <vt:lpwstr/>
      </vt:variant>
      <vt:variant>
        <vt:lpwstr>_Toc310414973</vt:lpwstr>
      </vt:variant>
      <vt:variant>
        <vt:i4>1114171</vt:i4>
      </vt:variant>
      <vt:variant>
        <vt:i4>62</vt:i4>
      </vt:variant>
      <vt:variant>
        <vt:i4>0</vt:i4>
      </vt:variant>
      <vt:variant>
        <vt:i4>5</vt:i4>
      </vt:variant>
      <vt:variant>
        <vt:lpwstr/>
      </vt:variant>
      <vt:variant>
        <vt:lpwstr>_Toc310414971</vt:lpwstr>
      </vt:variant>
      <vt:variant>
        <vt:i4>1048635</vt:i4>
      </vt:variant>
      <vt:variant>
        <vt:i4>56</vt:i4>
      </vt:variant>
      <vt:variant>
        <vt:i4>0</vt:i4>
      </vt:variant>
      <vt:variant>
        <vt:i4>5</vt:i4>
      </vt:variant>
      <vt:variant>
        <vt:lpwstr/>
      </vt:variant>
      <vt:variant>
        <vt:lpwstr>_Toc310414969</vt:lpwstr>
      </vt:variant>
      <vt:variant>
        <vt:i4>1048635</vt:i4>
      </vt:variant>
      <vt:variant>
        <vt:i4>50</vt:i4>
      </vt:variant>
      <vt:variant>
        <vt:i4>0</vt:i4>
      </vt:variant>
      <vt:variant>
        <vt:i4>5</vt:i4>
      </vt:variant>
      <vt:variant>
        <vt:lpwstr/>
      </vt:variant>
      <vt:variant>
        <vt:lpwstr>_Toc310414967</vt:lpwstr>
      </vt:variant>
      <vt:variant>
        <vt:i4>1048635</vt:i4>
      </vt:variant>
      <vt:variant>
        <vt:i4>44</vt:i4>
      </vt:variant>
      <vt:variant>
        <vt:i4>0</vt:i4>
      </vt:variant>
      <vt:variant>
        <vt:i4>5</vt:i4>
      </vt:variant>
      <vt:variant>
        <vt:lpwstr/>
      </vt:variant>
      <vt:variant>
        <vt:lpwstr>_Toc310414966</vt:lpwstr>
      </vt:variant>
      <vt:variant>
        <vt:i4>1048635</vt:i4>
      </vt:variant>
      <vt:variant>
        <vt:i4>38</vt:i4>
      </vt:variant>
      <vt:variant>
        <vt:i4>0</vt:i4>
      </vt:variant>
      <vt:variant>
        <vt:i4>5</vt:i4>
      </vt:variant>
      <vt:variant>
        <vt:lpwstr/>
      </vt:variant>
      <vt:variant>
        <vt:lpwstr>_Toc310414965</vt:lpwstr>
      </vt:variant>
      <vt:variant>
        <vt:i4>1048635</vt:i4>
      </vt:variant>
      <vt:variant>
        <vt:i4>32</vt:i4>
      </vt:variant>
      <vt:variant>
        <vt:i4>0</vt:i4>
      </vt:variant>
      <vt:variant>
        <vt:i4>5</vt:i4>
      </vt:variant>
      <vt:variant>
        <vt:lpwstr/>
      </vt:variant>
      <vt:variant>
        <vt:lpwstr>_Toc310414964</vt:lpwstr>
      </vt:variant>
      <vt:variant>
        <vt:i4>1048635</vt:i4>
      </vt:variant>
      <vt:variant>
        <vt:i4>26</vt:i4>
      </vt:variant>
      <vt:variant>
        <vt:i4>0</vt:i4>
      </vt:variant>
      <vt:variant>
        <vt:i4>5</vt:i4>
      </vt:variant>
      <vt:variant>
        <vt:lpwstr/>
      </vt:variant>
      <vt:variant>
        <vt:lpwstr>_Toc310414963</vt:lpwstr>
      </vt:variant>
      <vt:variant>
        <vt:i4>1048635</vt:i4>
      </vt:variant>
      <vt:variant>
        <vt:i4>20</vt:i4>
      </vt:variant>
      <vt:variant>
        <vt:i4>0</vt:i4>
      </vt:variant>
      <vt:variant>
        <vt:i4>5</vt:i4>
      </vt:variant>
      <vt:variant>
        <vt:lpwstr/>
      </vt:variant>
      <vt:variant>
        <vt:lpwstr>_Toc310414962</vt:lpwstr>
      </vt:variant>
      <vt:variant>
        <vt:i4>1048635</vt:i4>
      </vt:variant>
      <vt:variant>
        <vt:i4>14</vt:i4>
      </vt:variant>
      <vt:variant>
        <vt:i4>0</vt:i4>
      </vt:variant>
      <vt:variant>
        <vt:i4>5</vt:i4>
      </vt:variant>
      <vt:variant>
        <vt:lpwstr/>
      </vt:variant>
      <vt:variant>
        <vt:lpwstr>_Toc310414961</vt:lpwstr>
      </vt:variant>
      <vt:variant>
        <vt:i4>1048635</vt:i4>
      </vt:variant>
      <vt:variant>
        <vt:i4>8</vt:i4>
      </vt:variant>
      <vt:variant>
        <vt:i4>0</vt:i4>
      </vt:variant>
      <vt:variant>
        <vt:i4>5</vt:i4>
      </vt:variant>
      <vt:variant>
        <vt:lpwstr/>
      </vt:variant>
      <vt:variant>
        <vt:lpwstr>_Toc310414960</vt:lpwstr>
      </vt:variant>
      <vt:variant>
        <vt:i4>1245243</vt:i4>
      </vt:variant>
      <vt:variant>
        <vt:i4>2</vt:i4>
      </vt:variant>
      <vt:variant>
        <vt:i4>0</vt:i4>
      </vt:variant>
      <vt:variant>
        <vt:i4>5</vt:i4>
      </vt:variant>
      <vt:variant>
        <vt:lpwstr/>
      </vt:variant>
      <vt:variant>
        <vt:lpwstr>_Toc310414959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wstrohbach</dc:creator>
  <cp:keywords/>
  <cp:lastModifiedBy>b1504cr</cp:lastModifiedBy>
  <cp:revision>2</cp:revision>
  <cp:lastPrinted>2011-11-25T16:26:00Z</cp:lastPrinted>
  <dcterms:created xsi:type="dcterms:W3CDTF">2013-03-06T16:26:00Z</dcterms:created>
  <dcterms:modified xsi:type="dcterms:W3CDTF">2013-03-06T16:26:00Z</dcterms:modified>
</cp:coreProperties>
</file>