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7CEE" w:rsidRPr="00A33695" w:rsidRDefault="003105C6" w:rsidP="00A33695">
      <w:pPr>
        <w:jc w:val="center"/>
        <w:rPr>
          <w:rFonts w:ascii="Times New Roman" w:hAnsi="Times New Roman"/>
          <w:sz w:val="28"/>
          <w:szCs w:val="28"/>
          <w:lang w:val="en-US"/>
        </w:rPr>
      </w:pPr>
      <w:bookmarkStart w:id="0" w:name="_Toc262568021"/>
      <w:bookmarkStart w:id="1" w:name="_Toc295829847"/>
      <w:r w:rsidRPr="00A33695">
        <w:rPr>
          <w:rFonts w:ascii="Times New Roman" w:hAnsi="Times New Roman"/>
          <w:sz w:val="28"/>
          <w:szCs w:val="28"/>
          <w:lang w:val="en-US"/>
        </w:rPr>
        <w:t>ANNEX II</w:t>
      </w:r>
    </w:p>
    <w:p w:rsidR="00C87CEE" w:rsidRPr="0017440D" w:rsidRDefault="005666F4" w:rsidP="00C87CEE">
      <w:pPr>
        <w:jc w:val="center"/>
        <w:rPr>
          <w:rFonts w:ascii="Times New Roman" w:hAnsi="Times New Roman"/>
          <w:b/>
          <w:sz w:val="24"/>
          <w:lang w:eastAsia="de-DE"/>
        </w:rPr>
      </w:pPr>
      <w:r>
        <w:rPr>
          <w:rFonts w:ascii="Times New Roman" w:hAnsi="Times New Roman"/>
          <w:b/>
          <w:sz w:val="24"/>
          <w:lang w:eastAsia="de-DE"/>
        </w:rPr>
        <w:t>REPORTING ON OWN FUNDS REQUIREMENTS</w:t>
      </w:r>
    </w:p>
    <w:p w:rsidR="003105C6" w:rsidRPr="00A33695" w:rsidRDefault="003105C6" w:rsidP="00A33695">
      <w:pPr>
        <w:pStyle w:val="InstructionsText2"/>
      </w:pPr>
      <w:r w:rsidRPr="003105C6">
        <w:t>This Annex contains additional instructions for the tables (hereinafter “COREP”) included in Annex I of this Regulation. This Annex complements the instructions in format of references included in the t</w:t>
      </w:r>
      <w:r w:rsidRPr="003105C6">
        <w:t>a</w:t>
      </w:r>
      <w:r w:rsidRPr="003105C6">
        <w:t>bles in Annex I.</w:t>
      </w:r>
    </w:p>
    <w:p w:rsidR="00D64B66" w:rsidRPr="00A33695" w:rsidRDefault="003105C6" w:rsidP="00A33695">
      <w:pPr>
        <w:pStyle w:val="InstructionsText2"/>
        <w:numPr>
          <w:ilvl w:val="0"/>
          <w:numId w:val="0"/>
        </w:numPr>
        <w:ind w:left="360"/>
        <w:jc w:val="center"/>
        <w:rPr>
          <w:b/>
        </w:rPr>
      </w:pPr>
      <w:r w:rsidRPr="00A33695">
        <w:rPr>
          <w:b/>
        </w:rPr>
        <w:t>Table of Contents</w:t>
      </w:r>
    </w:p>
    <w:p w:rsidR="00DE0962" w:rsidRPr="0017440D" w:rsidRDefault="00DE0962" w:rsidP="00331FE6">
      <w:pPr>
        <w:rPr>
          <w:rFonts w:ascii="Times New Roman" w:hAnsi="Times New Roman"/>
          <w:b/>
          <w:bCs/>
        </w:rPr>
      </w:pPr>
    </w:p>
    <w:p w:rsidR="00A801A9" w:rsidRPr="00853594" w:rsidRDefault="00A801A9" w:rsidP="00005FFC">
      <w:pPr>
        <w:rPr>
          <w:rFonts w:ascii="Times New Roman" w:hAnsi="Times New Roman"/>
          <w:lang w:val="en-US"/>
        </w:rPr>
        <w:sectPr w:rsidR="00A801A9" w:rsidRPr="00853594" w:rsidSect="00412D44">
          <w:endnotePr>
            <w:numFmt w:val="decimal"/>
          </w:endnotePr>
          <w:type w:val="continuous"/>
          <w:pgSz w:w="11906" w:h="16838"/>
          <w:pgMar w:top="1417" w:right="1417" w:bottom="1134" w:left="1417" w:header="708" w:footer="708" w:gutter="0"/>
          <w:cols w:space="708"/>
          <w:docGrid w:linePitch="360"/>
        </w:sectPr>
      </w:pPr>
    </w:p>
    <w:p w:rsidR="003D431C" w:rsidRPr="0017440D" w:rsidRDefault="003D431C" w:rsidP="00EC5046">
      <w:pPr>
        <w:rPr>
          <w:rFonts w:ascii="Times New Roman" w:hAnsi="Times New Roman"/>
        </w:rPr>
      </w:pPr>
    </w:p>
    <w:p w:rsidR="00393539" w:rsidRPr="0017440D" w:rsidRDefault="003105C6" w:rsidP="00D64B66">
      <w:pPr>
        <w:pStyle w:val="berschrift2"/>
        <w:rPr>
          <w:rFonts w:ascii="Times New Roman" w:hAnsi="Times New Roman"/>
        </w:rPr>
      </w:pPr>
      <w:bookmarkStart w:id="2" w:name="_Toc264038394"/>
      <w:bookmarkStart w:id="3" w:name="_Toc310414959"/>
      <w:r w:rsidRPr="003105C6">
        <w:rPr>
          <w:rFonts w:ascii="Times New Roman" w:hAnsi="Times New Roman"/>
        </w:rPr>
        <w:t>PART I:</w:t>
      </w:r>
      <w:bookmarkEnd w:id="2"/>
      <w:r w:rsidRPr="003105C6">
        <w:rPr>
          <w:rFonts w:ascii="Times New Roman" w:hAnsi="Times New Roman"/>
        </w:rPr>
        <w:t xml:space="preserve"> GENERAL INSTRUCTIONS</w:t>
      </w:r>
      <w:bookmarkEnd w:id="3"/>
    </w:p>
    <w:p w:rsidR="00A801A9" w:rsidRPr="0017440D" w:rsidRDefault="00A801A9" w:rsidP="00EC5046">
      <w:pPr>
        <w:rPr>
          <w:rFonts w:ascii="Times New Roman" w:hAnsi="Times New Roman"/>
        </w:rPr>
      </w:pPr>
    </w:p>
    <w:p w:rsidR="003105C6" w:rsidRPr="003105C6" w:rsidRDefault="003105C6" w:rsidP="00020516">
      <w:pPr>
        <w:pStyle w:val="Instructionsberschrift2"/>
        <w:numPr>
          <w:ilvl w:val="0"/>
          <w:numId w:val="46"/>
        </w:numPr>
        <w:rPr>
          <w:rFonts w:ascii="Times New Roman" w:hAnsi="Times New Roman" w:cs="Times New Roman"/>
          <w:szCs w:val="20"/>
          <w:u w:val="none"/>
        </w:rPr>
      </w:pPr>
      <w:bookmarkStart w:id="4" w:name="_Toc310414960"/>
      <w:r w:rsidRPr="003105C6">
        <w:rPr>
          <w:rFonts w:ascii="Times New Roman" w:hAnsi="Times New Roman" w:cs="Times New Roman"/>
          <w:u w:val="none"/>
        </w:rPr>
        <w:t>Structure and conventions</w:t>
      </w:r>
      <w:bookmarkEnd w:id="4"/>
    </w:p>
    <w:p w:rsidR="003105C6" w:rsidRPr="003105C6" w:rsidRDefault="003105C6" w:rsidP="00020516">
      <w:pPr>
        <w:pStyle w:val="Instructionsberschrift2"/>
        <w:numPr>
          <w:ilvl w:val="1"/>
          <w:numId w:val="46"/>
        </w:numPr>
        <w:rPr>
          <w:rFonts w:ascii="Times New Roman" w:hAnsi="Times New Roman" w:cs="Times New Roman"/>
          <w:u w:val="none"/>
        </w:rPr>
      </w:pPr>
      <w:bookmarkStart w:id="5" w:name="_Toc310414961"/>
      <w:bookmarkStart w:id="6" w:name="_Toc264038399"/>
      <w:bookmarkStart w:id="7" w:name="_Toc294018834"/>
      <w:r w:rsidRPr="003105C6">
        <w:rPr>
          <w:rFonts w:ascii="Times New Roman" w:hAnsi="Times New Roman" w:cs="Times New Roman"/>
          <w:u w:val="none"/>
        </w:rPr>
        <w:t>Structure</w:t>
      </w:r>
      <w:bookmarkEnd w:id="5"/>
    </w:p>
    <w:p w:rsidR="00393539" w:rsidRPr="0017440D" w:rsidRDefault="003105C6" w:rsidP="002F39A7">
      <w:pPr>
        <w:pStyle w:val="InstructionsText2"/>
      </w:pPr>
      <w:r w:rsidRPr="003105C6">
        <w:t>Overall, the framework consists of five blocks of templates:</w:t>
      </w:r>
    </w:p>
    <w:p w:rsidR="00393539" w:rsidRPr="0017440D" w:rsidRDefault="003105C6" w:rsidP="00393539">
      <w:pPr>
        <w:ind w:left="720"/>
        <w:rPr>
          <w:rFonts w:ascii="Times New Roman" w:hAnsi="Times New Roman"/>
          <w:szCs w:val="20"/>
        </w:rPr>
      </w:pPr>
      <w:r w:rsidRPr="003105C6">
        <w:rPr>
          <w:rFonts w:ascii="Times New Roman" w:hAnsi="Times New Roman"/>
          <w:szCs w:val="20"/>
        </w:rPr>
        <w:t xml:space="preserve">1. Capital adequacy, an overview of regulatory capital; </w:t>
      </w:r>
      <w:proofErr w:type="gramStart"/>
      <w:r w:rsidRPr="003105C6">
        <w:rPr>
          <w:rFonts w:ascii="Times New Roman" w:hAnsi="Times New Roman"/>
          <w:szCs w:val="20"/>
        </w:rPr>
        <w:t>total</w:t>
      </w:r>
      <w:proofErr w:type="gramEnd"/>
      <w:r w:rsidRPr="003105C6">
        <w:rPr>
          <w:rFonts w:ascii="Times New Roman" w:hAnsi="Times New Roman"/>
          <w:szCs w:val="20"/>
        </w:rPr>
        <w:t xml:space="preserve"> risk exposure amount; </w:t>
      </w:r>
      <w:proofErr w:type="gramStart"/>
      <w:r w:rsidRPr="003105C6">
        <w:rPr>
          <w:rFonts w:ascii="Times New Roman" w:hAnsi="Times New Roman"/>
          <w:szCs w:val="20"/>
        </w:rPr>
        <w:t>and</w:t>
      </w:r>
      <w:proofErr w:type="gramEnd"/>
      <w:r w:rsidRPr="003105C6">
        <w:rPr>
          <w:rFonts w:ascii="Times New Roman" w:hAnsi="Times New Roman"/>
          <w:szCs w:val="20"/>
        </w:rPr>
        <w:t>, in the case of consolidated groups, an overview of the fulfilment of the solvency requirements by consolidated and individual entities;</w:t>
      </w:r>
    </w:p>
    <w:p w:rsidR="00393539" w:rsidRPr="0017440D" w:rsidRDefault="003105C6" w:rsidP="00393539">
      <w:pPr>
        <w:ind w:left="720"/>
        <w:rPr>
          <w:rFonts w:ascii="Times New Roman" w:hAnsi="Times New Roman"/>
          <w:szCs w:val="20"/>
        </w:rPr>
      </w:pPr>
      <w:r w:rsidRPr="003105C6">
        <w:rPr>
          <w:rFonts w:ascii="Times New Roman" w:hAnsi="Times New Roman"/>
          <w:szCs w:val="20"/>
        </w:rPr>
        <w:t>Information related to the application of different approaches for the assessment of Pillar I capital r</w:t>
      </w:r>
      <w:r w:rsidRPr="003105C6">
        <w:rPr>
          <w:rFonts w:ascii="Times New Roman" w:hAnsi="Times New Roman"/>
          <w:szCs w:val="20"/>
        </w:rPr>
        <w:t>e</w:t>
      </w:r>
      <w:r w:rsidRPr="003105C6">
        <w:rPr>
          <w:rFonts w:ascii="Times New Roman" w:hAnsi="Times New Roman"/>
          <w:szCs w:val="20"/>
        </w:rPr>
        <w:t>quirements for:</w:t>
      </w:r>
    </w:p>
    <w:p w:rsidR="00393539" w:rsidRPr="0017440D" w:rsidRDefault="003105C6" w:rsidP="00393539">
      <w:pPr>
        <w:ind w:left="720"/>
        <w:rPr>
          <w:rFonts w:ascii="Times New Roman" w:hAnsi="Times New Roman"/>
          <w:szCs w:val="20"/>
        </w:rPr>
      </w:pPr>
      <w:r w:rsidRPr="003105C6">
        <w:rPr>
          <w:rFonts w:ascii="Times New Roman" w:hAnsi="Times New Roman"/>
          <w:szCs w:val="20"/>
        </w:rPr>
        <w:t>2. Credit risk (including counterparty, dilution and settlement risks);</w:t>
      </w:r>
    </w:p>
    <w:p w:rsidR="00393539" w:rsidRPr="0017440D" w:rsidRDefault="003105C6" w:rsidP="00393539">
      <w:pPr>
        <w:ind w:left="720"/>
        <w:rPr>
          <w:rFonts w:ascii="Times New Roman" w:hAnsi="Times New Roman"/>
          <w:szCs w:val="20"/>
        </w:rPr>
      </w:pPr>
      <w:r w:rsidRPr="003105C6">
        <w:rPr>
          <w:rFonts w:ascii="Times New Roman" w:hAnsi="Times New Roman"/>
          <w:szCs w:val="20"/>
        </w:rPr>
        <w:t>3. Market risk (i.e. position risk in trading book, foreign exchange risk and commodities risk);</w:t>
      </w:r>
    </w:p>
    <w:p w:rsidR="00393539" w:rsidRPr="0017440D" w:rsidRDefault="003105C6" w:rsidP="00393539">
      <w:pPr>
        <w:ind w:left="720"/>
        <w:rPr>
          <w:rFonts w:ascii="Times New Roman" w:hAnsi="Times New Roman"/>
          <w:szCs w:val="20"/>
        </w:rPr>
      </w:pPr>
      <w:r w:rsidRPr="003105C6">
        <w:rPr>
          <w:rFonts w:ascii="Times New Roman" w:hAnsi="Times New Roman"/>
          <w:szCs w:val="20"/>
        </w:rPr>
        <w:t>4. Operational risk;</w:t>
      </w:r>
    </w:p>
    <w:p w:rsidR="003D56DE" w:rsidRPr="0017440D" w:rsidRDefault="003105C6" w:rsidP="002F39A7">
      <w:pPr>
        <w:pStyle w:val="InstructionsText2"/>
      </w:pPr>
      <w:r w:rsidRPr="003105C6">
        <w:t>For each template legal references are provided. Further detailed information regarding more general aspects of the reporting of each block of templates, instructions concerning specific positions as well as examples and validation rules are included in these Guidelines for implementation of the Common R</w:t>
      </w:r>
      <w:r w:rsidRPr="003105C6">
        <w:t>e</w:t>
      </w:r>
      <w:r w:rsidRPr="003105C6">
        <w:t>porting framework.</w:t>
      </w:r>
    </w:p>
    <w:p w:rsidR="003D56DE" w:rsidRPr="0017440D" w:rsidRDefault="003105C6" w:rsidP="002F39A7">
      <w:pPr>
        <w:pStyle w:val="InstructionsText2"/>
      </w:pPr>
      <w:r w:rsidRPr="003105C6">
        <w:t>Institutions report only those templates that are relevant depending on the approach used for determi</w:t>
      </w:r>
      <w:r w:rsidRPr="003105C6">
        <w:t>n</w:t>
      </w:r>
      <w:r w:rsidRPr="003105C6">
        <w:t>ing own funds requirements.</w:t>
      </w:r>
    </w:p>
    <w:p w:rsidR="003105C6" w:rsidRPr="003105C6" w:rsidRDefault="003105C6" w:rsidP="003105C6">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3105C6">
        <w:rPr>
          <w:rFonts w:ascii="Times New Roman" w:hAnsi="Times New Roman"/>
          <w:szCs w:val="20"/>
        </w:rPr>
        <w:t>Explanatory text for consultation purposes:</w:t>
      </w:r>
    </w:p>
    <w:p w:rsidR="003105C6" w:rsidRPr="003105C6" w:rsidRDefault="003105C6" w:rsidP="003105C6">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3105C6">
        <w:rPr>
          <w:rFonts w:ascii="Times New Roman" w:hAnsi="Times New Roman"/>
          <w:szCs w:val="20"/>
        </w:rPr>
        <w:t>E.g. in case an institutions holds securitisation positions and the institution calculates the risk-weighted exposure amounts under the IRB Approach according to Part 3 Title II chapter 5, section 3, subsection 4 of CRR, then only the templates CR SEC IRB and SEC Details shall be reported, but not CR SEC SA.</w:t>
      </w:r>
    </w:p>
    <w:p w:rsidR="003105C6" w:rsidRPr="003105C6" w:rsidRDefault="003105C6" w:rsidP="00020516">
      <w:pPr>
        <w:pStyle w:val="Instructionsberschrift2"/>
        <w:numPr>
          <w:ilvl w:val="1"/>
          <w:numId w:val="46"/>
        </w:numPr>
        <w:rPr>
          <w:rFonts w:ascii="Times New Roman" w:hAnsi="Times New Roman" w:cs="Times New Roman"/>
          <w:u w:val="none"/>
        </w:rPr>
      </w:pPr>
      <w:bookmarkStart w:id="8" w:name="_Toc310414962"/>
      <w:r w:rsidRPr="003105C6">
        <w:rPr>
          <w:rFonts w:ascii="Times New Roman" w:hAnsi="Times New Roman" w:cs="Times New Roman"/>
          <w:u w:val="none"/>
        </w:rPr>
        <w:t>Numbering convention</w:t>
      </w:r>
      <w:bookmarkEnd w:id="8"/>
    </w:p>
    <w:p w:rsidR="00393539" w:rsidRPr="0017440D" w:rsidRDefault="003105C6" w:rsidP="002F39A7">
      <w:pPr>
        <w:pStyle w:val="InstructionsText2"/>
      </w:pPr>
      <w:r w:rsidRPr="003105C6">
        <w:t>The document will follow the labelling convention set in the following table, when referring to the co</w:t>
      </w:r>
      <w:r w:rsidRPr="003105C6">
        <w:t>l</w:t>
      </w:r>
      <w:r w:rsidRPr="003105C6">
        <w:t>umns, rows and cells of the templates. These numerical codes are extensively used in the validation rules.</w:t>
      </w:r>
    </w:p>
    <w:p w:rsidR="00900C1D" w:rsidRPr="0017440D" w:rsidRDefault="003105C6" w:rsidP="002F39A7">
      <w:pPr>
        <w:pStyle w:val="InstructionsText2"/>
      </w:pPr>
      <w:r w:rsidRPr="003105C6">
        <w:t>The following general notation is followed in the instructions: {Template</w:t>
      </w:r>
      <w:proofErr w:type="gramStart"/>
      <w:r w:rsidRPr="003105C6">
        <w:t>;Row</w:t>
      </w:r>
      <w:proofErr w:type="gramEnd"/>
      <w:r w:rsidRPr="003105C6">
        <w:t>;Column}.</w:t>
      </w:r>
    </w:p>
    <w:p w:rsidR="00DB2DD0" w:rsidRPr="0017440D" w:rsidRDefault="003105C6" w:rsidP="00DB2DD0">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3105C6">
        <w:rPr>
          <w:rFonts w:ascii="Times New Roman" w:hAnsi="Times New Roman"/>
          <w:szCs w:val="20"/>
        </w:rPr>
        <w:t>Explanatory text for consultation purposes:</w:t>
      </w:r>
    </w:p>
    <w:p w:rsidR="003105C6" w:rsidRPr="003105C6" w:rsidRDefault="003105C6" w:rsidP="003105C6">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3105C6">
        <w:rPr>
          <w:rFonts w:ascii="Times New Roman" w:hAnsi="Times New Roman"/>
          <w:szCs w:val="20"/>
        </w:rPr>
        <w:t>For example: {CRSA</w:t>
      </w:r>
      <w:proofErr w:type="gramStart"/>
      <w:r w:rsidRPr="003105C6">
        <w:rPr>
          <w:rFonts w:ascii="Times New Roman" w:hAnsi="Times New Roman"/>
          <w:szCs w:val="20"/>
        </w:rPr>
        <w:t>;010</w:t>
      </w:r>
      <w:proofErr w:type="gramEnd"/>
      <w:r w:rsidRPr="003105C6">
        <w:rPr>
          <w:rFonts w:ascii="Times New Roman" w:hAnsi="Times New Roman"/>
          <w:szCs w:val="20"/>
        </w:rPr>
        <w:t>;020} refers to the data point row 010, column 020 of CRSA template.</w:t>
      </w:r>
    </w:p>
    <w:p w:rsidR="002E4EB7" w:rsidRPr="0017440D" w:rsidRDefault="003105C6" w:rsidP="002F39A7">
      <w:pPr>
        <w:pStyle w:val="InstructionsText2"/>
        <w:rPr>
          <w:rFonts w:eastAsia="Arial"/>
        </w:rPr>
      </w:pPr>
      <w:r w:rsidRPr="003105C6">
        <w:rPr>
          <w:rFonts w:eastAsia="Arial"/>
        </w:rPr>
        <w:t xml:space="preserve">In the case of validations inside a template, in which only data points of that template is used, notations will not refer to a template: </w:t>
      </w:r>
      <w:r w:rsidRPr="003105C6">
        <w:rPr>
          <w:rFonts w:eastAsia="Arial"/>
          <w:szCs w:val="20"/>
        </w:rPr>
        <w:t>{Row</w:t>
      </w:r>
      <w:proofErr w:type="gramStart"/>
      <w:r w:rsidRPr="003105C6">
        <w:rPr>
          <w:rFonts w:eastAsia="Arial"/>
          <w:szCs w:val="20"/>
        </w:rPr>
        <w:t>;Column</w:t>
      </w:r>
      <w:proofErr w:type="gramEnd"/>
      <w:r w:rsidRPr="003105C6">
        <w:rPr>
          <w:rFonts w:eastAsia="Arial"/>
          <w:szCs w:val="20"/>
        </w:rPr>
        <w:t>}.</w:t>
      </w:r>
    </w:p>
    <w:p w:rsidR="002E4EB7" w:rsidRPr="0017440D" w:rsidRDefault="003105C6" w:rsidP="002F39A7">
      <w:pPr>
        <w:pStyle w:val="InstructionsText2"/>
        <w:rPr>
          <w:rFonts w:eastAsia="Arial"/>
        </w:rPr>
      </w:pPr>
      <w:r w:rsidRPr="003105C6">
        <w:rPr>
          <w:rFonts w:eastAsia="Arial"/>
        </w:rPr>
        <w:t>In the case of templates with only one column, only rows will be referred to.</w:t>
      </w:r>
      <w:r w:rsidRPr="003105C6">
        <w:t xml:space="preserve"> {Template;Row}</w:t>
      </w:r>
    </w:p>
    <w:p w:rsidR="00DB2DD0" w:rsidRPr="0017440D" w:rsidRDefault="003105C6" w:rsidP="00DB2DD0">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3105C6">
        <w:rPr>
          <w:rFonts w:ascii="Times New Roman" w:hAnsi="Times New Roman"/>
          <w:szCs w:val="20"/>
        </w:rPr>
        <w:t>Explanatory text for consultation purposes:</w:t>
      </w:r>
    </w:p>
    <w:p w:rsidR="003105C6" w:rsidRPr="003105C6" w:rsidRDefault="003105C6" w:rsidP="003105C6">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3105C6">
        <w:rPr>
          <w:rFonts w:ascii="Times New Roman" w:hAnsi="Times New Roman"/>
          <w:szCs w:val="20"/>
        </w:rPr>
        <w:t>For example: {CA2</w:t>
      </w:r>
      <w:proofErr w:type="gramStart"/>
      <w:r w:rsidRPr="003105C6">
        <w:rPr>
          <w:rFonts w:ascii="Times New Roman" w:hAnsi="Times New Roman"/>
          <w:szCs w:val="20"/>
        </w:rPr>
        <w:t>;010</w:t>
      </w:r>
      <w:proofErr w:type="gramEnd"/>
      <w:r w:rsidRPr="003105C6">
        <w:rPr>
          <w:rFonts w:ascii="Times New Roman" w:hAnsi="Times New Roman"/>
          <w:szCs w:val="20"/>
        </w:rPr>
        <w:t>} refers to the row 010 of CA2.</w:t>
      </w:r>
    </w:p>
    <w:p w:rsidR="00727756" w:rsidRPr="0017440D" w:rsidRDefault="003105C6" w:rsidP="002F39A7">
      <w:pPr>
        <w:pStyle w:val="InstructionsText2"/>
        <w:rPr>
          <w:rFonts w:eastAsia="Arial"/>
        </w:rPr>
      </w:pPr>
      <w:r w:rsidRPr="003105C6">
        <w:rPr>
          <w:rFonts w:eastAsia="Arial"/>
        </w:rPr>
        <w:t>An asterisk sign will be used to express that the validation is done for the rows or columns specified b</w:t>
      </w:r>
      <w:r w:rsidRPr="003105C6">
        <w:rPr>
          <w:rFonts w:eastAsia="Arial"/>
        </w:rPr>
        <w:t>e</w:t>
      </w:r>
      <w:r w:rsidRPr="003105C6">
        <w:rPr>
          <w:rFonts w:eastAsia="Arial"/>
        </w:rPr>
        <w:t>fore.</w:t>
      </w:r>
    </w:p>
    <w:p w:rsidR="00DB2DD0" w:rsidRPr="0017440D" w:rsidRDefault="003105C6" w:rsidP="00DB2DD0">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3105C6">
        <w:rPr>
          <w:rFonts w:ascii="Times New Roman" w:hAnsi="Times New Roman"/>
          <w:szCs w:val="20"/>
        </w:rPr>
        <w:t>Explanatory text for consultation purposes:</w:t>
      </w:r>
    </w:p>
    <w:p w:rsidR="003105C6" w:rsidRPr="003105C6" w:rsidRDefault="003105C6" w:rsidP="003105C6">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3105C6">
        <w:rPr>
          <w:rFonts w:ascii="Times New Roman" w:hAnsi="Times New Roman"/>
          <w:szCs w:val="20"/>
        </w:rPr>
        <w:lastRenderedPageBreak/>
        <w:t>For example: “For columns 010 to 050, {CRSA</w:t>
      </w:r>
      <w:proofErr w:type="gramStart"/>
      <w:r w:rsidRPr="003105C6">
        <w:rPr>
          <w:rFonts w:ascii="Times New Roman" w:hAnsi="Times New Roman"/>
          <w:szCs w:val="20"/>
        </w:rPr>
        <w:t>;010</w:t>
      </w:r>
      <w:proofErr w:type="gramEnd"/>
      <w:r w:rsidRPr="003105C6">
        <w:rPr>
          <w:rFonts w:ascii="Times New Roman" w:hAnsi="Times New Roman"/>
          <w:szCs w:val="20"/>
        </w:rPr>
        <w:t>;*}”means row 010 of CRSA, for the columns 010 to 050.</w:t>
      </w:r>
    </w:p>
    <w:p w:rsidR="003105C6" w:rsidRPr="003105C6" w:rsidRDefault="003105C6" w:rsidP="00020516">
      <w:pPr>
        <w:pStyle w:val="Instructionsberschrift2"/>
        <w:numPr>
          <w:ilvl w:val="1"/>
          <w:numId w:val="46"/>
        </w:numPr>
        <w:rPr>
          <w:rFonts w:ascii="Times New Roman" w:hAnsi="Times New Roman" w:cs="Times New Roman"/>
          <w:u w:val="none"/>
        </w:rPr>
      </w:pPr>
      <w:bookmarkStart w:id="9" w:name="_Toc310414963"/>
      <w:r w:rsidRPr="003105C6">
        <w:rPr>
          <w:rFonts w:ascii="Times New Roman" w:hAnsi="Times New Roman" w:cs="Times New Roman"/>
          <w:u w:val="none"/>
        </w:rPr>
        <w:t>Sign convention</w:t>
      </w:r>
      <w:bookmarkEnd w:id="6"/>
      <w:bookmarkEnd w:id="7"/>
      <w:bookmarkEnd w:id="9"/>
    </w:p>
    <w:p w:rsidR="00393539" w:rsidRPr="0017440D" w:rsidRDefault="003105C6" w:rsidP="002F39A7">
      <w:pPr>
        <w:pStyle w:val="InstructionsText2"/>
      </w:pPr>
      <w:r w:rsidRPr="003105C6">
        <w:t>Any amount that increases the own funds or the capital requirements will be reported as a positive fi</w:t>
      </w:r>
      <w:r w:rsidRPr="003105C6">
        <w:t>g</w:t>
      </w:r>
      <w:r w:rsidRPr="003105C6">
        <w:t xml:space="preserve">ure. On the contrary, any amount that reduces the total </w:t>
      </w:r>
      <w:proofErr w:type="gramStart"/>
      <w:r w:rsidRPr="003105C6">
        <w:t>own</w:t>
      </w:r>
      <w:proofErr w:type="gramEnd"/>
      <w:r w:rsidRPr="003105C6">
        <w:t xml:space="preserve"> funds or the capital requirements will be r</w:t>
      </w:r>
      <w:r w:rsidRPr="003105C6">
        <w:t>e</w:t>
      </w:r>
      <w:r w:rsidRPr="003105C6">
        <w:t>ported as a negative figure. Where there is a negative sign (-) preceding the label of an item no positive figure is expected to be reported for that item.</w:t>
      </w:r>
    </w:p>
    <w:p w:rsidR="00A801A9" w:rsidRPr="0017440D" w:rsidRDefault="00A801A9" w:rsidP="00005FFC">
      <w:pPr>
        <w:rPr>
          <w:rFonts w:ascii="Times New Roman" w:hAnsi="Times New Roman"/>
        </w:rPr>
        <w:sectPr w:rsidR="00A801A9" w:rsidRPr="0017440D" w:rsidSect="00A801A9">
          <w:endnotePr>
            <w:numFmt w:val="decimal"/>
          </w:endnotePr>
          <w:pgSz w:w="11906" w:h="16838"/>
          <w:pgMar w:top="1417" w:right="1417" w:bottom="1134" w:left="1417" w:header="708" w:footer="708" w:gutter="0"/>
          <w:cols w:space="708"/>
          <w:docGrid w:linePitch="360"/>
        </w:sectPr>
      </w:pPr>
      <w:bookmarkStart w:id="10" w:name="_Toc264033192"/>
      <w:bookmarkEnd w:id="10"/>
    </w:p>
    <w:p w:rsidR="00393539" w:rsidRPr="0017440D" w:rsidRDefault="00393539" w:rsidP="00005FFC">
      <w:pPr>
        <w:rPr>
          <w:rFonts w:ascii="Times New Roman" w:hAnsi="Times New Roman"/>
        </w:rPr>
      </w:pPr>
    </w:p>
    <w:p w:rsidR="00A801A9" w:rsidRPr="0017440D" w:rsidRDefault="003105C6" w:rsidP="00D64B66">
      <w:pPr>
        <w:pStyle w:val="berschrift2"/>
        <w:rPr>
          <w:rFonts w:ascii="Times New Roman" w:hAnsi="Times New Roman"/>
        </w:rPr>
      </w:pPr>
      <w:bookmarkStart w:id="11" w:name="_Toc310414964"/>
      <w:r w:rsidRPr="003105C6">
        <w:rPr>
          <w:rFonts w:ascii="Times New Roman" w:hAnsi="Times New Roman"/>
        </w:rPr>
        <w:t>PART II: TEMPLATE RELATED INSTRUCTIONS</w:t>
      </w:r>
      <w:bookmarkEnd w:id="11"/>
    </w:p>
    <w:p w:rsidR="00D946DB" w:rsidRPr="0017440D" w:rsidRDefault="00D946DB" w:rsidP="00D946DB">
      <w:pPr>
        <w:rPr>
          <w:rFonts w:ascii="Times New Roman" w:hAnsi="Times New Roman"/>
        </w:rPr>
      </w:pPr>
    </w:p>
    <w:p w:rsidR="007B5523" w:rsidRPr="0017440D" w:rsidRDefault="007B5523" w:rsidP="00005FFC">
      <w:pPr>
        <w:rPr>
          <w:rFonts w:ascii="Times New Roman" w:hAnsi="Times New Roman"/>
        </w:rPr>
        <w:sectPr w:rsidR="007B5523" w:rsidRPr="0017440D" w:rsidSect="00FB4960">
          <w:endnotePr>
            <w:numFmt w:val="decimal"/>
          </w:endnotePr>
          <w:pgSz w:w="11906" w:h="16838"/>
          <w:pgMar w:top="1417" w:right="1417" w:bottom="1134" w:left="1417" w:header="708" w:footer="708" w:gutter="0"/>
          <w:cols w:space="708"/>
          <w:docGrid w:linePitch="360"/>
        </w:sectPr>
      </w:pPr>
    </w:p>
    <w:p w:rsidR="003105C6" w:rsidRPr="003105C6" w:rsidRDefault="003105C6" w:rsidP="00020516">
      <w:pPr>
        <w:pStyle w:val="Instructionsberschrift2"/>
        <w:numPr>
          <w:ilvl w:val="0"/>
          <w:numId w:val="45"/>
        </w:numPr>
        <w:rPr>
          <w:rFonts w:ascii="Times New Roman" w:hAnsi="Times New Roman" w:cs="Times New Roman"/>
        </w:rPr>
      </w:pPr>
      <w:bookmarkStart w:id="12" w:name="_Toc310415013"/>
      <w:r w:rsidRPr="003105C6">
        <w:rPr>
          <w:rFonts w:ascii="Times New Roman" w:hAnsi="Times New Roman" w:cs="Times New Roman"/>
        </w:rPr>
        <w:lastRenderedPageBreak/>
        <w:t>Credit Risk Templates</w:t>
      </w:r>
      <w:bookmarkEnd w:id="0"/>
      <w:bookmarkEnd w:id="1"/>
      <w:bookmarkEnd w:id="12"/>
    </w:p>
    <w:p w:rsidR="003105C6" w:rsidRPr="003105C6" w:rsidRDefault="003105C6" w:rsidP="00020516">
      <w:pPr>
        <w:pStyle w:val="Instructionsberschrift2"/>
        <w:numPr>
          <w:ilvl w:val="1"/>
          <w:numId w:val="45"/>
        </w:numPr>
        <w:rPr>
          <w:rFonts w:ascii="Times New Roman" w:hAnsi="Times New Roman" w:cs="Times New Roman"/>
        </w:rPr>
      </w:pPr>
      <w:bookmarkStart w:id="13" w:name="_Toc262568022"/>
      <w:bookmarkStart w:id="14" w:name="_Toc295829848"/>
      <w:bookmarkStart w:id="15" w:name="_Toc310415014"/>
      <w:r w:rsidRPr="003105C6">
        <w:rPr>
          <w:rFonts w:ascii="Times New Roman" w:hAnsi="Times New Roman" w:cs="Times New Roman"/>
        </w:rPr>
        <w:t>General remarks on Credit Risk Templates</w:t>
      </w:r>
      <w:bookmarkEnd w:id="13"/>
      <w:bookmarkEnd w:id="14"/>
      <w:bookmarkEnd w:id="15"/>
    </w:p>
    <w:p w:rsidR="003105C6" w:rsidRPr="003105C6" w:rsidRDefault="003105C6" w:rsidP="00020516">
      <w:pPr>
        <w:pStyle w:val="Instructionsberschrift2"/>
        <w:numPr>
          <w:ilvl w:val="2"/>
          <w:numId w:val="45"/>
        </w:numPr>
        <w:rPr>
          <w:rFonts w:ascii="Times New Roman" w:hAnsi="Times New Roman" w:cs="Times New Roman"/>
        </w:rPr>
      </w:pPr>
      <w:bookmarkStart w:id="16" w:name="_Toc262568023"/>
      <w:bookmarkStart w:id="17" w:name="_Toc295829849"/>
      <w:bookmarkStart w:id="18" w:name="_Toc310415015"/>
      <w:r w:rsidRPr="003105C6">
        <w:rPr>
          <w:rFonts w:ascii="Times New Roman" w:hAnsi="Times New Roman" w:cs="Times New Roman"/>
        </w:rPr>
        <w:t>Reporting of CRM techniques with substitution effect</w:t>
      </w:r>
      <w:bookmarkEnd w:id="16"/>
      <w:bookmarkEnd w:id="17"/>
      <w:bookmarkEnd w:id="18"/>
    </w:p>
    <w:p w:rsidR="00884FEB" w:rsidRPr="0017440D" w:rsidRDefault="00884FEB" w:rsidP="00884FEB">
      <w:pPr>
        <w:autoSpaceDE w:val="0"/>
        <w:autoSpaceDN w:val="0"/>
        <w:adjustRightInd w:val="0"/>
        <w:spacing w:before="0" w:after="0"/>
        <w:rPr>
          <w:rFonts w:ascii="Times New Roman" w:hAnsi="Times New Roman"/>
          <w:szCs w:val="20"/>
          <w:lang w:eastAsia="es-ES_tradnl"/>
        </w:rPr>
      </w:pPr>
    </w:p>
    <w:p w:rsidR="0098778D" w:rsidRPr="0017440D" w:rsidRDefault="003105C6" w:rsidP="002F39A7">
      <w:pPr>
        <w:pStyle w:val="InstructionsText2"/>
      </w:pPr>
      <w:r w:rsidRPr="003105C6">
        <w:t>Article 230 of CRR describes the computation procedure of the exposure which is fully protected by unfunded protection.</w:t>
      </w:r>
    </w:p>
    <w:p w:rsidR="002E4EB7" w:rsidRPr="0017440D" w:rsidRDefault="003105C6" w:rsidP="002F39A7">
      <w:pPr>
        <w:pStyle w:val="InstructionsText2"/>
        <w:rPr>
          <w:szCs w:val="20"/>
          <w:lang w:eastAsia="es-ES_tradnl"/>
        </w:rPr>
      </w:pPr>
      <w:r w:rsidRPr="003105C6">
        <w:t>Article 231 of CRR describes the computation procedure of exposure which is fully protected by u</w:t>
      </w:r>
      <w:r w:rsidRPr="003105C6">
        <w:t>n</w:t>
      </w:r>
      <w:r w:rsidRPr="003105C6">
        <w:t>funded protection in the case of full protection / partial protection — equal seniority.</w:t>
      </w:r>
    </w:p>
    <w:p w:rsidR="002E4EB7" w:rsidRPr="0017440D" w:rsidRDefault="003105C6" w:rsidP="002F39A7">
      <w:pPr>
        <w:pStyle w:val="InstructionsText2"/>
      </w:pPr>
      <w:r w:rsidRPr="003105C6">
        <w:t>Articles 192, 193 and 196 of CRR regulate the funded credit protection.</w:t>
      </w:r>
    </w:p>
    <w:p w:rsidR="002E4EB7" w:rsidRPr="0017440D" w:rsidRDefault="003105C6" w:rsidP="002F39A7">
      <w:pPr>
        <w:pStyle w:val="InstructionsText2"/>
      </w:pPr>
      <w:r w:rsidRPr="003105C6">
        <w:rPr>
          <w:szCs w:val="20"/>
        </w:rPr>
        <w:sym w:font="Wingdings" w:char="F0E0"/>
      </w:r>
      <w:r w:rsidRPr="003105C6">
        <w:t xml:space="preserve"> reporting of exposures to obligors and protection providers which are assigned to the same exposure class</w:t>
      </w:r>
    </w:p>
    <w:p w:rsidR="00884FEB" w:rsidRPr="0017440D" w:rsidRDefault="003105C6" w:rsidP="00CA2E80">
      <w:pPr>
        <w:ind w:left="709"/>
        <w:rPr>
          <w:rFonts w:ascii="Times New Roman" w:hAnsi="Times New Roman"/>
        </w:rPr>
      </w:pPr>
      <w:r w:rsidRPr="003105C6">
        <w:rPr>
          <w:rFonts w:ascii="Times New Roman" w:hAnsi="Times New Roman"/>
        </w:rPr>
        <w:t>It is assumed that an exposure is assigned to an exposure class. This exposure is secured by collateral, the CRM effect of which is calculated by recognition of the substitution effect. An exposure of the pr</w:t>
      </w:r>
      <w:r w:rsidRPr="003105C6">
        <w:rPr>
          <w:rFonts w:ascii="Times New Roman" w:hAnsi="Times New Roman"/>
        </w:rPr>
        <w:t>o</w:t>
      </w:r>
      <w:r w:rsidRPr="003105C6">
        <w:rPr>
          <w:rFonts w:ascii="Times New Roman" w:hAnsi="Times New Roman"/>
        </w:rPr>
        <w:t xml:space="preserve">tection provider of the collateral is assigned to the same exposure class of the secured exposure. </w:t>
      </w:r>
    </w:p>
    <w:p w:rsidR="00884FEB" w:rsidRPr="0017440D" w:rsidRDefault="003105C6" w:rsidP="00CA2E80">
      <w:pPr>
        <w:ind w:left="709"/>
        <w:rPr>
          <w:rFonts w:ascii="Times New Roman" w:hAnsi="Times New Roman"/>
        </w:rPr>
      </w:pPr>
      <w:r w:rsidRPr="003105C6">
        <w:rPr>
          <w:rFonts w:ascii="Times New Roman" w:hAnsi="Times New Roman"/>
        </w:rPr>
        <w:t>In this case the inflow as well as the outflow belongs to the same exposure class.</w:t>
      </w:r>
    </w:p>
    <w:p w:rsidR="00884FEB" w:rsidRPr="0017440D" w:rsidRDefault="00884FEB" w:rsidP="002F39A7">
      <w:pPr>
        <w:pStyle w:val="InstructionsText"/>
      </w:pPr>
    </w:p>
    <w:p w:rsidR="002E4EB7" w:rsidRPr="0017440D" w:rsidRDefault="003105C6" w:rsidP="002F39A7">
      <w:pPr>
        <w:pStyle w:val="InstructionsText2"/>
      </w:pPr>
      <w:r w:rsidRPr="003105C6">
        <w:t>Exposure type does not change because of unfunded credit protection</w:t>
      </w:r>
    </w:p>
    <w:p w:rsidR="00884FEB" w:rsidRPr="0017440D" w:rsidRDefault="003105C6" w:rsidP="00CA2E80">
      <w:pPr>
        <w:autoSpaceDE w:val="0"/>
        <w:autoSpaceDN w:val="0"/>
        <w:adjustRightInd w:val="0"/>
        <w:spacing w:before="0" w:after="240"/>
        <w:ind w:left="709"/>
        <w:jc w:val="left"/>
        <w:rPr>
          <w:rStyle w:val="InstructionsTabelleText"/>
          <w:rFonts w:ascii="Times New Roman" w:hAnsi="Times New Roman"/>
        </w:rPr>
      </w:pPr>
      <w:r w:rsidRPr="003105C6">
        <w:rPr>
          <w:rStyle w:val="InstructionsTabelleText"/>
          <w:rFonts w:ascii="Times New Roman" w:hAnsi="Times New Roman"/>
        </w:rPr>
        <w:t>If an exposure is secured by an unfunded credit protection, the secured part is assigned as an outflow e.g. in the exposure class of the obligor and as an inflow in the exposure class of the protection pr</w:t>
      </w:r>
      <w:r w:rsidRPr="003105C6">
        <w:rPr>
          <w:rStyle w:val="InstructionsTabelleText"/>
          <w:rFonts w:ascii="Times New Roman" w:hAnsi="Times New Roman"/>
        </w:rPr>
        <w:t>o</w:t>
      </w:r>
      <w:r w:rsidRPr="003105C6">
        <w:rPr>
          <w:rStyle w:val="InstructionsTabelleText"/>
          <w:rFonts w:ascii="Times New Roman" w:hAnsi="Times New Roman"/>
        </w:rPr>
        <w:t>vider. But because of the change of the exposure class the type of the exposure does not change.</w:t>
      </w:r>
    </w:p>
    <w:p w:rsidR="00884FEB" w:rsidRPr="0017440D" w:rsidRDefault="003105C6" w:rsidP="002F39A7">
      <w:pPr>
        <w:pStyle w:val="InstructionsText2"/>
        <w:rPr>
          <w:szCs w:val="20"/>
        </w:rPr>
      </w:pPr>
      <w:r w:rsidRPr="003105C6">
        <w:t xml:space="preserve">The substitution effect in the COREP reporting framework should reflect the risk weighting treatment effectively applicable to the covered part of the exposure. As such, the covered part of the exposure is risk weighted according to the SA approach, </w:t>
      </w:r>
      <w:proofErr w:type="gramStart"/>
      <w:r w:rsidRPr="003105C6">
        <w:t>then</w:t>
      </w:r>
      <w:proofErr w:type="gramEnd"/>
      <w:r w:rsidRPr="003105C6">
        <w:t xml:space="preserve"> it should be reported in the CR SA template (exp</w:t>
      </w:r>
      <w:r w:rsidRPr="003105C6">
        <w:t>o</w:t>
      </w:r>
      <w:r w:rsidRPr="003105C6">
        <w:t xml:space="preserve">sure class claims or contingent claims on institutions, as defined under Article 107 of CRR). </w:t>
      </w:r>
    </w:p>
    <w:p w:rsidR="003105C6" w:rsidRPr="003105C6" w:rsidRDefault="003105C6" w:rsidP="00020516">
      <w:pPr>
        <w:pStyle w:val="Instructionsberschrift2"/>
        <w:numPr>
          <w:ilvl w:val="2"/>
          <w:numId w:val="45"/>
        </w:numPr>
        <w:rPr>
          <w:rFonts w:ascii="Times New Roman" w:hAnsi="Times New Roman" w:cs="Times New Roman"/>
        </w:rPr>
      </w:pPr>
      <w:bookmarkStart w:id="19" w:name="_Toc262568024"/>
      <w:bookmarkStart w:id="20" w:name="_Toc295829850"/>
      <w:bookmarkStart w:id="21" w:name="_Toc310415016"/>
      <w:r w:rsidRPr="003105C6">
        <w:rPr>
          <w:rFonts w:ascii="Times New Roman" w:hAnsi="Times New Roman" w:cs="Times New Roman"/>
        </w:rPr>
        <w:t>Reporting of Counterparty Credit Risk</w:t>
      </w:r>
      <w:bookmarkEnd w:id="19"/>
      <w:bookmarkEnd w:id="20"/>
      <w:bookmarkEnd w:id="21"/>
    </w:p>
    <w:p w:rsidR="00884FEB" w:rsidRPr="0017440D" w:rsidRDefault="003105C6" w:rsidP="002F39A7">
      <w:pPr>
        <w:pStyle w:val="InstructionsText2"/>
      </w:pPr>
      <w:r w:rsidRPr="003105C6">
        <w:t xml:space="preserve">Exposures stemming from Counterparty Credit Risk positions shall be reported in templates CR SA or CR IRB independent from whether they are Banking Book items or Trading Book items. </w:t>
      </w:r>
    </w:p>
    <w:p w:rsidR="003105C6" w:rsidRPr="003105C6" w:rsidRDefault="003105C6" w:rsidP="00020516">
      <w:pPr>
        <w:pStyle w:val="Instructionsberschrift2"/>
        <w:numPr>
          <w:ilvl w:val="1"/>
          <w:numId w:val="45"/>
        </w:numPr>
        <w:rPr>
          <w:rFonts w:ascii="Times New Roman" w:hAnsi="Times New Roman" w:cs="Times New Roman"/>
        </w:rPr>
      </w:pPr>
      <w:bookmarkStart w:id="22" w:name="_Toc292456202"/>
      <w:bookmarkStart w:id="23" w:name="_Toc295829851"/>
      <w:bookmarkStart w:id="24" w:name="_Toc310415017"/>
      <w:r w:rsidRPr="003105C6">
        <w:rPr>
          <w:rFonts w:ascii="Times New Roman" w:hAnsi="Times New Roman" w:cs="Times New Roman"/>
        </w:rPr>
        <w:t>CR SA – Credit and counterparty credit risks and free deliveries: Standardised Approach to Own funds R</w:t>
      </w:r>
      <w:r w:rsidRPr="003105C6">
        <w:rPr>
          <w:rFonts w:ascii="Times New Roman" w:hAnsi="Times New Roman" w:cs="Times New Roman"/>
        </w:rPr>
        <w:t>e</w:t>
      </w:r>
      <w:r w:rsidRPr="003105C6">
        <w:rPr>
          <w:rFonts w:ascii="Times New Roman" w:hAnsi="Times New Roman" w:cs="Times New Roman"/>
        </w:rPr>
        <w:t>quirements</w:t>
      </w:r>
      <w:bookmarkEnd w:id="22"/>
      <w:bookmarkEnd w:id="23"/>
      <w:bookmarkEnd w:id="24"/>
    </w:p>
    <w:p w:rsidR="003105C6" w:rsidRPr="003105C6" w:rsidRDefault="003105C6" w:rsidP="00020516">
      <w:pPr>
        <w:pStyle w:val="Instructionsberschrift2"/>
        <w:numPr>
          <w:ilvl w:val="2"/>
          <w:numId w:val="45"/>
        </w:numPr>
        <w:rPr>
          <w:rFonts w:ascii="Times New Roman" w:hAnsi="Times New Roman" w:cs="Times New Roman"/>
        </w:rPr>
      </w:pPr>
      <w:bookmarkStart w:id="25" w:name="_Toc262568026"/>
      <w:bookmarkStart w:id="26" w:name="_Toc264038424"/>
      <w:bookmarkStart w:id="27" w:name="_Toc292456203"/>
      <w:bookmarkStart w:id="28" w:name="_Toc295829852"/>
      <w:bookmarkStart w:id="29" w:name="_Toc310415018"/>
      <w:r w:rsidRPr="003105C6">
        <w:rPr>
          <w:rFonts w:ascii="Times New Roman" w:hAnsi="Times New Roman" w:cs="Times New Roman"/>
        </w:rPr>
        <w:t>General remarks</w:t>
      </w:r>
      <w:bookmarkEnd w:id="25"/>
      <w:bookmarkEnd w:id="26"/>
      <w:bookmarkEnd w:id="27"/>
      <w:bookmarkEnd w:id="28"/>
      <w:bookmarkEnd w:id="29"/>
    </w:p>
    <w:p w:rsidR="00884FEB" w:rsidRPr="0017440D" w:rsidRDefault="003105C6" w:rsidP="002F39A7">
      <w:pPr>
        <w:pStyle w:val="InstructionsText2"/>
      </w:pPr>
      <w:r w:rsidRPr="003105C6">
        <w:t>The CR SA templates provide the necessary information on the calculation of own funds requirements for credit risk according to the standardised approach. In particular, they provide detailed information on:</w:t>
      </w:r>
    </w:p>
    <w:p w:rsidR="00884FEB" w:rsidRPr="0017440D" w:rsidRDefault="003105C6" w:rsidP="00CA2E80">
      <w:pPr>
        <w:numPr>
          <w:ilvl w:val="0"/>
          <w:numId w:val="16"/>
        </w:numPr>
        <w:tabs>
          <w:tab w:val="clear" w:pos="720"/>
          <w:tab w:val="num" w:pos="1418"/>
        </w:tabs>
        <w:autoSpaceDE w:val="0"/>
        <w:autoSpaceDN w:val="0"/>
        <w:adjustRightInd w:val="0"/>
        <w:spacing w:before="0" w:after="240"/>
        <w:ind w:left="1418" w:hanging="709"/>
        <w:jc w:val="left"/>
        <w:rPr>
          <w:rFonts w:ascii="Times New Roman" w:hAnsi="Times New Roman"/>
          <w:szCs w:val="20"/>
          <w:lang w:eastAsia="de-DE"/>
        </w:rPr>
      </w:pPr>
      <w:r w:rsidRPr="003105C6">
        <w:rPr>
          <w:rFonts w:ascii="Times New Roman" w:hAnsi="Times New Roman"/>
          <w:szCs w:val="20"/>
          <w:lang w:eastAsia="de-DE"/>
        </w:rPr>
        <w:t>the distribution of the exposure values according to the different, exposure types, risk weights and exposure classes ;</w:t>
      </w:r>
    </w:p>
    <w:p w:rsidR="00884FEB" w:rsidRPr="0017440D" w:rsidRDefault="003105C6" w:rsidP="00CA2E80">
      <w:pPr>
        <w:numPr>
          <w:ilvl w:val="0"/>
          <w:numId w:val="16"/>
        </w:numPr>
        <w:tabs>
          <w:tab w:val="clear" w:pos="720"/>
          <w:tab w:val="num" w:pos="1418"/>
        </w:tabs>
        <w:autoSpaceDE w:val="0"/>
        <w:autoSpaceDN w:val="0"/>
        <w:adjustRightInd w:val="0"/>
        <w:spacing w:before="0" w:after="240"/>
        <w:ind w:left="1418" w:hanging="709"/>
        <w:jc w:val="left"/>
        <w:rPr>
          <w:rFonts w:ascii="Times New Roman" w:hAnsi="Times New Roman"/>
          <w:szCs w:val="20"/>
          <w:lang w:eastAsia="de-DE"/>
        </w:rPr>
      </w:pPr>
      <w:r w:rsidRPr="003105C6">
        <w:rPr>
          <w:rFonts w:ascii="Times New Roman" w:hAnsi="Times New Roman"/>
          <w:szCs w:val="20"/>
          <w:lang w:eastAsia="de-DE"/>
        </w:rPr>
        <w:t xml:space="preserve">the amount and type of credit risk mitigation techniques used for mitigating the risks. </w:t>
      </w:r>
    </w:p>
    <w:p w:rsidR="007503D4" w:rsidRPr="0017440D" w:rsidRDefault="007503D4" w:rsidP="007503D4">
      <w:pPr>
        <w:autoSpaceDE w:val="0"/>
        <w:autoSpaceDN w:val="0"/>
        <w:adjustRightInd w:val="0"/>
        <w:spacing w:before="0" w:after="240"/>
        <w:ind w:left="360"/>
        <w:jc w:val="left"/>
        <w:rPr>
          <w:rFonts w:ascii="Times New Roman" w:hAnsi="Times New Roman"/>
          <w:szCs w:val="20"/>
          <w:lang w:eastAsia="de-DE"/>
        </w:rPr>
      </w:pPr>
    </w:p>
    <w:p w:rsidR="003105C6" w:rsidRPr="003105C6" w:rsidRDefault="003105C6" w:rsidP="00020516">
      <w:pPr>
        <w:pStyle w:val="Instructionsberschrift2"/>
        <w:numPr>
          <w:ilvl w:val="2"/>
          <w:numId w:val="45"/>
        </w:numPr>
        <w:rPr>
          <w:rFonts w:ascii="Times New Roman" w:hAnsi="Times New Roman" w:cs="Times New Roman"/>
        </w:rPr>
      </w:pPr>
      <w:bookmarkStart w:id="30" w:name="_Toc262568027"/>
      <w:bookmarkStart w:id="31" w:name="_Toc264038425"/>
      <w:bookmarkStart w:id="32" w:name="_Toc292456204"/>
      <w:bookmarkStart w:id="33" w:name="_Toc295829853"/>
      <w:bookmarkStart w:id="34" w:name="_Toc310415019"/>
      <w:r w:rsidRPr="003105C6">
        <w:rPr>
          <w:rFonts w:ascii="Times New Roman" w:hAnsi="Times New Roman" w:cs="Times New Roman"/>
        </w:rPr>
        <w:t>Scope of the CR SA template</w:t>
      </w:r>
      <w:bookmarkEnd w:id="30"/>
      <w:bookmarkEnd w:id="31"/>
      <w:bookmarkEnd w:id="32"/>
      <w:bookmarkEnd w:id="33"/>
      <w:bookmarkEnd w:id="34"/>
    </w:p>
    <w:p w:rsidR="00B264B0" w:rsidRDefault="00B264B0" w:rsidP="002F39A7">
      <w:pPr>
        <w:pStyle w:val="InstructionsText2"/>
      </w:pPr>
      <w:r w:rsidRPr="003105C6">
        <w:t>According to Article 107 of CRR each SA exposure shall be assigned to one of the 16 SA exposure classes in order to calculate the own funds  requirements.</w:t>
      </w:r>
    </w:p>
    <w:p w:rsidR="00B264B0" w:rsidRDefault="00B264B0" w:rsidP="00B264B0">
      <w:pPr>
        <w:pStyle w:val="InstructionsText2"/>
      </w:pPr>
      <w:r>
        <w:lastRenderedPageBreak/>
        <w:t>The</w:t>
      </w:r>
      <w:r w:rsidRPr="00B264B0">
        <w:t xml:space="preserve"> information </w:t>
      </w:r>
      <w:r>
        <w:t>in CR SA is</w:t>
      </w:r>
      <w:r w:rsidRPr="00B264B0">
        <w:t xml:space="preserve"> requested for the total exposure classes and individually for each of the exposure classes as defined for the standardised approach.</w:t>
      </w:r>
      <w:r>
        <w:t xml:space="preserve"> </w:t>
      </w:r>
      <w:r w:rsidR="00E45806">
        <w:t xml:space="preserve">The total figures as well as the information of each exposure class are reported in a separate dimension. </w:t>
      </w:r>
    </w:p>
    <w:p w:rsidR="00B264B0" w:rsidRDefault="00B264B0" w:rsidP="00B264B0">
      <w:pPr>
        <w:pStyle w:val="InstructionsText2"/>
      </w:pPr>
      <w:r>
        <w:t>However the following positions are not within the scope of CR SA:</w:t>
      </w:r>
    </w:p>
    <w:p w:rsidR="00B264B0" w:rsidRPr="0017440D" w:rsidRDefault="00D3793D" w:rsidP="00B264B0">
      <w:pPr>
        <w:pStyle w:val="InstructionsText2"/>
        <w:numPr>
          <w:ilvl w:val="0"/>
          <w:numId w:val="48"/>
        </w:numPr>
      </w:pPr>
      <w:r>
        <w:t>Exposures assigned to exposure class ‘s</w:t>
      </w:r>
      <w:r w:rsidR="00B264B0" w:rsidRPr="003105C6">
        <w:t>ecuritisation positions</w:t>
      </w:r>
      <w:r>
        <w:t>’ according to Article 170 point l of CRR</w:t>
      </w:r>
      <w:r w:rsidR="00B264B0" w:rsidRPr="003105C6">
        <w:t xml:space="preserve"> shall be reported in the CR SEC templates.</w:t>
      </w:r>
    </w:p>
    <w:p w:rsidR="00B264B0" w:rsidRDefault="00B264B0" w:rsidP="00B264B0">
      <w:pPr>
        <w:pStyle w:val="InstructionsText2"/>
        <w:numPr>
          <w:ilvl w:val="0"/>
          <w:numId w:val="48"/>
        </w:numPr>
      </w:pPr>
      <w:r w:rsidRPr="003105C6">
        <w:t>Exposures deducted from own funds.</w:t>
      </w:r>
    </w:p>
    <w:p w:rsidR="00884FEB" w:rsidRPr="0017440D" w:rsidRDefault="003105C6" w:rsidP="002F39A7">
      <w:pPr>
        <w:pStyle w:val="InstructionsText2"/>
      </w:pPr>
      <w:r w:rsidRPr="003105C6">
        <w:t>The scope of the CR SA template covers the following own funds  requirements:</w:t>
      </w:r>
    </w:p>
    <w:p w:rsidR="0098778D" w:rsidRPr="0017440D" w:rsidRDefault="003105C6" w:rsidP="00CA2E80">
      <w:pPr>
        <w:numPr>
          <w:ilvl w:val="0"/>
          <w:numId w:val="16"/>
        </w:numPr>
        <w:tabs>
          <w:tab w:val="clear" w:pos="720"/>
          <w:tab w:val="num" w:pos="1418"/>
        </w:tabs>
        <w:autoSpaceDE w:val="0"/>
        <w:autoSpaceDN w:val="0"/>
        <w:adjustRightInd w:val="0"/>
        <w:spacing w:before="0" w:after="240"/>
        <w:ind w:left="1418" w:hanging="709"/>
        <w:jc w:val="left"/>
        <w:rPr>
          <w:rFonts w:ascii="Times New Roman" w:hAnsi="Times New Roman"/>
          <w:szCs w:val="20"/>
          <w:lang w:eastAsia="de-DE"/>
        </w:rPr>
      </w:pPr>
      <w:r w:rsidRPr="003105C6">
        <w:rPr>
          <w:rFonts w:ascii="Times New Roman" w:hAnsi="Times New Roman"/>
          <w:szCs w:val="20"/>
          <w:lang w:eastAsia="de-DE"/>
        </w:rPr>
        <w:t>Credit risk in accordance with Chapter 2 (Standardised Approach) of Title II of Part Three of CRR in the banking book, among which Counterparty credit risk in accordance with Chapter 6 (Counterparty credit risk) of Title II of Part Three of CRR in the banking book;</w:t>
      </w:r>
    </w:p>
    <w:p w:rsidR="00884FEB" w:rsidRPr="0017440D" w:rsidRDefault="003105C6" w:rsidP="00CA2E80">
      <w:pPr>
        <w:numPr>
          <w:ilvl w:val="0"/>
          <w:numId w:val="16"/>
        </w:numPr>
        <w:tabs>
          <w:tab w:val="clear" w:pos="720"/>
          <w:tab w:val="num" w:pos="1418"/>
        </w:tabs>
        <w:autoSpaceDE w:val="0"/>
        <w:autoSpaceDN w:val="0"/>
        <w:adjustRightInd w:val="0"/>
        <w:spacing w:before="0" w:after="240"/>
        <w:ind w:left="1418" w:hanging="709"/>
        <w:jc w:val="left"/>
        <w:rPr>
          <w:rFonts w:ascii="Times New Roman" w:hAnsi="Times New Roman"/>
          <w:szCs w:val="20"/>
          <w:lang w:eastAsia="de-DE"/>
        </w:rPr>
      </w:pPr>
      <w:r w:rsidRPr="003105C6">
        <w:rPr>
          <w:rFonts w:ascii="Times New Roman" w:hAnsi="Times New Roman"/>
          <w:szCs w:val="20"/>
          <w:lang w:eastAsia="de-DE"/>
        </w:rPr>
        <w:t>Counterparty credit risk in accordance with Chapter 6 (Counterparty credit risk) of Title II of Part Three of CRR in the trading book;</w:t>
      </w:r>
    </w:p>
    <w:p w:rsidR="00884FEB" w:rsidRPr="0017440D" w:rsidRDefault="003105C6" w:rsidP="00CA2E80">
      <w:pPr>
        <w:numPr>
          <w:ilvl w:val="0"/>
          <w:numId w:val="16"/>
        </w:numPr>
        <w:tabs>
          <w:tab w:val="clear" w:pos="720"/>
          <w:tab w:val="num" w:pos="1418"/>
        </w:tabs>
        <w:autoSpaceDE w:val="0"/>
        <w:autoSpaceDN w:val="0"/>
        <w:adjustRightInd w:val="0"/>
        <w:spacing w:before="0" w:after="240"/>
        <w:ind w:left="1418" w:hanging="709"/>
        <w:jc w:val="left"/>
        <w:rPr>
          <w:rFonts w:ascii="Times New Roman" w:hAnsi="Times New Roman"/>
          <w:szCs w:val="20"/>
          <w:lang w:eastAsia="de-DE"/>
        </w:rPr>
      </w:pPr>
      <w:r w:rsidRPr="003105C6">
        <w:rPr>
          <w:rFonts w:ascii="Times New Roman" w:hAnsi="Times New Roman"/>
          <w:szCs w:val="20"/>
          <w:lang w:eastAsia="de-DE"/>
        </w:rPr>
        <w:t>Settlement risk arising from free deliveries in accordance with Article 369 of CRR in respect of all the business activities.</w:t>
      </w:r>
    </w:p>
    <w:p w:rsidR="002E4EB7" w:rsidRPr="0017440D" w:rsidRDefault="003105C6" w:rsidP="002F39A7">
      <w:pPr>
        <w:pStyle w:val="InstructionsText2"/>
      </w:pPr>
      <w:r w:rsidRPr="003105C6">
        <w:t>The scope of the template are all exposures for which the own funds requirements are calculated a</w:t>
      </w:r>
      <w:r w:rsidRPr="003105C6">
        <w:t>c</w:t>
      </w:r>
      <w:r w:rsidRPr="003105C6">
        <w:t>cording to part 3 title II chapter 2 of CRR in conjunction with part 3 title II chapter 4 and 6 of CRR. I</w:t>
      </w:r>
      <w:r w:rsidRPr="003105C6">
        <w:t>n</w:t>
      </w:r>
      <w:r w:rsidRPr="003105C6">
        <w:t>stitutions that apply Article 89 (1) of CRR also need to report their trading book positions in this te</w:t>
      </w:r>
      <w:r w:rsidRPr="003105C6">
        <w:t>m</w:t>
      </w:r>
      <w:r w:rsidRPr="003105C6">
        <w:t>plate when they apply part 3 title II chapter 2 of CRR to calculate the own funds requirements thereof (part 3 title II chapter 2 and 6 and title V of CRR).</w:t>
      </w:r>
      <w:r w:rsidR="00D3793D">
        <w:t xml:space="preserve"> Therefore the template </w:t>
      </w:r>
      <w:r w:rsidR="00D3793D" w:rsidRPr="003105C6">
        <w:t>provides not only detailed i</w:t>
      </w:r>
      <w:r w:rsidR="00D3793D" w:rsidRPr="003105C6">
        <w:t>n</w:t>
      </w:r>
      <w:r w:rsidR="00D3793D" w:rsidRPr="003105C6">
        <w:t>formation on the type of the exposure (e.g. on balance sheet/ off balance sheet items), but also inform</w:t>
      </w:r>
      <w:r w:rsidR="00D3793D" w:rsidRPr="003105C6">
        <w:t>a</w:t>
      </w:r>
      <w:r w:rsidR="00D3793D" w:rsidRPr="003105C6">
        <w:t>tion on the allocation of risk weights within the respective exposure class.</w:t>
      </w:r>
    </w:p>
    <w:p w:rsidR="004A1A86" w:rsidRPr="004A1A86" w:rsidRDefault="003105C6" w:rsidP="00745B5D">
      <w:pPr>
        <w:pStyle w:val="InstructionsText2"/>
        <w:rPr>
          <w:rStyle w:val="InstructionsTabelleText"/>
          <w:rFonts w:ascii="Times New Roman" w:eastAsia="Arial" w:hAnsi="Times New Roman"/>
        </w:rPr>
      </w:pPr>
      <w:bookmarkStart w:id="35" w:name="_Toc264033212"/>
      <w:bookmarkStart w:id="36" w:name="_Toc294166813"/>
      <w:bookmarkStart w:id="37" w:name="_Toc294256386"/>
      <w:bookmarkStart w:id="38" w:name="_Toc294256487"/>
      <w:bookmarkStart w:id="39" w:name="_Toc294267371"/>
      <w:bookmarkStart w:id="40" w:name="_Toc294267476"/>
      <w:bookmarkStart w:id="41" w:name="_Toc294267607"/>
      <w:bookmarkStart w:id="42" w:name="_Toc294267709"/>
      <w:bookmarkStart w:id="43" w:name="_Toc294274817"/>
      <w:bookmarkStart w:id="44" w:name="_Toc294280261"/>
      <w:bookmarkStart w:id="45" w:name="_Toc294281586"/>
      <w:bookmarkStart w:id="46" w:name="_Toc294281806"/>
      <w:bookmarkStart w:id="47" w:name="_Toc294282020"/>
      <w:bookmarkStart w:id="48" w:name="_Toc294282223"/>
      <w:bookmarkStart w:id="49" w:name="_Toc294714158"/>
      <w:bookmarkStart w:id="50" w:name="_Toc295314184"/>
      <w:bookmarkStart w:id="51" w:name="_Toc295829573"/>
      <w:bookmarkStart w:id="52" w:name="_Toc295829856"/>
      <w:bookmarkStart w:id="53" w:name="_Toc301772744"/>
      <w:bookmarkStart w:id="54" w:name="_Toc301772822"/>
      <w:bookmarkStart w:id="55" w:name="_Toc302657761"/>
      <w:bookmarkStart w:id="56" w:name="_Toc302657880"/>
      <w:bookmarkStart w:id="57" w:name="_Toc307582992"/>
      <w:bookmarkStart w:id="58" w:name="_Toc30758301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Pr="004A1A86">
        <w:rPr>
          <w:rStyle w:val="InstructionsTabelleText"/>
          <w:rFonts w:ascii="Times New Roman" w:hAnsi="Times New Roman"/>
        </w:rPr>
        <w:t xml:space="preserve">In addition CR SA includes memorandum items </w:t>
      </w:r>
      <w:r w:rsidR="004A1A86">
        <w:rPr>
          <w:rStyle w:val="InstructionsTabelleText"/>
          <w:rFonts w:ascii="Times New Roman" w:hAnsi="Times New Roman"/>
        </w:rPr>
        <w:t>in row</w:t>
      </w:r>
      <w:r w:rsidR="004A1A86" w:rsidRPr="001A6EB3">
        <w:rPr>
          <w:rStyle w:val="InstructionsTabelleText"/>
          <w:rFonts w:ascii="Times New Roman" w:hAnsi="Times New Roman"/>
        </w:rPr>
        <w:t xml:space="preserve">s </w:t>
      </w:r>
      <w:r w:rsidR="001A6EB3" w:rsidRPr="001A6EB3">
        <w:rPr>
          <w:rStyle w:val="InstructionsTabelleText"/>
          <w:rFonts w:ascii="Times New Roman" w:eastAsia="Arial" w:hAnsi="Times New Roman"/>
        </w:rPr>
        <w:t>220</w:t>
      </w:r>
      <w:r w:rsidR="003A1AEE">
        <w:rPr>
          <w:rStyle w:val="InstructionsTabelleText"/>
          <w:rFonts w:ascii="Times New Roman" w:eastAsia="Arial" w:hAnsi="Times New Roman"/>
        </w:rPr>
        <w:t xml:space="preserve"> to 250</w:t>
      </w:r>
      <w:r w:rsidR="004A1A86" w:rsidRPr="001A6EB3">
        <w:rPr>
          <w:rStyle w:val="InstructionsTabelleText"/>
          <w:rFonts w:ascii="Times New Roman" w:eastAsia="Arial" w:hAnsi="Times New Roman"/>
        </w:rPr>
        <w:t xml:space="preserve"> </w:t>
      </w:r>
      <w:r w:rsidRPr="004A1A86">
        <w:rPr>
          <w:rStyle w:val="InstructionsTabelleText"/>
          <w:rFonts w:ascii="Times New Roman" w:hAnsi="Times New Roman"/>
        </w:rPr>
        <w:t>in order to collect further inform</w:t>
      </w:r>
      <w:r w:rsidRPr="004A1A86">
        <w:rPr>
          <w:rStyle w:val="InstructionsTabelleText"/>
          <w:rFonts w:ascii="Times New Roman" w:hAnsi="Times New Roman"/>
        </w:rPr>
        <w:t>a</w:t>
      </w:r>
      <w:r w:rsidRPr="004A1A86">
        <w:rPr>
          <w:rStyle w:val="InstructionsTabelleText"/>
          <w:rFonts w:ascii="Times New Roman" w:hAnsi="Times New Roman"/>
        </w:rPr>
        <w:t>tion about exposures secured by mortgages on immovable property and exposures in default</w:t>
      </w:r>
      <w:r w:rsidR="00D3793D" w:rsidRPr="004A1A86">
        <w:rPr>
          <w:rStyle w:val="InstructionsTabelleText"/>
          <w:rFonts w:ascii="Times New Roman" w:hAnsi="Times New Roman"/>
        </w:rPr>
        <w:t xml:space="preserve">. </w:t>
      </w:r>
    </w:p>
    <w:p w:rsidR="00745B5D" w:rsidRPr="004A1A86" w:rsidRDefault="00745B5D" w:rsidP="00745B5D">
      <w:pPr>
        <w:pStyle w:val="InstructionsText2"/>
        <w:rPr>
          <w:rStyle w:val="InstructionsTabelleText"/>
          <w:rFonts w:ascii="Times New Roman" w:eastAsia="Arial" w:hAnsi="Times New Roman"/>
        </w:rPr>
      </w:pPr>
      <w:r w:rsidRPr="004A1A86">
        <w:rPr>
          <w:rStyle w:val="InstructionsTabelleText"/>
          <w:rFonts w:ascii="Times New Roman" w:eastAsia="Arial" w:hAnsi="Times New Roman"/>
        </w:rPr>
        <w:t>The</w:t>
      </w:r>
      <w:r w:rsidR="004A1A86">
        <w:rPr>
          <w:rStyle w:val="InstructionsTabelleText"/>
          <w:rFonts w:ascii="Times New Roman" w:eastAsia="Arial" w:hAnsi="Times New Roman"/>
        </w:rPr>
        <w:t>se</w:t>
      </w:r>
      <w:r w:rsidRPr="004A1A86">
        <w:rPr>
          <w:rStyle w:val="InstructionsTabelleText"/>
          <w:rFonts w:ascii="Times New Roman" w:eastAsia="Arial" w:hAnsi="Times New Roman"/>
        </w:rPr>
        <w:t xml:space="preserve"> memorandum items shall be reported for the following exposure classes only: </w:t>
      </w:r>
    </w:p>
    <w:p w:rsidR="00745B5D" w:rsidRPr="006F4097" w:rsidRDefault="00745B5D" w:rsidP="00745B5D">
      <w:pPr>
        <w:pStyle w:val="InstructionsText2"/>
        <w:numPr>
          <w:ilvl w:val="0"/>
          <w:numId w:val="0"/>
        </w:numPr>
        <w:ind w:left="720"/>
        <w:rPr>
          <w:rStyle w:val="InstructionsTabelleText"/>
          <w:rFonts w:ascii="Times New Roman" w:eastAsia="Arial" w:hAnsi="Times New Roman"/>
        </w:rPr>
      </w:pPr>
      <w:r w:rsidRPr="006F4097">
        <w:rPr>
          <w:rStyle w:val="InstructionsTabelleText"/>
          <w:rFonts w:ascii="Times New Roman" w:eastAsia="Arial" w:hAnsi="Times New Roman"/>
        </w:rPr>
        <w:t>Central governments or central banks (</w:t>
      </w:r>
      <w:r w:rsidRPr="006F4097">
        <w:t>Article 107 point (a) of CRR)</w:t>
      </w:r>
    </w:p>
    <w:p w:rsidR="00745B5D" w:rsidRPr="006F4097" w:rsidRDefault="00745B5D" w:rsidP="00745B5D">
      <w:pPr>
        <w:pStyle w:val="InstructionsText2"/>
        <w:numPr>
          <w:ilvl w:val="0"/>
          <w:numId w:val="0"/>
        </w:numPr>
        <w:ind w:left="720"/>
        <w:rPr>
          <w:rStyle w:val="InstructionsTabelleText"/>
          <w:rFonts w:ascii="Times New Roman" w:eastAsia="Arial" w:hAnsi="Times New Roman"/>
        </w:rPr>
      </w:pPr>
      <w:r w:rsidRPr="006F4097">
        <w:rPr>
          <w:rStyle w:val="InstructionsTabelleText"/>
          <w:rFonts w:ascii="Times New Roman" w:eastAsia="Arial" w:hAnsi="Times New Roman"/>
        </w:rPr>
        <w:t>Regional governments or local authorities (</w:t>
      </w:r>
      <w:r w:rsidRPr="006F4097">
        <w:rPr>
          <w:bCs/>
        </w:rPr>
        <w:t>Article 107 point (b) of CRR)</w:t>
      </w:r>
    </w:p>
    <w:p w:rsidR="00745B5D" w:rsidRPr="006F4097" w:rsidRDefault="00745B5D" w:rsidP="00745B5D">
      <w:pPr>
        <w:pStyle w:val="InstructionsText2"/>
        <w:numPr>
          <w:ilvl w:val="0"/>
          <w:numId w:val="0"/>
        </w:numPr>
        <w:ind w:left="720"/>
        <w:rPr>
          <w:rStyle w:val="InstructionsTabelleText"/>
          <w:rFonts w:ascii="Times New Roman" w:eastAsia="Arial" w:hAnsi="Times New Roman"/>
        </w:rPr>
      </w:pPr>
      <w:r w:rsidRPr="006F4097">
        <w:rPr>
          <w:rStyle w:val="InstructionsTabelleText"/>
          <w:rFonts w:ascii="Times New Roman" w:eastAsia="Arial" w:hAnsi="Times New Roman"/>
        </w:rPr>
        <w:t>Public sector entities (</w:t>
      </w:r>
      <w:r w:rsidRPr="006F4097">
        <w:t>Article 107 point (c) of CRR)</w:t>
      </w:r>
    </w:p>
    <w:p w:rsidR="00745B5D" w:rsidRPr="006F4097" w:rsidRDefault="00745B5D" w:rsidP="00745B5D">
      <w:pPr>
        <w:pStyle w:val="InstructionsText2"/>
        <w:numPr>
          <w:ilvl w:val="0"/>
          <w:numId w:val="0"/>
        </w:numPr>
        <w:ind w:left="720"/>
        <w:rPr>
          <w:rStyle w:val="InstructionsTabelleText"/>
          <w:rFonts w:ascii="Times New Roman" w:eastAsia="Arial" w:hAnsi="Times New Roman"/>
        </w:rPr>
      </w:pPr>
      <w:r w:rsidRPr="006F4097">
        <w:rPr>
          <w:rStyle w:val="InstructionsTabelleText"/>
          <w:rFonts w:ascii="Times New Roman" w:eastAsia="Arial" w:hAnsi="Times New Roman"/>
        </w:rPr>
        <w:t>Institutions (</w:t>
      </w:r>
      <w:r w:rsidRPr="006F4097">
        <w:t>Article 107 point (f) of CRR)</w:t>
      </w:r>
    </w:p>
    <w:p w:rsidR="00745B5D" w:rsidRPr="006F4097" w:rsidRDefault="00745B5D" w:rsidP="00745B5D">
      <w:pPr>
        <w:pStyle w:val="InstructionsText2"/>
        <w:numPr>
          <w:ilvl w:val="0"/>
          <w:numId w:val="0"/>
        </w:numPr>
        <w:ind w:left="720"/>
        <w:rPr>
          <w:rStyle w:val="InstructionsTabelleText"/>
          <w:rFonts w:ascii="Times New Roman" w:eastAsia="Arial" w:hAnsi="Times New Roman"/>
        </w:rPr>
      </w:pPr>
      <w:r w:rsidRPr="006F4097">
        <w:rPr>
          <w:rStyle w:val="InstructionsTabelleText"/>
          <w:rFonts w:ascii="Times New Roman" w:eastAsia="Arial" w:hAnsi="Times New Roman"/>
        </w:rPr>
        <w:t>Corporates (</w:t>
      </w:r>
      <w:r w:rsidRPr="006F4097">
        <w:t>Article 107 point (g) of CRR)</w:t>
      </w:r>
    </w:p>
    <w:p w:rsidR="00745B5D" w:rsidRPr="006F4097" w:rsidRDefault="00745B5D" w:rsidP="00745B5D">
      <w:pPr>
        <w:pStyle w:val="InstructionsText2"/>
        <w:numPr>
          <w:ilvl w:val="0"/>
          <w:numId w:val="0"/>
        </w:numPr>
        <w:ind w:left="720"/>
        <w:rPr>
          <w:rStyle w:val="InstructionsTabelleText"/>
          <w:rFonts w:ascii="Times New Roman" w:eastAsia="Arial" w:hAnsi="Times New Roman"/>
        </w:rPr>
      </w:pPr>
      <w:r w:rsidRPr="006F4097">
        <w:rPr>
          <w:rStyle w:val="InstructionsTabelleText"/>
          <w:rFonts w:ascii="Times New Roman" w:eastAsia="Arial" w:hAnsi="Times New Roman"/>
        </w:rPr>
        <w:t>Retail (</w:t>
      </w:r>
      <w:r w:rsidRPr="006F4097">
        <w:t>Article 107 point (h) of CRR).</w:t>
      </w:r>
    </w:p>
    <w:p w:rsidR="00745B5D" w:rsidRDefault="00745B5D" w:rsidP="00745B5D">
      <w:pPr>
        <w:pStyle w:val="InstructionsText2"/>
        <w:numPr>
          <w:ilvl w:val="0"/>
          <w:numId w:val="0"/>
        </w:numPr>
        <w:ind w:left="720"/>
        <w:rPr>
          <w:rStyle w:val="InstructionsTabelleText"/>
          <w:rFonts w:ascii="Times New Roman" w:eastAsia="Arial" w:hAnsi="Times New Roman"/>
        </w:rPr>
      </w:pPr>
    </w:p>
    <w:p w:rsidR="00745B5D" w:rsidRPr="0017440D" w:rsidRDefault="00745B5D" w:rsidP="00745B5D">
      <w:pPr>
        <w:pStyle w:val="InstructionsText2"/>
        <w:numPr>
          <w:ilvl w:val="0"/>
          <w:numId w:val="0"/>
        </w:numPr>
        <w:ind w:left="720"/>
        <w:rPr>
          <w:rStyle w:val="InstructionsTabelleText"/>
          <w:rFonts w:ascii="Times New Roman" w:eastAsia="Arial" w:hAnsi="Times New Roman"/>
        </w:rPr>
      </w:pPr>
      <w:r w:rsidRPr="003105C6">
        <w:rPr>
          <w:rStyle w:val="InstructionsTabelleText"/>
          <w:rFonts w:ascii="Times New Roman" w:eastAsia="Arial" w:hAnsi="Times New Roman"/>
        </w:rPr>
        <w:t>The</w:t>
      </w:r>
      <w:r>
        <w:rPr>
          <w:rStyle w:val="InstructionsTabelleText"/>
          <w:rFonts w:ascii="Times New Roman" w:eastAsia="Arial" w:hAnsi="Times New Roman"/>
        </w:rPr>
        <w:t xml:space="preserve"> </w:t>
      </w:r>
      <w:r w:rsidRPr="003105C6">
        <w:rPr>
          <w:rStyle w:val="InstructionsTabelleText"/>
          <w:rFonts w:ascii="Times New Roman" w:eastAsia="Arial" w:hAnsi="Times New Roman"/>
        </w:rPr>
        <w:t>reporting of the memorandum items affect neither the calculation of the</w:t>
      </w:r>
      <w:r>
        <w:rPr>
          <w:rStyle w:val="InstructionsTabelleText"/>
          <w:rFonts w:ascii="Times New Roman" w:eastAsia="Arial" w:hAnsi="Times New Roman"/>
        </w:rPr>
        <w:t xml:space="preserve"> </w:t>
      </w:r>
      <w:r w:rsidRPr="003105C6">
        <w:rPr>
          <w:rStyle w:val="InstructionsTabelleText"/>
          <w:rFonts w:ascii="Times New Roman" w:eastAsia="Arial" w:hAnsi="Times New Roman"/>
        </w:rPr>
        <w:t>risk weighted exposure amounts of the exposure classes according to Article</w:t>
      </w:r>
      <w:r>
        <w:rPr>
          <w:rStyle w:val="InstructionsTabelleText"/>
          <w:rFonts w:ascii="Times New Roman" w:eastAsia="Arial" w:hAnsi="Times New Roman"/>
        </w:rPr>
        <w:t xml:space="preserve"> </w:t>
      </w:r>
      <w:r w:rsidRPr="003105C6">
        <w:rPr>
          <w:rStyle w:val="InstructionsTabelleText"/>
          <w:rFonts w:ascii="Times New Roman" w:eastAsia="Arial" w:hAnsi="Times New Roman"/>
        </w:rPr>
        <w:t>107 points a) to c) and f) to h) of CRR nor of the exposure classes</w:t>
      </w:r>
      <w:r>
        <w:rPr>
          <w:rStyle w:val="InstructionsTabelleText"/>
          <w:rFonts w:ascii="Times New Roman" w:eastAsia="Arial" w:hAnsi="Times New Roman"/>
        </w:rPr>
        <w:t xml:space="preserve"> </w:t>
      </w:r>
      <w:r w:rsidRPr="003105C6">
        <w:rPr>
          <w:rStyle w:val="InstructionsTabelleText"/>
          <w:rFonts w:ascii="Times New Roman" w:eastAsia="Arial" w:hAnsi="Times New Roman"/>
        </w:rPr>
        <w:t xml:space="preserve">according to Article 107 points i) and j) of CRR reported in CR SA,. </w:t>
      </w:r>
    </w:p>
    <w:p w:rsidR="00745B5D" w:rsidRPr="0017440D" w:rsidRDefault="00745B5D" w:rsidP="00745B5D">
      <w:pPr>
        <w:pStyle w:val="InstructionsText2"/>
        <w:numPr>
          <w:ilvl w:val="0"/>
          <w:numId w:val="0"/>
        </w:numPr>
        <w:ind w:left="720"/>
        <w:rPr>
          <w:rStyle w:val="InstructionsTabelleText"/>
          <w:rFonts w:ascii="Times New Roman" w:eastAsia="Arial" w:hAnsi="Times New Roman"/>
        </w:rPr>
      </w:pPr>
      <w:r w:rsidRPr="003105C6">
        <w:rPr>
          <w:rStyle w:val="InstructionsTabelleText"/>
          <w:rFonts w:ascii="Times New Roman" w:eastAsia="Arial" w:hAnsi="Times New Roman"/>
        </w:rPr>
        <w:t>The memorandum rows provide additional</w:t>
      </w:r>
      <w:r>
        <w:rPr>
          <w:rStyle w:val="InstructionsTabelleText"/>
          <w:rFonts w:ascii="Times New Roman" w:eastAsia="Arial" w:hAnsi="Times New Roman"/>
        </w:rPr>
        <w:t xml:space="preserve"> </w:t>
      </w:r>
      <w:r w:rsidRPr="003105C6">
        <w:rPr>
          <w:rStyle w:val="InstructionsTabelleText"/>
          <w:rFonts w:ascii="Times New Roman" w:eastAsia="Arial" w:hAnsi="Times New Roman"/>
        </w:rPr>
        <w:t>information about the obligor structure of the exposure classes 'in default'</w:t>
      </w:r>
      <w:r>
        <w:rPr>
          <w:rStyle w:val="InstructionsTabelleText"/>
          <w:rFonts w:ascii="Times New Roman" w:eastAsia="Arial" w:hAnsi="Times New Roman"/>
        </w:rPr>
        <w:t xml:space="preserve"> </w:t>
      </w:r>
      <w:r w:rsidRPr="003105C6">
        <w:rPr>
          <w:rStyle w:val="InstructionsTabelleText"/>
          <w:rFonts w:ascii="Times New Roman" w:eastAsia="Arial" w:hAnsi="Times New Roman"/>
        </w:rPr>
        <w:t>or 'secured by immovable property'. Here exposures shall be reported where</w:t>
      </w:r>
      <w:r w:rsidRPr="003105C6">
        <w:rPr>
          <w:rStyle w:val="InstructionsTabelleText"/>
          <w:rFonts w:ascii="Times New Roman" w:eastAsia="Arial" w:hAnsi="Times New Roman"/>
        </w:rPr>
        <w:br/>
        <w:t xml:space="preserve">the obligors would have been reported in the </w:t>
      </w:r>
      <w:r>
        <w:rPr>
          <w:rStyle w:val="InstructionsTabelleText"/>
          <w:rFonts w:ascii="Times New Roman" w:eastAsia="Arial" w:hAnsi="Times New Roman"/>
        </w:rPr>
        <w:t>exposure classes</w:t>
      </w:r>
      <w:r w:rsidRPr="003105C6">
        <w:rPr>
          <w:rStyle w:val="InstructionsTabelleText"/>
          <w:rFonts w:ascii="Times New Roman" w:eastAsia="Arial" w:hAnsi="Times New Roman"/>
        </w:rPr>
        <w:t xml:space="preserve"> ‘</w:t>
      </w:r>
      <w:r w:rsidRPr="006F4097">
        <w:rPr>
          <w:rStyle w:val="InstructionsTabelleText"/>
          <w:rFonts w:ascii="Times New Roman" w:eastAsia="Arial" w:hAnsi="Times New Roman"/>
        </w:rPr>
        <w:t>Central governments or central banks</w:t>
      </w:r>
      <w:r w:rsidRPr="003105C6">
        <w:rPr>
          <w:rStyle w:val="InstructionsTabelleText"/>
          <w:rFonts w:ascii="Times New Roman" w:eastAsia="Arial" w:hAnsi="Times New Roman"/>
        </w:rPr>
        <w:t>’</w:t>
      </w:r>
      <w:r>
        <w:rPr>
          <w:rStyle w:val="InstructionsTabelleText"/>
          <w:rFonts w:ascii="Times New Roman" w:eastAsia="Arial" w:hAnsi="Times New Roman"/>
        </w:rPr>
        <w:t>, ‘</w:t>
      </w:r>
      <w:r w:rsidRPr="006F4097">
        <w:rPr>
          <w:rStyle w:val="InstructionsTabelleText"/>
          <w:rFonts w:ascii="Times New Roman" w:eastAsia="Arial" w:hAnsi="Times New Roman"/>
        </w:rPr>
        <w:t>Regional governments or local authorities</w:t>
      </w:r>
      <w:r>
        <w:rPr>
          <w:rStyle w:val="InstructionsTabelleText"/>
          <w:rFonts w:ascii="Times New Roman" w:eastAsia="Arial" w:hAnsi="Times New Roman"/>
        </w:rPr>
        <w:t>’, ‘</w:t>
      </w:r>
      <w:r w:rsidRPr="006F4097">
        <w:rPr>
          <w:rStyle w:val="InstructionsTabelleText"/>
          <w:rFonts w:ascii="Times New Roman" w:eastAsia="Arial" w:hAnsi="Times New Roman"/>
        </w:rPr>
        <w:t>Public sector entities</w:t>
      </w:r>
      <w:r>
        <w:rPr>
          <w:rStyle w:val="InstructionsTabelleText"/>
          <w:rFonts w:ascii="Times New Roman" w:eastAsia="Arial" w:hAnsi="Times New Roman"/>
        </w:rPr>
        <w:t>’</w:t>
      </w:r>
      <w:r w:rsidRPr="003105C6">
        <w:rPr>
          <w:rStyle w:val="InstructionsTabelleText"/>
          <w:rFonts w:ascii="Times New Roman" w:eastAsia="Arial" w:hAnsi="Times New Roman"/>
        </w:rPr>
        <w:t>,</w:t>
      </w:r>
      <w:r>
        <w:rPr>
          <w:rStyle w:val="InstructionsTabelleText"/>
          <w:rFonts w:ascii="Times New Roman" w:eastAsia="Arial" w:hAnsi="Times New Roman"/>
        </w:rPr>
        <w:t xml:space="preserve"> </w:t>
      </w:r>
      <w:r w:rsidRPr="003105C6">
        <w:rPr>
          <w:rStyle w:val="InstructionsTabelleText"/>
          <w:rFonts w:ascii="Times New Roman" w:eastAsia="Arial" w:hAnsi="Times New Roman"/>
        </w:rPr>
        <w:t>‘Institutions’, ‘Corporates’ and ‘Retail’ of CR SA, if those</w:t>
      </w:r>
      <w:r>
        <w:rPr>
          <w:rStyle w:val="InstructionsTabelleText"/>
          <w:rFonts w:ascii="Times New Roman" w:eastAsia="Arial" w:hAnsi="Times New Roman"/>
        </w:rPr>
        <w:t xml:space="preserve"> </w:t>
      </w:r>
      <w:r w:rsidRPr="003105C6">
        <w:rPr>
          <w:rStyle w:val="InstructionsTabelleText"/>
          <w:rFonts w:ascii="Times New Roman" w:eastAsia="Arial" w:hAnsi="Times New Roman"/>
        </w:rPr>
        <w:t>exposures were not assigned to the  exposure classes '</w:t>
      </w:r>
      <w:r>
        <w:rPr>
          <w:rStyle w:val="InstructionsTabelleText"/>
          <w:rFonts w:ascii="Times New Roman" w:eastAsia="Arial" w:hAnsi="Times New Roman"/>
        </w:rPr>
        <w:t>in default</w:t>
      </w:r>
      <w:r w:rsidRPr="003105C6">
        <w:rPr>
          <w:rStyle w:val="InstructionsTabelleText"/>
          <w:rFonts w:ascii="Times New Roman" w:eastAsia="Arial" w:hAnsi="Times New Roman"/>
        </w:rPr>
        <w:t>' or 'secured</w:t>
      </w:r>
      <w:r>
        <w:rPr>
          <w:rStyle w:val="InstructionsTabelleText"/>
          <w:rFonts w:ascii="Times New Roman" w:eastAsia="Arial" w:hAnsi="Times New Roman"/>
        </w:rPr>
        <w:t xml:space="preserve"> </w:t>
      </w:r>
      <w:r w:rsidRPr="003105C6">
        <w:rPr>
          <w:rStyle w:val="InstructionsTabelleText"/>
          <w:rFonts w:ascii="Times New Roman" w:eastAsia="Arial" w:hAnsi="Times New Roman"/>
        </w:rPr>
        <w:t xml:space="preserve">by immovable property'. </w:t>
      </w:r>
    </w:p>
    <w:p w:rsidR="00755758" w:rsidRPr="0017440D" w:rsidRDefault="00745B5D" w:rsidP="00745B5D">
      <w:pPr>
        <w:pStyle w:val="InstructionsText2"/>
        <w:numPr>
          <w:ilvl w:val="0"/>
          <w:numId w:val="0"/>
        </w:numPr>
        <w:ind w:left="720"/>
        <w:rPr>
          <w:rStyle w:val="InstructionsTabelleText"/>
          <w:rFonts w:ascii="Times New Roman" w:hAnsi="Times New Roman"/>
          <w:bCs/>
          <w:szCs w:val="24"/>
          <w:lang w:eastAsia="en-US"/>
        </w:rPr>
      </w:pPr>
      <w:r w:rsidRPr="003105C6">
        <w:rPr>
          <w:rStyle w:val="InstructionsTabelleText"/>
          <w:rFonts w:ascii="Times New Roman" w:eastAsia="Arial" w:hAnsi="Times New Roman"/>
        </w:rPr>
        <w:lastRenderedPageBreak/>
        <w:t>E.g. if an exposure, the risk exposure amounts of</w:t>
      </w:r>
      <w:r>
        <w:rPr>
          <w:rStyle w:val="InstructionsTabelleText"/>
          <w:rFonts w:ascii="Times New Roman" w:eastAsia="Arial" w:hAnsi="Times New Roman"/>
        </w:rPr>
        <w:t xml:space="preserve"> </w:t>
      </w:r>
      <w:r w:rsidRPr="003105C6">
        <w:rPr>
          <w:rStyle w:val="InstructionsTabelleText"/>
          <w:rFonts w:ascii="Times New Roman" w:eastAsia="Arial" w:hAnsi="Times New Roman"/>
        </w:rPr>
        <w:t>which are calculated subject to Article 122 of CRR and the value</w:t>
      </w:r>
      <w:r>
        <w:rPr>
          <w:rStyle w:val="InstructionsTabelleText"/>
          <w:rFonts w:ascii="Times New Roman" w:eastAsia="Arial" w:hAnsi="Times New Roman"/>
        </w:rPr>
        <w:t xml:space="preserve"> </w:t>
      </w:r>
      <w:r w:rsidRPr="003105C6">
        <w:rPr>
          <w:rStyle w:val="InstructionsTabelleText"/>
          <w:rFonts w:ascii="Times New Roman" w:eastAsia="Arial" w:hAnsi="Times New Roman"/>
        </w:rPr>
        <w:t xml:space="preserve">adjustments are less than 20%, then this information is reported in CR SA, rows </w:t>
      </w:r>
      <w:r w:rsidR="001A6EB3">
        <w:rPr>
          <w:rStyle w:val="InstructionsTabelleText"/>
          <w:rFonts w:ascii="Times New Roman" w:eastAsia="Arial" w:hAnsi="Times New Roman"/>
        </w:rPr>
        <w:t>220</w:t>
      </w:r>
      <w:r>
        <w:rPr>
          <w:rStyle w:val="InstructionsTabelleText"/>
          <w:rFonts w:ascii="Times New Roman" w:eastAsia="Arial" w:hAnsi="Times New Roman"/>
        </w:rPr>
        <w:t xml:space="preserve"> in the total and in the exposure class ‘in default’</w:t>
      </w:r>
      <w:r w:rsidRPr="003105C6">
        <w:rPr>
          <w:rStyle w:val="InstructionsTabelleText"/>
          <w:rFonts w:ascii="Times New Roman" w:eastAsia="Arial" w:hAnsi="Times New Roman"/>
        </w:rPr>
        <w:t xml:space="preserve">. If this exposure, before it </w:t>
      </w:r>
      <w:r>
        <w:rPr>
          <w:rStyle w:val="InstructionsTabelleText"/>
          <w:rFonts w:ascii="Times New Roman" w:eastAsia="Arial" w:hAnsi="Times New Roman"/>
        </w:rPr>
        <w:t>defaulted</w:t>
      </w:r>
      <w:r w:rsidRPr="003105C6">
        <w:rPr>
          <w:rStyle w:val="InstructionsTabelleText"/>
          <w:rFonts w:ascii="Times New Roman" w:eastAsia="Arial" w:hAnsi="Times New Roman"/>
        </w:rPr>
        <w:t>, was an</w:t>
      </w:r>
      <w:r>
        <w:rPr>
          <w:rStyle w:val="InstructionsTabelleText"/>
          <w:rFonts w:ascii="Times New Roman" w:eastAsia="Arial" w:hAnsi="Times New Roman"/>
        </w:rPr>
        <w:t xml:space="preserve"> </w:t>
      </w:r>
      <w:r w:rsidRPr="003105C6">
        <w:rPr>
          <w:rStyle w:val="InstructionsTabelleText"/>
          <w:rFonts w:ascii="Times New Roman" w:eastAsia="Arial" w:hAnsi="Times New Roman"/>
        </w:rPr>
        <w:t>exposure to an institution then this information shall</w:t>
      </w:r>
      <w:r>
        <w:rPr>
          <w:rStyle w:val="InstructionsTabelleText"/>
          <w:rFonts w:ascii="Times New Roman" w:eastAsia="Arial" w:hAnsi="Times New Roman"/>
        </w:rPr>
        <w:t xml:space="preserve"> also</w:t>
      </w:r>
      <w:r w:rsidRPr="003105C6">
        <w:rPr>
          <w:rStyle w:val="InstructionsTabelleText"/>
          <w:rFonts w:ascii="Times New Roman" w:eastAsia="Arial" w:hAnsi="Times New Roman"/>
        </w:rPr>
        <w:t xml:space="preserve"> be</w:t>
      </w:r>
      <w:r>
        <w:rPr>
          <w:rStyle w:val="InstructionsTabelleText"/>
          <w:rFonts w:ascii="Times New Roman" w:eastAsia="Arial" w:hAnsi="Times New Roman"/>
        </w:rPr>
        <w:t xml:space="preserve"> </w:t>
      </w:r>
      <w:r w:rsidRPr="003105C6">
        <w:rPr>
          <w:rStyle w:val="InstructionsTabelleText"/>
          <w:rFonts w:ascii="Times New Roman" w:eastAsia="Arial" w:hAnsi="Times New Roman"/>
        </w:rPr>
        <w:t xml:space="preserve">reported in row </w:t>
      </w:r>
      <w:r w:rsidR="001A6EB3">
        <w:rPr>
          <w:rStyle w:val="InstructionsTabelleText"/>
          <w:rFonts w:ascii="Times New Roman" w:eastAsia="Arial" w:hAnsi="Times New Roman"/>
        </w:rPr>
        <w:t>220</w:t>
      </w:r>
      <w:r w:rsidRPr="003105C6">
        <w:rPr>
          <w:rStyle w:val="InstructionsTabelleText"/>
          <w:rFonts w:ascii="Times New Roman" w:eastAsia="Arial" w:hAnsi="Times New Roman"/>
        </w:rPr>
        <w:t xml:space="preserve"> of </w:t>
      </w:r>
      <w:r>
        <w:rPr>
          <w:rStyle w:val="InstructionsTabelleText"/>
          <w:rFonts w:ascii="Times New Roman" w:eastAsia="Arial" w:hAnsi="Times New Roman"/>
        </w:rPr>
        <w:t xml:space="preserve">exposure class </w:t>
      </w:r>
      <w:r w:rsidRPr="003105C6">
        <w:rPr>
          <w:rStyle w:val="InstructionsTabelleText"/>
          <w:rFonts w:ascii="Times New Roman" w:eastAsia="Arial" w:hAnsi="Times New Roman"/>
        </w:rPr>
        <w:t>'institutions'.</w:t>
      </w:r>
    </w:p>
    <w:p w:rsidR="003105C6" w:rsidRPr="003105C6" w:rsidRDefault="003105C6" w:rsidP="00020516">
      <w:pPr>
        <w:pStyle w:val="Instructionsberschrift2"/>
        <w:numPr>
          <w:ilvl w:val="2"/>
          <w:numId w:val="45"/>
        </w:numPr>
        <w:rPr>
          <w:rFonts w:ascii="Times New Roman" w:hAnsi="Times New Roman" w:cs="Times New Roman"/>
        </w:rPr>
      </w:pPr>
      <w:bookmarkStart w:id="59" w:name="_Toc262568030"/>
      <w:bookmarkStart w:id="60" w:name="_Toc264038428"/>
      <w:bookmarkStart w:id="61" w:name="_Toc292456207"/>
      <w:bookmarkStart w:id="62" w:name="_Toc295829858"/>
      <w:r w:rsidRPr="003105C6">
        <w:rPr>
          <w:rFonts w:ascii="Times New Roman" w:hAnsi="Times New Roman" w:cs="Times New Roman"/>
        </w:rPr>
        <w:t xml:space="preserve"> </w:t>
      </w:r>
      <w:bookmarkStart w:id="63" w:name="_Toc310415022"/>
      <w:r w:rsidRPr="003105C6">
        <w:rPr>
          <w:rFonts w:ascii="Times New Roman" w:hAnsi="Times New Roman" w:cs="Times New Roman"/>
        </w:rPr>
        <w:t>Assignment of exposures to exposure classes under the Standardised Approach</w:t>
      </w:r>
      <w:bookmarkEnd w:id="59"/>
      <w:bookmarkEnd w:id="60"/>
      <w:bookmarkEnd w:id="61"/>
      <w:bookmarkEnd w:id="62"/>
      <w:bookmarkEnd w:id="63"/>
    </w:p>
    <w:p w:rsidR="0098778D" w:rsidRPr="0017440D" w:rsidRDefault="003105C6" w:rsidP="002F39A7">
      <w:pPr>
        <w:pStyle w:val="InstructionsText2"/>
      </w:pPr>
      <w:r w:rsidRPr="003105C6">
        <w:t xml:space="preserve">In order to ensure a consistent categorisation of exposures into the different exposure classes as defined in Article 107 of CRR the following sequential approach shall  be applied: </w:t>
      </w:r>
    </w:p>
    <w:p w:rsidR="00884FEB" w:rsidRPr="0017440D" w:rsidRDefault="003105C6" w:rsidP="00884FEB">
      <w:pPr>
        <w:ind w:left="720"/>
        <w:rPr>
          <w:rFonts w:ascii="Times New Roman" w:hAnsi="Times New Roman"/>
          <w:szCs w:val="20"/>
        </w:rPr>
      </w:pPr>
      <w:r w:rsidRPr="003105C6">
        <w:rPr>
          <w:rFonts w:ascii="Times New Roman" w:hAnsi="Times New Roman"/>
          <w:szCs w:val="20"/>
        </w:rPr>
        <w:t>1. In the first step the Original exposure pre conversion factors is classified into the corresponding (original) exposure class as referred to in Article 107 of CRR, without prejudice to the specific trea</w:t>
      </w:r>
      <w:r w:rsidRPr="003105C6">
        <w:rPr>
          <w:rFonts w:ascii="Times New Roman" w:hAnsi="Times New Roman"/>
          <w:szCs w:val="20"/>
        </w:rPr>
        <w:t>t</w:t>
      </w:r>
      <w:r w:rsidRPr="003105C6">
        <w:rPr>
          <w:rFonts w:ascii="Times New Roman" w:hAnsi="Times New Roman"/>
          <w:szCs w:val="20"/>
        </w:rPr>
        <w:t>ment (risk weight) that each specific exposure will receive within the assigned exposure class.</w:t>
      </w:r>
    </w:p>
    <w:p w:rsidR="00884FEB" w:rsidRPr="0017440D" w:rsidRDefault="003105C6" w:rsidP="00884FEB">
      <w:pPr>
        <w:ind w:left="720"/>
        <w:rPr>
          <w:rFonts w:ascii="Times New Roman" w:hAnsi="Times New Roman"/>
          <w:szCs w:val="20"/>
        </w:rPr>
      </w:pPr>
      <w:r w:rsidRPr="003105C6">
        <w:rPr>
          <w:rFonts w:ascii="Times New Roman" w:hAnsi="Times New Roman"/>
          <w:szCs w:val="20"/>
        </w:rPr>
        <w:t>2. In a second step the exposures may be redistributed to other exposure classes due to the application of credit risk mitigation (CRM) techniques with substitution effects on the exposure (e.g. guarantees, credit derivatives, financial collateral simple method) via inflows and outflows.</w:t>
      </w:r>
    </w:p>
    <w:p w:rsidR="00884FEB" w:rsidRPr="0017440D" w:rsidRDefault="003105C6" w:rsidP="00CB5059">
      <w:pPr>
        <w:ind w:left="709"/>
        <w:rPr>
          <w:rFonts w:ascii="Times New Roman" w:hAnsi="Times New Roman"/>
          <w:szCs w:val="20"/>
        </w:rPr>
      </w:pPr>
      <w:r w:rsidRPr="003105C6">
        <w:rPr>
          <w:rFonts w:ascii="Times New Roman" w:hAnsi="Times New Roman"/>
          <w:szCs w:val="20"/>
        </w:rPr>
        <w:t>The following criteria apply for the classification of the Original exposure pre conversion factors into the different exposure classes (first step) without prejudice to the subsequent redistribution caused by the use of CRM techniques with substitution effects on the exposure or to the treatment (risk weight) that each specific exposure should receive within the assigned exposure class.</w:t>
      </w:r>
    </w:p>
    <w:p w:rsidR="00884FEB" w:rsidRPr="0017440D" w:rsidRDefault="003105C6" w:rsidP="00CB5059">
      <w:pPr>
        <w:ind w:left="709"/>
        <w:rPr>
          <w:rFonts w:ascii="Times New Roman" w:hAnsi="Times New Roman"/>
          <w:szCs w:val="20"/>
        </w:rPr>
      </w:pPr>
      <w:r w:rsidRPr="003105C6">
        <w:rPr>
          <w:rFonts w:ascii="Times New Roman" w:hAnsi="Times New Roman"/>
          <w:szCs w:val="20"/>
        </w:rPr>
        <w:sym w:font="Wingdings" w:char="F0E0"/>
      </w:r>
      <w:r w:rsidRPr="003105C6">
        <w:rPr>
          <w:rFonts w:ascii="Times New Roman" w:hAnsi="Times New Roman"/>
          <w:szCs w:val="20"/>
        </w:rPr>
        <w:t xml:space="preserve"> For the purpose of classifying the original exposure pre conversion factor </w:t>
      </w:r>
      <w:r w:rsidRPr="003105C6">
        <w:rPr>
          <w:rFonts w:ascii="Times New Roman" w:hAnsi="Times New Roman"/>
          <w:szCs w:val="20"/>
          <w:u w:val="single"/>
        </w:rPr>
        <w:t>in the first step</w:t>
      </w:r>
      <w:r w:rsidRPr="003105C6">
        <w:rPr>
          <w:rFonts w:ascii="Times New Roman" w:hAnsi="Times New Roman"/>
          <w:szCs w:val="20"/>
        </w:rPr>
        <w:t>, the CRM techniques associated to the exposure shall not be considered (note that they will be considered expli</w:t>
      </w:r>
      <w:r w:rsidRPr="003105C6">
        <w:rPr>
          <w:rFonts w:ascii="Times New Roman" w:hAnsi="Times New Roman"/>
          <w:szCs w:val="20"/>
        </w:rPr>
        <w:t>c</w:t>
      </w:r>
      <w:r w:rsidRPr="003105C6">
        <w:rPr>
          <w:rFonts w:ascii="Times New Roman" w:hAnsi="Times New Roman"/>
          <w:szCs w:val="20"/>
        </w:rPr>
        <w:t>itly in the second phase) unless a protection effect is intrinsically part of the definition of an exposure class as it is the case in the exposure class mentioned in Article 107 point (i) of CRR (</w:t>
      </w:r>
      <w:r w:rsidR="00EC5C43">
        <w:rPr>
          <w:rFonts w:ascii="Times New Roman" w:hAnsi="Times New Roman"/>
          <w:szCs w:val="20"/>
        </w:rPr>
        <w:t>exposures</w:t>
      </w:r>
      <w:r w:rsidRPr="003105C6">
        <w:rPr>
          <w:rFonts w:ascii="Times New Roman" w:hAnsi="Times New Roman"/>
          <w:szCs w:val="20"/>
        </w:rPr>
        <w:t xml:space="preserve"> secured by mortgages on immovable property).</w:t>
      </w:r>
    </w:p>
    <w:p w:rsidR="00884FEB" w:rsidRPr="0017440D" w:rsidRDefault="003105C6" w:rsidP="00CB5059">
      <w:pPr>
        <w:ind w:left="709"/>
        <w:rPr>
          <w:rFonts w:ascii="Times New Roman" w:hAnsi="Times New Roman"/>
          <w:szCs w:val="20"/>
        </w:rPr>
      </w:pPr>
      <w:r w:rsidRPr="003105C6">
        <w:rPr>
          <w:rFonts w:ascii="Times New Roman" w:hAnsi="Times New Roman"/>
          <w:szCs w:val="20"/>
        </w:rPr>
        <w:t xml:space="preserve">Article 107 of amended CRR does not provide criteria for disjoining the exposure classes. This might imply that one exposure could potentially be classified in different exposure classes if no prioritisation in the assessment criteria for the classification is provided. The most obvious example arises between </w:t>
      </w:r>
      <w:r w:rsidR="00D51B89">
        <w:rPr>
          <w:rFonts w:ascii="Times New Roman" w:hAnsi="Times New Roman"/>
          <w:szCs w:val="20"/>
        </w:rPr>
        <w:t>exposures to</w:t>
      </w:r>
      <w:r w:rsidRPr="003105C6">
        <w:rPr>
          <w:rFonts w:ascii="Times New Roman" w:hAnsi="Times New Roman"/>
          <w:szCs w:val="20"/>
        </w:rPr>
        <w:t xml:space="preserve"> institutions and corporate with a short-term credit assessment (Article 107 point (m) of CRR) and </w:t>
      </w:r>
      <w:r w:rsidR="00D51B89">
        <w:rPr>
          <w:rFonts w:ascii="Times New Roman" w:hAnsi="Times New Roman"/>
          <w:szCs w:val="20"/>
        </w:rPr>
        <w:t>exposures to</w:t>
      </w:r>
      <w:r w:rsidRPr="003105C6">
        <w:rPr>
          <w:rFonts w:ascii="Times New Roman" w:hAnsi="Times New Roman"/>
          <w:szCs w:val="20"/>
        </w:rPr>
        <w:t xml:space="preserve"> institutions (Article 107 point (f) of CRR)/ </w:t>
      </w:r>
      <w:r w:rsidR="00D51B89">
        <w:rPr>
          <w:rFonts w:ascii="Times New Roman" w:hAnsi="Times New Roman"/>
          <w:szCs w:val="20"/>
        </w:rPr>
        <w:t>exposures to</w:t>
      </w:r>
      <w:r w:rsidRPr="003105C6">
        <w:rPr>
          <w:rFonts w:ascii="Times New Roman" w:hAnsi="Times New Roman"/>
          <w:szCs w:val="20"/>
        </w:rPr>
        <w:t xml:space="preserve"> corporates (Article 107 point (g) of CRR). In this example it is clear that there is an implicit prioritisation in the CRR since it should be assessed first if a certain exposure fit for being assigned to Short-term </w:t>
      </w:r>
      <w:r w:rsidR="00D51B89">
        <w:rPr>
          <w:rFonts w:ascii="Times New Roman" w:hAnsi="Times New Roman"/>
          <w:szCs w:val="20"/>
        </w:rPr>
        <w:t>exposures</w:t>
      </w:r>
      <w:r w:rsidR="00D51B89" w:rsidRPr="003105C6">
        <w:rPr>
          <w:rFonts w:ascii="Times New Roman" w:hAnsi="Times New Roman"/>
          <w:szCs w:val="20"/>
        </w:rPr>
        <w:t xml:space="preserve"> </w:t>
      </w:r>
      <w:r w:rsidR="00D51B89">
        <w:rPr>
          <w:rFonts w:ascii="Times New Roman" w:hAnsi="Times New Roman"/>
          <w:szCs w:val="20"/>
        </w:rPr>
        <w:t>to</w:t>
      </w:r>
      <w:r w:rsidR="00D51B89" w:rsidRPr="003105C6">
        <w:rPr>
          <w:rFonts w:ascii="Times New Roman" w:hAnsi="Times New Roman"/>
          <w:szCs w:val="20"/>
        </w:rPr>
        <w:t xml:space="preserve"> </w:t>
      </w:r>
      <w:r w:rsidRPr="003105C6">
        <w:rPr>
          <w:rFonts w:ascii="Times New Roman" w:hAnsi="Times New Roman"/>
          <w:szCs w:val="20"/>
        </w:rPr>
        <w:t>instit</w:t>
      </w:r>
      <w:r w:rsidRPr="003105C6">
        <w:rPr>
          <w:rFonts w:ascii="Times New Roman" w:hAnsi="Times New Roman"/>
          <w:szCs w:val="20"/>
        </w:rPr>
        <w:t>u</w:t>
      </w:r>
      <w:r w:rsidRPr="003105C6">
        <w:rPr>
          <w:rFonts w:ascii="Times New Roman" w:hAnsi="Times New Roman"/>
          <w:szCs w:val="20"/>
        </w:rPr>
        <w:t xml:space="preserve">tions and corporate and only afterwards do the same process for </w:t>
      </w:r>
      <w:r w:rsidR="00D51B89">
        <w:rPr>
          <w:rFonts w:ascii="Times New Roman" w:hAnsi="Times New Roman"/>
          <w:szCs w:val="20"/>
        </w:rPr>
        <w:t>exposures to</w:t>
      </w:r>
      <w:r w:rsidRPr="003105C6">
        <w:rPr>
          <w:rFonts w:ascii="Times New Roman" w:hAnsi="Times New Roman"/>
          <w:szCs w:val="20"/>
        </w:rPr>
        <w:t xml:space="preserve"> institutions and </w:t>
      </w:r>
      <w:r w:rsidR="00D51B89">
        <w:rPr>
          <w:rFonts w:ascii="Times New Roman" w:hAnsi="Times New Roman"/>
          <w:szCs w:val="20"/>
        </w:rPr>
        <w:t>exposures to</w:t>
      </w:r>
      <w:r w:rsidRPr="003105C6">
        <w:rPr>
          <w:rFonts w:ascii="Times New Roman" w:hAnsi="Times New Roman"/>
          <w:szCs w:val="20"/>
        </w:rPr>
        <w:t xml:space="preserve"> corporates. Otherwise it is obvious that the exposure class mentioned in Article 107 point (m) of CRR will never be assigned an exposure. The example provided is one of the most obvious examples but not the only one. It is worth noting that the criteria used for establishing the exposure classes under the standardised approach are different (institutional categorisation, term of the exposure, past due status, etc.) which is the underlying reason for non disjoint groupings.</w:t>
      </w:r>
    </w:p>
    <w:p w:rsidR="00884FEB" w:rsidRPr="0017440D" w:rsidRDefault="003105C6" w:rsidP="00CB5059">
      <w:pPr>
        <w:ind w:left="709"/>
        <w:rPr>
          <w:rFonts w:ascii="Times New Roman" w:hAnsi="Times New Roman"/>
          <w:szCs w:val="20"/>
        </w:rPr>
      </w:pPr>
      <w:r w:rsidRPr="003105C6">
        <w:rPr>
          <w:rFonts w:ascii="Times New Roman" w:hAnsi="Times New Roman"/>
          <w:szCs w:val="20"/>
        </w:rPr>
        <w:t>For a homogeneous and comparable reporting it is necessary to specify prioritisation assessment criteria for the assignment of the Original exposure pre conversion factor by exposure classes, without prejudice to the specific treatment (risk weight) that each specific exposure should receive within the assigned e</w:t>
      </w:r>
      <w:r w:rsidRPr="003105C6">
        <w:rPr>
          <w:rFonts w:ascii="Times New Roman" w:hAnsi="Times New Roman"/>
          <w:szCs w:val="20"/>
        </w:rPr>
        <w:t>x</w:t>
      </w:r>
      <w:r w:rsidRPr="003105C6">
        <w:rPr>
          <w:rFonts w:ascii="Times New Roman" w:hAnsi="Times New Roman"/>
          <w:szCs w:val="20"/>
        </w:rPr>
        <w:t>posure class. The prioritisation criteria presented below using a decision tree scheme are based on the assessment of the conditions explicitly laid down in the CRR for an exposure to fit in a certain exposure class and, if it is the case, on any decision on the part of the reporting institutions or the supervisor on the applicability of certain exposure classes. As such, the outcome of the exposure assignment process for reporting purposes would be in line with CRR provisions and interpretations issued by the CRDTG. This does not preclude institutions to apply other internal assignment procedures that may also be co</w:t>
      </w:r>
      <w:r w:rsidRPr="003105C6">
        <w:rPr>
          <w:rFonts w:ascii="Times New Roman" w:hAnsi="Times New Roman"/>
          <w:szCs w:val="20"/>
        </w:rPr>
        <w:t>n</w:t>
      </w:r>
      <w:r w:rsidRPr="003105C6">
        <w:rPr>
          <w:rFonts w:ascii="Times New Roman" w:hAnsi="Times New Roman"/>
          <w:szCs w:val="20"/>
        </w:rPr>
        <w:t>sistent with all relevant CRR provisions and its interpretations issued by the appropriate fora.</w:t>
      </w:r>
    </w:p>
    <w:p w:rsidR="00884FEB" w:rsidRPr="0017440D" w:rsidRDefault="003105C6" w:rsidP="00CB5059">
      <w:pPr>
        <w:ind w:left="709"/>
        <w:rPr>
          <w:rFonts w:ascii="Times New Roman" w:hAnsi="Times New Roman"/>
          <w:szCs w:val="20"/>
        </w:rPr>
      </w:pPr>
      <w:r w:rsidRPr="003105C6">
        <w:rPr>
          <w:rFonts w:ascii="Times New Roman" w:hAnsi="Times New Roman"/>
          <w:szCs w:val="20"/>
        </w:rPr>
        <w:t>An exposure class will be given priority to others in the assessment ranking in the decision tree (i.e. it will be first assessed if an exposure can be assigned to it, without prejudice to the outcome of that a</w:t>
      </w:r>
      <w:r w:rsidRPr="003105C6">
        <w:rPr>
          <w:rFonts w:ascii="Times New Roman" w:hAnsi="Times New Roman"/>
          <w:szCs w:val="20"/>
        </w:rPr>
        <w:t>s</w:t>
      </w:r>
      <w:r w:rsidRPr="003105C6">
        <w:rPr>
          <w:rFonts w:ascii="Times New Roman" w:hAnsi="Times New Roman"/>
          <w:szCs w:val="20"/>
        </w:rPr>
        <w:t>sessment) if otherwise no exposures would potentially be assigned to it. This would be the case when in the absence of prioritisation criteria one exposure class would be a subset of others. As such the criteria graphically depicted in the following decision tree would work on a sequential process.</w:t>
      </w:r>
    </w:p>
    <w:p w:rsidR="00884FEB" w:rsidRPr="0017440D" w:rsidRDefault="003105C6" w:rsidP="00CB5059">
      <w:pPr>
        <w:ind w:left="709"/>
        <w:rPr>
          <w:rFonts w:ascii="Times New Roman" w:hAnsi="Times New Roman"/>
          <w:szCs w:val="20"/>
        </w:rPr>
      </w:pPr>
      <w:r w:rsidRPr="003105C6">
        <w:rPr>
          <w:rFonts w:ascii="Times New Roman" w:hAnsi="Times New Roman"/>
          <w:szCs w:val="20"/>
        </w:rPr>
        <w:t>With this background the assessment ranking in the decision tree mentioned above would follow this order:</w:t>
      </w:r>
    </w:p>
    <w:p w:rsidR="00884FEB" w:rsidRPr="0017440D" w:rsidRDefault="003105C6" w:rsidP="00CB5059">
      <w:pPr>
        <w:ind w:left="709"/>
        <w:rPr>
          <w:rFonts w:ascii="Times New Roman" w:hAnsi="Times New Roman"/>
          <w:szCs w:val="20"/>
        </w:rPr>
      </w:pPr>
      <w:r w:rsidRPr="003105C6">
        <w:rPr>
          <w:rFonts w:ascii="Times New Roman" w:hAnsi="Times New Roman"/>
          <w:szCs w:val="20"/>
        </w:rPr>
        <w:t>1. Securitisation positions;</w:t>
      </w:r>
    </w:p>
    <w:p w:rsidR="00884FEB" w:rsidRPr="0017440D" w:rsidRDefault="003105C6" w:rsidP="00CB5059">
      <w:pPr>
        <w:ind w:left="709"/>
        <w:rPr>
          <w:rFonts w:ascii="Times New Roman" w:hAnsi="Times New Roman"/>
          <w:szCs w:val="20"/>
        </w:rPr>
      </w:pPr>
      <w:r w:rsidRPr="003105C6">
        <w:rPr>
          <w:rFonts w:ascii="Times New Roman" w:hAnsi="Times New Roman"/>
          <w:szCs w:val="20"/>
        </w:rPr>
        <w:t>2. Items associated with particular high risk;</w:t>
      </w:r>
    </w:p>
    <w:p w:rsidR="00AD53BD" w:rsidRDefault="003105C6" w:rsidP="00CB5059">
      <w:pPr>
        <w:ind w:left="709"/>
        <w:rPr>
          <w:rFonts w:ascii="Times New Roman" w:hAnsi="Times New Roman"/>
          <w:szCs w:val="20"/>
        </w:rPr>
      </w:pPr>
      <w:r w:rsidRPr="003105C6">
        <w:rPr>
          <w:rFonts w:ascii="Times New Roman" w:hAnsi="Times New Roman"/>
          <w:szCs w:val="20"/>
        </w:rPr>
        <w:lastRenderedPageBreak/>
        <w:t xml:space="preserve">3. </w:t>
      </w:r>
      <w:r w:rsidR="00AD53BD">
        <w:rPr>
          <w:rFonts w:ascii="Times New Roman" w:hAnsi="Times New Roman"/>
          <w:szCs w:val="20"/>
        </w:rPr>
        <w:t>Equity</w:t>
      </w:r>
      <w:r w:rsidR="00D51B89">
        <w:rPr>
          <w:rFonts w:ascii="Times New Roman" w:hAnsi="Times New Roman"/>
          <w:szCs w:val="20"/>
        </w:rPr>
        <w:t xml:space="preserve"> exposures</w:t>
      </w:r>
    </w:p>
    <w:p w:rsidR="00884FEB" w:rsidRPr="0017440D" w:rsidRDefault="00AD53BD" w:rsidP="00CB5059">
      <w:pPr>
        <w:ind w:left="709"/>
        <w:rPr>
          <w:rFonts w:ascii="Times New Roman" w:hAnsi="Times New Roman"/>
          <w:szCs w:val="20"/>
        </w:rPr>
      </w:pPr>
      <w:r>
        <w:rPr>
          <w:rFonts w:ascii="Times New Roman" w:hAnsi="Times New Roman"/>
          <w:szCs w:val="20"/>
        </w:rPr>
        <w:t xml:space="preserve">4. </w:t>
      </w:r>
      <w:r w:rsidR="003105C6" w:rsidRPr="003105C6">
        <w:rPr>
          <w:rFonts w:ascii="Times New Roman" w:hAnsi="Times New Roman"/>
          <w:szCs w:val="20"/>
        </w:rPr>
        <w:t>Exposures in default;</w:t>
      </w:r>
    </w:p>
    <w:p w:rsidR="00884FEB" w:rsidRPr="0017440D" w:rsidRDefault="00AD53BD" w:rsidP="00CB5059">
      <w:pPr>
        <w:ind w:left="709"/>
        <w:rPr>
          <w:rFonts w:ascii="Times New Roman" w:hAnsi="Times New Roman"/>
          <w:szCs w:val="20"/>
        </w:rPr>
      </w:pPr>
      <w:r>
        <w:rPr>
          <w:rFonts w:ascii="Times New Roman" w:hAnsi="Times New Roman"/>
          <w:szCs w:val="20"/>
        </w:rPr>
        <w:t>5</w:t>
      </w:r>
      <w:r w:rsidR="003105C6" w:rsidRPr="003105C6">
        <w:rPr>
          <w:rFonts w:ascii="Times New Roman" w:hAnsi="Times New Roman"/>
          <w:szCs w:val="20"/>
        </w:rPr>
        <w:t xml:space="preserve">. </w:t>
      </w:r>
      <w:r w:rsidR="00D51B89">
        <w:rPr>
          <w:rFonts w:ascii="Times New Roman" w:hAnsi="Times New Roman"/>
          <w:szCs w:val="20"/>
        </w:rPr>
        <w:t>Exposures</w:t>
      </w:r>
      <w:r w:rsidR="00D51B89" w:rsidRPr="003105C6">
        <w:rPr>
          <w:rFonts w:ascii="Times New Roman" w:hAnsi="Times New Roman"/>
          <w:szCs w:val="20"/>
        </w:rPr>
        <w:t xml:space="preserve"> </w:t>
      </w:r>
      <w:r w:rsidR="003105C6" w:rsidRPr="003105C6">
        <w:rPr>
          <w:rFonts w:ascii="Times New Roman" w:hAnsi="Times New Roman"/>
          <w:szCs w:val="20"/>
        </w:rPr>
        <w:t>in the form of collective investment undertakings (‘CIU’)/ Claims in the form of covered bonds (disjoint exposure classes);</w:t>
      </w:r>
    </w:p>
    <w:p w:rsidR="00884FEB" w:rsidRPr="0017440D" w:rsidRDefault="00AD53BD" w:rsidP="00CB5059">
      <w:pPr>
        <w:ind w:left="709"/>
        <w:rPr>
          <w:rFonts w:ascii="Times New Roman" w:hAnsi="Times New Roman"/>
          <w:szCs w:val="20"/>
        </w:rPr>
      </w:pPr>
      <w:r>
        <w:rPr>
          <w:rFonts w:ascii="Times New Roman" w:hAnsi="Times New Roman"/>
          <w:szCs w:val="20"/>
        </w:rPr>
        <w:t>6</w:t>
      </w:r>
      <w:r w:rsidR="003105C6" w:rsidRPr="003105C6">
        <w:rPr>
          <w:rFonts w:ascii="Times New Roman" w:hAnsi="Times New Roman"/>
          <w:szCs w:val="20"/>
        </w:rPr>
        <w:t xml:space="preserve">. </w:t>
      </w:r>
      <w:r w:rsidR="00621A9B">
        <w:rPr>
          <w:rFonts w:ascii="Times New Roman" w:hAnsi="Times New Roman"/>
          <w:szCs w:val="20"/>
        </w:rPr>
        <w:t>Exposures</w:t>
      </w:r>
      <w:r w:rsidR="00D51B89">
        <w:rPr>
          <w:rFonts w:ascii="Times New Roman" w:hAnsi="Times New Roman"/>
          <w:szCs w:val="20"/>
        </w:rPr>
        <w:t xml:space="preserve"> </w:t>
      </w:r>
      <w:r w:rsidR="003105C6" w:rsidRPr="003105C6">
        <w:rPr>
          <w:rFonts w:ascii="Times New Roman" w:hAnsi="Times New Roman"/>
          <w:szCs w:val="20"/>
        </w:rPr>
        <w:t>secured by mortgages on immovable property;</w:t>
      </w:r>
    </w:p>
    <w:p w:rsidR="00884FEB" w:rsidRPr="0017440D" w:rsidRDefault="00AD53BD" w:rsidP="00CB5059">
      <w:pPr>
        <w:ind w:left="709"/>
        <w:rPr>
          <w:rFonts w:ascii="Times New Roman" w:hAnsi="Times New Roman"/>
          <w:szCs w:val="20"/>
        </w:rPr>
      </w:pPr>
      <w:r>
        <w:rPr>
          <w:rFonts w:ascii="Times New Roman" w:hAnsi="Times New Roman"/>
          <w:szCs w:val="20"/>
        </w:rPr>
        <w:t>7</w:t>
      </w:r>
      <w:r w:rsidR="003105C6" w:rsidRPr="003105C6">
        <w:rPr>
          <w:rFonts w:ascii="Times New Roman" w:hAnsi="Times New Roman"/>
          <w:szCs w:val="20"/>
        </w:rPr>
        <w:t>. Other items;</w:t>
      </w:r>
    </w:p>
    <w:p w:rsidR="00884FEB" w:rsidRPr="0017440D" w:rsidRDefault="00AD53BD" w:rsidP="00CB5059">
      <w:pPr>
        <w:ind w:left="709"/>
        <w:rPr>
          <w:rFonts w:ascii="Times New Roman" w:hAnsi="Times New Roman"/>
          <w:szCs w:val="20"/>
        </w:rPr>
      </w:pPr>
      <w:r>
        <w:rPr>
          <w:rFonts w:ascii="Times New Roman" w:hAnsi="Times New Roman"/>
          <w:szCs w:val="20"/>
        </w:rPr>
        <w:t>8</w:t>
      </w:r>
      <w:r w:rsidR="003105C6" w:rsidRPr="003105C6">
        <w:rPr>
          <w:rFonts w:ascii="Times New Roman" w:hAnsi="Times New Roman"/>
          <w:szCs w:val="20"/>
        </w:rPr>
        <w:t xml:space="preserve">. </w:t>
      </w:r>
      <w:r w:rsidR="00D51B89">
        <w:rPr>
          <w:rFonts w:ascii="Times New Roman" w:hAnsi="Times New Roman"/>
          <w:szCs w:val="20"/>
        </w:rPr>
        <w:t>Exposures to</w:t>
      </w:r>
      <w:r w:rsidR="003105C6" w:rsidRPr="003105C6">
        <w:rPr>
          <w:rFonts w:ascii="Times New Roman" w:hAnsi="Times New Roman"/>
          <w:szCs w:val="20"/>
        </w:rPr>
        <w:t xml:space="preserve"> institutions and corporate</w:t>
      </w:r>
      <w:r w:rsidR="00D51B89">
        <w:rPr>
          <w:rFonts w:ascii="Times New Roman" w:hAnsi="Times New Roman"/>
          <w:szCs w:val="20"/>
        </w:rPr>
        <w:t>s</w:t>
      </w:r>
      <w:r w:rsidR="003105C6" w:rsidRPr="003105C6">
        <w:rPr>
          <w:rFonts w:ascii="Times New Roman" w:hAnsi="Times New Roman"/>
          <w:szCs w:val="20"/>
        </w:rPr>
        <w:t xml:space="preserve"> with a short-term credit assessment;</w:t>
      </w:r>
    </w:p>
    <w:p w:rsidR="00884FEB" w:rsidRPr="0017440D" w:rsidRDefault="00AD53BD" w:rsidP="00CB5059">
      <w:pPr>
        <w:ind w:left="709"/>
        <w:rPr>
          <w:rFonts w:ascii="Times New Roman" w:hAnsi="Times New Roman"/>
          <w:szCs w:val="20"/>
        </w:rPr>
      </w:pPr>
      <w:r>
        <w:rPr>
          <w:rFonts w:ascii="Times New Roman" w:hAnsi="Times New Roman"/>
          <w:szCs w:val="20"/>
        </w:rPr>
        <w:t>9</w:t>
      </w:r>
      <w:r w:rsidR="003105C6" w:rsidRPr="003105C6">
        <w:rPr>
          <w:rFonts w:ascii="Times New Roman" w:hAnsi="Times New Roman"/>
          <w:szCs w:val="20"/>
        </w:rPr>
        <w:t>. All other exposure classes (disjoint exposure classes):</w:t>
      </w:r>
    </w:p>
    <w:p w:rsidR="00884FEB" w:rsidRPr="0017440D" w:rsidRDefault="00D51B89" w:rsidP="00CB5059">
      <w:pPr>
        <w:ind w:left="709"/>
        <w:rPr>
          <w:rFonts w:ascii="Times New Roman" w:hAnsi="Times New Roman"/>
          <w:szCs w:val="20"/>
        </w:rPr>
      </w:pPr>
      <w:r>
        <w:rPr>
          <w:rFonts w:ascii="Times New Roman" w:hAnsi="Times New Roman"/>
          <w:szCs w:val="20"/>
        </w:rPr>
        <w:t xml:space="preserve">Exposures to </w:t>
      </w:r>
      <w:r w:rsidR="003105C6" w:rsidRPr="003105C6">
        <w:rPr>
          <w:rFonts w:ascii="Times New Roman" w:hAnsi="Times New Roman"/>
          <w:szCs w:val="20"/>
        </w:rPr>
        <w:t>central governments or central banks;</w:t>
      </w:r>
    </w:p>
    <w:p w:rsidR="00884FEB" w:rsidRPr="0017440D" w:rsidRDefault="00D51B89" w:rsidP="00CB5059">
      <w:pPr>
        <w:ind w:left="709"/>
        <w:rPr>
          <w:rFonts w:ascii="Times New Roman" w:hAnsi="Times New Roman"/>
          <w:szCs w:val="20"/>
        </w:rPr>
      </w:pPr>
      <w:r>
        <w:rPr>
          <w:rFonts w:ascii="Times New Roman" w:hAnsi="Times New Roman"/>
          <w:szCs w:val="20"/>
        </w:rPr>
        <w:t>Exposures to</w:t>
      </w:r>
      <w:r w:rsidR="003105C6" w:rsidRPr="003105C6">
        <w:rPr>
          <w:rFonts w:ascii="Times New Roman" w:hAnsi="Times New Roman"/>
          <w:szCs w:val="20"/>
        </w:rPr>
        <w:t xml:space="preserve"> regional governments or local authorities;</w:t>
      </w:r>
    </w:p>
    <w:p w:rsidR="00884FEB" w:rsidRPr="0017440D" w:rsidRDefault="00D51B89" w:rsidP="00CB5059">
      <w:pPr>
        <w:ind w:left="709"/>
        <w:rPr>
          <w:rFonts w:ascii="Times New Roman" w:hAnsi="Times New Roman"/>
          <w:szCs w:val="20"/>
        </w:rPr>
      </w:pPr>
      <w:r>
        <w:rPr>
          <w:rFonts w:ascii="Times New Roman" w:hAnsi="Times New Roman"/>
          <w:szCs w:val="20"/>
        </w:rPr>
        <w:t>Exposures to</w:t>
      </w:r>
      <w:r w:rsidR="003105C6" w:rsidRPr="003105C6">
        <w:rPr>
          <w:rFonts w:ascii="Times New Roman" w:hAnsi="Times New Roman"/>
          <w:szCs w:val="20"/>
        </w:rPr>
        <w:t xml:space="preserve"> public sector entities;</w:t>
      </w:r>
    </w:p>
    <w:p w:rsidR="00884FEB" w:rsidRPr="0017440D" w:rsidRDefault="00D51B89" w:rsidP="00CB5059">
      <w:pPr>
        <w:ind w:left="709"/>
        <w:rPr>
          <w:rFonts w:ascii="Times New Roman" w:hAnsi="Times New Roman"/>
          <w:szCs w:val="20"/>
        </w:rPr>
      </w:pPr>
      <w:r>
        <w:rPr>
          <w:rFonts w:ascii="Times New Roman" w:hAnsi="Times New Roman"/>
          <w:szCs w:val="20"/>
        </w:rPr>
        <w:t>Exposures to</w:t>
      </w:r>
      <w:r w:rsidR="003105C6" w:rsidRPr="003105C6">
        <w:rPr>
          <w:rFonts w:ascii="Times New Roman" w:hAnsi="Times New Roman"/>
          <w:szCs w:val="20"/>
        </w:rPr>
        <w:t xml:space="preserve"> multilateral development banks;</w:t>
      </w:r>
    </w:p>
    <w:p w:rsidR="00884FEB" w:rsidRPr="0017440D" w:rsidRDefault="00D51B89" w:rsidP="00CB5059">
      <w:pPr>
        <w:ind w:left="709"/>
        <w:rPr>
          <w:rFonts w:ascii="Times New Roman" w:hAnsi="Times New Roman"/>
          <w:szCs w:val="20"/>
        </w:rPr>
      </w:pPr>
      <w:r>
        <w:rPr>
          <w:rFonts w:ascii="Times New Roman" w:hAnsi="Times New Roman"/>
          <w:szCs w:val="20"/>
        </w:rPr>
        <w:t>Exposures to</w:t>
      </w:r>
      <w:r w:rsidR="003105C6" w:rsidRPr="003105C6">
        <w:rPr>
          <w:rFonts w:ascii="Times New Roman" w:hAnsi="Times New Roman"/>
          <w:szCs w:val="20"/>
        </w:rPr>
        <w:t xml:space="preserve"> international organisations;</w:t>
      </w:r>
    </w:p>
    <w:p w:rsidR="00884FEB" w:rsidRPr="0017440D" w:rsidRDefault="00D51B89" w:rsidP="00CB5059">
      <w:pPr>
        <w:ind w:left="709"/>
        <w:rPr>
          <w:rFonts w:ascii="Times New Roman" w:hAnsi="Times New Roman"/>
          <w:szCs w:val="20"/>
        </w:rPr>
      </w:pPr>
      <w:r>
        <w:rPr>
          <w:rFonts w:ascii="Times New Roman" w:hAnsi="Times New Roman"/>
          <w:szCs w:val="20"/>
        </w:rPr>
        <w:t>Exposures to</w:t>
      </w:r>
      <w:r w:rsidR="003105C6" w:rsidRPr="003105C6">
        <w:rPr>
          <w:rFonts w:ascii="Times New Roman" w:hAnsi="Times New Roman"/>
          <w:szCs w:val="20"/>
        </w:rPr>
        <w:t xml:space="preserve"> institutions;</w:t>
      </w:r>
    </w:p>
    <w:p w:rsidR="00D51B89" w:rsidRDefault="00D51B89" w:rsidP="00CB5059">
      <w:pPr>
        <w:ind w:left="709"/>
        <w:rPr>
          <w:rFonts w:ascii="Times New Roman" w:hAnsi="Times New Roman"/>
          <w:szCs w:val="20"/>
        </w:rPr>
      </w:pPr>
      <w:r>
        <w:rPr>
          <w:rFonts w:ascii="Times New Roman" w:hAnsi="Times New Roman"/>
          <w:szCs w:val="20"/>
        </w:rPr>
        <w:t>Exposures to</w:t>
      </w:r>
      <w:r w:rsidR="003105C6" w:rsidRPr="003105C6">
        <w:rPr>
          <w:rFonts w:ascii="Times New Roman" w:hAnsi="Times New Roman"/>
          <w:szCs w:val="20"/>
        </w:rPr>
        <w:t xml:space="preserve"> </w:t>
      </w:r>
      <w:r>
        <w:rPr>
          <w:rFonts w:ascii="Times New Roman" w:hAnsi="Times New Roman"/>
          <w:szCs w:val="20"/>
        </w:rPr>
        <w:t>corporate;</w:t>
      </w:r>
      <w:r w:rsidR="003105C6" w:rsidRPr="003105C6">
        <w:rPr>
          <w:rFonts w:ascii="Times New Roman" w:hAnsi="Times New Roman"/>
          <w:szCs w:val="20"/>
        </w:rPr>
        <w:t xml:space="preserve"> </w:t>
      </w:r>
    </w:p>
    <w:p w:rsidR="00884FEB" w:rsidRPr="0017440D" w:rsidRDefault="003105C6" w:rsidP="00CB5059">
      <w:pPr>
        <w:ind w:left="709"/>
        <w:rPr>
          <w:rFonts w:ascii="Times New Roman" w:hAnsi="Times New Roman"/>
          <w:szCs w:val="20"/>
        </w:rPr>
      </w:pPr>
      <w:r w:rsidRPr="003105C6">
        <w:rPr>
          <w:rFonts w:ascii="Times New Roman" w:hAnsi="Times New Roman"/>
          <w:szCs w:val="20"/>
        </w:rPr>
        <w:t xml:space="preserve">Retail </w:t>
      </w:r>
      <w:r w:rsidR="00D51B89">
        <w:rPr>
          <w:rFonts w:ascii="Times New Roman" w:hAnsi="Times New Roman"/>
          <w:szCs w:val="20"/>
        </w:rPr>
        <w:t>exposures</w:t>
      </w:r>
      <w:r w:rsidRPr="003105C6">
        <w:rPr>
          <w:rFonts w:ascii="Times New Roman" w:hAnsi="Times New Roman"/>
          <w:szCs w:val="20"/>
        </w:rPr>
        <w:t>.</w:t>
      </w:r>
    </w:p>
    <w:p w:rsidR="00884FEB" w:rsidRPr="0017440D" w:rsidRDefault="003105C6" w:rsidP="00CB5059">
      <w:pPr>
        <w:ind w:left="709"/>
        <w:rPr>
          <w:rFonts w:ascii="Times New Roman" w:hAnsi="Times New Roman"/>
          <w:szCs w:val="20"/>
        </w:rPr>
      </w:pPr>
      <w:r w:rsidRPr="003105C6">
        <w:rPr>
          <w:rFonts w:ascii="Times New Roman" w:hAnsi="Times New Roman"/>
          <w:szCs w:val="20"/>
        </w:rPr>
        <w:t xml:space="preserve">In the case of </w:t>
      </w:r>
      <w:r w:rsidR="00D51B89">
        <w:rPr>
          <w:rFonts w:ascii="Times New Roman" w:hAnsi="Times New Roman"/>
          <w:szCs w:val="20"/>
        </w:rPr>
        <w:t>exposures</w:t>
      </w:r>
      <w:r w:rsidR="00D51B89" w:rsidRPr="003105C6">
        <w:rPr>
          <w:rFonts w:ascii="Times New Roman" w:hAnsi="Times New Roman"/>
          <w:szCs w:val="20"/>
        </w:rPr>
        <w:t xml:space="preserve"> </w:t>
      </w:r>
      <w:r w:rsidRPr="003105C6">
        <w:rPr>
          <w:rFonts w:ascii="Times New Roman" w:hAnsi="Times New Roman"/>
          <w:szCs w:val="20"/>
        </w:rPr>
        <w:t>in the form of collective investment undertakings it should be noted that if the lo</w:t>
      </w:r>
      <w:r w:rsidR="00EC5C43">
        <w:rPr>
          <w:rFonts w:ascii="Times New Roman" w:hAnsi="Times New Roman"/>
          <w:szCs w:val="20"/>
        </w:rPr>
        <w:t>ok through approach (Article 127</w:t>
      </w:r>
      <w:r w:rsidRPr="003105C6">
        <w:rPr>
          <w:rFonts w:ascii="Times New Roman" w:hAnsi="Times New Roman"/>
          <w:szCs w:val="20"/>
        </w:rPr>
        <w:t xml:space="preserve"> (3) to (5) of CRR) is used then the underlying individual exposures should be considered and classified into their corresponding risk weight line according to their trea</w:t>
      </w:r>
      <w:r w:rsidRPr="003105C6">
        <w:rPr>
          <w:rFonts w:ascii="Times New Roman" w:hAnsi="Times New Roman"/>
          <w:szCs w:val="20"/>
        </w:rPr>
        <w:t>t</w:t>
      </w:r>
      <w:r w:rsidRPr="003105C6">
        <w:rPr>
          <w:rFonts w:ascii="Times New Roman" w:hAnsi="Times New Roman"/>
          <w:szCs w:val="20"/>
        </w:rPr>
        <w:t xml:space="preserve">ment, but all the individual exposures should be classified within the exposure class of </w:t>
      </w:r>
      <w:r w:rsidR="00D51B89">
        <w:rPr>
          <w:rFonts w:ascii="Times New Roman" w:hAnsi="Times New Roman"/>
          <w:szCs w:val="20"/>
        </w:rPr>
        <w:t>exposures</w:t>
      </w:r>
      <w:r w:rsidR="00D51B89" w:rsidRPr="003105C6">
        <w:rPr>
          <w:rFonts w:ascii="Times New Roman" w:hAnsi="Times New Roman"/>
          <w:szCs w:val="20"/>
        </w:rPr>
        <w:t xml:space="preserve"> </w:t>
      </w:r>
      <w:r w:rsidRPr="003105C6">
        <w:rPr>
          <w:rFonts w:ascii="Times New Roman" w:hAnsi="Times New Roman"/>
          <w:szCs w:val="20"/>
        </w:rPr>
        <w:t>in the form of collective investment undertakings (‘CIU’).</w:t>
      </w:r>
    </w:p>
    <w:p w:rsidR="00884FEB" w:rsidRPr="0017440D" w:rsidRDefault="003105C6" w:rsidP="00CB5059">
      <w:pPr>
        <w:ind w:left="709"/>
        <w:rPr>
          <w:rFonts w:ascii="Times New Roman" w:hAnsi="Times New Roman"/>
          <w:szCs w:val="20"/>
        </w:rPr>
      </w:pPr>
      <w:r w:rsidRPr="003105C6">
        <w:rPr>
          <w:rFonts w:ascii="Times New Roman" w:hAnsi="Times New Roman"/>
          <w:szCs w:val="20"/>
        </w:rPr>
        <w:t>In the case of “nth” to default credit derivatives specified in Article 129 (6) of CRR, if they are rated, they should be directly classified as securitisation positions. If they are not rated, they should be consi</w:t>
      </w:r>
      <w:r w:rsidRPr="003105C6">
        <w:rPr>
          <w:rFonts w:ascii="Times New Roman" w:hAnsi="Times New Roman"/>
          <w:szCs w:val="20"/>
        </w:rPr>
        <w:t>d</w:t>
      </w:r>
      <w:r w:rsidRPr="003105C6">
        <w:rPr>
          <w:rFonts w:ascii="Times New Roman" w:hAnsi="Times New Roman"/>
          <w:szCs w:val="20"/>
        </w:rPr>
        <w:t xml:space="preserve">ered in the “Other items” exposure class. In this latter case the nominal amount of the contract will be reported as the Original exposure pre conversion factors in the line for “Other risk weights” (the risk weight used will be that specified by the sum indicated under Article 129 (6) of CRR. </w:t>
      </w:r>
    </w:p>
    <w:p w:rsidR="00884FEB" w:rsidRPr="0017440D" w:rsidRDefault="003105C6" w:rsidP="00CB5059">
      <w:pPr>
        <w:ind w:left="709"/>
        <w:rPr>
          <w:rFonts w:ascii="Times New Roman" w:hAnsi="Times New Roman"/>
          <w:szCs w:val="20"/>
        </w:rPr>
      </w:pPr>
      <w:r w:rsidRPr="003105C6">
        <w:rPr>
          <w:rFonts w:ascii="Times New Roman" w:hAnsi="Times New Roman"/>
          <w:szCs w:val="20"/>
          <w:u w:val="single"/>
        </w:rPr>
        <w:t>In a second step</w:t>
      </w:r>
      <w:r w:rsidRPr="003105C6">
        <w:rPr>
          <w:rFonts w:ascii="Times New Roman" w:hAnsi="Times New Roman"/>
          <w:szCs w:val="20"/>
        </w:rPr>
        <w:t>, as a consequence of credit risk mitigation techniques with substitution effects, exp</w:t>
      </w:r>
      <w:r w:rsidRPr="003105C6">
        <w:rPr>
          <w:rFonts w:ascii="Times New Roman" w:hAnsi="Times New Roman"/>
          <w:szCs w:val="20"/>
        </w:rPr>
        <w:t>o</w:t>
      </w:r>
      <w:r w:rsidRPr="003105C6">
        <w:rPr>
          <w:rFonts w:ascii="Times New Roman" w:hAnsi="Times New Roman"/>
          <w:szCs w:val="20"/>
        </w:rPr>
        <w:t>sures will be reallocated to the exposure class of the protection provider.</w:t>
      </w:r>
    </w:p>
    <w:p w:rsidR="00884FEB" w:rsidRPr="0017440D" w:rsidRDefault="003105C6" w:rsidP="00884FEB">
      <w:pPr>
        <w:rPr>
          <w:rFonts w:ascii="Times New Roman" w:hAnsi="Times New Roman"/>
          <w:szCs w:val="20"/>
        </w:rPr>
      </w:pPr>
      <w:r w:rsidRPr="003105C6">
        <w:rPr>
          <w:rFonts w:ascii="Times New Roman" w:hAnsi="Times New Roman"/>
          <w:szCs w:val="20"/>
        </w:rPr>
        <w:br w:type="page"/>
      </w:r>
      <w:r w:rsidRPr="003105C6">
        <w:rPr>
          <w:rFonts w:ascii="Times New Roman" w:hAnsi="Times New Roman"/>
          <w:szCs w:val="20"/>
        </w:rPr>
        <w:lastRenderedPageBreak/>
        <w:t xml:space="preserve">DECISION TREE ON HOW TO REPORT THE ORIGINAL EXPOSURE PRE CONVERSION FACTORS INTO THE EXPOSURE CLASSES OF THE STANDARDISED APPROACH ACCORDING TO CRR </w:t>
      </w:r>
    </w:p>
    <w:p w:rsidR="00884FEB" w:rsidRPr="0017440D" w:rsidRDefault="00496C8E" w:rsidP="00884FEB">
      <w:pPr>
        <w:rPr>
          <w:rFonts w:ascii="Times New Roman" w:hAnsi="Times New Roman"/>
          <w:szCs w:val="20"/>
        </w:rPr>
      </w:pPr>
      <w:r w:rsidRPr="00496C8E">
        <w:rPr>
          <w:rFonts w:ascii="Times New Roman" w:hAnsi="Times New Roman"/>
          <w:noProof/>
        </w:rPr>
        <w:pict>
          <v:rect id="_x0000_s1026" style="position:absolute;left:0;text-align:left;margin-left:-65.85pt;margin-top:17.1pt;width:228pt;height:27pt;z-index:251635200">
            <v:textbox style="mso-next-textbox:#_x0000_s1026" inset=",2.5mm,,2.5mm">
              <w:txbxContent>
                <w:p w:rsidR="001651D1" w:rsidRPr="00D70F07" w:rsidRDefault="001651D1" w:rsidP="00884FEB">
                  <w:pPr>
                    <w:spacing w:before="0" w:after="0"/>
                    <w:jc w:val="center"/>
                    <w:rPr>
                      <w:szCs w:val="20"/>
                    </w:rPr>
                  </w:pPr>
                  <w:r w:rsidRPr="00D70F07">
                    <w:rPr>
                      <w:szCs w:val="20"/>
                    </w:rPr>
                    <w:t>Original exposure pre conversion factors</w:t>
                  </w:r>
                </w:p>
              </w:txbxContent>
            </v:textbox>
          </v:rect>
        </w:pict>
      </w:r>
    </w:p>
    <w:p w:rsidR="00884FEB" w:rsidRPr="0017440D" w:rsidRDefault="00884FEB" w:rsidP="00884FEB">
      <w:pPr>
        <w:rPr>
          <w:rFonts w:ascii="Times New Roman" w:hAnsi="Times New Roman"/>
          <w:szCs w:val="20"/>
        </w:rPr>
      </w:pPr>
    </w:p>
    <w:p w:rsidR="00884FEB" w:rsidRPr="0017440D" w:rsidRDefault="00496C8E" w:rsidP="00884FEB">
      <w:pPr>
        <w:rPr>
          <w:rFonts w:ascii="Times New Roman" w:hAnsi="Times New Roman"/>
          <w:szCs w:val="20"/>
        </w:rPr>
      </w:pPr>
      <w:r w:rsidRPr="00496C8E">
        <w:rPr>
          <w:rFonts w:ascii="Times New Roman" w:hAnsi="Times New Roman"/>
          <w:noProof/>
        </w:rPr>
        <w:pict>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_x0000_s1033" type="#_x0000_t93" style="position:absolute;left:0;text-align:left;margin-left:25.5pt;margin-top:6.1pt;width:21.3pt;height:36pt;rotation:90;z-index:251642368"/>
        </w:pict>
      </w:r>
    </w:p>
    <w:p w:rsidR="00884FEB" w:rsidRPr="0017440D" w:rsidRDefault="00496C8E" w:rsidP="00884FEB">
      <w:pPr>
        <w:rPr>
          <w:rFonts w:ascii="Times New Roman" w:hAnsi="Times New Roman"/>
          <w:szCs w:val="20"/>
        </w:rPr>
      </w:pPr>
      <w:r w:rsidRPr="00496C8E">
        <w:rPr>
          <w:rFonts w:ascii="Times New Roman" w:hAnsi="Times New Roman"/>
          <w:noProof/>
        </w:rPr>
        <w:pict>
          <v:rect id="_x0000_s1040" style="position:absolute;left:0;text-align:left;margin-left:216.15pt;margin-top:16.6pt;width:286.65pt;height:63pt;z-index:251649536">
            <v:textbox style="mso-next-textbox:#_x0000_s1040">
              <w:txbxContent>
                <w:p w:rsidR="001651D1" w:rsidRPr="006972E8" w:rsidRDefault="001651D1" w:rsidP="00A64421">
                  <w:pPr>
                    <w:numPr>
                      <w:ilvl w:val="0"/>
                      <w:numId w:val="14"/>
                    </w:numPr>
                    <w:tabs>
                      <w:tab w:val="clear" w:pos="720"/>
                      <w:tab w:val="num" w:pos="240"/>
                    </w:tabs>
                    <w:spacing w:before="0" w:after="0"/>
                    <w:ind w:left="480" w:hanging="480"/>
                    <w:jc w:val="left"/>
                    <w:rPr>
                      <w:szCs w:val="20"/>
                    </w:rPr>
                  </w:pPr>
                  <w:r>
                    <w:rPr>
                      <w:szCs w:val="20"/>
                    </w:rPr>
                    <w:t>Securitisation positions</w:t>
                  </w:r>
                </w:p>
              </w:txbxContent>
            </v:textbox>
          </v:rect>
        </w:pict>
      </w:r>
      <w:r w:rsidRPr="00496C8E">
        <w:rPr>
          <w:rFonts w:ascii="Times New Roman" w:hAnsi="Times New Roman"/>
          <w:noProof/>
        </w:rPr>
        <w:pict>
          <v:shapetype id="_x0000_t202" coordsize="21600,21600" o:spt="202" path="m,l,21600r21600,l21600,xe">
            <v:stroke joinstyle="miter"/>
            <v:path gradientshapeok="t" o:connecttype="rect"/>
          </v:shapetype>
          <v:shape id="_x0000_s1064" type="#_x0000_t202" style="position:absolute;left:0;text-align:left;margin-left:156.15pt;margin-top:16.6pt;width:48pt;height:18pt;z-index:251674112" stroked="f">
            <v:textbox style="mso-next-textbox:#_x0000_s1064">
              <w:txbxContent>
                <w:p w:rsidR="001651D1" w:rsidRDefault="001651D1" w:rsidP="00884FEB">
                  <w:pPr>
                    <w:spacing w:before="0" w:after="0"/>
                  </w:pPr>
                  <w:r>
                    <w:t>YES</w:t>
                  </w:r>
                </w:p>
              </w:txbxContent>
            </v:textbox>
          </v:shape>
        </w:pict>
      </w:r>
      <w:r w:rsidRPr="00496C8E">
        <w:rPr>
          <w:rFonts w:ascii="Times New Roman" w:hAnsi="Times New Roman"/>
          <w:noProof/>
        </w:rPr>
        <w:pict>
          <v:oval id="_x0000_s1027" style="position:absolute;left:0;text-align:left;margin-left:-65.85pt;margin-top:16.6pt;width:210pt;height:48.3pt;z-index:251636224">
            <v:textbox style="mso-next-textbox:#_x0000_s1027">
              <w:txbxContent>
                <w:p w:rsidR="001651D1" w:rsidRDefault="001651D1" w:rsidP="00884FEB">
                  <w:pPr>
                    <w:spacing w:before="0" w:after="0"/>
                    <w:jc w:val="center"/>
                  </w:pPr>
                  <w:r>
                    <w:rPr>
                      <w:sz w:val="16"/>
                      <w:szCs w:val="16"/>
                    </w:rPr>
                    <w:t>Does it fit for being assigned to the exposure class of</w:t>
                  </w:r>
                  <w:r w:rsidRPr="0060673F">
                    <w:rPr>
                      <w:sz w:val="16"/>
                      <w:szCs w:val="16"/>
                    </w:rPr>
                    <w:t xml:space="preserve"> </w:t>
                  </w:r>
                  <w:r>
                    <w:rPr>
                      <w:sz w:val="16"/>
                      <w:szCs w:val="16"/>
                    </w:rPr>
                    <w:t>Article 107 point (l)?</w:t>
                  </w:r>
                </w:p>
              </w:txbxContent>
            </v:textbox>
          </v:oval>
        </w:pict>
      </w:r>
    </w:p>
    <w:p w:rsidR="00884FEB" w:rsidRPr="0017440D" w:rsidRDefault="00496C8E" w:rsidP="00884FEB">
      <w:pPr>
        <w:rPr>
          <w:rFonts w:ascii="Times New Roman" w:hAnsi="Times New Roman"/>
          <w:szCs w:val="20"/>
        </w:rPr>
      </w:pPr>
      <w:r w:rsidRPr="00496C8E">
        <w:rPr>
          <w:rFonts w:ascii="Times New Roman" w:hAnsi="Times New Roman"/>
          <w:noProof/>
        </w:rPr>
        <w:pict>
          <v:shape id="_x0000_s1041" type="#_x0000_t93" style="position:absolute;left:0;text-align:left;margin-left:144.15pt;margin-top:16.45pt;width:1in;height:18pt;z-index:251650560"/>
        </w:pict>
      </w:r>
    </w:p>
    <w:p w:rsidR="00884FEB" w:rsidRPr="0017440D" w:rsidRDefault="00884FEB" w:rsidP="00884FEB">
      <w:pPr>
        <w:rPr>
          <w:rFonts w:ascii="Times New Roman" w:hAnsi="Times New Roman"/>
          <w:szCs w:val="20"/>
        </w:rPr>
      </w:pPr>
    </w:p>
    <w:p w:rsidR="00884FEB" w:rsidRPr="0017440D" w:rsidRDefault="00496C8E" w:rsidP="00884FEB">
      <w:pPr>
        <w:rPr>
          <w:rFonts w:ascii="Times New Roman" w:hAnsi="Times New Roman"/>
          <w:szCs w:val="20"/>
        </w:rPr>
      </w:pPr>
      <w:r w:rsidRPr="00496C8E">
        <w:rPr>
          <w:rFonts w:ascii="Times New Roman" w:hAnsi="Times New Roman"/>
          <w:noProof/>
        </w:rPr>
        <w:pict>
          <v:shape id="_x0000_s1034" type="#_x0000_t93" style="position:absolute;left:0;text-align:left;margin-left:26.75pt;margin-top:1.8pt;width:18.75pt;height:36pt;rotation:90;z-index:251643392"/>
        </w:pict>
      </w:r>
      <w:r w:rsidRPr="00496C8E">
        <w:rPr>
          <w:rFonts w:ascii="Times New Roman" w:hAnsi="Times New Roman"/>
          <w:noProof/>
        </w:rPr>
        <w:pict>
          <v:shape id="_x0000_s1054" type="#_x0000_t202" style="position:absolute;left:0;text-align:left;margin-left:60.15pt;margin-top:16.15pt;width:36pt;height:18pt;z-index:251663872" stroked="f">
            <v:textbox style="mso-next-textbox:#_x0000_s1054">
              <w:txbxContent>
                <w:p w:rsidR="001651D1" w:rsidRDefault="001651D1" w:rsidP="00884FEB">
                  <w:pPr>
                    <w:spacing w:before="0" w:after="0"/>
                  </w:pPr>
                  <w:r>
                    <w:t>NO</w:t>
                  </w:r>
                </w:p>
              </w:txbxContent>
            </v:textbox>
          </v:shape>
        </w:pict>
      </w:r>
    </w:p>
    <w:p w:rsidR="00AD53BD" w:rsidRDefault="00496C8E" w:rsidP="00884FEB">
      <w:pPr>
        <w:rPr>
          <w:rFonts w:ascii="Times New Roman" w:hAnsi="Times New Roman"/>
          <w:szCs w:val="20"/>
        </w:rPr>
      </w:pPr>
      <w:r>
        <w:rPr>
          <w:rFonts w:ascii="Times New Roman" w:hAnsi="Times New Roman"/>
          <w:noProof/>
          <w:szCs w:val="20"/>
          <w:lang w:val="de-DE" w:eastAsia="de-DE"/>
        </w:rPr>
        <w:pict>
          <v:oval id="_x0000_s1073" style="position:absolute;left:0;text-align:left;margin-left:-65.85pt;margin-top:16.35pt;width:210pt;height:48.3pt;z-index:251681280">
            <v:textbox style="mso-next-textbox:#_x0000_s1073">
              <w:txbxContent>
                <w:p w:rsidR="001651D1" w:rsidRDefault="001651D1" w:rsidP="00AD53BD">
                  <w:pPr>
                    <w:spacing w:before="0" w:after="0"/>
                    <w:jc w:val="center"/>
                  </w:pPr>
                  <w:r>
                    <w:rPr>
                      <w:sz w:val="16"/>
                      <w:szCs w:val="16"/>
                    </w:rPr>
                    <w:t>Does it fit for being assigned to the exposure class of</w:t>
                  </w:r>
                  <w:r w:rsidRPr="0060673F">
                    <w:rPr>
                      <w:sz w:val="16"/>
                      <w:szCs w:val="16"/>
                    </w:rPr>
                    <w:t xml:space="preserve"> </w:t>
                  </w:r>
                  <w:r>
                    <w:rPr>
                      <w:sz w:val="16"/>
                      <w:szCs w:val="16"/>
                    </w:rPr>
                    <w:t>Article 107 point (</w:t>
                  </w:r>
                  <w:proofErr w:type="gramStart"/>
                  <w:r>
                    <w:rPr>
                      <w:sz w:val="16"/>
                      <w:szCs w:val="16"/>
                    </w:rPr>
                    <w:t>ja</w:t>
                  </w:r>
                  <w:proofErr w:type="gramEnd"/>
                  <w:r>
                    <w:rPr>
                      <w:sz w:val="16"/>
                      <w:szCs w:val="16"/>
                    </w:rPr>
                    <w:t>)?</w:t>
                  </w:r>
                </w:p>
              </w:txbxContent>
            </v:textbox>
          </v:oval>
        </w:pict>
      </w:r>
      <w:r>
        <w:rPr>
          <w:rFonts w:ascii="Times New Roman" w:hAnsi="Times New Roman"/>
          <w:noProof/>
          <w:szCs w:val="20"/>
          <w:lang w:val="de-DE" w:eastAsia="de-DE"/>
        </w:rPr>
        <w:pict>
          <v:shape id="_x0000_s1077" type="#_x0000_t202" style="position:absolute;left:0;text-align:left;margin-left:156.15pt;margin-top:16.35pt;width:48pt;height:18pt;z-index:251685376" stroked="f">
            <v:textbox style="mso-next-textbox:#_x0000_s1077">
              <w:txbxContent>
                <w:p w:rsidR="001651D1" w:rsidRDefault="001651D1" w:rsidP="00AD53BD">
                  <w:pPr>
                    <w:spacing w:before="0" w:after="0"/>
                  </w:pPr>
                  <w:r>
                    <w:t>YES</w:t>
                  </w:r>
                </w:p>
              </w:txbxContent>
            </v:textbox>
          </v:shape>
        </w:pict>
      </w:r>
      <w:r>
        <w:rPr>
          <w:rFonts w:ascii="Times New Roman" w:hAnsi="Times New Roman"/>
          <w:noProof/>
          <w:szCs w:val="20"/>
          <w:lang w:val="de-DE" w:eastAsia="de-DE"/>
        </w:rPr>
        <w:pict>
          <v:shape id="_x0000_s1076" type="#_x0000_t93" style="position:absolute;left:0;text-align:left;margin-left:144.15pt;margin-top:33.7pt;width:1in;height:18pt;z-index:251684352"/>
        </w:pict>
      </w:r>
      <w:r>
        <w:rPr>
          <w:rFonts w:ascii="Times New Roman" w:hAnsi="Times New Roman"/>
          <w:noProof/>
          <w:szCs w:val="20"/>
          <w:lang w:val="de-DE" w:eastAsia="de-DE"/>
        </w:rPr>
        <w:pict>
          <v:rect id="_x0000_s1075" style="position:absolute;left:0;text-align:left;margin-left:216.15pt;margin-top:16.35pt;width:286.65pt;height:63pt;z-index:251683328">
            <v:textbox style="mso-next-textbox:#_x0000_s1075">
              <w:txbxContent>
                <w:p w:rsidR="001651D1" w:rsidRPr="006972E8" w:rsidRDefault="001651D1" w:rsidP="00AD53BD">
                  <w:pPr>
                    <w:numPr>
                      <w:ilvl w:val="0"/>
                      <w:numId w:val="14"/>
                    </w:numPr>
                    <w:tabs>
                      <w:tab w:val="clear" w:pos="720"/>
                      <w:tab w:val="num" w:pos="240"/>
                    </w:tabs>
                    <w:spacing w:before="0" w:after="0"/>
                    <w:ind w:left="480" w:hanging="480"/>
                    <w:jc w:val="left"/>
                    <w:rPr>
                      <w:szCs w:val="20"/>
                    </w:rPr>
                  </w:pPr>
                  <w:r>
                    <w:rPr>
                      <w:szCs w:val="20"/>
                    </w:rPr>
                    <w:t>Items associated with particular high risk (also see Article 123)</w:t>
                  </w:r>
                </w:p>
              </w:txbxContent>
            </v:textbox>
          </v:rect>
        </w:pict>
      </w:r>
      <w:r>
        <w:rPr>
          <w:rFonts w:ascii="Times New Roman" w:hAnsi="Times New Roman"/>
          <w:noProof/>
          <w:szCs w:val="20"/>
          <w:lang w:val="de-DE" w:eastAsia="de-DE"/>
        </w:rPr>
        <w:pict>
          <v:shape id="_x0000_s1074" type="#_x0000_t93" style="position:absolute;left:0;text-align:left;margin-left:26.75pt;margin-top:54.05pt;width:18.75pt;height:36pt;rotation:90;z-index:251682304"/>
        </w:pict>
      </w:r>
    </w:p>
    <w:p w:rsidR="00AD53BD" w:rsidRDefault="00AD53BD" w:rsidP="00884FEB">
      <w:pPr>
        <w:rPr>
          <w:rFonts w:ascii="Times New Roman" w:hAnsi="Times New Roman"/>
          <w:szCs w:val="20"/>
        </w:rPr>
      </w:pPr>
    </w:p>
    <w:p w:rsidR="00AD53BD" w:rsidRDefault="00AD53BD" w:rsidP="00884FEB">
      <w:pPr>
        <w:rPr>
          <w:rFonts w:ascii="Times New Roman" w:hAnsi="Times New Roman"/>
          <w:szCs w:val="20"/>
        </w:rPr>
      </w:pPr>
    </w:p>
    <w:p w:rsidR="00AD53BD" w:rsidRDefault="00AD53BD" w:rsidP="00884FEB">
      <w:pPr>
        <w:rPr>
          <w:rFonts w:ascii="Times New Roman" w:hAnsi="Times New Roman"/>
          <w:szCs w:val="20"/>
        </w:rPr>
      </w:pPr>
    </w:p>
    <w:p w:rsidR="00884FEB" w:rsidRPr="0017440D" w:rsidRDefault="00496C8E" w:rsidP="00884FEB">
      <w:pPr>
        <w:rPr>
          <w:rFonts w:ascii="Times New Roman" w:hAnsi="Times New Roman"/>
          <w:szCs w:val="20"/>
        </w:rPr>
      </w:pPr>
      <w:r w:rsidRPr="00496C8E">
        <w:rPr>
          <w:rFonts w:ascii="Times New Roman" w:hAnsi="Times New Roman"/>
          <w:noProof/>
        </w:rPr>
        <w:pict>
          <v:oval id="_x0000_s1028" style="position:absolute;left:0;text-align:left;margin-left:-59.85pt;margin-top:11pt;width:198pt;height:61pt;z-index:251637248">
            <v:textbox style="mso-next-textbox:#_x0000_s1028">
              <w:txbxContent>
                <w:p w:rsidR="001651D1" w:rsidRDefault="001651D1" w:rsidP="00884FEB">
                  <w:pPr>
                    <w:spacing w:before="0" w:after="0"/>
                    <w:jc w:val="center"/>
                  </w:pPr>
                  <w:r>
                    <w:rPr>
                      <w:sz w:val="16"/>
                      <w:szCs w:val="16"/>
                    </w:rPr>
                    <w:t>Does it fit for being assigned to the exposure class of Article 107 point (o)?</w:t>
                  </w:r>
                </w:p>
                <w:p w:rsidR="001651D1" w:rsidRPr="00F315FD" w:rsidRDefault="001651D1" w:rsidP="00884FEB">
                  <w:pPr>
                    <w:jc w:val="center"/>
                  </w:pPr>
                </w:p>
              </w:txbxContent>
            </v:textbox>
          </v:oval>
        </w:pict>
      </w:r>
    </w:p>
    <w:p w:rsidR="00884FEB" w:rsidRPr="0017440D" w:rsidRDefault="00496C8E" w:rsidP="00884FEB">
      <w:pPr>
        <w:rPr>
          <w:rFonts w:ascii="Times New Roman" w:hAnsi="Times New Roman"/>
          <w:szCs w:val="20"/>
        </w:rPr>
      </w:pPr>
      <w:r w:rsidRPr="00496C8E">
        <w:rPr>
          <w:rFonts w:ascii="Times New Roman" w:hAnsi="Times New Roman"/>
          <w:noProof/>
        </w:rPr>
        <w:pict>
          <v:rect id="_x0000_s1048" style="position:absolute;left:0;text-align:left;margin-left:216.15pt;margin-top:6.85pt;width:287.85pt;height:63pt;z-index:251657728">
            <v:textbox style="mso-next-textbox:#_x0000_s1048">
              <w:txbxContent>
                <w:p w:rsidR="001651D1" w:rsidRDefault="001651D1" w:rsidP="002B1DA9">
                  <w:pPr>
                    <w:spacing w:before="0" w:after="0"/>
                    <w:ind w:left="240" w:right="60"/>
                    <w:jc w:val="left"/>
                    <w:rPr>
                      <w:szCs w:val="20"/>
                    </w:rPr>
                  </w:pPr>
                </w:p>
                <w:p w:rsidR="001651D1" w:rsidRPr="007A1D61" w:rsidRDefault="001651D1" w:rsidP="00A64421">
                  <w:pPr>
                    <w:numPr>
                      <w:ilvl w:val="0"/>
                      <w:numId w:val="14"/>
                    </w:numPr>
                    <w:tabs>
                      <w:tab w:val="clear" w:pos="720"/>
                      <w:tab w:val="num" w:pos="240"/>
                    </w:tabs>
                    <w:spacing w:before="0" w:after="0"/>
                    <w:ind w:left="240" w:right="60" w:hanging="240"/>
                    <w:jc w:val="left"/>
                    <w:rPr>
                      <w:szCs w:val="20"/>
                    </w:rPr>
                  </w:pPr>
                  <w:r>
                    <w:rPr>
                      <w:szCs w:val="20"/>
                    </w:rPr>
                    <w:t>Equity exposures (also see Article 128)</w:t>
                  </w:r>
                </w:p>
                <w:p w:rsidR="001651D1" w:rsidRPr="00AF1037" w:rsidRDefault="001651D1" w:rsidP="00884FEB">
                  <w:pPr>
                    <w:spacing w:before="0" w:after="0"/>
                    <w:ind w:right="60"/>
                    <w:jc w:val="left"/>
                  </w:pPr>
                </w:p>
              </w:txbxContent>
            </v:textbox>
          </v:rect>
        </w:pict>
      </w:r>
      <w:r w:rsidRPr="00496C8E">
        <w:rPr>
          <w:rFonts w:ascii="Times New Roman" w:hAnsi="Times New Roman"/>
          <w:noProof/>
        </w:rPr>
        <w:pict>
          <v:shape id="_x0000_s1061" type="#_x0000_t202" style="position:absolute;left:0;text-align:left;margin-left:150.15pt;margin-top:3.55pt;width:48pt;height:18pt;z-index:251671040" stroked="f">
            <v:textbox style="mso-next-textbox:#_x0000_s1061">
              <w:txbxContent>
                <w:p w:rsidR="001651D1" w:rsidRDefault="001651D1" w:rsidP="00884FEB">
                  <w:pPr>
                    <w:spacing w:before="0" w:after="0"/>
                  </w:pPr>
                  <w:r>
                    <w:t>YES</w:t>
                  </w:r>
                </w:p>
              </w:txbxContent>
            </v:textbox>
          </v:shape>
        </w:pict>
      </w:r>
    </w:p>
    <w:p w:rsidR="00884FEB" w:rsidRPr="0017440D" w:rsidRDefault="00496C8E" w:rsidP="00884FEB">
      <w:pPr>
        <w:rPr>
          <w:rFonts w:ascii="Times New Roman" w:hAnsi="Times New Roman"/>
          <w:szCs w:val="20"/>
        </w:rPr>
      </w:pPr>
      <w:r w:rsidRPr="00496C8E">
        <w:rPr>
          <w:rFonts w:ascii="Times New Roman" w:hAnsi="Times New Roman"/>
          <w:noProof/>
        </w:rPr>
        <w:pict>
          <v:shape id="_x0000_s1042" type="#_x0000_t93" style="position:absolute;left:0;text-align:left;margin-left:138.15pt;margin-top:3.4pt;width:78pt;height:18pt;z-index:251651584"/>
        </w:pict>
      </w:r>
    </w:p>
    <w:p w:rsidR="00884FEB" w:rsidRPr="0017440D" w:rsidRDefault="00496C8E" w:rsidP="00884FEB">
      <w:pPr>
        <w:rPr>
          <w:rFonts w:ascii="Times New Roman" w:hAnsi="Times New Roman"/>
          <w:szCs w:val="20"/>
        </w:rPr>
      </w:pPr>
      <w:r w:rsidRPr="00496C8E">
        <w:rPr>
          <w:rFonts w:ascii="Times New Roman" w:hAnsi="Times New Roman"/>
          <w:noProof/>
        </w:rPr>
        <w:pict>
          <v:shape id="_x0000_s1035" type="#_x0000_t93" style="position:absolute;left:0;text-align:left;margin-left:28.15pt;margin-top:7.55pt;width:16pt;height:36pt;rotation:90;z-index:251644416"/>
        </w:pict>
      </w:r>
      <w:r w:rsidRPr="00496C8E">
        <w:rPr>
          <w:rFonts w:ascii="Times New Roman" w:hAnsi="Times New Roman"/>
          <w:noProof/>
        </w:rPr>
        <w:pict>
          <v:shape id="_x0000_s1055" type="#_x0000_t202" style="position:absolute;left:0;text-align:left;margin-left:66.15pt;margin-top:15.55pt;width:36pt;height:18pt;z-index:251664896" stroked="f">
            <v:textbox style="mso-next-textbox:#_x0000_s1055">
              <w:txbxContent>
                <w:p w:rsidR="001651D1" w:rsidRDefault="001651D1" w:rsidP="00884FEB">
                  <w:pPr>
                    <w:spacing w:before="0" w:after="0"/>
                  </w:pPr>
                  <w:r>
                    <w:t>NO</w:t>
                  </w:r>
                </w:p>
              </w:txbxContent>
            </v:textbox>
          </v:shape>
        </w:pict>
      </w:r>
    </w:p>
    <w:p w:rsidR="00884FEB" w:rsidRPr="0017440D" w:rsidRDefault="00496C8E" w:rsidP="00884FEB">
      <w:pPr>
        <w:rPr>
          <w:rFonts w:ascii="Times New Roman" w:hAnsi="Times New Roman"/>
          <w:szCs w:val="20"/>
        </w:rPr>
      </w:pPr>
      <w:r w:rsidRPr="00496C8E">
        <w:rPr>
          <w:rFonts w:ascii="Times New Roman" w:hAnsi="Times New Roman"/>
          <w:noProof/>
        </w:rPr>
        <w:pict>
          <v:oval id="_x0000_s1029" style="position:absolute;left:0;text-align:left;margin-left:-59.85pt;margin-top:15.4pt;width:198pt;height:54pt;z-index:251638272">
            <v:textbox style="mso-next-textbox:#_x0000_s1029">
              <w:txbxContent>
                <w:p w:rsidR="001651D1" w:rsidRPr="00F315FD" w:rsidRDefault="001651D1" w:rsidP="00884FEB">
                  <w:pPr>
                    <w:spacing w:before="0" w:after="0"/>
                    <w:jc w:val="center"/>
                  </w:pPr>
                  <w:r>
                    <w:rPr>
                      <w:sz w:val="16"/>
                      <w:szCs w:val="16"/>
                    </w:rPr>
                    <w:t>Does it fit for being assigned to the exposure class of</w:t>
                  </w:r>
                  <w:r w:rsidRPr="0060673F">
                    <w:rPr>
                      <w:sz w:val="16"/>
                      <w:szCs w:val="16"/>
                    </w:rPr>
                    <w:t xml:space="preserve"> </w:t>
                  </w:r>
                  <w:r>
                    <w:rPr>
                      <w:sz w:val="16"/>
                      <w:szCs w:val="16"/>
                    </w:rPr>
                    <w:t>Article 107 point (j)?</w:t>
                  </w:r>
                </w:p>
              </w:txbxContent>
            </v:textbox>
          </v:oval>
        </w:pict>
      </w:r>
    </w:p>
    <w:p w:rsidR="00884FEB" w:rsidRPr="0017440D" w:rsidRDefault="00496C8E" w:rsidP="00884FEB">
      <w:pPr>
        <w:rPr>
          <w:rFonts w:ascii="Times New Roman" w:hAnsi="Times New Roman"/>
          <w:szCs w:val="20"/>
        </w:rPr>
      </w:pPr>
      <w:r w:rsidRPr="00496C8E">
        <w:rPr>
          <w:rFonts w:ascii="Times New Roman" w:hAnsi="Times New Roman"/>
          <w:noProof/>
        </w:rPr>
        <w:pict>
          <v:rect id="_x0000_s1049" style="position:absolute;left:0;text-align:left;margin-left:216.15pt;margin-top:11.95pt;width:287.85pt;height:36pt;z-index:251658752">
            <v:textbox style="mso-next-textbox:#_x0000_s1049" inset=",2.5mm,,2.5mm">
              <w:txbxContent>
                <w:p w:rsidR="001651D1" w:rsidRPr="00FD0FAA" w:rsidRDefault="001651D1" w:rsidP="00A64421">
                  <w:pPr>
                    <w:numPr>
                      <w:ilvl w:val="0"/>
                      <w:numId w:val="14"/>
                    </w:numPr>
                    <w:tabs>
                      <w:tab w:val="clear" w:pos="720"/>
                      <w:tab w:val="num" w:pos="240"/>
                    </w:tabs>
                    <w:spacing w:before="0" w:after="0"/>
                    <w:ind w:left="480" w:hanging="480"/>
                    <w:jc w:val="left"/>
                    <w:rPr>
                      <w:szCs w:val="20"/>
                    </w:rPr>
                  </w:pPr>
                  <w:r>
                    <w:rPr>
                      <w:szCs w:val="20"/>
                    </w:rPr>
                    <w:t>Exposures in default</w:t>
                  </w:r>
                </w:p>
              </w:txbxContent>
            </v:textbox>
          </v:rect>
        </w:pict>
      </w:r>
      <w:r w:rsidRPr="00496C8E">
        <w:rPr>
          <w:rFonts w:ascii="Times New Roman" w:hAnsi="Times New Roman"/>
          <w:noProof/>
        </w:rPr>
        <w:pict>
          <v:shape id="_x0000_s1062" type="#_x0000_t202" style="position:absolute;left:0;text-align:left;margin-left:150.15pt;margin-top:2.95pt;width:48pt;height:18pt;z-index:251672064" stroked="f">
            <v:textbox style="mso-next-textbox:#_x0000_s1062">
              <w:txbxContent>
                <w:p w:rsidR="001651D1" w:rsidRDefault="001651D1" w:rsidP="00884FEB">
                  <w:pPr>
                    <w:spacing w:before="0" w:after="0"/>
                  </w:pPr>
                  <w:r>
                    <w:t>YES</w:t>
                  </w:r>
                </w:p>
              </w:txbxContent>
            </v:textbox>
          </v:shape>
        </w:pict>
      </w:r>
    </w:p>
    <w:p w:rsidR="00884FEB" w:rsidRPr="0017440D" w:rsidRDefault="00496C8E" w:rsidP="00884FEB">
      <w:pPr>
        <w:rPr>
          <w:rFonts w:ascii="Times New Roman" w:hAnsi="Times New Roman"/>
          <w:szCs w:val="20"/>
        </w:rPr>
      </w:pPr>
      <w:r w:rsidRPr="00496C8E">
        <w:rPr>
          <w:rFonts w:ascii="Times New Roman" w:hAnsi="Times New Roman"/>
          <w:noProof/>
        </w:rPr>
        <w:pict>
          <v:shape id="_x0000_s1043" type="#_x0000_t93" style="position:absolute;left:0;text-align:left;margin-left:138.15pt;margin-top:2.8pt;width:78pt;height:18pt;z-index:251652608"/>
        </w:pict>
      </w:r>
    </w:p>
    <w:p w:rsidR="00884FEB" w:rsidRPr="0017440D" w:rsidRDefault="00496C8E" w:rsidP="00884FEB">
      <w:pPr>
        <w:rPr>
          <w:rFonts w:ascii="Times New Roman" w:hAnsi="Times New Roman"/>
          <w:szCs w:val="20"/>
        </w:rPr>
      </w:pPr>
      <w:r w:rsidRPr="00496C8E">
        <w:rPr>
          <w:rFonts w:ascii="Times New Roman" w:hAnsi="Times New Roman"/>
          <w:noProof/>
        </w:rPr>
        <w:pict>
          <v:shape id="_x0000_s1036" type="#_x0000_t93" style="position:absolute;left:0;text-align:left;margin-left:24.3pt;margin-top:8.8pt;width:23.65pt;height:36pt;rotation:90;z-index:251645440"/>
        </w:pict>
      </w:r>
      <w:r w:rsidRPr="00496C8E">
        <w:rPr>
          <w:rFonts w:ascii="Times New Roman" w:hAnsi="Times New Roman"/>
          <w:noProof/>
        </w:rPr>
        <w:pict>
          <v:shape id="_x0000_s1056" type="#_x0000_t202" style="position:absolute;left:0;text-align:left;margin-left:66.15pt;margin-top:14.95pt;width:36pt;height:18pt;z-index:251665920" stroked="f">
            <v:textbox style="mso-next-textbox:#_x0000_s1056">
              <w:txbxContent>
                <w:p w:rsidR="001651D1" w:rsidRDefault="001651D1" w:rsidP="00884FEB">
                  <w:pPr>
                    <w:spacing w:before="0" w:after="0"/>
                  </w:pPr>
                  <w:r>
                    <w:t>NO</w:t>
                  </w:r>
                </w:p>
              </w:txbxContent>
            </v:textbox>
          </v:shape>
        </w:pict>
      </w:r>
    </w:p>
    <w:p w:rsidR="00884FEB" w:rsidRPr="0017440D" w:rsidRDefault="00496C8E" w:rsidP="00884FEB">
      <w:pPr>
        <w:rPr>
          <w:rFonts w:ascii="Times New Roman" w:hAnsi="Times New Roman"/>
          <w:szCs w:val="20"/>
        </w:rPr>
      </w:pPr>
      <w:r w:rsidRPr="00496C8E">
        <w:rPr>
          <w:rFonts w:ascii="Times New Roman" w:hAnsi="Times New Roman"/>
          <w:noProof/>
        </w:rPr>
        <w:pict>
          <v:rect id="_x0000_s1050" style="position:absolute;left:0;text-align:left;margin-left:216.15pt;margin-top:-.6pt;width:287.85pt;height:112pt;z-index:251659776">
            <v:textbox style="mso-next-textbox:#_x0000_s1050">
              <w:txbxContent>
                <w:p w:rsidR="001651D1" w:rsidRDefault="001651D1" w:rsidP="00A64421">
                  <w:pPr>
                    <w:numPr>
                      <w:ilvl w:val="0"/>
                      <w:numId w:val="14"/>
                    </w:numPr>
                    <w:tabs>
                      <w:tab w:val="clear" w:pos="720"/>
                      <w:tab w:val="num" w:pos="240"/>
                    </w:tabs>
                    <w:spacing w:before="0" w:after="0"/>
                    <w:ind w:left="240" w:hanging="240"/>
                    <w:jc w:val="left"/>
                    <w:rPr>
                      <w:szCs w:val="20"/>
                    </w:rPr>
                  </w:pPr>
                  <w:r>
                    <w:rPr>
                      <w:szCs w:val="20"/>
                    </w:rPr>
                    <w:t>Exposures in the form</w:t>
                  </w:r>
                  <w:r w:rsidRPr="00AF1037">
                    <w:rPr>
                      <w:szCs w:val="20"/>
                    </w:rPr>
                    <w:t xml:space="preserve"> o</w:t>
                  </w:r>
                  <w:r>
                    <w:rPr>
                      <w:szCs w:val="20"/>
                    </w:rPr>
                    <w:t>f</w:t>
                  </w:r>
                  <w:r w:rsidRPr="00AF1037">
                    <w:rPr>
                      <w:szCs w:val="20"/>
                    </w:rPr>
                    <w:t xml:space="preserve"> </w:t>
                  </w:r>
                  <w:r>
                    <w:rPr>
                      <w:szCs w:val="20"/>
                    </w:rPr>
                    <w:t>units or shares in colle</w:t>
                  </w:r>
                  <w:r>
                    <w:rPr>
                      <w:szCs w:val="20"/>
                    </w:rPr>
                    <w:t>c</w:t>
                  </w:r>
                  <w:r>
                    <w:rPr>
                      <w:szCs w:val="20"/>
                    </w:rPr>
                    <w:t>tive investment undertakings (CIU)</w:t>
                  </w:r>
                </w:p>
                <w:p w:rsidR="001651D1" w:rsidRDefault="001651D1" w:rsidP="00A64421">
                  <w:pPr>
                    <w:numPr>
                      <w:ilvl w:val="0"/>
                      <w:numId w:val="14"/>
                    </w:numPr>
                    <w:tabs>
                      <w:tab w:val="clear" w:pos="720"/>
                      <w:tab w:val="num" w:pos="240"/>
                    </w:tabs>
                    <w:spacing w:before="0" w:after="0"/>
                    <w:ind w:left="480" w:hanging="480"/>
                    <w:jc w:val="left"/>
                    <w:rPr>
                      <w:szCs w:val="20"/>
                    </w:rPr>
                  </w:pPr>
                  <w:r>
                    <w:rPr>
                      <w:szCs w:val="20"/>
                    </w:rPr>
                    <w:t>Exposures in the form</w:t>
                  </w:r>
                  <w:r w:rsidRPr="00AF1037">
                    <w:rPr>
                      <w:szCs w:val="20"/>
                    </w:rPr>
                    <w:t xml:space="preserve"> o</w:t>
                  </w:r>
                  <w:r>
                    <w:rPr>
                      <w:szCs w:val="20"/>
                    </w:rPr>
                    <w:t>f covered bonds (also see Article 124)</w:t>
                  </w:r>
                </w:p>
                <w:p w:rsidR="001651D1" w:rsidRPr="00C144EF" w:rsidRDefault="001651D1" w:rsidP="00884FEB">
                  <w:pPr>
                    <w:rPr>
                      <w:sz w:val="16"/>
                      <w:szCs w:val="16"/>
                    </w:rPr>
                  </w:pPr>
                  <w:r w:rsidRPr="00C144EF">
                    <w:rPr>
                      <w:sz w:val="16"/>
                      <w:szCs w:val="16"/>
                    </w:rPr>
                    <w:t>The</w:t>
                  </w:r>
                  <w:r>
                    <w:rPr>
                      <w:sz w:val="16"/>
                      <w:szCs w:val="16"/>
                    </w:rPr>
                    <w:t>se</w:t>
                  </w:r>
                  <w:r w:rsidRPr="00C144EF">
                    <w:rPr>
                      <w:sz w:val="16"/>
                      <w:szCs w:val="16"/>
                    </w:rPr>
                    <w:t xml:space="preserve"> </w:t>
                  </w:r>
                  <w:r>
                    <w:rPr>
                      <w:sz w:val="16"/>
                      <w:szCs w:val="16"/>
                    </w:rPr>
                    <w:t xml:space="preserve">two </w:t>
                  </w:r>
                  <w:r w:rsidRPr="00C144EF">
                    <w:rPr>
                      <w:sz w:val="16"/>
                      <w:szCs w:val="16"/>
                    </w:rPr>
                    <w:t>exposure classes are disjoint among themselves</w:t>
                  </w:r>
                  <w:r>
                    <w:rPr>
                      <w:sz w:val="16"/>
                      <w:szCs w:val="16"/>
                    </w:rPr>
                    <w:t xml:space="preserve"> (see comments on the look-through approach in the answer above)</w:t>
                  </w:r>
                  <w:r w:rsidRPr="00C144EF">
                    <w:rPr>
                      <w:sz w:val="16"/>
                      <w:szCs w:val="16"/>
                    </w:rPr>
                    <w:t>. Therefore if the original exposure pre conversion factor reaches this point of the tree the assignment to one of them is straightfo</w:t>
                  </w:r>
                  <w:r w:rsidRPr="00C144EF">
                    <w:rPr>
                      <w:sz w:val="16"/>
                      <w:szCs w:val="16"/>
                    </w:rPr>
                    <w:t>r</w:t>
                  </w:r>
                  <w:r w:rsidRPr="00C144EF">
                    <w:rPr>
                      <w:sz w:val="16"/>
                      <w:szCs w:val="16"/>
                    </w:rPr>
                    <w:t>ward</w:t>
                  </w:r>
                  <w:r>
                    <w:rPr>
                      <w:sz w:val="16"/>
                      <w:szCs w:val="16"/>
                    </w:rPr>
                    <w:t>.</w:t>
                  </w:r>
                </w:p>
              </w:txbxContent>
            </v:textbox>
          </v:rect>
        </w:pict>
      </w:r>
    </w:p>
    <w:p w:rsidR="00884FEB" w:rsidRPr="0017440D" w:rsidRDefault="00496C8E" w:rsidP="00884FEB">
      <w:pPr>
        <w:rPr>
          <w:rFonts w:ascii="Times New Roman" w:hAnsi="Times New Roman"/>
          <w:szCs w:val="20"/>
        </w:rPr>
      </w:pPr>
      <w:r w:rsidRPr="00496C8E">
        <w:rPr>
          <w:rFonts w:ascii="Times New Roman" w:hAnsi="Times New Roman"/>
          <w:noProof/>
        </w:rPr>
        <w:pict>
          <v:oval id="_x0000_s1030" style="position:absolute;left:0;text-align:left;margin-left:-65.85pt;margin-top:2.3pt;width:210pt;height:62.1pt;z-index:251639296">
            <v:textbox style="mso-next-textbox:#_x0000_s1030">
              <w:txbxContent>
                <w:p w:rsidR="001651D1" w:rsidRPr="00F315FD" w:rsidRDefault="001651D1" w:rsidP="00884FEB">
                  <w:pPr>
                    <w:spacing w:before="0" w:after="0"/>
                    <w:jc w:val="center"/>
                  </w:pPr>
                  <w:r>
                    <w:rPr>
                      <w:sz w:val="16"/>
                      <w:szCs w:val="16"/>
                    </w:rPr>
                    <w:t>Does it fit for being assigned to the exposure classes of Article 107 points (k) and (n)?</w:t>
                  </w:r>
                </w:p>
              </w:txbxContent>
            </v:textbox>
          </v:oval>
        </w:pict>
      </w:r>
      <w:r w:rsidRPr="00496C8E">
        <w:rPr>
          <w:rFonts w:ascii="Times New Roman" w:hAnsi="Times New Roman"/>
          <w:noProof/>
        </w:rPr>
        <w:pict>
          <v:shape id="_x0000_s1063" type="#_x0000_t202" style="position:absolute;left:0;text-align:left;margin-left:150.15pt;margin-top:11.35pt;width:48pt;height:18pt;z-index:251673088" stroked="f">
            <v:textbox style="mso-next-textbox:#_x0000_s1063">
              <w:txbxContent>
                <w:p w:rsidR="001651D1" w:rsidRDefault="001651D1" w:rsidP="00884FEB">
                  <w:pPr>
                    <w:spacing w:before="0" w:after="0"/>
                  </w:pPr>
                  <w:r>
                    <w:t>YES</w:t>
                  </w:r>
                </w:p>
              </w:txbxContent>
            </v:textbox>
          </v:shape>
        </w:pict>
      </w:r>
    </w:p>
    <w:p w:rsidR="00884FEB" w:rsidRPr="0017440D" w:rsidRDefault="00496C8E" w:rsidP="00884FEB">
      <w:pPr>
        <w:rPr>
          <w:rFonts w:ascii="Times New Roman" w:hAnsi="Times New Roman"/>
          <w:szCs w:val="20"/>
        </w:rPr>
      </w:pPr>
      <w:r w:rsidRPr="00496C8E">
        <w:rPr>
          <w:rFonts w:ascii="Times New Roman" w:hAnsi="Times New Roman"/>
          <w:noProof/>
        </w:rPr>
        <w:pict>
          <v:shape id="_x0000_s1044" type="#_x0000_t93" style="position:absolute;left:0;text-align:left;margin-left:144.15pt;margin-top:11.15pt;width:1in;height:18pt;z-index:251653632"/>
        </w:pict>
      </w:r>
    </w:p>
    <w:p w:rsidR="00884FEB" w:rsidRPr="0017440D" w:rsidRDefault="00884FEB" w:rsidP="00884FEB">
      <w:pPr>
        <w:rPr>
          <w:rFonts w:ascii="Times New Roman" w:hAnsi="Times New Roman"/>
          <w:szCs w:val="20"/>
        </w:rPr>
      </w:pPr>
    </w:p>
    <w:p w:rsidR="00884FEB" w:rsidRPr="0017440D" w:rsidRDefault="00496C8E" w:rsidP="00884FEB">
      <w:pPr>
        <w:rPr>
          <w:rFonts w:ascii="Times New Roman" w:hAnsi="Times New Roman"/>
          <w:szCs w:val="20"/>
        </w:rPr>
      </w:pPr>
      <w:r w:rsidRPr="00496C8E">
        <w:rPr>
          <w:rFonts w:ascii="Times New Roman" w:hAnsi="Times New Roman"/>
          <w:noProof/>
        </w:rPr>
        <w:pict>
          <v:shape id="_x0000_s1037" type="#_x0000_t93" style="position:absolute;left:0;text-align:left;margin-left:25.05pt;margin-top:3.05pt;width:22.2pt;height:36pt;rotation:90;z-index:251646464"/>
        </w:pict>
      </w:r>
      <w:r w:rsidRPr="00496C8E">
        <w:rPr>
          <w:rFonts w:ascii="Times New Roman" w:hAnsi="Times New Roman"/>
          <w:noProof/>
        </w:rPr>
        <w:pict>
          <v:shape id="_x0000_s1057" type="#_x0000_t202" style="position:absolute;left:0;text-align:left;margin-left:72.15pt;margin-top:5.15pt;width:36pt;height:18pt;z-index:251666944" stroked="f">
            <v:textbox style="mso-next-textbox:#_x0000_s1057">
              <w:txbxContent>
                <w:p w:rsidR="001651D1" w:rsidRDefault="001651D1" w:rsidP="00884FEB">
                  <w:pPr>
                    <w:spacing w:before="0" w:after="0"/>
                  </w:pPr>
                  <w:r>
                    <w:t>NO</w:t>
                  </w:r>
                </w:p>
              </w:txbxContent>
            </v:textbox>
          </v:shape>
        </w:pict>
      </w:r>
    </w:p>
    <w:p w:rsidR="00884FEB" w:rsidRPr="0017440D" w:rsidRDefault="00496C8E" w:rsidP="00884FEB">
      <w:pPr>
        <w:rPr>
          <w:rFonts w:ascii="Times New Roman" w:hAnsi="Times New Roman"/>
          <w:szCs w:val="20"/>
        </w:rPr>
      </w:pPr>
      <w:r w:rsidRPr="00496C8E">
        <w:rPr>
          <w:rFonts w:ascii="Times New Roman" w:hAnsi="Times New Roman"/>
          <w:noProof/>
        </w:rPr>
        <w:pict>
          <v:shape id="_x0000_s1069" type="#_x0000_t202" style="position:absolute;left:0;text-align:left;margin-left:150pt;margin-top:14pt;width:48pt;height:18pt;z-index:251679232" stroked="f">
            <v:textbox style="mso-next-textbox:#_x0000_s1069">
              <w:txbxContent>
                <w:p w:rsidR="001651D1" w:rsidRDefault="001651D1" w:rsidP="00884FEB">
                  <w:pPr>
                    <w:spacing w:before="0" w:after="0"/>
                  </w:pPr>
                  <w:r>
                    <w:t>YES</w:t>
                  </w:r>
                </w:p>
              </w:txbxContent>
            </v:textbox>
          </v:shape>
        </w:pict>
      </w:r>
      <w:r w:rsidRPr="00496C8E">
        <w:rPr>
          <w:rFonts w:ascii="Times New Roman" w:hAnsi="Times New Roman"/>
          <w:noProof/>
        </w:rPr>
        <w:pict>
          <v:oval id="_x0000_s1031" style="position:absolute;left:0;text-align:left;margin-left:-65.85pt;margin-top:14pt;width:210pt;height:54pt;z-index:251640320">
            <v:textbox style="mso-next-textbox:#_x0000_s1031">
              <w:txbxContent>
                <w:p w:rsidR="001651D1" w:rsidRPr="00F315FD" w:rsidRDefault="001651D1" w:rsidP="00884FEB">
                  <w:pPr>
                    <w:spacing w:before="0" w:after="0"/>
                    <w:jc w:val="center"/>
                  </w:pPr>
                  <w:r>
                    <w:rPr>
                      <w:sz w:val="16"/>
                      <w:szCs w:val="16"/>
                    </w:rPr>
                    <w:t>Does it fit for being assigned to the exposure class of</w:t>
                  </w:r>
                  <w:r w:rsidRPr="0060673F">
                    <w:rPr>
                      <w:sz w:val="16"/>
                      <w:szCs w:val="16"/>
                    </w:rPr>
                    <w:t xml:space="preserve"> </w:t>
                  </w:r>
                  <w:r>
                    <w:rPr>
                      <w:sz w:val="16"/>
                      <w:szCs w:val="16"/>
                    </w:rPr>
                    <w:t>Article 107 point (i)?</w:t>
                  </w:r>
                </w:p>
              </w:txbxContent>
            </v:textbox>
          </v:oval>
        </w:pict>
      </w:r>
    </w:p>
    <w:p w:rsidR="00884FEB" w:rsidRPr="0017440D" w:rsidRDefault="00496C8E" w:rsidP="00884FEB">
      <w:pPr>
        <w:rPr>
          <w:rFonts w:ascii="Times New Roman" w:hAnsi="Times New Roman"/>
          <w:szCs w:val="20"/>
        </w:rPr>
      </w:pPr>
      <w:r w:rsidRPr="00496C8E">
        <w:rPr>
          <w:rFonts w:ascii="Times New Roman" w:hAnsi="Times New Roman"/>
          <w:noProof/>
        </w:rPr>
        <w:pict>
          <v:rect id="_x0000_s1051" style="position:absolute;left:0;text-align:left;margin-left:216.15pt;margin-top:10.55pt;width:287.85pt;height:49.55pt;z-index:251660800">
            <v:textbox style="mso-next-textbox:#_x0000_s1051">
              <w:txbxContent>
                <w:p w:rsidR="001651D1" w:rsidRPr="00FD0FAA" w:rsidRDefault="001651D1" w:rsidP="00A64421">
                  <w:pPr>
                    <w:numPr>
                      <w:ilvl w:val="0"/>
                      <w:numId w:val="14"/>
                    </w:numPr>
                    <w:tabs>
                      <w:tab w:val="clear" w:pos="720"/>
                      <w:tab w:val="num" w:pos="240"/>
                    </w:tabs>
                    <w:spacing w:before="0" w:after="0"/>
                    <w:ind w:left="240" w:hanging="240"/>
                    <w:jc w:val="left"/>
                    <w:rPr>
                      <w:szCs w:val="20"/>
                    </w:rPr>
                  </w:pPr>
                  <w:r w:rsidRPr="00D51B89">
                    <w:rPr>
                      <w:szCs w:val="20"/>
                    </w:rPr>
                    <w:t xml:space="preserve">Exposures </w:t>
                  </w:r>
                  <w:r w:rsidRPr="00EC5FA2">
                    <w:rPr>
                      <w:szCs w:val="20"/>
                    </w:rPr>
                    <w:t xml:space="preserve">secured </w:t>
                  </w:r>
                  <w:r>
                    <w:rPr>
                      <w:szCs w:val="20"/>
                    </w:rPr>
                    <w:t>by mortgages on immovable property (also see Article 119)</w:t>
                  </w:r>
                </w:p>
              </w:txbxContent>
            </v:textbox>
          </v:rect>
        </w:pict>
      </w:r>
    </w:p>
    <w:p w:rsidR="00884FEB" w:rsidRPr="0017440D" w:rsidRDefault="00496C8E" w:rsidP="00884FEB">
      <w:pPr>
        <w:rPr>
          <w:rFonts w:ascii="Times New Roman" w:hAnsi="Times New Roman"/>
          <w:szCs w:val="20"/>
        </w:rPr>
      </w:pPr>
      <w:r w:rsidRPr="00496C8E">
        <w:rPr>
          <w:rFonts w:ascii="Times New Roman" w:hAnsi="Times New Roman"/>
          <w:noProof/>
        </w:rPr>
        <w:pict>
          <v:shape id="_x0000_s1045" type="#_x0000_t93" style="position:absolute;left:0;text-align:left;margin-left:144.15pt;margin-top:1.4pt;width:1in;height:18pt;z-index:251654656"/>
        </w:pict>
      </w:r>
    </w:p>
    <w:p w:rsidR="00884FEB" w:rsidRPr="0017440D" w:rsidRDefault="00496C8E" w:rsidP="00884FEB">
      <w:pPr>
        <w:rPr>
          <w:rFonts w:ascii="Times New Roman" w:hAnsi="Times New Roman"/>
          <w:szCs w:val="20"/>
        </w:rPr>
      </w:pPr>
      <w:r w:rsidRPr="00496C8E">
        <w:rPr>
          <w:rFonts w:ascii="Times New Roman" w:hAnsi="Times New Roman"/>
          <w:noProof/>
        </w:rPr>
        <w:pict>
          <v:shape id="_x0000_s1058" type="#_x0000_t202" style="position:absolute;left:0;text-align:left;margin-left:72.15pt;margin-top:13.55pt;width:36pt;height:18pt;z-index:251667968" stroked="f">
            <v:textbox style="mso-next-textbox:#_x0000_s1058">
              <w:txbxContent>
                <w:p w:rsidR="001651D1" w:rsidRDefault="001651D1" w:rsidP="00884FEB">
                  <w:pPr>
                    <w:spacing w:before="0" w:after="0"/>
                  </w:pPr>
                  <w:r>
                    <w:t>NO</w:t>
                  </w:r>
                </w:p>
              </w:txbxContent>
            </v:textbox>
          </v:shape>
        </w:pict>
      </w:r>
      <w:r w:rsidRPr="00496C8E">
        <w:rPr>
          <w:rFonts w:ascii="Times New Roman" w:hAnsi="Times New Roman"/>
          <w:noProof/>
        </w:rPr>
        <w:pict>
          <v:shape id="_x0000_s1038" type="#_x0000_t93" style="position:absolute;left:0;text-align:left;margin-left:27.15pt;margin-top:4.55pt;width:18pt;height:36pt;rotation:90;z-index:251647488"/>
        </w:pict>
      </w:r>
    </w:p>
    <w:p w:rsidR="00884FEB" w:rsidRPr="0017440D" w:rsidRDefault="00496C8E" w:rsidP="00884FEB">
      <w:pPr>
        <w:rPr>
          <w:rFonts w:ascii="Times New Roman" w:hAnsi="Times New Roman"/>
          <w:szCs w:val="20"/>
        </w:rPr>
      </w:pPr>
      <w:r w:rsidRPr="00496C8E">
        <w:rPr>
          <w:rFonts w:ascii="Times New Roman" w:hAnsi="Times New Roman"/>
          <w:noProof/>
        </w:rPr>
        <w:pict>
          <v:oval id="_x0000_s1032" style="position:absolute;left:0;text-align:left;margin-left:-65.85pt;margin-top:13.4pt;width:198pt;height:54pt;z-index:251641344">
            <v:textbox style="mso-next-textbox:#_x0000_s1032">
              <w:txbxContent>
                <w:p w:rsidR="001651D1" w:rsidRPr="00F315FD" w:rsidRDefault="001651D1" w:rsidP="00884FEB">
                  <w:pPr>
                    <w:spacing w:before="0" w:after="0"/>
                    <w:jc w:val="center"/>
                  </w:pPr>
                  <w:r>
                    <w:rPr>
                      <w:sz w:val="16"/>
                      <w:szCs w:val="16"/>
                    </w:rPr>
                    <w:t>Does it fit for being assigned to the exposure class of Article 107 point (p)?</w:t>
                  </w:r>
                </w:p>
              </w:txbxContent>
            </v:textbox>
          </v:oval>
        </w:pict>
      </w:r>
    </w:p>
    <w:p w:rsidR="00884FEB" w:rsidRPr="0017440D" w:rsidRDefault="00496C8E" w:rsidP="00884FEB">
      <w:pPr>
        <w:rPr>
          <w:rFonts w:ascii="Times New Roman" w:hAnsi="Times New Roman"/>
          <w:szCs w:val="20"/>
        </w:rPr>
      </w:pPr>
      <w:r w:rsidRPr="00496C8E">
        <w:rPr>
          <w:rFonts w:ascii="Times New Roman" w:hAnsi="Times New Roman"/>
          <w:noProof/>
        </w:rPr>
        <w:pict>
          <v:rect id="_x0000_s1052" style="position:absolute;left:0;text-align:left;margin-left:216.15pt;margin-top:9.95pt;width:287.85pt;height:36pt;z-index:251661824">
            <v:textbox style="mso-next-textbox:#_x0000_s1052" inset=",2.5mm,,2.5mm">
              <w:txbxContent>
                <w:p w:rsidR="001651D1" w:rsidRPr="00FD0FAA" w:rsidRDefault="001651D1" w:rsidP="00A64421">
                  <w:pPr>
                    <w:numPr>
                      <w:ilvl w:val="0"/>
                      <w:numId w:val="14"/>
                    </w:numPr>
                    <w:tabs>
                      <w:tab w:val="clear" w:pos="720"/>
                      <w:tab w:val="num" w:pos="240"/>
                    </w:tabs>
                    <w:spacing w:before="0" w:after="0"/>
                    <w:ind w:left="480" w:hanging="480"/>
                    <w:jc w:val="left"/>
                    <w:rPr>
                      <w:szCs w:val="20"/>
                    </w:rPr>
                  </w:pPr>
                  <w:r>
                    <w:rPr>
                      <w:szCs w:val="20"/>
                    </w:rPr>
                    <w:t>Other items</w:t>
                  </w:r>
                </w:p>
              </w:txbxContent>
            </v:textbox>
          </v:rect>
        </w:pict>
      </w:r>
      <w:r w:rsidRPr="00496C8E">
        <w:rPr>
          <w:rFonts w:ascii="Times New Roman" w:hAnsi="Times New Roman"/>
          <w:noProof/>
        </w:rPr>
        <w:pict>
          <v:shape id="_x0000_s1065" type="#_x0000_t202" style="position:absolute;left:0;text-align:left;margin-left:150pt;margin-top:.95pt;width:48pt;height:18pt;z-index:251675136" stroked="f">
            <v:textbox style="mso-next-textbox:#_x0000_s1065">
              <w:txbxContent>
                <w:p w:rsidR="001651D1" w:rsidRDefault="001651D1" w:rsidP="00884FEB">
                  <w:pPr>
                    <w:spacing w:before="0" w:after="0"/>
                  </w:pPr>
                  <w:r>
                    <w:t>YES</w:t>
                  </w:r>
                </w:p>
              </w:txbxContent>
            </v:textbox>
          </v:shape>
        </w:pict>
      </w:r>
    </w:p>
    <w:p w:rsidR="00884FEB" w:rsidRPr="0017440D" w:rsidRDefault="00496C8E" w:rsidP="00884FEB">
      <w:pPr>
        <w:rPr>
          <w:rFonts w:ascii="Times New Roman" w:hAnsi="Times New Roman"/>
          <w:szCs w:val="20"/>
        </w:rPr>
      </w:pPr>
      <w:r w:rsidRPr="00496C8E">
        <w:rPr>
          <w:rFonts w:ascii="Times New Roman" w:hAnsi="Times New Roman"/>
          <w:noProof/>
        </w:rPr>
        <w:pict>
          <v:shape id="_x0000_s1046" type="#_x0000_t93" style="position:absolute;left:0;text-align:left;margin-left:132.15pt;margin-top:.8pt;width:84pt;height:18pt;z-index:251655680"/>
        </w:pict>
      </w:r>
    </w:p>
    <w:p w:rsidR="00884FEB" w:rsidRPr="0017440D" w:rsidRDefault="00496C8E" w:rsidP="00884FEB">
      <w:pPr>
        <w:rPr>
          <w:rFonts w:ascii="Times New Roman" w:hAnsi="Times New Roman"/>
          <w:szCs w:val="20"/>
        </w:rPr>
      </w:pPr>
      <w:r w:rsidRPr="00496C8E">
        <w:rPr>
          <w:rFonts w:ascii="Times New Roman" w:hAnsi="Times New Roman"/>
          <w:noProof/>
        </w:rPr>
        <w:pict>
          <v:shape id="_x0000_s1059" type="#_x0000_t202" style="position:absolute;left:0;text-align:left;margin-left:72.15pt;margin-top:12.95pt;width:36pt;height:18pt;z-index:251668992" stroked="f">
            <v:textbox style="mso-next-textbox:#_x0000_s1059">
              <w:txbxContent>
                <w:p w:rsidR="001651D1" w:rsidRDefault="001651D1" w:rsidP="00884FEB">
                  <w:pPr>
                    <w:spacing w:before="0" w:after="0"/>
                  </w:pPr>
                  <w:r>
                    <w:t>NO</w:t>
                  </w:r>
                </w:p>
              </w:txbxContent>
            </v:textbox>
          </v:shape>
        </w:pict>
      </w:r>
      <w:r w:rsidRPr="00496C8E">
        <w:rPr>
          <w:rFonts w:ascii="Times New Roman" w:hAnsi="Times New Roman"/>
          <w:noProof/>
        </w:rPr>
        <w:pict>
          <v:shape id="_x0000_s1039" type="#_x0000_t93" style="position:absolute;left:0;text-align:left;margin-left:27.15pt;margin-top:3.95pt;width:18pt;height:36pt;rotation:90;z-index:251648512"/>
        </w:pict>
      </w:r>
    </w:p>
    <w:p w:rsidR="00884FEB" w:rsidRPr="0017440D" w:rsidRDefault="00884FEB" w:rsidP="00884FEB">
      <w:pPr>
        <w:rPr>
          <w:rFonts w:ascii="Times New Roman" w:hAnsi="Times New Roman"/>
          <w:szCs w:val="20"/>
        </w:rPr>
      </w:pPr>
    </w:p>
    <w:p w:rsidR="00884FEB" w:rsidRPr="0017440D" w:rsidRDefault="00884FEB" w:rsidP="00884FEB">
      <w:pPr>
        <w:rPr>
          <w:rFonts w:ascii="Times New Roman" w:hAnsi="Times New Roman"/>
          <w:szCs w:val="20"/>
        </w:rPr>
      </w:pPr>
    </w:p>
    <w:p w:rsidR="00884FEB" w:rsidRPr="0017440D" w:rsidRDefault="00496C8E" w:rsidP="00884FEB">
      <w:pPr>
        <w:rPr>
          <w:rFonts w:ascii="Times New Roman" w:hAnsi="Times New Roman"/>
          <w:szCs w:val="20"/>
        </w:rPr>
      </w:pPr>
      <w:r w:rsidRPr="00496C8E">
        <w:rPr>
          <w:rFonts w:ascii="Times New Roman" w:hAnsi="Times New Roman"/>
          <w:noProof/>
        </w:rPr>
        <w:pict>
          <v:rect id="_x0000_s1053" style="position:absolute;left:0;text-align:left;margin-left:216.15pt;margin-top:3.5pt;width:287.85pt;height:50.3pt;z-index:251662848">
            <v:textbox style="mso-next-textbox:#_x0000_s1053">
              <w:txbxContent>
                <w:p w:rsidR="001651D1" w:rsidRPr="00FD0FAA" w:rsidRDefault="001651D1" w:rsidP="00A64421">
                  <w:pPr>
                    <w:numPr>
                      <w:ilvl w:val="0"/>
                      <w:numId w:val="14"/>
                    </w:numPr>
                    <w:tabs>
                      <w:tab w:val="clear" w:pos="720"/>
                      <w:tab w:val="num" w:pos="240"/>
                    </w:tabs>
                    <w:spacing w:before="0" w:after="0"/>
                    <w:ind w:left="240" w:hanging="240"/>
                    <w:jc w:val="left"/>
                    <w:rPr>
                      <w:szCs w:val="20"/>
                    </w:rPr>
                  </w:pPr>
                  <w:r>
                    <w:rPr>
                      <w:szCs w:val="20"/>
                    </w:rPr>
                    <w:t>Exposures to institutions and corporates with a short-term credit assessment</w:t>
                  </w:r>
                </w:p>
              </w:txbxContent>
            </v:textbox>
          </v:rect>
        </w:pict>
      </w:r>
      <w:r w:rsidRPr="00496C8E">
        <w:rPr>
          <w:rFonts w:ascii="Times New Roman" w:hAnsi="Times New Roman"/>
          <w:noProof/>
        </w:rPr>
        <w:pict>
          <v:shape id="_x0000_s1047" type="#_x0000_t93" style="position:absolute;left:0;text-align:left;margin-left:25.55pt;margin-top:37.95pt;width:21.15pt;height:36pt;rotation:90;z-index:251656704"/>
        </w:pict>
      </w:r>
      <w:r w:rsidRPr="00496C8E">
        <w:rPr>
          <w:rFonts w:ascii="Times New Roman" w:hAnsi="Times New Roman"/>
          <w:noProof/>
        </w:rPr>
        <w:pict>
          <v:shape id="_x0000_s1066" type="#_x0000_t202" style="position:absolute;left:0;text-align:left;margin-left:66.15pt;margin-top:45.35pt;width:48pt;height:18pt;z-index:251676160" stroked="f">
            <v:textbox style="mso-next-textbox:#_x0000_s1066">
              <w:txbxContent>
                <w:p w:rsidR="001651D1" w:rsidRDefault="001651D1" w:rsidP="00884FEB">
                  <w:pPr>
                    <w:spacing w:before="0" w:after="0"/>
                  </w:pPr>
                  <w:r>
                    <w:t>NO</w:t>
                  </w:r>
                </w:p>
              </w:txbxContent>
            </v:textbox>
          </v:shape>
        </w:pict>
      </w:r>
      <w:r w:rsidRPr="00496C8E">
        <w:rPr>
          <w:rFonts w:ascii="Times New Roman" w:hAnsi="Times New Roman"/>
          <w:noProof/>
        </w:rPr>
        <w:pict>
          <v:oval id="_x0000_s1067" style="position:absolute;left:0;text-align:left;margin-left:-65.85pt;margin-top:-14.5pt;width:198pt;height:59.85pt;z-index:251677184">
            <v:textbox style="mso-next-textbox:#_x0000_s1067">
              <w:txbxContent>
                <w:p w:rsidR="001651D1" w:rsidRPr="00F315FD" w:rsidRDefault="001651D1" w:rsidP="00884FEB">
                  <w:pPr>
                    <w:spacing w:before="0" w:after="0"/>
                    <w:jc w:val="center"/>
                  </w:pPr>
                  <w:r>
                    <w:rPr>
                      <w:sz w:val="16"/>
                      <w:szCs w:val="16"/>
                    </w:rPr>
                    <w:t>Does it fit for being assigned to the exposure class of Article 107 point (m)?</w:t>
                  </w:r>
                </w:p>
              </w:txbxContent>
            </v:textbox>
          </v:oval>
        </w:pict>
      </w:r>
      <w:r w:rsidRPr="00496C8E">
        <w:rPr>
          <w:rFonts w:ascii="Times New Roman" w:hAnsi="Times New Roman"/>
          <w:noProof/>
        </w:rPr>
        <w:pict>
          <v:shape id="_x0000_s1070" type="#_x0000_t202" style="position:absolute;left:0;text-align:left;margin-left:150pt;margin-top:-5.5pt;width:48pt;height:18pt;z-index:251680256" stroked="f">
            <v:textbox style="mso-next-textbox:#_x0000_s1070">
              <w:txbxContent>
                <w:p w:rsidR="001651D1" w:rsidRDefault="001651D1" w:rsidP="00884FEB">
                  <w:pPr>
                    <w:spacing w:before="0" w:after="0"/>
                  </w:pPr>
                  <w:r>
                    <w:t>YES</w:t>
                  </w:r>
                </w:p>
              </w:txbxContent>
            </v:textbox>
          </v:shape>
        </w:pict>
      </w:r>
      <w:r w:rsidRPr="00496C8E">
        <w:rPr>
          <w:rFonts w:ascii="Times New Roman" w:hAnsi="Times New Roman"/>
          <w:noProof/>
        </w:rPr>
        <w:pict>
          <v:shape id="_x0000_s1060" type="#_x0000_t93" style="position:absolute;left:0;text-align:left;margin-left:132.15pt;margin-top:12.5pt;width:84pt;height:18pt;z-index:251670016"/>
        </w:pict>
      </w:r>
    </w:p>
    <w:p w:rsidR="00884FEB" w:rsidRPr="0017440D" w:rsidRDefault="00884FEB" w:rsidP="00884FEB">
      <w:pPr>
        <w:rPr>
          <w:rFonts w:ascii="Times New Roman" w:hAnsi="Times New Roman"/>
          <w:szCs w:val="20"/>
        </w:rPr>
      </w:pPr>
    </w:p>
    <w:p w:rsidR="00884FEB" w:rsidRPr="0017440D" w:rsidRDefault="00884FEB" w:rsidP="00884FEB">
      <w:pPr>
        <w:rPr>
          <w:rFonts w:ascii="Times New Roman" w:hAnsi="Times New Roman"/>
          <w:szCs w:val="20"/>
        </w:rPr>
      </w:pPr>
    </w:p>
    <w:p w:rsidR="00884FEB" w:rsidRPr="0017440D" w:rsidRDefault="00884FEB" w:rsidP="00884FEB">
      <w:pPr>
        <w:rPr>
          <w:rFonts w:ascii="Times New Roman" w:hAnsi="Times New Roman"/>
          <w:szCs w:val="20"/>
        </w:rPr>
      </w:pPr>
    </w:p>
    <w:p w:rsidR="00884FEB" w:rsidRPr="0017440D" w:rsidRDefault="00E33BF7" w:rsidP="00884FEB">
      <w:pPr>
        <w:rPr>
          <w:rFonts w:ascii="Times New Roman" w:hAnsi="Times New Roman"/>
          <w:szCs w:val="20"/>
        </w:rPr>
      </w:pPr>
      <w:r>
        <w:rPr>
          <w:rFonts w:ascii="Times New Roman" w:hAnsi="Times New Roman"/>
          <w:szCs w:val="20"/>
        </w:rPr>
        <w:t>See next page</w:t>
      </w:r>
    </w:p>
    <w:p w:rsidR="00884FEB" w:rsidRPr="0017440D" w:rsidRDefault="00496C8E" w:rsidP="00884FEB">
      <w:pPr>
        <w:rPr>
          <w:rFonts w:ascii="Times New Roman" w:hAnsi="Times New Roman"/>
          <w:szCs w:val="20"/>
        </w:rPr>
      </w:pPr>
      <w:r w:rsidRPr="00496C8E">
        <w:rPr>
          <w:rFonts w:ascii="Times New Roman" w:hAnsi="Times New Roman"/>
          <w:noProof/>
        </w:rPr>
        <w:lastRenderedPageBreak/>
        <w:pict>
          <v:rect id="_x0000_s1068" style="position:absolute;left:0;text-align:left;margin-left:-61.85pt;margin-top:-2.6pt;width:522pt;height:157.7pt;z-index:251678208">
            <v:textbox style="mso-next-textbox:#_x0000_s1068">
              <w:txbxContent>
                <w:p w:rsidR="001651D1" w:rsidRPr="00CB5059" w:rsidRDefault="001651D1" w:rsidP="00884FEB">
                  <w:pPr>
                    <w:spacing w:before="0"/>
                    <w:rPr>
                      <w:sz w:val="16"/>
                      <w:szCs w:val="16"/>
                    </w:rPr>
                  </w:pPr>
                  <w:r w:rsidRPr="00CB5059">
                    <w:rPr>
                      <w:sz w:val="16"/>
                      <w:szCs w:val="16"/>
                    </w:rPr>
                    <w:t xml:space="preserve">The exposure classes below are disjoint among themselves. Therefore if the original exposure pre conversion </w:t>
                  </w:r>
                  <w:proofErr w:type="gramStart"/>
                  <w:r w:rsidRPr="00CB5059">
                    <w:rPr>
                      <w:sz w:val="16"/>
                      <w:szCs w:val="16"/>
                    </w:rPr>
                    <w:t>factors reaches</w:t>
                  </w:r>
                  <w:proofErr w:type="gramEnd"/>
                  <w:r w:rsidRPr="00CB5059">
                    <w:rPr>
                      <w:sz w:val="16"/>
                      <w:szCs w:val="16"/>
                    </w:rPr>
                    <w:t xml:space="preserve"> this point of the tree the assignment to one of them is straightforward.</w:t>
                  </w:r>
                </w:p>
                <w:p w:rsidR="001651D1" w:rsidRPr="00CB5059" w:rsidRDefault="001651D1" w:rsidP="00A64421">
                  <w:pPr>
                    <w:numPr>
                      <w:ilvl w:val="0"/>
                      <w:numId w:val="15"/>
                    </w:numPr>
                    <w:tabs>
                      <w:tab w:val="clear" w:pos="720"/>
                      <w:tab w:val="num" w:pos="360"/>
                    </w:tabs>
                    <w:spacing w:before="0"/>
                    <w:ind w:hanging="720"/>
                    <w:rPr>
                      <w:sz w:val="16"/>
                      <w:szCs w:val="16"/>
                    </w:rPr>
                  </w:pPr>
                  <w:r w:rsidRPr="00D51B89">
                    <w:rPr>
                      <w:sz w:val="16"/>
                      <w:szCs w:val="16"/>
                    </w:rPr>
                    <w:t>Exposures to</w:t>
                  </w:r>
                  <w:r w:rsidRPr="00CB5059">
                    <w:rPr>
                      <w:sz w:val="16"/>
                      <w:szCs w:val="16"/>
                    </w:rPr>
                    <w:t xml:space="preserve"> central governments or central banks</w:t>
                  </w:r>
                </w:p>
                <w:p w:rsidR="001651D1" w:rsidRPr="00CB5059" w:rsidRDefault="001651D1" w:rsidP="00A64421">
                  <w:pPr>
                    <w:numPr>
                      <w:ilvl w:val="0"/>
                      <w:numId w:val="15"/>
                    </w:numPr>
                    <w:tabs>
                      <w:tab w:val="clear" w:pos="720"/>
                      <w:tab w:val="num" w:pos="360"/>
                    </w:tabs>
                    <w:spacing w:before="0"/>
                    <w:ind w:hanging="720"/>
                    <w:rPr>
                      <w:sz w:val="16"/>
                      <w:szCs w:val="16"/>
                    </w:rPr>
                  </w:pPr>
                  <w:r w:rsidRPr="00D51B89">
                    <w:rPr>
                      <w:sz w:val="16"/>
                      <w:szCs w:val="16"/>
                    </w:rPr>
                    <w:t>Exposures to</w:t>
                  </w:r>
                  <w:r w:rsidRPr="00CB5059">
                    <w:rPr>
                      <w:sz w:val="16"/>
                      <w:szCs w:val="16"/>
                    </w:rPr>
                    <w:t xml:space="preserve"> regional governments or local authorities</w:t>
                  </w:r>
                </w:p>
                <w:p w:rsidR="001651D1" w:rsidRPr="00CB5059" w:rsidRDefault="001651D1" w:rsidP="00A64421">
                  <w:pPr>
                    <w:numPr>
                      <w:ilvl w:val="0"/>
                      <w:numId w:val="15"/>
                    </w:numPr>
                    <w:tabs>
                      <w:tab w:val="clear" w:pos="720"/>
                      <w:tab w:val="num" w:pos="360"/>
                    </w:tabs>
                    <w:spacing w:before="0"/>
                    <w:ind w:hanging="720"/>
                    <w:rPr>
                      <w:sz w:val="16"/>
                      <w:szCs w:val="16"/>
                    </w:rPr>
                  </w:pPr>
                  <w:r w:rsidRPr="00D51B89">
                    <w:rPr>
                      <w:sz w:val="16"/>
                      <w:szCs w:val="16"/>
                    </w:rPr>
                    <w:t>Exposures to</w:t>
                  </w:r>
                  <w:r w:rsidRPr="00CB5059">
                    <w:rPr>
                      <w:sz w:val="16"/>
                      <w:szCs w:val="16"/>
                    </w:rPr>
                    <w:t xml:space="preserve"> public sector entities</w:t>
                  </w:r>
                </w:p>
                <w:p w:rsidR="001651D1" w:rsidRPr="00CB5059" w:rsidRDefault="001651D1" w:rsidP="00A64421">
                  <w:pPr>
                    <w:numPr>
                      <w:ilvl w:val="0"/>
                      <w:numId w:val="15"/>
                    </w:numPr>
                    <w:tabs>
                      <w:tab w:val="clear" w:pos="720"/>
                      <w:tab w:val="num" w:pos="360"/>
                    </w:tabs>
                    <w:spacing w:before="0"/>
                    <w:ind w:hanging="720"/>
                    <w:rPr>
                      <w:sz w:val="16"/>
                      <w:szCs w:val="16"/>
                    </w:rPr>
                  </w:pPr>
                  <w:r w:rsidRPr="00D51B89">
                    <w:rPr>
                      <w:sz w:val="16"/>
                      <w:szCs w:val="16"/>
                    </w:rPr>
                    <w:t>Exposures to</w:t>
                  </w:r>
                  <w:r w:rsidRPr="00CB5059">
                    <w:rPr>
                      <w:sz w:val="16"/>
                      <w:szCs w:val="16"/>
                    </w:rPr>
                    <w:t xml:space="preserve"> multilateral development banks</w:t>
                  </w:r>
                </w:p>
                <w:p w:rsidR="001651D1" w:rsidRPr="00CB5059" w:rsidRDefault="001651D1" w:rsidP="00A64421">
                  <w:pPr>
                    <w:numPr>
                      <w:ilvl w:val="0"/>
                      <w:numId w:val="15"/>
                    </w:numPr>
                    <w:tabs>
                      <w:tab w:val="clear" w:pos="720"/>
                      <w:tab w:val="num" w:pos="360"/>
                    </w:tabs>
                    <w:spacing w:before="0"/>
                    <w:ind w:hanging="720"/>
                    <w:rPr>
                      <w:sz w:val="16"/>
                      <w:szCs w:val="16"/>
                    </w:rPr>
                  </w:pPr>
                  <w:r w:rsidRPr="00D51B89">
                    <w:rPr>
                      <w:sz w:val="16"/>
                      <w:szCs w:val="16"/>
                    </w:rPr>
                    <w:t>Exposures to</w:t>
                  </w:r>
                  <w:r w:rsidRPr="00CB5059">
                    <w:rPr>
                      <w:sz w:val="16"/>
                      <w:szCs w:val="16"/>
                    </w:rPr>
                    <w:t xml:space="preserve"> international organisations</w:t>
                  </w:r>
                </w:p>
                <w:p w:rsidR="001651D1" w:rsidRPr="00CB5059" w:rsidRDefault="001651D1" w:rsidP="00A64421">
                  <w:pPr>
                    <w:numPr>
                      <w:ilvl w:val="0"/>
                      <w:numId w:val="15"/>
                    </w:numPr>
                    <w:tabs>
                      <w:tab w:val="clear" w:pos="720"/>
                      <w:tab w:val="num" w:pos="360"/>
                    </w:tabs>
                    <w:spacing w:before="0"/>
                    <w:ind w:hanging="720"/>
                    <w:rPr>
                      <w:sz w:val="16"/>
                      <w:szCs w:val="16"/>
                    </w:rPr>
                  </w:pPr>
                  <w:r w:rsidRPr="00D51B89">
                    <w:rPr>
                      <w:sz w:val="16"/>
                      <w:szCs w:val="16"/>
                    </w:rPr>
                    <w:t>Exposures to</w:t>
                  </w:r>
                  <w:r w:rsidRPr="00CB5059">
                    <w:rPr>
                      <w:sz w:val="16"/>
                      <w:szCs w:val="16"/>
                    </w:rPr>
                    <w:t xml:space="preserve"> institutions</w:t>
                  </w:r>
                </w:p>
                <w:p w:rsidR="001651D1" w:rsidRPr="00CB5059" w:rsidRDefault="001651D1" w:rsidP="00A64421">
                  <w:pPr>
                    <w:numPr>
                      <w:ilvl w:val="0"/>
                      <w:numId w:val="15"/>
                    </w:numPr>
                    <w:tabs>
                      <w:tab w:val="clear" w:pos="720"/>
                      <w:tab w:val="num" w:pos="360"/>
                    </w:tabs>
                    <w:spacing w:before="0"/>
                    <w:ind w:hanging="720"/>
                    <w:rPr>
                      <w:sz w:val="16"/>
                      <w:szCs w:val="16"/>
                    </w:rPr>
                  </w:pPr>
                  <w:r w:rsidRPr="00D51B89">
                    <w:rPr>
                      <w:sz w:val="16"/>
                      <w:szCs w:val="16"/>
                    </w:rPr>
                    <w:t>Exposures to</w:t>
                  </w:r>
                  <w:r w:rsidRPr="00CB5059">
                    <w:rPr>
                      <w:sz w:val="16"/>
                      <w:szCs w:val="16"/>
                    </w:rPr>
                    <w:t xml:space="preserve"> corporates</w:t>
                  </w:r>
                </w:p>
                <w:p w:rsidR="001651D1" w:rsidRPr="00CB5059" w:rsidRDefault="001651D1" w:rsidP="00A64421">
                  <w:pPr>
                    <w:numPr>
                      <w:ilvl w:val="0"/>
                      <w:numId w:val="15"/>
                    </w:numPr>
                    <w:tabs>
                      <w:tab w:val="clear" w:pos="720"/>
                      <w:tab w:val="num" w:pos="360"/>
                    </w:tabs>
                    <w:spacing w:before="0"/>
                    <w:ind w:hanging="720"/>
                    <w:rPr>
                      <w:b/>
                      <w:sz w:val="16"/>
                      <w:szCs w:val="16"/>
                    </w:rPr>
                  </w:pPr>
                  <w:r w:rsidRPr="00CB5059">
                    <w:rPr>
                      <w:sz w:val="16"/>
                      <w:szCs w:val="16"/>
                    </w:rPr>
                    <w:t xml:space="preserve">Retail </w:t>
                  </w:r>
                  <w:r>
                    <w:rPr>
                      <w:sz w:val="16"/>
                      <w:szCs w:val="16"/>
                    </w:rPr>
                    <w:t>exposures</w:t>
                  </w:r>
                </w:p>
              </w:txbxContent>
            </v:textbox>
          </v:rect>
        </w:pict>
      </w:r>
    </w:p>
    <w:p w:rsidR="00884FEB" w:rsidRPr="0017440D" w:rsidRDefault="00884FEB" w:rsidP="00884FEB">
      <w:pPr>
        <w:rPr>
          <w:rFonts w:ascii="Times New Roman" w:hAnsi="Times New Roman"/>
          <w:szCs w:val="20"/>
        </w:rPr>
      </w:pPr>
    </w:p>
    <w:p w:rsidR="00884FEB" w:rsidRPr="0017440D" w:rsidRDefault="00884FEB" w:rsidP="00884FEB">
      <w:pPr>
        <w:rPr>
          <w:rFonts w:ascii="Times New Roman" w:hAnsi="Times New Roman"/>
          <w:szCs w:val="20"/>
        </w:rPr>
      </w:pPr>
    </w:p>
    <w:p w:rsidR="00884FEB" w:rsidRPr="0017440D" w:rsidRDefault="00884FEB" w:rsidP="00884FEB">
      <w:pPr>
        <w:rPr>
          <w:rFonts w:ascii="Times New Roman" w:hAnsi="Times New Roman"/>
          <w:szCs w:val="20"/>
        </w:rPr>
      </w:pPr>
    </w:p>
    <w:p w:rsidR="00884FEB" w:rsidRPr="0017440D" w:rsidRDefault="00884FEB" w:rsidP="00884FEB">
      <w:pPr>
        <w:rPr>
          <w:rFonts w:ascii="Times New Roman" w:hAnsi="Times New Roman"/>
          <w:szCs w:val="20"/>
        </w:rPr>
      </w:pPr>
    </w:p>
    <w:p w:rsidR="00884FEB" w:rsidRPr="0017440D" w:rsidRDefault="00884FEB" w:rsidP="00884FEB">
      <w:pPr>
        <w:rPr>
          <w:rFonts w:ascii="Times New Roman" w:hAnsi="Times New Roman"/>
          <w:szCs w:val="20"/>
        </w:rPr>
      </w:pPr>
    </w:p>
    <w:p w:rsidR="00884FEB" w:rsidRPr="0017440D" w:rsidRDefault="00884FEB" w:rsidP="00884FEB">
      <w:pPr>
        <w:rPr>
          <w:rFonts w:ascii="Times New Roman" w:hAnsi="Times New Roman"/>
          <w:szCs w:val="20"/>
        </w:rPr>
      </w:pPr>
    </w:p>
    <w:p w:rsidR="00884FEB" w:rsidRPr="0017440D" w:rsidRDefault="00884FEB" w:rsidP="00884FEB">
      <w:pPr>
        <w:rPr>
          <w:rFonts w:ascii="Times New Roman" w:hAnsi="Times New Roman"/>
          <w:szCs w:val="20"/>
        </w:rPr>
      </w:pPr>
    </w:p>
    <w:p w:rsidR="00884FEB" w:rsidRPr="0017440D" w:rsidRDefault="00884FEB" w:rsidP="00884FEB">
      <w:pPr>
        <w:rPr>
          <w:rFonts w:ascii="Times New Roman" w:hAnsi="Times New Roman"/>
        </w:rPr>
      </w:pPr>
    </w:p>
    <w:p w:rsidR="00884FEB" w:rsidRPr="0017440D" w:rsidRDefault="00884FEB" w:rsidP="002F39A7">
      <w:pPr>
        <w:pStyle w:val="InstructionsText"/>
      </w:pPr>
    </w:p>
    <w:p w:rsidR="003105C6" w:rsidRPr="003105C6" w:rsidRDefault="003105C6" w:rsidP="00020516">
      <w:pPr>
        <w:pStyle w:val="Instructionsberschrift2"/>
        <w:numPr>
          <w:ilvl w:val="2"/>
          <w:numId w:val="45"/>
        </w:numPr>
        <w:rPr>
          <w:rFonts w:ascii="Times New Roman" w:hAnsi="Times New Roman" w:cs="Times New Roman"/>
        </w:rPr>
      </w:pPr>
      <w:bookmarkStart w:id="64" w:name="_Toc262568031"/>
      <w:bookmarkStart w:id="65" w:name="_Toc264038429"/>
      <w:bookmarkStart w:id="66" w:name="_Toc292456208"/>
      <w:bookmarkStart w:id="67" w:name="_Toc295829859"/>
      <w:bookmarkStart w:id="68" w:name="_Toc310415023"/>
      <w:r w:rsidRPr="003105C6">
        <w:rPr>
          <w:rFonts w:ascii="Times New Roman" w:hAnsi="Times New Roman" w:cs="Times New Roman"/>
        </w:rPr>
        <w:t>Clarifications on the scope of some specific exposure classes referred to in Article 107 of CRR</w:t>
      </w:r>
      <w:bookmarkEnd w:id="64"/>
      <w:bookmarkEnd w:id="65"/>
      <w:bookmarkEnd w:id="66"/>
      <w:bookmarkEnd w:id="67"/>
      <w:bookmarkEnd w:id="68"/>
    </w:p>
    <w:p w:rsidR="00884FEB" w:rsidRPr="0017440D" w:rsidRDefault="003105C6" w:rsidP="002F39A7">
      <w:pPr>
        <w:pStyle w:val="InstructionsText"/>
      </w:pPr>
      <w:r w:rsidRPr="003105C6">
        <w:t>Exposure Class “Institutions”</w:t>
      </w:r>
    </w:p>
    <w:p w:rsidR="002E4EB7" w:rsidRPr="0017440D" w:rsidRDefault="003105C6" w:rsidP="002F39A7">
      <w:pPr>
        <w:pStyle w:val="InstructionsText2"/>
      </w:pPr>
      <w:r w:rsidRPr="003105C6">
        <w:rPr>
          <w:szCs w:val="20"/>
        </w:rPr>
        <w:sym w:font="Wingdings" w:char="F0E0"/>
      </w:r>
      <w:r w:rsidRPr="003105C6">
        <w:t xml:space="preserve"> Reporting of intra-group exposures according to Article 108 (6) to (7) of CRR:</w:t>
      </w:r>
    </w:p>
    <w:p w:rsidR="00884FEB" w:rsidRPr="0017440D" w:rsidRDefault="003105C6" w:rsidP="00884FEB">
      <w:pPr>
        <w:ind w:left="539"/>
        <w:rPr>
          <w:rFonts w:ascii="Times New Roman" w:hAnsi="Times New Roman"/>
          <w:szCs w:val="20"/>
        </w:rPr>
      </w:pPr>
      <w:r w:rsidRPr="003105C6">
        <w:rPr>
          <w:rFonts w:ascii="Times New Roman" w:hAnsi="Times New Roman"/>
          <w:szCs w:val="20"/>
        </w:rPr>
        <w:t>Exposures which fulfil the requirements of Article 108 (7) or (8) of CRR shall be reported in the respe</w:t>
      </w:r>
      <w:r w:rsidRPr="003105C6">
        <w:rPr>
          <w:rFonts w:ascii="Times New Roman" w:hAnsi="Times New Roman"/>
          <w:szCs w:val="20"/>
        </w:rPr>
        <w:t>c</w:t>
      </w:r>
      <w:r w:rsidRPr="003105C6">
        <w:rPr>
          <w:rFonts w:ascii="Times New Roman" w:hAnsi="Times New Roman"/>
          <w:szCs w:val="20"/>
        </w:rPr>
        <w:t>tive exposure classes where they would be reported if they were no intra-group exposures.</w:t>
      </w:r>
    </w:p>
    <w:p w:rsidR="0098778D" w:rsidRPr="0017440D" w:rsidRDefault="003105C6" w:rsidP="00EC5C43">
      <w:pPr>
        <w:autoSpaceDE w:val="0"/>
        <w:autoSpaceDN w:val="0"/>
        <w:adjustRightInd w:val="0"/>
        <w:spacing w:before="0" w:after="0"/>
        <w:ind w:left="539"/>
        <w:jc w:val="left"/>
        <w:rPr>
          <w:rFonts w:ascii="Times New Roman" w:hAnsi="Times New Roman"/>
          <w:szCs w:val="20"/>
        </w:rPr>
      </w:pPr>
      <w:r w:rsidRPr="003105C6">
        <w:rPr>
          <w:rFonts w:ascii="Times New Roman" w:hAnsi="Times New Roman"/>
          <w:szCs w:val="20"/>
        </w:rPr>
        <w:t>According Article 108 (6) to (7) of CRR “</w:t>
      </w:r>
      <w:r w:rsidR="00EC5C43" w:rsidRPr="00EC5C43">
        <w:rPr>
          <w:rFonts w:ascii="Times New Roman" w:hAnsi="Times New Roman"/>
          <w:szCs w:val="20"/>
        </w:rPr>
        <w:t>an institution may, subject to the prior approval of the comp</w:t>
      </w:r>
      <w:r w:rsidR="00EC5C43" w:rsidRPr="00EC5C43">
        <w:rPr>
          <w:rFonts w:ascii="Times New Roman" w:hAnsi="Times New Roman"/>
          <w:szCs w:val="20"/>
        </w:rPr>
        <w:t>e</w:t>
      </w:r>
      <w:r w:rsidR="00EC5C43" w:rsidRPr="00EC5C43">
        <w:rPr>
          <w:rFonts w:ascii="Times New Roman" w:hAnsi="Times New Roman"/>
          <w:szCs w:val="20"/>
        </w:rPr>
        <w:t>tent authorities,</w:t>
      </w:r>
      <w:r w:rsidR="00EC5C43">
        <w:rPr>
          <w:rFonts w:ascii="Times New Roman" w:hAnsi="Times New Roman"/>
          <w:szCs w:val="20"/>
        </w:rPr>
        <w:t xml:space="preserve"> </w:t>
      </w:r>
      <w:r w:rsidR="00EC5C43" w:rsidRPr="00EC5C43">
        <w:rPr>
          <w:rFonts w:ascii="Times New Roman" w:hAnsi="Times New Roman"/>
          <w:szCs w:val="20"/>
        </w:rPr>
        <w:t>decide not to apply the requirements of paragraph 1 of this Article to the exposures of that</w:t>
      </w:r>
      <w:r w:rsidR="00F94566">
        <w:rPr>
          <w:rFonts w:ascii="Times New Roman" w:hAnsi="Times New Roman"/>
          <w:szCs w:val="20"/>
        </w:rPr>
        <w:t xml:space="preserve"> </w:t>
      </w:r>
      <w:r w:rsidR="00EC5C43" w:rsidRPr="00EC5C43">
        <w:rPr>
          <w:rFonts w:ascii="Times New Roman" w:hAnsi="Times New Roman"/>
          <w:szCs w:val="20"/>
        </w:rPr>
        <w:t>institution to a counterparty which is its parent undertaking, its subsidiary, a subsidiary of</w:t>
      </w:r>
      <w:r w:rsidR="00EC5C43">
        <w:rPr>
          <w:rFonts w:ascii="Times New Roman" w:hAnsi="Times New Roman"/>
          <w:szCs w:val="20"/>
        </w:rPr>
        <w:t xml:space="preserve"> </w:t>
      </w:r>
      <w:r w:rsidR="00EC5C43" w:rsidRPr="00EC5C43">
        <w:rPr>
          <w:rFonts w:ascii="Times New Roman" w:hAnsi="Times New Roman"/>
          <w:szCs w:val="20"/>
        </w:rPr>
        <w:t>its parent unde</w:t>
      </w:r>
      <w:r w:rsidR="00EC5C43" w:rsidRPr="00EC5C43">
        <w:rPr>
          <w:rFonts w:ascii="Times New Roman" w:hAnsi="Times New Roman"/>
          <w:szCs w:val="20"/>
        </w:rPr>
        <w:t>r</w:t>
      </w:r>
      <w:r w:rsidR="00EC5C43" w:rsidRPr="00EC5C43">
        <w:rPr>
          <w:rFonts w:ascii="Times New Roman" w:hAnsi="Times New Roman"/>
          <w:szCs w:val="20"/>
        </w:rPr>
        <w:t>taking or an undertaking linked by a relationship within the meaning of</w:t>
      </w:r>
      <w:r w:rsidR="00EC5C43">
        <w:rPr>
          <w:rFonts w:ascii="Times New Roman" w:hAnsi="Times New Roman"/>
          <w:szCs w:val="20"/>
        </w:rPr>
        <w:t xml:space="preserve"> </w:t>
      </w:r>
      <w:r w:rsidR="00EC5C43" w:rsidRPr="00EC5C43">
        <w:rPr>
          <w:rFonts w:ascii="Times New Roman" w:hAnsi="Times New Roman"/>
          <w:szCs w:val="20"/>
        </w:rPr>
        <w:t>Article 12(1) of Directive</w:t>
      </w:r>
      <w:r w:rsidR="00EC5C43">
        <w:rPr>
          <w:rFonts w:ascii="Times New Roman" w:hAnsi="Times New Roman"/>
          <w:szCs w:val="20"/>
        </w:rPr>
        <w:t xml:space="preserve"> </w:t>
      </w:r>
      <w:r w:rsidR="00EC5C43" w:rsidRPr="00EC5C43">
        <w:rPr>
          <w:rFonts w:ascii="Times New Roman" w:hAnsi="Times New Roman"/>
          <w:szCs w:val="20"/>
        </w:rPr>
        <w:t>83/349/EEC</w:t>
      </w:r>
      <w:r w:rsidRPr="003105C6">
        <w:rPr>
          <w:rFonts w:ascii="Times New Roman" w:hAnsi="Times New Roman"/>
          <w:bCs/>
          <w:szCs w:val="20"/>
        </w:rPr>
        <w:t>.” T</w:t>
      </w:r>
      <w:r w:rsidRPr="003105C6">
        <w:rPr>
          <w:rFonts w:ascii="Times New Roman" w:hAnsi="Times New Roman"/>
        </w:rPr>
        <w:t>his means that a counterparty is not necessarily an institution but also undertakings which are assigned to other exposure classes, e.g. ancillary services undertakings or undertakings within the meaning of Article 12 (1) of Directive 83/349/EEC. Therefore the reporting of intra-group exposures shall take into account the different types of exposure classes of intra-group exposures. I.e. if a counterparty is an institution it shall be assigned to exposure class “institutions”. But if the counterparty is a corporate the exposure of this counterparty shall be assigned to the exposure class “corporates”. Other exposures also shall be reported in the respective exposure classes where they would be reported if they were no intra-group exposures, e.g. an intra-group exposure is assigned to the exposure class “covered bonds” if it would be assigned to this exposure class as a non-intra-group exposure.</w:t>
      </w:r>
    </w:p>
    <w:p w:rsidR="00884FEB" w:rsidRPr="0017440D" w:rsidRDefault="00884FEB" w:rsidP="002F39A7">
      <w:pPr>
        <w:pStyle w:val="InstructionsText"/>
      </w:pPr>
    </w:p>
    <w:p w:rsidR="002E4EB7" w:rsidRPr="0017440D" w:rsidRDefault="003105C6" w:rsidP="002F39A7">
      <w:pPr>
        <w:pStyle w:val="InstructionsText"/>
      </w:pPr>
      <w:r w:rsidRPr="003105C6">
        <w:t>Exposure Class “Covered Bonds”</w:t>
      </w:r>
    </w:p>
    <w:p w:rsidR="002E4EB7" w:rsidRPr="0017440D" w:rsidRDefault="003105C6" w:rsidP="002F39A7">
      <w:pPr>
        <w:pStyle w:val="InstructionsText2"/>
      </w:pPr>
      <w:r w:rsidRPr="003105C6">
        <w:rPr>
          <w:szCs w:val="20"/>
        </w:rPr>
        <w:sym w:font="Wingdings" w:char="F0E0"/>
      </w:r>
      <w:r w:rsidRPr="003105C6">
        <w:t xml:space="preserve"> Assignment of SA exposures to exposure class “covered bonds”:</w:t>
      </w:r>
    </w:p>
    <w:p w:rsidR="00884FEB" w:rsidRPr="0017440D" w:rsidRDefault="003105C6" w:rsidP="003C60B9">
      <w:pPr>
        <w:ind w:left="539"/>
        <w:rPr>
          <w:rFonts w:ascii="Times New Roman" w:hAnsi="Times New Roman"/>
          <w:szCs w:val="20"/>
        </w:rPr>
      </w:pPr>
      <w:r w:rsidRPr="003105C6">
        <w:rPr>
          <w:rFonts w:ascii="Times New Roman" w:hAnsi="Times New Roman"/>
          <w:szCs w:val="20"/>
        </w:rPr>
        <w:t xml:space="preserve">Bonds as defined in Article </w:t>
      </w:r>
      <w:r w:rsidR="00F94566">
        <w:rPr>
          <w:rFonts w:ascii="Times New Roman" w:hAnsi="Times New Roman"/>
          <w:szCs w:val="20"/>
        </w:rPr>
        <w:t>52</w:t>
      </w:r>
      <w:r w:rsidRPr="003105C6">
        <w:rPr>
          <w:rFonts w:ascii="Times New Roman" w:hAnsi="Times New Roman"/>
          <w:szCs w:val="20"/>
        </w:rPr>
        <w:t xml:space="preserve"> (4) of Directive </w:t>
      </w:r>
      <w:r w:rsidR="00403B31">
        <w:rPr>
          <w:rFonts w:ascii="Times New Roman" w:hAnsi="Times New Roman"/>
          <w:szCs w:val="20"/>
        </w:rPr>
        <w:t>2009</w:t>
      </w:r>
      <w:r w:rsidRPr="003105C6">
        <w:rPr>
          <w:rFonts w:ascii="Times New Roman" w:hAnsi="Times New Roman"/>
          <w:szCs w:val="20"/>
        </w:rPr>
        <w:t>/</w:t>
      </w:r>
      <w:r w:rsidR="00403B31">
        <w:rPr>
          <w:rFonts w:ascii="Times New Roman" w:hAnsi="Times New Roman"/>
          <w:szCs w:val="20"/>
        </w:rPr>
        <w:t>65</w:t>
      </w:r>
      <w:r w:rsidRPr="003105C6">
        <w:rPr>
          <w:rFonts w:ascii="Times New Roman" w:hAnsi="Times New Roman"/>
          <w:szCs w:val="20"/>
        </w:rPr>
        <w:t>/</w:t>
      </w:r>
      <w:r w:rsidR="00403B31" w:rsidRPr="003105C6">
        <w:rPr>
          <w:rFonts w:ascii="Times New Roman" w:hAnsi="Times New Roman"/>
          <w:szCs w:val="20"/>
        </w:rPr>
        <w:t>EC</w:t>
      </w:r>
      <w:r w:rsidRPr="003105C6">
        <w:rPr>
          <w:rFonts w:ascii="Times New Roman" w:hAnsi="Times New Roman"/>
          <w:szCs w:val="20"/>
        </w:rPr>
        <w:t xml:space="preserve"> shall fulfil the requirements of Article 124 (1) to (2) of CRR to be classified in the exposure class “Covered Bonds”. The fulfilment of those requir</w:t>
      </w:r>
      <w:r w:rsidRPr="003105C6">
        <w:rPr>
          <w:rFonts w:ascii="Times New Roman" w:hAnsi="Times New Roman"/>
          <w:szCs w:val="20"/>
        </w:rPr>
        <w:t>e</w:t>
      </w:r>
      <w:r w:rsidRPr="003105C6">
        <w:rPr>
          <w:rFonts w:ascii="Times New Roman" w:hAnsi="Times New Roman"/>
          <w:szCs w:val="20"/>
        </w:rPr>
        <w:t xml:space="preserve">ments has to be checked in each case. Nevertheless, bonds according to Article </w:t>
      </w:r>
      <w:r w:rsidR="00403B31">
        <w:rPr>
          <w:rFonts w:ascii="Times New Roman" w:hAnsi="Times New Roman"/>
          <w:szCs w:val="20"/>
        </w:rPr>
        <w:t>52</w:t>
      </w:r>
      <w:r w:rsidRPr="003105C6">
        <w:rPr>
          <w:rFonts w:ascii="Times New Roman" w:hAnsi="Times New Roman"/>
          <w:szCs w:val="20"/>
        </w:rPr>
        <w:t xml:space="preserve"> (4) of Directive </w:t>
      </w:r>
      <w:r w:rsidR="00403B31">
        <w:rPr>
          <w:rFonts w:ascii="Times New Roman" w:hAnsi="Times New Roman"/>
          <w:szCs w:val="20"/>
        </w:rPr>
        <w:t>2009</w:t>
      </w:r>
      <w:r w:rsidRPr="003105C6">
        <w:rPr>
          <w:rFonts w:ascii="Times New Roman" w:hAnsi="Times New Roman"/>
          <w:szCs w:val="20"/>
        </w:rPr>
        <w:t>/6</w:t>
      </w:r>
      <w:r w:rsidR="00403B31">
        <w:rPr>
          <w:rFonts w:ascii="Times New Roman" w:hAnsi="Times New Roman"/>
          <w:szCs w:val="20"/>
        </w:rPr>
        <w:t>5</w:t>
      </w:r>
      <w:r w:rsidRPr="003105C6">
        <w:rPr>
          <w:rFonts w:ascii="Times New Roman" w:hAnsi="Times New Roman"/>
          <w:szCs w:val="20"/>
        </w:rPr>
        <w:t>/EC and issued before 31 December 2007, are also assigned to the exposure class “Covered Bonds” because of Article 124 (5) of CRR.</w:t>
      </w:r>
    </w:p>
    <w:p w:rsidR="00884FEB" w:rsidRPr="0017440D" w:rsidRDefault="003105C6" w:rsidP="003C60B9">
      <w:pPr>
        <w:ind w:left="539"/>
        <w:rPr>
          <w:rFonts w:ascii="Times New Roman" w:hAnsi="Times New Roman"/>
          <w:szCs w:val="20"/>
        </w:rPr>
      </w:pPr>
      <w:r w:rsidRPr="003105C6">
        <w:rPr>
          <w:rFonts w:ascii="Times New Roman" w:hAnsi="Times New Roman"/>
          <w:szCs w:val="20"/>
        </w:rPr>
        <w:t>Regarding the reporting of intra-group exposures according to Article 108 (6) to (7) of CRR please see i</w:t>
      </w:r>
      <w:r w:rsidRPr="003105C6">
        <w:rPr>
          <w:rFonts w:ascii="Times New Roman" w:hAnsi="Times New Roman"/>
          <w:szCs w:val="20"/>
        </w:rPr>
        <w:t>n</w:t>
      </w:r>
      <w:r w:rsidRPr="003105C6">
        <w:rPr>
          <w:rFonts w:ascii="Times New Roman" w:hAnsi="Times New Roman"/>
          <w:szCs w:val="20"/>
        </w:rPr>
        <w:t>structions above</w:t>
      </w:r>
    </w:p>
    <w:p w:rsidR="00884FEB" w:rsidRPr="0017440D" w:rsidRDefault="00884FEB" w:rsidP="002F39A7">
      <w:pPr>
        <w:pStyle w:val="InstructionsText"/>
      </w:pPr>
    </w:p>
    <w:p w:rsidR="002E4EB7" w:rsidRPr="0017440D" w:rsidRDefault="003105C6" w:rsidP="002F39A7">
      <w:pPr>
        <w:pStyle w:val="InstructionsText"/>
      </w:pPr>
      <w:r w:rsidRPr="003105C6">
        <w:t>Exposure Class “Corporates”</w:t>
      </w:r>
    </w:p>
    <w:p w:rsidR="002E4EB7" w:rsidRPr="0017440D" w:rsidRDefault="003105C6" w:rsidP="002F39A7">
      <w:pPr>
        <w:pStyle w:val="InstructionsText2"/>
      </w:pPr>
      <w:r w:rsidRPr="003105C6">
        <w:rPr>
          <w:szCs w:val="20"/>
        </w:rPr>
        <w:sym w:font="Wingdings" w:char="F0E0"/>
      </w:r>
      <w:r w:rsidRPr="003105C6">
        <w:t xml:space="preserve"> Reporting of intra-group exposures according to Article 108 (6) to (7) of CRR:</w:t>
      </w:r>
    </w:p>
    <w:p w:rsidR="00884FEB" w:rsidRPr="0017440D" w:rsidRDefault="003105C6" w:rsidP="00E33BF7">
      <w:pPr>
        <w:ind w:left="709"/>
        <w:rPr>
          <w:rFonts w:ascii="Times New Roman" w:hAnsi="Times New Roman"/>
        </w:rPr>
      </w:pPr>
      <w:r w:rsidRPr="003105C6">
        <w:rPr>
          <w:rFonts w:ascii="Times New Roman" w:hAnsi="Times New Roman"/>
        </w:rPr>
        <w:t>Please see instructions above.</w:t>
      </w:r>
    </w:p>
    <w:p w:rsidR="00884FEB" w:rsidRPr="0017440D" w:rsidRDefault="00884FEB" w:rsidP="00884FEB">
      <w:pPr>
        <w:rPr>
          <w:rFonts w:ascii="Times New Roman" w:hAnsi="Times New Roman"/>
        </w:rPr>
      </w:pPr>
    </w:p>
    <w:p w:rsidR="00884FEB" w:rsidRPr="0017440D" w:rsidRDefault="003105C6" w:rsidP="002F39A7">
      <w:pPr>
        <w:pStyle w:val="InstructionsText"/>
      </w:pPr>
      <w:r w:rsidRPr="003105C6">
        <w:t>Exposure class “Collective Investment Undertakings”</w:t>
      </w:r>
    </w:p>
    <w:p w:rsidR="002E4EB7" w:rsidRPr="0017440D" w:rsidRDefault="003105C6" w:rsidP="002F39A7">
      <w:pPr>
        <w:pStyle w:val="InstructionsText2"/>
      </w:pPr>
      <w:r w:rsidRPr="003105C6">
        <w:rPr>
          <w:szCs w:val="20"/>
        </w:rPr>
        <w:sym w:font="Wingdings" w:char="F0E0"/>
      </w:r>
      <w:r w:rsidRPr="003105C6">
        <w:t xml:space="preserve"> Reporting of SA exposures in the form of CIUs if the possibility according to Article 127 (5) of CRR is used:</w:t>
      </w:r>
    </w:p>
    <w:p w:rsidR="00884FEB" w:rsidRPr="0017440D" w:rsidRDefault="003105C6" w:rsidP="00E33BF7">
      <w:pPr>
        <w:ind w:left="709"/>
        <w:rPr>
          <w:rFonts w:ascii="Times New Roman" w:hAnsi="Times New Roman"/>
        </w:rPr>
      </w:pPr>
      <w:r w:rsidRPr="003105C6">
        <w:rPr>
          <w:rFonts w:ascii="Times New Roman" w:hAnsi="Times New Roman"/>
        </w:rPr>
        <w:lastRenderedPageBreak/>
        <w:t>Exposures in the form of CIUs, which are held as assets, are reported as on balance sheet items with their exposure according to Article 106 (1) sentence 1 of CRR. Since those exposures are reported as on balance sheet items, the amounts of column 200 are equal to the amounts reported in column 150.</w:t>
      </w:r>
      <w:r w:rsidR="00403B31">
        <w:rPr>
          <w:rFonts w:ascii="Times New Roman" w:hAnsi="Times New Roman"/>
        </w:rPr>
        <w:t xml:space="preserve"> </w:t>
      </w:r>
    </w:p>
    <w:p w:rsidR="00884FEB" w:rsidRPr="0017440D" w:rsidRDefault="00884FEB" w:rsidP="00884FEB">
      <w:pPr>
        <w:autoSpaceDE w:val="0"/>
        <w:autoSpaceDN w:val="0"/>
        <w:adjustRightInd w:val="0"/>
        <w:spacing w:before="0" w:after="240"/>
        <w:jc w:val="left"/>
        <w:rPr>
          <w:rFonts w:ascii="Times New Roman" w:hAnsi="Times New Roman"/>
          <w:szCs w:val="20"/>
          <w:lang w:eastAsia="de-DE"/>
        </w:rPr>
      </w:pPr>
    </w:p>
    <w:p w:rsidR="003105C6" w:rsidRPr="003105C6" w:rsidRDefault="003105C6" w:rsidP="00020516">
      <w:pPr>
        <w:pStyle w:val="Instructionsberschrift2"/>
        <w:numPr>
          <w:ilvl w:val="2"/>
          <w:numId w:val="45"/>
        </w:numPr>
        <w:rPr>
          <w:rFonts w:ascii="Times New Roman" w:hAnsi="Times New Roman" w:cs="Times New Roman"/>
        </w:rPr>
      </w:pPr>
      <w:bookmarkStart w:id="69" w:name="_Toc262568032"/>
      <w:bookmarkStart w:id="70" w:name="_Toc264038430"/>
      <w:bookmarkStart w:id="71" w:name="_Toc292456209"/>
      <w:bookmarkStart w:id="72" w:name="_Toc295829860"/>
      <w:bookmarkStart w:id="73" w:name="_Toc310415024"/>
      <w:r w:rsidRPr="003105C6">
        <w:rPr>
          <w:rFonts w:ascii="Times New Roman" w:hAnsi="Times New Roman" w:cs="Times New Roman"/>
        </w:rPr>
        <w:t>Instructions concerning specific positions</w:t>
      </w:r>
      <w:bookmarkEnd w:id="69"/>
      <w:bookmarkEnd w:id="70"/>
      <w:bookmarkEnd w:id="71"/>
      <w:bookmarkEnd w:id="72"/>
      <w:bookmarkEnd w:id="7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88"/>
        <w:gridCol w:w="8640"/>
      </w:tblGrid>
      <w:tr w:rsidR="001273B5" w:rsidRPr="0017440D" w:rsidTr="001273B5">
        <w:trPr>
          <w:trHeight w:val="581"/>
        </w:trPr>
        <w:tc>
          <w:tcPr>
            <w:tcW w:w="9828" w:type="dxa"/>
            <w:gridSpan w:val="2"/>
            <w:shd w:val="clear" w:color="auto" w:fill="CCCCCC"/>
          </w:tcPr>
          <w:p w:rsidR="001273B5" w:rsidRPr="0017440D" w:rsidRDefault="003105C6" w:rsidP="001273B5">
            <w:pPr>
              <w:spacing w:after="0"/>
              <w:rPr>
                <w:rStyle w:val="InstructionsTabelleText"/>
                <w:rFonts w:ascii="Times New Roman" w:hAnsi="Times New Roman"/>
                <w:b/>
              </w:rPr>
            </w:pPr>
            <w:r w:rsidRPr="003105C6">
              <w:rPr>
                <w:rStyle w:val="InstructionsTabelleText"/>
                <w:rFonts w:ascii="Times New Roman" w:hAnsi="Times New Roman"/>
                <w:b/>
              </w:rPr>
              <w:t>Columns</w:t>
            </w:r>
          </w:p>
        </w:tc>
      </w:tr>
      <w:tr w:rsidR="00884FEB" w:rsidRPr="0017440D" w:rsidTr="00D20C67">
        <w:tc>
          <w:tcPr>
            <w:tcW w:w="1188" w:type="dxa"/>
          </w:tcPr>
          <w:p w:rsidR="00884FEB" w:rsidRPr="0017440D" w:rsidRDefault="003105C6" w:rsidP="00D20C67">
            <w:pPr>
              <w:rPr>
                <w:rStyle w:val="InstructionsTabelleText"/>
                <w:rFonts w:ascii="Times New Roman" w:hAnsi="Times New Roman"/>
              </w:rPr>
            </w:pPr>
            <w:r w:rsidRPr="003105C6">
              <w:rPr>
                <w:rStyle w:val="InstructionsTabelleText"/>
                <w:rFonts w:ascii="Times New Roman" w:hAnsi="Times New Roman"/>
              </w:rPr>
              <w:t>010</w:t>
            </w:r>
          </w:p>
        </w:tc>
        <w:tc>
          <w:tcPr>
            <w:tcW w:w="8640" w:type="dxa"/>
          </w:tcPr>
          <w:p w:rsidR="00884FEB" w:rsidRPr="0017440D" w:rsidRDefault="003105C6" w:rsidP="00D20C67">
            <w:pPr>
              <w:rPr>
                <w:rStyle w:val="InstructionsTabelleberschrift"/>
                <w:rFonts w:ascii="Times New Roman" w:hAnsi="Times New Roman"/>
              </w:rPr>
            </w:pPr>
            <w:r w:rsidRPr="003105C6">
              <w:rPr>
                <w:rStyle w:val="InstructionsTabelleberschrift"/>
                <w:rFonts w:ascii="Times New Roman" w:hAnsi="Times New Roman"/>
              </w:rPr>
              <w:t>ORIGINAL EXPOSURE PRE CONVERSION FACTORS</w:t>
            </w:r>
          </w:p>
          <w:p w:rsidR="00884FEB" w:rsidRPr="0017440D" w:rsidRDefault="003105C6" w:rsidP="00D20C67">
            <w:pPr>
              <w:rPr>
                <w:rFonts w:ascii="Times New Roman" w:hAnsi="Times New Roman"/>
              </w:rPr>
            </w:pPr>
            <w:r w:rsidRPr="003105C6">
              <w:rPr>
                <w:rFonts w:ascii="Times New Roman" w:hAnsi="Times New Roman"/>
              </w:rPr>
              <w:t>Article 94 of CRR.</w:t>
            </w:r>
          </w:p>
          <w:p w:rsidR="00884FEB" w:rsidRPr="0017440D" w:rsidRDefault="00884FEB" w:rsidP="00D20C67">
            <w:pPr>
              <w:rPr>
                <w:rStyle w:val="InstructionsTabelleText"/>
                <w:rFonts w:ascii="Times New Roman" w:hAnsi="Times New Roman"/>
              </w:rPr>
            </w:pPr>
          </w:p>
          <w:p w:rsidR="00884FEB" w:rsidRPr="0017440D" w:rsidRDefault="003105C6" w:rsidP="00D20C67">
            <w:pPr>
              <w:rPr>
                <w:rStyle w:val="InstructionsTabelleText"/>
                <w:rFonts w:ascii="Times New Roman" w:hAnsi="Times New Roman"/>
              </w:rPr>
            </w:pPr>
            <w:r w:rsidRPr="003105C6">
              <w:rPr>
                <w:rStyle w:val="InstructionsTabelleText"/>
                <w:rFonts w:ascii="Times New Roman" w:hAnsi="Times New Roman"/>
              </w:rPr>
              <w:t>Exposure value without taking into account value adjustments and provisions, conversion factors and the effect of credit risk mitigation techniques with the following qualifications stemming from Article 106 (2) of CRR:</w:t>
            </w:r>
          </w:p>
          <w:p w:rsidR="00884FEB" w:rsidRPr="0017440D" w:rsidRDefault="003105C6" w:rsidP="00D20C67">
            <w:pPr>
              <w:rPr>
                <w:rStyle w:val="InstructionsTabelleText"/>
                <w:rFonts w:ascii="Times New Roman" w:hAnsi="Times New Roman"/>
              </w:rPr>
            </w:pPr>
            <w:r w:rsidRPr="003105C6">
              <w:rPr>
                <w:rStyle w:val="InstructionsTabelleText"/>
                <w:rFonts w:ascii="Times New Roman" w:hAnsi="Times New Roman"/>
              </w:rPr>
              <w:t>For Derivative instruments, repurchase transactions, securities or commodities lending or borrowing transactions, long settlement transactions and margin lending transactions subject to part 3 title II chapter 6 of CRR or subject to Article 87 (3) point (f) of CRR, the original exposure will correspond to the E</w:t>
            </w:r>
            <w:r w:rsidRPr="003105C6">
              <w:rPr>
                <w:rStyle w:val="InstructionsTabelleText"/>
                <w:rFonts w:ascii="Times New Roman" w:hAnsi="Times New Roman"/>
              </w:rPr>
              <w:t>x</w:t>
            </w:r>
            <w:r w:rsidRPr="003105C6">
              <w:rPr>
                <w:rStyle w:val="InstructionsTabelleText"/>
                <w:rFonts w:ascii="Times New Roman" w:hAnsi="Times New Roman"/>
              </w:rPr>
              <w:t>posure Value for Counterparty Credit Risk calculated according to the methods laid down in part 3 title II chapter 6 sections 3, 4, 5, 6 and 7 of CRR.</w:t>
            </w:r>
          </w:p>
          <w:p w:rsidR="00884FEB" w:rsidRPr="0017440D" w:rsidRDefault="003105C6" w:rsidP="00D20C67">
            <w:pPr>
              <w:rPr>
                <w:rStyle w:val="InstructionsTabelleText"/>
                <w:rFonts w:ascii="Times New Roman" w:hAnsi="Times New Roman"/>
              </w:rPr>
            </w:pPr>
            <w:r w:rsidRPr="003105C6">
              <w:rPr>
                <w:rStyle w:val="InstructionsTabelleText"/>
                <w:rFonts w:ascii="Times New Roman" w:hAnsi="Times New Roman"/>
              </w:rPr>
              <w:t>Exposure values for leases subject to Article 12</w:t>
            </w:r>
            <w:r w:rsidR="00403B31">
              <w:rPr>
                <w:rStyle w:val="InstructionsTabelleText"/>
                <w:rFonts w:ascii="Times New Roman" w:hAnsi="Times New Roman"/>
              </w:rPr>
              <w:t>9</w:t>
            </w:r>
            <w:r w:rsidRPr="003105C6">
              <w:rPr>
                <w:rStyle w:val="InstructionsTabelleText"/>
                <w:rFonts w:ascii="Times New Roman" w:hAnsi="Times New Roman"/>
              </w:rPr>
              <w:t xml:space="preserve"> (7) of CRR. </w:t>
            </w:r>
          </w:p>
          <w:p w:rsidR="00884FEB" w:rsidRPr="0017440D" w:rsidRDefault="00884FEB" w:rsidP="00D20C67">
            <w:pPr>
              <w:rPr>
                <w:rStyle w:val="InstructionsTabelleText"/>
                <w:rFonts w:ascii="Times New Roman" w:hAnsi="Times New Roman"/>
              </w:rPr>
            </w:pPr>
          </w:p>
          <w:p w:rsidR="00884FEB" w:rsidRPr="0017440D" w:rsidRDefault="003105C6" w:rsidP="00D20C67">
            <w:pPr>
              <w:rPr>
                <w:rStyle w:val="InstructionsTabelleText"/>
                <w:rFonts w:ascii="Times New Roman" w:hAnsi="Times New Roman"/>
              </w:rPr>
            </w:pPr>
            <w:r w:rsidRPr="003105C6">
              <w:rPr>
                <w:rStyle w:val="InstructionsTabelleText"/>
                <w:rFonts w:ascii="Times New Roman" w:hAnsi="Times New Roman"/>
              </w:rPr>
              <w:t xml:space="preserve">In case of on-balance sheet netting laid down in Article </w:t>
            </w:r>
            <w:r w:rsidR="00AE610F">
              <w:rPr>
                <w:rStyle w:val="InstructionsTabelleText"/>
                <w:rFonts w:ascii="Times New Roman" w:hAnsi="Times New Roman"/>
              </w:rPr>
              <w:t>214</w:t>
            </w:r>
            <w:r w:rsidR="00AE610F" w:rsidRPr="003105C6">
              <w:rPr>
                <w:rStyle w:val="InstructionsTabelleText"/>
                <w:rFonts w:ascii="Times New Roman" w:hAnsi="Times New Roman"/>
              </w:rPr>
              <w:t xml:space="preserve"> </w:t>
            </w:r>
            <w:r w:rsidRPr="003105C6">
              <w:rPr>
                <w:rStyle w:val="InstructionsTabelleText"/>
                <w:rFonts w:ascii="Times New Roman" w:hAnsi="Times New Roman"/>
              </w:rPr>
              <w:t>of CRR the exposure values shall be r</w:t>
            </w:r>
            <w:r w:rsidRPr="003105C6">
              <w:rPr>
                <w:rStyle w:val="InstructionsTabelleText"/>
                <w:rFonts w:ascii="Times New Roman" w:hAnsi="Times New Roman"/>
              </w:rPr>
              <w:t>e</w:t>
            </w:r>
            <w:r w:rsidRPr="003105C6">
              <w:rPr>
                <w:rStyle w:val="InstructionsTabelleText"/>
                <w:rFonts w:ascii="Times New Roman" w:hAnsi="Times New Roman"/>
              </w:rPr>
              <w:t>ported according to received cash collateral.</w:t>
            </w:r>
          </w:p>
          <w:p w:rsidR="00884FEB" w:rsidRPr="0017440D" w:rsidRDefault="00884FEB" w:rsidP="00D20C67">
            <w:pPr>
              <w:rPr>
                <w:rStyle w:val="InstructionsTabelleText"/>
                <w:rFonts w:ascii="Times New Roman" w:hAnsi="Times New Roman"/>
              </w:rPr>
            </w:pPr>
          </w:p>
          <w:p w:rsidR="00884FEB" w:rsidRPr="0017440D" w:rsidRDefault="003105C6" w:rsidP="003C60B9">
            <w:pPr>
              <w:autoSpaceDE w:val="0"/>
              <w:autoSpaceDN w:val="0"/>
              <w:adjustRightInd w:val="0"/>
              <w:spacing w:before="0" w:after="0"/>
              <w:jc w:val="left"/>
              <w:rPr>
                <w:rStyle w:val="InstructionsTabelleText"/>
                <w:rFonts w:ascii="Times New Roman" w:hAnsi="Times New Roman"/>
              </w:rPr>
            </w:pPr>
            <w:r w:rsidRPr="003105C6">
              <w:rPr>
                <w:rStyle w:val="InstructionsTabelleText"/>
                <w:rFonts w:ascii="Times New Roman" w:hAnsi="Times New Roman"/>
              </w:rPr>
              <w:t>In the case of master netting agreements covering repurchase transactions and / or securities or co</w:t>
            </w:r>
            <w:r w:rsidRPr="003105C6">
              <w:rPr>
                <w:rStyle w:val="InstructionsTabelleText"/>
                <w:rFonts w:ascii="Times New Roman" w:hAnsi="Times New Roman"/>
              </w:rPr>
              <w:t>m</w:t>
            </w:r>
            <w:r w:rsidRPr="003105C6">
              <w:rPr>
                <w:rStyle w:val="InstructionsTabelleText"/>
                <w:rFonts w:ascii="Times New Roman" w:hAnsi="Times New Roman"/>
              </w:rPr>
              <w:t>modities lending or borrowing transactions and/ or other capital market driven transactions subject to part 3 title II chapter 6 of CRR, the effect of Funded Credit Protection in the form of master netting agreements as under Article 215 (4) of CRR shall be included in column 010. Therefore, in the case of master netting agreements covering repurchase transactions subject to the provisions in part 3 title II chapter 6 of CRR, E* as calculated under Articles 215 and 216 of CRR  shall be reported in column 010 of the CR SA template.</w:t>
            </w:r>
          </w:p>
        </w:tc>
      </w:tr>
      <w:tr w:rsidR="00DA3B36" w:rsidRPr="0017440D" w:rsidTr="00D20C67">
        <w:tc>
          <w:tcPr>
            <w:tcW w:w="1188" w:type="dxa"/>
          </w:tcPr>
          <w:p w:rsidR="00DA3B36" w:rsidRPr="0017440D" w:rsidRDefault="003105C6" w:rsidP="001273B5">
            <w:pPr>
              <w:rPr>
                <w:rStyle w:val="InstructionsTabelleText"/>
                <w:rFonts w:ascii="Times New Roman" w:hAnsi="Times New Roman"/>
              </w:rPr>
            </w:pPr>
            <w:r w:rsidRPr="003105C6">
              <w:rPr>
                <w:rStyle w:val="InstructionsTabelleText"/>
                <w:rFonts w:ascii="Times New Roman" w:hAnsi="Times New Roman"/>
              </w:rPr>
              <w:t>020</w:t>
            </w:r>
          </w:p>
        </w:tc>
        <w:tc>
          <w:tcPr>
            <w:tcW w:w="8640" w:type="dxa"/>
          </w:tcPr>
          <w:p w:rsidR="00DA3B36" w:rsidRPr="0017440D" w:rsidRDefault="003105C6" w:rsidP="00D20C67">
            <w:pPr>
              <w:rPr>
                <w:rStyle w:val="InstructionsTabelleberschrift"/>
                <w:rFonts w:ascii="Times New Roman" w:hAnsi="Times New Roman"/>
              </w:rPr>
            </w:pPr>
            <w:r w:rsidRPr="003105C6">
              <w:rPr>
                <w:rStyle w:val="InstructionsTabelleberschrift"/>
                <w:rFonts w:ascii="Times New Roman" w:hAnsi="Times New Roman"/>
              </w:rPr>
              <w:t>OF WHICH: ARISING FROM DEFAULT FUND CONTRIBUTIONS</w:t>
            </w:r>
          </w:p>
          <w:p w:rsidR="00DA3B36" w:rsidRPr="0017440D" w:rsidRDefault="003105C6" w:rsidP="00D20C67">
            <w:pPr>
              <w:rPr>
                <w:rStyle w:val="InstructionsTabelleberschrift"/>
                <w:rFonts w:ascii="Times New Roman" w:hAnsi="Times New Roman"/>
                <w:b w:val="0"/>
                <w:u w:val="none"/>
              </w:rPr>
            </w:pPr>
            <w:r w:rsidRPr="003105C6">
              <w:rPr>
                <w:rStyle w:val="InstructionsTabelleberschrift"/>
                <w:rFonts w:ascii="Times New Roman" w:hAnsi="Times New Roman"/>
                <w:b w:val="0"/>
                <w:u w:val="none"/>
              </w:rPr>
              <w:t>Article 298 and 300 of CRR</w:t>
            </w:r>
          </w:p>
        </w:tc>
      </w:tr>
      <w:tr w:rsidR="00884FEB" w:rsidRPr="0017440D" w:rsidTr="00D20C67">
        <w:tc>
          <w:tcPr>
            <w:tcW w:w="1188" w:type="dxa"/>
          </w:tcPr>
          <w:p w:rsidR="00884FEB" w:rsidRPr="0017440D" w:rsidRDefault="003105C6" w:rsidP="001273B5">
            <w:pPr>
              <w:rPr>
                <w:rStyle w:val="InstructionsTabelleText"/>
                <w:rFonts w:ascii="Times New Roman" w:hAnsi="Times New Roman"/>
              </w:rPr>
            </w:pPr>
            <w:r w:rsidRPr="003105C6">
              <w:rPr>
                <w:rStyle w:val="InstructionsTabelleText"/>
                <w:rFonts w:ascii="Times New Roman" w:hAnsi="Times New Roman"/>
              </w:rPr>
              <w:t>030</w:t>
            </w:r>
          </w:p>
        </w:tc>
        <w:tc>
          <w:tcPr>
            <w:tcW w:w="8640" w:type="dxa"/>
          </w:tcPr>
          <w:p w:rsidR="00884FEB" w:rsidRPr="0017440D" w:rsidRDefault="003105C6" w:rsidP="00D20C67">
            <w:pPr>
              <w:rPr>
                <w:rStyle w:val="InstructionsTabelleberschrift"/>
                <w:rFonts w:ascii="Times New Roman" w:hAnsi="Times New Roman"/>
              </w:rPr>
            </w:pPr>
            <w:r w:rsidRPr="003105C6">
              <w:rPr>
                <w:rStyle w:val="InstructionsTabelleberschrift"/>
                <w:rFonts w:ascii="Times New Roman" w:hAnsi="Times New Roman"/>
              </w:rPr>
              <w:t>(-) Value adjustments and provision associated with the original exposure</w:t>
            </w:r>
          </w:p>
          <w:p w:rsidR="00884FEB" w:rsidRPr="0017440D" w:rsidRDefault="003105C6" w:rsidP="00D20C67">
            <w:pPr>
              <w:rPr>
                <w:rStyle w:val="InstructionsTabelleText"/>
                <w:rFonts w:ascii="Times New Roman" w:hAnsi="Times New Roman"/>
                <w:szCs w:val="20"/>
              </w:rPr>
            </w:pPr>
            <w:r w:rsidRPr="003105C6">
              <w:rPr>
                <w:rStyle w:val="InstructionsTabelleText"/>
                <w:rFonts w:ascii="Times New Roman" w:hAnsi="Times New Roman"/>
              </w:rPr>
              <w:t>Value adjustment and provisions included in the corresponding accounting framework (Directive 86/635/EEC or Regulation 1606/2002) that affect the valuation of assets and off-balance sheet items a</w:t>
            </w:r>
            <w:r w:rsidRPr="003105C6">
              <w:rPr>
                <w:rStyle w:val="InstructionsTabelleText"/>
                <w:rFonts w:ascii="Times New Roman" w:hAnsi="Times New Roman"/>
              </w:rPr>
              <w:t>c</w:t>
            </w:r>
            <w:r w:rsidRPr="003105C6">
              <w:rPr>
                <w:rStyle w:val="InstructionsTabelleText"/>
                <w:rFonts w:ascii="Times New Roman" w:hAnsi="Times New Roman"/>
              </w:rPr>
              <w:t>cording to Article 94 and 105 of CRR.</w:t>
            </w:r>
          </w:p>
        </w:tc>
      </w:tr>
      <w:tr w:rsidR="00884FEB" w:rsidRPr="0017440D" w:rsidTr="00D20C67">
        <w:tc>
          <w:tcPr>
            <w:tcW w:w="1188" w:type="dxa"/>
          </w:tcPr>
          <w:p w:rsidR="00884FEB" w:rsidRPr="0017440D" w:rsidRDefault="003105C6" w:rsidP="00D20C67">
            <w:pPr>
              <w:rPr>
                <w:rStyle w:val="InstructionsTabelleText"/>
                <w:rFonts w:ascii="Times New Roman" w:hAnsi="Times New Roman"/>
              </w:rPr>
            </w:pPr>
            <w:r w:rsidRPr="003105C6">
              <w:rPr>
                <w:rStyle w:val="InstructionsTabelleText"/>
                <w:rFonts w:ascii="Times New Roman" w:hAnsi="Times New Roman"/>
              </w:rPr>
              <w:t>040</w:t>
            </w:r>
          </w:p>
        </w:tc>
        <w:tc>
          <w:tcPr>
            <w:tcW w:w="8640" w:type="dxa"/>
          </w:tcPr>
          <w:p w:rsidR="00884FEB" w:rsidRPr="0017440D" w:rsidRDefault="003105C6" w:rsidP="00D20C67">
            <w:pPr>
              <w:rPr>
                <w:rStyle w:val="InstructionsTabelleberschrift"/>
                <w:rFonts w:ascii="Times New Roman" w:hAnsi="Times New Roman"/>
              </w:rPr>
            </w:pPr>
            <w:r w:rsidRPr="003105C6">
              <w:rPr>
                <w:rStyle w:val="InstructionsTabelleberschrift"/>
                <w:rFonts w:ascii="Times New Roman" w:hAnsi="Times New Roman"/>
              </w:rPr>
              <w:t>Exposure net of value adjustments and provisions</w:t>
            </w:r>
          </w:p>
          <w:p w:rsidR="00884FEB" w:rsidRPr="0017440D" w:rsidRDefault="003105C6" w:rsidP="001273B5">
            <w:pPr>
              <w:rPr>
                <w:rStyle w:val="InstructionsTabelleText"/>
                <w:rFonts w:ascii="Times New Roman" w:hAnsi="Times New Roman"/>
              </w:rPr>
            </w:pPr>
            <w:r w:rsidRPr="003105C6">
              <w:rPr>
                <w:rStyle w:val="InstructionsTabelleText"/>
                <w:rFonts w:ascii="Times New Roman" w:hAnsi="Times New Roman"/>
              </w:rPr>
              <w:t>Sum of columns 010 and 030 less column 020.</w:t>
            </w:r>
          </w:p>
        </w:tc>
      </w:tr>
      <w:tr w:rsidR="00884FEB" w:rsidRPr="0017440D" w:rsidTr="00D20C67">
        <w:tc>
          <w:tcPr>
            <w:tcW w:w="1188" w:type="dxa"/>
          </w:tcPr>
          <w:p w:rsidR="00884FEB" w:rsidRPr="0017440D" w:rsidRDefault="003105C6" w:rsidP="001273B5">
            <w:pPr>
              <w:rPr>
                <w:rStyle w:val="InstructionsTabelleText"/>
                <w:rFonts w:ascii="Times New Roman" w:hAnsi="Times New Roman"/>
              </w:rPr>
            </w:pPr>
            <w:r w:rsidRPr="003105C6">
              <w:rPr>
                <w:rStyle w:val="InstructionsTabelleText"/>
                <w:rFonts w:ascii="Times New Roman" w:hAnsi="Times New Roman"/>
              </w:rPr>
              <w:t>050 - 100</w:t>
            </w:r>
          </w:p>
        </w:tc>
        <w:tc>
          <w:tcPr>
            <w:tcW w:w="8640" w:type="dxa"/>
          </w:tcPr>
          <w:p w:rsidR="00884FEB" w:rsidRPr="0017440D" w:rsidRDefault="003105C6" w:rsidP="00D20C67">
            <w:pPr>
              <w:rPr>
                <w:rStyle w:val="InstructionsTabelleberschrift"/>
                <w:rFonts w:ascii="Times New Roman" w:hAnsi="Times New Roman"/>
              </w:rPr>
            </w:pPr>
            <w:r w:rsidRPr="003105C6">
              <w:rPr>
                <w:rStyle w:val="InstructionsTabelleberschrift"/>
                <w:rFonts w:ascii="Times New Roman" w:hAnsi="Times New Roman"/>
              </w:rPr>
              <w:t>CREDIT RISK MITIGATION (CRM) TECHNIQUES WITH SUBSTITUTION EFFECTS ON THE EXPOSURE</w:t>
            </w:r>
          </w:p>
          <w:p w:rsidR="00884FEB" w:rsidRPr="0017440D" w:rsidRDefault="003105C6" w:rsidP="00D20C67">
            <w:pPr>
              <w:rPr>
                <w:rStyle w:val="InstructionsTabelleText"/>
                <w:rFonts w:ascii="Times New Roman" w:hAnsi="Times New Roman"/>
              </w:rPr>
            </w:pPr>
            <w:r w:rsidRPr="003105C6">
              <w:rPr>
                <w:rStyle w:val="InstructionsTabelleText"/>
                <w:rFonts w:ascii="Times New Roman" w:hAnsi="Times New Roman"/>
              </w:rPr>
              <w:t>Credit risk mitigation techniques as defined in Article 4 (32) of CRR that reduce the credit risk of an e</w:t>
            </w:r>
            <w:r w:rsidRPr="003105C6">
              <w:rPr>
                <w:rStyle w:val="InstructionsTabelleText"/>
                <w:rFonts w:ascii="Times New Roman" w:hAnsi="Times New Roman"/>
              </w:rPr>
              <w:t>x</w:t>
            </w:r>
            <w:r w:rsidRPr="003105C6">
              <w:rPr>
                <w:rStyle w:val="InstructionsTabelleText"/>
                <w:rFonts w:ascii="Times New Roman" w:hAnsi="Times New Roman"/>
              </w:rPr>
              <w:t>posure or exposures via the substitution of exposures as defined below in Inflows and Outflows.</w:t>
            </w:r>
          </w:p>
          <w:p w:rsidR="00884FEB" w:rsidRPr="0017440D" w:rsidRDefault="00884FEB" w:rsidP="00D20C67">
            <w:pPr>
              <w:rPr>
                <w:rStyle w:val="InstructionsTabelleText"/>
                <w:rFonts w:ascii="Times New Roman" w:hAnsi="Times New Roman"/>
              </w:rPr>
            </w:pPr>
          </w:p>
          <w:p w:rsidR="00884FEB" w:rsidRPr="0017440D" w:rsidRDefault="003105C6" w:rsidP="00D20C67">
            <w:pPr>
              <w:rPr>
                <w:rStyle w:val="InstructionsTabelleText"/>
                <w:rFonts w:ascii="Times New Roman" w:hAnsi="Times New Roman"/>
              </w:rPr>
            </w:pPr>
            <w:r w:rsidRPr="003105C6">
              <w:rPr>
                <w:rStyle w:val="InstructionsTabelleText"/>
                <w:rFonts w:ascii="Times New Roman" w:hAnsi="Times New Roman"/>
              </w:rPr>
              <w:t>Items to be reported here:</w:t>
            </w:r>
          </w:p>
          <w:p w:rsidR="00884FEB" w:rsidRPr="0017440D" w:rsidRDefault="003105C6" w:rsidP="00A64421">
            <w:pPr>
              <w:numPr>
                <w:ilvl w:val="0"/>
                <w:numId w:val="13"/>
              </w:numPr>
              <w:rPr>
                <w:rStyle w:val="InstructionsTabelleText"/>
                <w:rFonts w:ascii="Times New Roman" w:hAnsi="Times New Roman"/>
              </w:rPr>
            </w:pPr>
            <w:r w:rsidRPr="003105C6">
              <w:rPr>
                <w:rStyle w:val="InstructionsTabelleText"/>
                <w:rFonts w:ascii="Times New Roman" w:hAnsi="Times New Roman"/>
              </w:rPr>
              <w:t>collateral, incorporated according to Financial Collateral Simple Method;</w:t>
            </w:r>
          </w:p>
          <w:p w:rsidR="00884FEB" w:rsidRPr="0017440D" w:rsidRDefault="003105C6" w:rsidP="00A64421">
            <w:pPr>
              <w:numPr>
                <w:ilvl w:val="0"/>
                <w:numId w:val="13"/>
              </w:numPr>
              <w:rPr>
                <w:rStyle w:val="InstructionsTabelleText"/>
                <w:rFonts w:ascii="Times New Roman" w:hAnsi="Times New Roman"/>
              </w:rPr>
            </w:pPr>
            <w:r w:rsidRPr="003105C6">
              <w:rPr>
                <w:rStyle w:val="InstructionsTabelleText"/>
                <w:rFonts w:ascii="Times New Roman" w:hAnsi="Times New Roman"/>
              </w:rPr>
              <w:lastRenderedPageBreak/>
              <w:t>eligible unfunded credit protection.</w:t>
            </w:r>
          </w:p>
          <w:p w:rsidR="00884FEB" w:rsidRPr="0017440D" w:rsidRDefault="00884FEB" w:rsidP="00D20C67">
            <w:pPr>
              <w:rPr>
                <w:rStyle w:val="InstructionsTabelleText"/>
                <w:rFonts w:ascii="Times New Roman" w:hAnsi="Times New Roman"/>
              </w:rPr>
            </w:pPr>
          </w:p>
          <w:p w:rsidR="00884FEB" w:rsidRPr="0017440D" w:rsidRDefault="003105C6" w:rsidP="001273B5">
            <w:pPr>
              <w:rPr>
                <w:rFonts w:ascii="Times New Roman" w:hAnsi="Times New Roman"/>
                <w:szCs w:val="20"/>
              </w:rPr>
            </w:pPr>
            <w:r w:rsidRPr="003105C6">
              <w:rPr>
                <w:rStyle w:val="InstructionsTabelleText"/>
                <w:rFonts w:ascii="Times New Roman" w:hAnsi="Times New Roman"/>
              </w:rPr>
              <w:t xml:space="preserve">Please also see instructions of point 4.1.1. </w:t>
            </w:r>
          </w:p>
        </w:tc>
      </w:tr>
      <w:tr w:rsidR="00884FEB" w:rsidRPr="0017440D" w:rsidTr="00D20C67">
        <w:tc>
          <w:tcPr>
            <w:tcW w:w="1188" w:type="dxa"/>
          </w:tcPr>
          <w:p w:rsidR="00884FEB" w:rsidRPr="0017440D" w:rsidRDefault="003105C6" w:rsidP="00D20C67">
            <w:pPr>
              <w:rPr>
                <w:rStyle w:val="InstructionsTabelleText"/>
                <w:rFonts w:ascii="Times New Roman" w:hAnsi="Times New Roman"/>
              </w:rPr>
            </w:pPr>
            <w:r w:rsidRPr="003105C6">
              <w:rPr>
                <w:rStyle w:val="InstructionsTabelleText"/>
                <w:rFonts w:ascii="Times New Roman" w:hAnsi="Times New Roman"/>
              </w:rPr>
              <w:lastRenderedPageBreak/>
              <w:t>050 - 060</w:t>
            </w:r>
          </w:p>
        </w:tc>
        <w:tc>
          <w:tcPr>
            <w:tcW w:w="8640" w:type="dxa"/>
          </w:tcPr>
          <w:p w:rsidR="00884FEB" w:rsidRPr="0017440D" w:rsidRDefault="003105C6" w:rsidP="00D20C67">
            <w:pPr>
              <w:rPr>
                <w:rStyle w:val="InstructionsTabelleberschrift"/>
                <w:rFonts w:ascii="Times New Roman" w:hAnsi="Times New Roman"/>
              </w:rPr>
            </w:pPr>
            <w:r w:rsidRPr="003105C6">
              <w:rPr>
                <w:rStyle w:val="InstructionsTabelleberschrift"/>
                <w:rFonts w:ascii="Times New Roman" w:hAnsi="Times New Roman"/>
              </w:rPr>
              <w:t>Unfunded credit protection: adjusted values (Ga)</w:t>
            </w:r>
          </w:p>
          <w:p w:rsidR="00884FEB" w:rsidRPr="0017440D" w:rsidRDefault="003105C6" w:rsidP="00D20C67">
            <w:pPr>
              <w:rPr>
                <w:rStyle w:val="InstructionsTabelleText"/>
                <w:rFonts w:ascii="Times New Roman" w:hAnsi="Times New Roman"/>
              </w:rPr>
            </w:pPr>
            <w:r w:rsidRPr="003105C6">
              <w:rPr>
                <w:rFonts w:ascii="Times New Roman" w:hAnsi="Times New Roman"/>
              </w:rPr>
              <w:t>Article 230 of CRR</w:t>
            </w:r>
          </w:p>
          <w:p w:rsidR="00884FEB" w:rsidRPr="0017440D" w:rsidRDefault="003105C6" w:rsidP="00D20C67">
            <w:pPr>
              <w:rPr>
                <w:rStyle w:val="InstructionsTabelleText"/>
                <w:rFonts w:ascii="Times New Roman" w:hAnsi="Times New Roman"/>
              </w:rPr>
            </w:pPr>
            <w:r w:rsidRPr="003105C6">
              <w:rPr>
                <w:rStyle w:val="InstructionsTabelleText"/>
                <w:rFonts w:ascii="Times New Roman" w:hAnsi="Times New Roman"/>
              </w:rPr>
              <w:t>Please see also general instructions of columns 050-10 with regard to CRM techniques with substitution effects.</w:t>
            </w:r>
          </w:p>
          <w:p w:rsidR="00884FEB" w:rsidRPr="0017440D" w:rsidRDefault="003105C6" w:rsidP="003C60B9">
            <w:pPr>
              <w:rPr>
                <w:rStyle w:val="InstructionsTabelleText"/>
                <w:rFonts w:ascii="Times New Roman" w:hAnsi="Times New Roman"/>
                <w:b/>
                <w:bCs/>
              </w:rPr>
            </w:pPr>
            <w:r w:rsidRPr="003105C6">
              <w:rPr>
                <w:rStyle w:val="InstructionsTabelleText"/>
                <w:rFonts w:ascii="Times New Roman" w:hAnsi="Times New Roman"/>
              </w:rPr>
              <w:t>Article 234 (3) of CRR defines the adjusted value Ga of an unfunded credit protection.</w:t>
            </w:r>
          </w:p>
        </w:tc>
      </w:tr>
      <w:tr w:rsidR="00884FEB" w:rsidRPr="0017440D" w:rsidTr="00D20C67">
        <w:tc>
          <w:tcPr>
            <w:tcW w:w="1188" w:type="dxa"/>
          </w:tcPr>
          <w:p w:rsidR="00884FEB" w:rsidRPr="0017440D" w:rsidRDefault="003105C6" w:rsidP="00D20C67">
            <w:pPr>
              <w:rPr>
                <w:rStyle w:val="InstructionsTabelleText"/>
                <w:rFonts w:ascii="Times New Roman" w:hAnsi="Times New Roman"/>
              </w:rPr>
            </w:pPr>
            <w:r w:rsidRPr="003105C6">
              <w:rPr>
                <w:rStyle w:val="InstructionsTabelleText"/>
                <w:rFonts w:ascii="Times New Roman" w:hAnsi="Times New Roman"/>
              </w:rPr>
              <w:t>050</w:t>
            </w:r>
          </w:p>
        </w:tc>
        <w:tc>
          <w:tcPr>
            <w:tcW w:w="8640" w:type="dxa"/>
          </w:tcPr>
          <w:p w:rsidR="00884FEB" w:rsidRPr="0017440D" w:rsidRDefault="003105C6" w:rsidP="00D20C67">
            <w:pPr>
              <w:rPr>
                <w:rStyle w:val="InstructionsTabelleberschrift"/>
                <w:rFonts w:ascii="Times New Roman" w:hAnsi="Times New Roman"/>
              </w:rPr>
            </w:pPr>
            <w:r w:rsidRPr="003105C6">
              <w:rPr>
                <w:rStyle w:val="InstructionsTabelleberschrift"/>
                <w:rFonts w:ascii="Times New Roman" w:hAnsi="Times New Roman"/>
              </w:rPr>
              <w:t>Guarantees</w:t>
            </w:r>
          </w:p>
          <w:p w:rsidR="00853594" w:rsidRDefault="00853594" w:rsidP="003C60B9">
            <w:pPr>
              <w:pStyle w:val="Fuzeile"/>
              <w:rPr>
                <w:rStyle w:val="InstructionsTabelleText"/>
                <w:rFonts w:ascii="Times New Roman" w:hAnsi="Times New Roman"/>
              </w:rPr>
            </w:pPr>
            <w:r>
              <w:rPr>
                <w:rStyle w:val="InstructionsTabelleText"/>
                <w:rFonts w:ascii="Times New Roman" w:hAnsi="Times New Roman"/>
              </w:rPr>
              <w:t>Article 198a of CRR</w:t>
            </w:r>
          </w:p>
          <w:p w:rsidR="00884FEB" w:rsidRPr="0017440D" w:rsidRDefault="003105C6" w:rsidP="003C60B9">
            <w:pPr>
              <w:pStyle w:val="Fuzeile"/>
              <w:rPr>
                <w:rStyle w:val="InstructionsTabelleberschrift"/>
                <w:rFonts w:ascii="Times New Roman" w:hAnsi="Times New Roman"/>
              </w:rPr>
            </w:pPr>
            <w:r w:rsidRPr="003105C6">
              <w:rPr>
                <w:rStyle w:val="InstructionsTabelleText"/>
                <w:rFonts w:ascii="Times New Roman" w:hAnsi="Times New Roman"/>
              </w:rPr>
              <w:t>Unfunded Credit Protection as defined in Article 4 (34) of CRR different from Credit Derivatives.</w:t>
            </w:r>
          </w:p>
        </w:tc>
      </w:tr>
      <w:tr w:rsidR="00884FEB" w:rsidRPr="0017440D" w:rsidTr="00D20C67">
        <w:tc>
          <w:tcPr>
            <w:tcW w:w="1188" w:type="dxa"/>
          </w:tcPr>
          <w:p w:rsidR="00884FEB" w:rsidRPr="0017440D" w:rsidRDefault="003105C6" w:rsidP="00D20C67">
            <w:pPr>
              <w:rPr>
                <w:rStyle w:val="InstructionsTabelleText"/>
                <w:rFonts w:ascii="Times New Roman" w:hAnsi="Times New Roman"/>
              </w:rPr>
            </w:pPr>
            <w:r w:rsidRPr="003105C6">
              <w:rPr>
                <w:rStyle w:val="InstructionsTabelleText"/>
                <w:rFonts w:ascii="Times New Roman" w:hAnsi="Times New Roman"/>
              </w:rPr>
              <w:t>060</w:t>
            </w:r>
          </w:p>
        </w:tc>
        <w:tc>
          <w:tcPr>
            <w:tcW w:w="8640" w:type="dxa"/>
          </w:tcPr>
          <w:p w:rsidR="00884FEB" w:rsidRPr="0017440D" w:rsidRDefault="003105C6" w:rsidP="00D20C67">
            <w:pPr>
              <w:rPr>
                <w:rStyle w:val="InstructionsTabelleberschrift"/>
                <w:rFonts w:ascii="Times New Roman" w:hAnsi="Times New Roman"/>
              </w:rPr>
            </w:pPr>
            <w:r w:rsidRPr="003105C6">
              <w:rPr>
                <w:rStyle w:val="InstructionsTabelleberschrift"/>
                <w:rFonts w:ascii="Times New Roman" w:hAnsi="Times New Roman"/>
              </w:rPr>
              <w:t>Credit derivatives</w:t>
            </w:r>
          </w:p>
          <w:p w:rsidR="00884FEB" w:rsidRPr="0017440D" w:rsidRDefault="003105C6" w:rsidP="003C60B9">
            <w:pPr>
              <w:rPr>
                <w:rStyle w:val="InstructionsTabelleberschrift"/>
                <w:rFonts w:ascii="Times New Roman" w:hAnsi="Times New Roman"/>
              </w:rPr>
            </w:pPr>
            <w:r w:rsidRPr="003105C6">
              <w:rPr>
                <w:rStyle w:val="InstructionsTabelleText"/>
                <w:rFonts w:ascii="Times New Roman" w:hAnsi="Times New Roman"/>
              </w:rPr>
              <w:t>Article 199 of CRR.</w:t>
            </w:r>
          </w:p>
        </w:tc>
      </w:tr>
      <w:tr w:rsidR="00884FEB" w:rsidRPr="0017440D" w:rsidTr="00D20C67">
        <w:tc>
          <w:tcPr>
            <w:tcW w:w="1188" w:type="dxa"/>
          </w:tcPr>
          <w:p w:rsidR="00884FEB" w:rsidRPr="0017440D" w:rsidRDefault="003105C6" w:rsidP="00D20C67">
            <w:pPr>
              <w:rPr>
                <w:rStyle w:val="InstructionsTabelleText"/>
                <w:rFonts w:ascii="Times New Roman" w:hAnsi="Times New Roman"/>
              </w:rPr>
            </w:pPr>
            <w:r w:rsidRPr="003105C6">
              <w:rPr>
                <w:rStyle w:val="InstructionsTabelleText"/>
                <w:rFonts w:ascii="Times New Roman" w:hAnsi="Times New Roman"/>
              </w:rPr>
              <w:t>070 – 080</w:t>
            </w:r>
          </w:p>
          <w:p w:rsidR="00884FEB" w:rsidRPr="0017440D" w:rsidRDefault="00884FEB" w:rsidP="00D20C67">
            <w:pPr>
              <w:rPr>
                <w:rStyle w:val="InstructionsTabelleText"/>
                <w:rFonts w:ascii="Times New Roman" w:hAnsi="Times New Roman"/>
              </w:rPr>
            </w:pPr>
          </w:p>
        </w:tc>
        <w:tc>
          <w:tcPr>
            <w:tcW w:w="8640" w:type="dxa"/>
          </w:tcPr>
          <w:p w:rsidR="00884FEB" w:rsidRPr="0017440D" w:rsidRDefault="003105C6" w:rsidP="00D20C67">
            <w:pPr>
              <w:rPr>
                <w:rStyle w:val="InstructionsTabelleberschrift"/>
                <w:rFonts w:ascii="Times New Roman" w:hAnsi="Times New Roman"/>
              </w:rPr>
            </w:pPr>
            <w:r w:rsidRPr="003105C6">
              <w:rPr>
                <w:rStyle w:val="InstructionsTabelleberschrift"/>
                <w:rFonts w:ascii="Times New Roman" w:hAnsi="Times New Roman"/>
              </w:rPr>
              <w:t>Funded credit protection</w:t>
            </w:r>
          </w:p>
          <w:p w:rsidR="00884FEB" w:rsidRPr="0017440D" w:rsidRDefault="00884FEB" w:rsidP="00D20C67">
            <w:pPr>
              <w:rPr>
                <w:rStyle w:val="InstructionsTabelleText"/>
                <w:rFonts w:ascii="Times New Roman" w:hAnsi="Times New Roman"/>
              </w:rPr>
            </w:pPr>
          </w:p>
          <w:p w:rsidR="00884FEB" w:rsidRPr="0017440D" w:rsidRDefault="003105C6" w:rsidP="00D20C67">
            <w:pPr>
              <w:rPr>
                <w:rStyle w:val="InstructionsTabelleText"/>
                <w:rFonts w:ascii="Times New Roman" w:hAnsi="Times New Roman"/>
              </w:rPr>
            </w:pPr>
            <w:r w:rsidRPr="003105C6">
              <w:rPr>
                <w:rStyle w:val="InstructionsTabelleText"/>
                <w:rFonts w:ascii="Times New Roman" w:hAnsi="Times New Roman"/>
              </w:rPr>
              <w:t xml:space="preserve">This column included funded credit protection according to Article 4 (33) of </w:t>
            </w:r>
            <w:r w:rsidRPr="003105C6">
              <w:rPr>
                <w:rFonts w:ascii="Times New Roman" w:hAnsi="Times New Roman"/>
                <w:iCs/>
                <w:szCs w:val="20"/>
                <w:lang w:eastAsia="de-DE"/>
              </w:rPr>
              <w:t>CRR</w:t>
            </w:r>
            <w:r w:rsidRPr="003105C6">
              <w:rPr>
                <w:rStyle w:val="InstructionsTabelleText"/>
                <w:rFonts w:ascii="Times New Roman" w:hAnsi="Times New Roman"/>
              </w:rPr>
              <w:t xml:space="preserve"> and Articles 192, 193 and 196 of CRR. Therefore the rows do not include master netting agreements (already included in Original Exposure pre conversion factors). </w:t>
            </w:r>
          </w:p>
          <w:p w:rsidR="00884FEB" w:rsidRPr="0017440D" w:rsidRDefault="00884FEB" w:rsidP="00D20C67">
            <w:pPr>
              <w:rPr>
                <w:rStyle w:val="InstructionsTabelleText"/>
                <w:rFonts w:ascii="Times New Roman" w:hAnsi="Times New Roman"/>
              </w:rPr>
            </w:pPr>
          </w:p>
          <w:p w:rsidR="00884FEB" w:rsidRPr="0017440D" w:rsidRDefault="003105C6" w:rsidP="003C60B9">
            <w:pPr>
              <w:rPr>
                <w:rStyle w:val="InstructionsTabelleText"/>
                <w:rFonts w:ascii="Times New Roman" w:hAnsi="Times New Roman"/>
              </w:rPr>
            </w:pPr>
            <w:r w:rsidRPr="003105C6">
              <w:rPr>
                <w:rStyle w:val="InstructionsTabelleText"/>
                <w:rFonts w:ascii="Times New Roman" w:hAnsi="Times New Roman"/>
              </w:rPr>
              <w:t>Credit Linked Notes and on-balance sheet netting positions resulting from eligible on-balance sheet ne</w:t>
            </w:r>
            <w:r w:rsidRPr="003105C6">
              <w:rPr>
                <w:rStyle w:val="InstructionsTabelleText"/>
                <w:rFonts w:ascii="Times New Roman" w:hAnsi="Times New Roman"/>
              </w:rPr>
              <w:t>t</w:t>
            </w:r>
            <w:r w:rsidRPr="003105C6">
              <w:rPr>
                <w:rStyle w:val="InstructionsTabelleText"/>
                <w:rFonts w:ascii="Times New Roman" w:hAnsi="Times New Roman"/>
              </w:rPr>
              <w:t>ting agreements according to Articles 213 and 214 of CRR</w:t>
            </w:r>
            <w:r w:rsidR="00EC5C43">
              <w:rPr>
                <w:rStyle w:val="InstructionsTabelleText"/>
                <w:rFonts w:ascii="Times New Roman" w:hAnsi="Times New Roman"/>
              </w:rPr>
              <w:t xml:space="preserve"> </w:t>
            </w:r>
            <w:r w:rsidRPr="003105C6">
              <w:rPr>
                <w:rStyle w:val="InstructionsTabelleText"/>
                <w:rFonts w:ascii="Times New Roman" w:hAnsi="Times New Roman"/>
              </w:rPr>
              <w:t>are treated as cash collateral.</w:t>
            </w:r>
          </w:p>
        </w:tc>
      </w:tr>
      <w:tr w:rsidR="00884FEB" w:rsidRPr="0017440D" w:rsidTr="00D20C67">
        <w:tc>
          <w:tcPr>
            <w:tcW w:w="1188" w:type="dxa"/>
          </w:tcPr>
          <w:p w:rsidR="00884FEB" w:rsidRPr="0017440D" w:rsidRDefault="003105C6" w:rsidP="001273B5">
            <w:pPr>
              <w:rPr>
                <w:rStyle w:val="InstructionsTabelleText"/>
                <w:rFonts w:ascii="Times New Roman" w:hAnsi="Times New Roman"/>
              </w:rPr>
            </w:pPr>
            <w:r w:rsidRPr="003105C6">
              <w:rPr>
                <w:rStyle w:val="InstructionsTabelleText"/>
                <w:rFonts w:ascii="Times New Roman" w:hAnsi="Times New Roman"/>
              </w:rPr>
              <w:t>070</w:t>
            </w:r>
          </w:p>
        </w:tc>
        <w:tc>
          <w:tcPr>
            <w:tcW w:w="8640" w:type="dxa"/>
          </w:tcPr>
          <w:p w:rsidR="00884FEB" w:rsidRPr="0017440D" w:rsidRDefault="003105C6" w:rsidP="00D20C67">
            <w:pPr>
              <w:rPr>
                <w:rStyle w:val="InstructionsTabelleberschrift"/>
                <w:rFonts w:ascii="Times New Roman" w:hAnsi="Times New Roman"/>
              </w:rPr>
            </w:pPr>
            <w:r w:rsidRPr="003105C6">
              <w:rPr>
                <w:rStyle w:val="InstructionsTabelleberschrift"/>
                <w:rFonts w:ascii="Times New Roman" w:hAnsi="Times New Roman"/>
              </w:rPr>
              <w:t>Financial collateral: simple method</w:t>
            </w:r>
          </w:p>
          <w:p w:rsidR="00884FEB" w:rsidRPr="0017440D" w:rsidRDefault="003105C6" w:rsidP="00D20C67">
            <w:pPr>
              <w:rPr>
                <w:rStyle w:val="InstructionsTabelleText"/>
                <w:rFonts w:ascii="Times New Roman" w:hAnsi="Times New Roman"/>
              </w:rPr>
            </w:pPr>
            <w:r w:rsidRPr="003105C6">
              <w:rPr>
                <w:rFonts w:ascii="Times New Roman" w:hAnsi="Times New Roman"/>
                <w:bCs/>
              </w:rPr>
              <w:t>Article 217 (1) to (2) of CRR.</w:t>
            </w:r>
          </w:p>
          <w:p w:rsidR="00884FEB" w:rsidRPr="0017440D" w:rsidRDefault="003105C6" w:rsidP="003C60B9">
            <w:pPr>
              <w:rPr>
                <w:rStyle w:val="InstructionsTabelleberschrift"/>
                <w:rFonts w:ascii="Times New Roman" w:hAnsi="Times New Roman"/>
              </w:rPr>
            </w:pPr>
            <w:r w:rsidRPr="003105C6">
              <w:rPr>
                <w:rStyle w:val="InstructionsTabelleText"/>
                <w:rFonts w:ascii="Times New Roman" w:hAnsi="Times New Roman"/>
              </w:rPr>
              <w:t>Please see also general instructions of columns 040-090 with regard to CRM techniques with substit</w:t>
            </w:r>
            <w:r w:rsidRPr="003105C6">
              <w:rPr>
                <w:rStyle w:val="InstructionsTabelleText"/>
                <w:rFonts w:ascii="Times New Roman" w:hAnsi="Times New Roman"/>
              </w:rPr>
              <w:t>u</w:t>
            </w:r>
            <w:r w:rsidRPr="003105C6">
              <w:rPr>
                <w:rStyle w:val="InstructionsTabelleText"/>
                <w:rFonts w:ascii="Times New Roman" w:hAnsi="Times New Roman"/>
              </w:rPr>
              <w:t>tion effects.</w:t>
            </w:r>
          </w:p>
        </w:tc>
      </w:tr>
      <w:tr w:rsidR="00884FEB" w:rsidRPr="0017440D" w:rsidTr="00D20C67">
        <w:tc>
          <w:tcPr>
            <w:tcW w:w="1188" w:type="dxa"/>
          </w:tcPr>
          <w:p w:rsidR="00884FEB" w:rsidRPr="0017440D" w:rsidRDefault="003105C6" w:rsidP="00D20C67">
            <w:pPr>
              <w:rPr>
                <w:rStyle w:val="InstructionsTabelleText"/>
                <w:rFonts w:ascii="Times New Roman" w:hAnsi="Times New Roman"/>
              </w:rPr>
            </w:pPr>
            <w:r w:rsidRPr="003105C6">
              <w:rPr>
                <w:rStyle w:val="InstructionsTabelleText"/>
                <w:rFonts w:ascii="Times New Roman" w:hAnsi="Times New Roman"/>
              </w:rPr>
              <w:t>080</w:t>
            </w:r>
          </w:p>
        </w:tc>
        <w:tc>
          <w:tcPr>
            <w:tcW w:w="8640" w:type="dxa"/>
          </w:tcPr>
          <w:p w:rsidR="00884FEB" w:rsidRPr="0017440D" w:rsidRDefault="003105C6" w:rsidP="00D20C67">
            <w:pPr>
              <w:rPr>
                <w:rStyle w:val="InstructionsTabelleberschrift"/>
                <w:rFonts w:ascii="Times New Roman" w:hAnsi="Times New Roman"/>
              </w:rPr>
            </w:pPr>
            <w:r w:rsidRPr="003105C6">
              <w:rPr>
                <w:rStyle w:val="InstructionsTabelleberschrift"/>
                <w:rFonts w:ascii="Times New Roman" w:hAnsi="Times New Roman"/>
              </w:rPr>
              <w:t>Other funded credit protection</w:t>
            </w:r>
          </w:p>
          <w:p w:rsidR="00884FEB" w:rsidRPr="0017440D" w:rsidRDefault="00930478" w:rsidP="00D20C67">
            <w:pPr>
              <w:rPr>
                <w:rStyle w:val="InstructionsTabelleText"/>
                <w:rFonts w:ascii="Times New Roman" w:hAnsi="Times New Roman"/>
              </w:rPr>
            </w:pPr>
            <w:r>
              <w:rPr>
                <w:rStyle w:val="InstructionsTabelleText"/>
                <w:rFonts w:ascii="Times New Roman" w:hAnsi="Times New Roman"/>
              </w:rPr>
              <w:t>Article 227 of CRR.</w:t>
            </w:r>
          </w:p>
          <w:p w:rsidR="00884FEB" w:rsidRPr="0017440D" w:rsidRDefault="003105C6" w:rsidP="00D20C67">
            <w:pPr>
              <w:rPr>
                <w:rStyle w:val="InstructionsTabelleText"/>
                <w:rFonts w:ascii="Times New Roman" w:hAnsi="Times New Roman"/>
              </w:rPr>
            </w:pPr>
            <w:r w:rsidRPr="003105C6">
              <w:rPr>
                <w:rStyle w:val="InstructionsTabelleText"/>
                <w:rFonts w:ascii="Times New Roman" w:hAnsi="Times New Roman"/>
              </w:rPr>
              <w:t>Please see also general instructions of columns 040-090 with regard to CRM techniques with substit</w:t>
            </w:r>
            <w:r w:rsidRPr="003105C6">
              <w:rPr>
                <w:rStyle w:val="InstructionsTabelleText"/>
                <w:rFonts w:ascii="Times New Roman" w:hAnsi="Times New Roman"/>
              </w:rPr>
              <w:t>u</w:t>
            </w:r>
            <w:r w:rsidRPr="003105C6">
              <w:rPr>
                <w:rStyle w:val="InstructionsTabelleText"/>
                <w:rFonts w:ascii="Times New Roman" w:hAnsi="Times New Roman"/>
              </w:rPr>
              <w:t>tion effects.</w:t>
            </w:r>
          </w:p>
          <w:p w:rsidR="00884FEB" w:rsidRPr="0017440D" w:rsidRDefault="00884FEB" w:rsidP="003C60B9">
            <w:pPr>
              <w:rPr>
                <w:rStyle w:val="InstructionsTabelleberschrift"/>
                <w:rFonts w:ascii="Times New Roman" w:hAnsi="Times New Roman"/>
              </w:rPr>
            </w:pPr>
          </w:p>
        </w:tc>
      </w:tr>
      <w:tr w:rsidR="00884FEB" w:rsidRPr="0017440D" w:rsidTr="00D20C67">
        <w:tc>
          <w:tcPr>
            <w:tcW w:w="1188" w:type="dxa"/>
          </w:tcPr>
          <w:p w:rsidR="00884FEB" w:rsidRPr="0017440D" w:rsidRDefault="003105C6" w:rsidP="001273B5">
            <w:pPr>
              <w:rPr>
                <w:rStyle w:val="InstructionsTabelleText"/>
                <w:rFonts w:ascii="Times New Roman" w:hAnsi="Times New Roman"/>
              </w:rPr>
            </w:pPr>
            <w:r w:rsidRPr="003105C6">
              <w:rPr>
                <w:rStyle w:val="InstructionsTabelleText"/>
                <w:rFonts w:ascii="Times New Roman" w:hAnsi="Times New Roman"/>
              </w:rPr>
              <w:t>090 - 100</w:t>
            </w:r>
          </w:p>
        </w:tc>
        <w:tc>
          <w:tcPr>
            <w:tcW w:w="8640" w:type="dxa"/>
          </w:tcPr>
          <w:p w:rsidR="00884FEB" w:rsidRPr="0017440D" w:rsidRDefault="003105C6" w:rsidP="00D20C67">
            <w:pPr>
              <w:rPr>
                <w:rStyle w:val="InstructionsTabelleberschrift"/>
                <w:rFonts w:ascii="Times New Roman" w:hAnsi="Times New Roman"/>
              </w:rPr>
            </w:pPr>
            <w:r w:rsidRPr="003105C6">
              <w:rPr>
                <w:rStyle w:val="InstructionsTabelleberschrift"/>
                <w:rFonts w:ascii="Times New Roman" w:hAnsi="Times New Roman"/>
              </w:rPr>
              <w:t>SUBSTITUTION OF THE EXPOSURE DUE TO CRM</w:t>
            </w:r>
          </w:p>
          <w:p w:rsidR="00884FEB" w:rsidRPr="0017440D" w:rsidRDefault="003105C6" w:rsidP="00D20C67">
            <w:pPr>
              <w:rPr>
                <w:rStyle w:val="InstructionsTabelleText"/>
                <w:rFonts w:ascii="Times New Roman" w:hAnsi="Times New Roman"/>
              </w:rPr>
            </w:pPr>
            <w:r w:rsidRPr="003105C6">
              <w:rPr>
                <w:rStyle w:val="InstructionsTabelleText"/>
                <w:rFonts w:ascii="Times New Roman" w:hAnsi="Times New Roman"/>
              </w:rPr>
              <w:t>Articles 217 (3), Article 230 (1) to (2) and Article 231 of CRR.</w:t>
            </w:r>
          </w:p>
          <w:p w:rsidR="00884FEB" w:rsidRPr="0017440D" w:rsidRDefault="00884FEB" w:rsidP="00D20C67">
            <w:pPr>
              <w:rPr>
                <w:rStyle w:val="InstructionsTabelleText"/>
                <w:rFonts w:ascii="Times New Roman" w:hAnsi="Times New Roman"/>
              </w:rPr>
            </w:pPr>
          </w:p>
          <w:p w:rsidR="00884FEB" w:rsidRPr="0017440D" w:rsidRDefault="003105C6" w:rsidP="003C60B9">
            <w:pPr>
              <w:rPr>
                <w:rStyle w:val="InstructionsTabelleberschrift"/>
                <w:rFonts w:ascii="Times New Roman" w:hAnsi="Times New Roman"/>
              </w:rPr>
            </w:pPr>
            <w:r w:rsidRPr="003105C6">
              <w:rPr>
                <w:rStyle w:val="InstructionsTabelleText"/>
                <w:rFonts w:ascii="Times New Roman" w:hAnsi="Times New Roman"/>
              </w:rPr>
              <w:t>Please see also general instructions of columns 040-090 with regard to CRM techniques with substit</w:t>
            </w:r>
            <w:r w:rsidRPr="003105C6">
              <w:rPr>
                <w:rStyle w:val="InstructionsTabelleText"/>
                <w:rFonts w:ascii="Times New Roman" w:hAnsi="Times New Roman"/>
              </w:rPr>
              <w:t>u</w:t>
            </w:r>
            <w:r w:rsidRPr="003105C6">
              <w:rPr>
                <w:rStyle w:val="InstructionsTabelleText"/>
                <w:rFonts w:ascii="Times New Roman" w:hAnsi="Times New Roman"/>
              </w:rPr>
              <w:t>tion effects.</w:t>
            </w:r>
          </w:p>
        </w:tc>
      </w:tr>
      <w:tr w:rsidR="00884FEB" w:rsidRPr="0017440D" w:rsidTr="00D20C67">
        <w:tc>
          <w:tcPr>
            <w:tcW w:w="1188" w:type="dxa"/>
          </w:tcPr>
          <w:p w:rsidR="00884FEB" w:rsidRPr="0017440D" w:rsidRDefault="003105C6" w:rsidP="00D20C67">
            <w:pPr>
              <w:rPr>
                <w:rStyle w:val="InstructionsTabelleText"/>
                <w:rFonts w:ascii="Times New Roman" w:hAnsi="Times New Roman"/>
              </w:rPr>
            </w:pPr>
            <w:r w:rsidRPr="003105C6">
              <w:rPr>
                <w:rStyle w:val="InstructionsTabelleText"/>
                <w:rFonts w:ascii="Times New Roman" w:hAnsi="Times New Roman"/>
              </w:rPr>
              <w:t>090</w:t>
            </w:r>
          </w:p>
        </w:tc>
        <w:tc>
          <w:tcPr>
            <w:tcW w:w="8640" w:type="dxa"/>
          </w:tcPr>
          <w:p w:rsidR="00884FEB" w:rsidRPr="0017440D" w:rsidRDefault="003105C6" w:rsidP="00D20C67">
            <w:pPr>
              <w:rPr>
                <w:rStyle w:val="InstructionsTabelleberschrift"/>
                <w:rFonts w:ascii="Times New Roman" w:hAnsi="Times New Roman"/>
              </w:rPr>
            </w:pPr>
            <w:r w:rsidRPr="003105C6">
              <w:rPr>
                <w:rStyle w:val="InstructionsTabelleberschrift"/>
                <w:rFonts w:ascii="Times New Roman" w:hAnsi="Times New Roman"/>
              </w:rPr>
              <w:t>(-) Total Outflows</w:t>
            </w:r>
          </w:p>
        </w:tc>
      </w:tr>
      <w:tr w:rsidR="00884FEB" w:rsidRPr="0017440D" w:rsidTr="00D20C67">
        <w:tc>
          <w:tcPr>
            <w:tcW w:w="1188" w:type="dxa"/>
          </w:tcPr>
          <w:p w:rsidR="00884FEB" w:rsidRPr="0017440D" w:rsidRDefault="003105C6" w:rsidP="00D20C67">
            <w:pPr>
              <w:rPr>
                <w:rStyle w:val="InstructionsTabelleText"/>
                <w:rFonts w:ascii="Times New Roman" w:hAnsi="Times New Roman"/>
              </w:rPr>
            </w:pPr>
            <w:r w:rsidRPr="003105C6">
              <w:rPr>
                <w:rStyle w:val="InstructionsTabelleText"/>
                <w:rFonts w:ascii="Times New Roman" w:hAnsi="Times New Roman"/>
              </w:rPr>
              <w:t>100</w:t>
            </w:r>
          </w:p>
        </w:tc>
        <w:tc>
          <w:tcPr>
            <w:tcW w:w="8640" w:type="dxa"/>
          </w:tcPr>
          <w:p w:rsidR="00884FEB" w:rsidRPr="0017440D" w:rsidRDefault="003105C6" w:rsidP="00D20C67">
            <w:pPr>
              <w:rPr>
                <w:rStyle w:val="InstructionsTabelleberschrift"/>
                <w:rFonts w:ascii="Times New Roman" w:hAnsi="Times New Roman"/>
              </w:rPr>
            </w:pPr>
            <w:r w:rsidRPr="003105C6">
              <w:rPr>
                <w:rStyle w:val="InstructionsTabelleberschrift"/>
                <w:rFonts w:ascii="Times New Roman" w:hAnsi="Times New Roman"/>
              </w:rPr>
              <w:t>Total Inflows (+)</w:t>
            </w:r>
          </w:p>
        </w:tc>
      </w:tr>
      <w:tr w:rsidR="00884FEB" w:rsidRPr="0017440D" w:rsidTr="00D20C67">
        <w:tc>
          <w:tcPr>
            <w:tcW w:w="1188" w:type="dxa"/>
          </w:tcPr>
          <w:p w:rsidR="00884FEB" w:rsidRPr="0017440D" w:rsidRDefault="003105C6" w:rsidP="00601450">
            <w:pPr>
              <w:rPr>
                <w:rStyle w:val="InstructionsTabelleText"/>
                <w:rFonts w:ascii="Times New Roman" w:hAnsi="Times New Roman"/>
              </w:rPr>
            </w:pPr>
            <w:r w:rsidRPr="003105C6">
              <w:rPr>
                <w:rStyle w:val="InstructionsTabelleText"/>
                <w:rFonts w:ascii="Times New Roman" w:hAnsi="Times New Roman"/>
              </w:rPr>
              <w:t>110</w:t>
            </w:r>
          </w:p>
        </w:tc>
        <w:tc>
          <w:tcPr>
            <w:tcW w:w="8640" w:type="dxa"/>
          </w:tcPr>
          <w:p w:rsidR="00884FEB" w:rsidRPr="0017440D" w:rsidRDefault="003105C6" w:rsidP="00D20C67">
            <w:pPr>
              <w:rPr>
                <w:rStyle w:val="InstructionsTabelleberschrift"/>
                <w:rFonts w:ascii="Times New Roman" w:hAnsi="Times New Roman"/>
              </w:rPr>
            </w:pPr>
            <w:r w:rsidRPr="003105C6">
              <w:rPr>
                <w:rStyle w:val="InstructionsTabelleberschrift"/>
                <w:rFonts w:ascii="Times New Roman" w:hAnsi="Times New Roman"/>
              </w:rPr>
              <w:t>NET EXPOSURE AFTER CRM SUBSTITUTION EFFECTS PRE CONVERSION FACTORS</w:t>
            </w:r>
          </w:p>
          <w:p w:rsidR="00884FEB" w:rsidRPr="0017440D" w:rsidRDefault="003105C6" w:rsidP="00D20C67">
            <w:pPr>
              <w:rPr>
                <w:rStyle w:val="InstructionsTabelleText"/>
                <w:rFonts w:ascii="Times New Roman" w:hAnsi="Times New Roman"/>
              </w:rPr>
            </w:pPr>
            <w:r w:rsidRPr="003105C6">
              <w:rPr>
                <w:rStyle w:val="InstructionsTabelleText"/>
                <w:rFonts w:ascii="Times New Roman" w:hAnsi="Times New Roman"/>
              </w:rPr>
              <w:t>Exposure assigned in the corresponding risk weight and exposure class after taking into account ou</w:t>
            </w:r>
            <w:r w:rsidRPr="003105C6">
              <w:rPr>
                <w:rStyle w:val="InstructionsTabelleText"/>
                <w:rFonts w:ascii="Times New Roman" w:hAnsi="Times New Roman"/>
              </w:rPr>
              <w:t>t</w:t>
            </w:r>
            <w:r w:rsidRPr="003105C6">
              <w:rPr>
                <w:rStyle w:val="InstructionsTabelleText"/>
                <w:rFonts w:ascii="Times New Roman" w:hAnsi="Times New Roman"/>
              </w:rPr>
              <w:lastRenderedPageBreak/>
              <w:t>flows and inflows due to CREDIT RISK MITIGATION (CRM) TECHNIQUES WITH SUBSTIT</w:t>
            </w:r>
            <w:r w:rsidRPr="003105C6">
              <w:rPr>
                <w:rStyle w:val="InstructionsTabelleText"/>
                <w:rFonts w:ascii="Times New Roman" w:hAnsi="Times New Roman"/>
              </w:rPr>
              <w:t>U</w:t>
            </w:r>
            <w:r w:rsidRPr="003105C6">
              <w:rPr>
                <w:rStyle w:val="InstructionsTabelleText"/>
                <w:rFonts w:ascii="Times New Roman" w:hAnsi="Times New Roman"/>
              </w:rPr>
              <w:t>TION EFFECTS ON THE EXPOSURE</w:t>
            </w:r>
          </w:p>
        </w:tc>
      </w:tr>
      <w:tr w:rsidR="00884FEB" w:rsidRPr="0017440D" w:rsidTr="00D20C67">
        <w:tc>
          <w:tcPr>
            <w:tcW w:w="1188" w:type="dxa"/>
          </w:tcPr>
          <w:p w:rsidR="00884FEB" w:rsidRPr="0017440D" w:rsidRDefault="003105C6" w:rsidP="00601450">
            <w:pPr>
              <w:rPr>
                <w:rFonts w:ascii="Times New Roman" w:hAnsi="Times New Roman"/>
                <w:szCs w:val="20"/>
              </w:rPr>
            </w:pPr>
            <w:r w:rsidRPr="003105C6">
              <w:rPr>
                <w:rFonts w:ascii="Times New Roman" w:hAnsi="Times New Roman"/>
                <w:szCs w:val="20"/>
              </w:rPr>
              <w:lastRenderedPageBreak/>
              <w:t>120 - 140</w:t>
            </w:r>
          </w:p>
        </w:tc>
        <w:tc>
          <w:tcPr>
            <w:tcW w:w="8640" w:type="dxa"/>
          </w:tcPr>
          <w:p w:rsidR="00884FEB" w:rsidRPr="0017440D" w:rsidRDefault="003105C6" w:rsidP="00D20C67">
            <w:pPr>
              <w:rPr>
                <w:rFonts w:ascii="Times New Roman" w:hAnsi="Times New Roman"/>
                <w:b/>
                <w:szCs w:val="20"/>
                <w:u w:val="single"/>
              </w:rPr>
            </w:pPr>
            <w:r w:rsidRPr="003105C6">
              <w:rPr>
                <w:rFonts w:ascii="Times New Roman" w:hAnsi="Times New Roman"/>
                <w:b/>
                <w:szCs w:val="20"/>
                <w:u w:val="single"/>
              </w:rPr>
              <w:t>CREDIT RISK MITIGATION TECHNIQUES AFFECTING THE AMOUNT OF THE EXP</w:t>
            </w:r>
            <w:r w:rsidRPr="003105C6">
              <w:rPr>
                <w:rFonts w:ascii="Times New Roman" w:hAnsi="Times New Roman"/>
                <w:b/>
                <w:szCs w:val="20"/>
                <w:u w:val="single"/>
              </w:rPr>
              <w:t>O</w:t>
            </w:r>
            <w:r w:rsidRPr="003105C6">
              <w:rPr>
                <w:rFonts w:ascii="Times New Roman" w:hAnsi="Times New Roman"/>
                <w:b/>
                <w:szCs w:val="20"/>
                <w:u w:val="single"/>
              </w:rPr>
              <w:t>SURE. FUNDED CREDIT PROTECTION, FINANCIAL COLLATERAL METHOD</w:t>
            </w:r>
          </w:p>
          <w:p w:rsidR="00884FEB" w:rsidRPr="0017440D" w:rsidRDefault="003105C6" w:rsidP="00D20C67">
            <w:pPr>
              <w:rPr>
                <w:rFonts w:ascii="Times New Roman" w:hAnsi="Times New Roman"/>
              </w:rPr>
            </w:pPr>
            <w:r w:rsidRPr="003105C6">
              <w:rPr>
                <w:rFonts w:ascii="Times New Roman" w:hAnsi="Times New Roman"/>
              </w:rPr>
              <w:t>Articles 218, 219, 220, 221 and 222 of CRR. It also includes credit linked notes (Article 213 of CRR)</w:t>
            </w:r>
          </w:p>
          <w:p w:rsidR="00884FEB" w:rsidRPr="0017440D" w:rsidRDefault="00884FEB" w:rsidP="00D20C67">
            <w:pPr>
              <w:rPr>
                <w:rStyle w:val="InstructionsTabelleText"/>
                <w:rFonts w:ascii="Times New Roman" w:hAnsi="Times New Roman"/>
              </w:rPr>
            </w:pPr>
          </w:p>
          <w:p w:rsidR="00884FEB" w:rsidRPr="0017440D" w:rsidRDefault="003105C6" w:rsidP="00D20C67">
            <w:pPr>
              <w:rPr>
                <w:rStyle w:val="InstructionsTabelleText"/>
                <w:rFonts w:ascii="Times New Roman" w:hAnsi="Times New Roman"/>
              </w:rPr>
            </w:pPr>
            <w:r w:rsidRPr="003105C6">
              <w:rPr>
                <w:rStyle w:val="InstructionsTabelleText"/>
                <w:rFonts w:ascii="Times New Roman" w:hAnsi="Times New Roman"/>
              </w:rPr>
              <w:t>Credit Linked Notes and on-balance sheet netting positions resulting from eligible on-balance sheet ne</w:t>
            </w:r>
            <w:r w:rsidRPr="003105C6">
              <w:rPr>
                <w:rStyle w:val="InstructionsTabelleText"/>
                <w:rFonts w:ascii="Times New Roman" w:hAnsi="Times New Roman"/>
              </w:rPr>
              <w:t>t</w:t>
            </w:r>
            <w:r w:rsidRPr="003105C6">
              <w:rPr>
                <w:rStyle w:val="InstructionsTabelleText"/>
                <w:rFonts w:ascii="Times New Roman" w:hAnsi="Times New Roman"/>
              </w:rPr>
              <w:t>ting agreements according to Articles 213 and 214 of CRR are treated as cash collateral.</w:t>
            </w:r>
          </w:p>
          <w:p w:rsidR="00884FEB" w:rsidRPr="0017440D" w:rsidRDefault="00884FEB" w:rsidP="00D20C67">
            <w:pPr>
              <w:rPr>
                <w:rStyle w:val="InstructionsTabelleText"/>
                <w:rFonts w:ascii="Times New Roman" w:hAnsi="Times New Roman"/>
              </w:rPr>
            </w:pPr>
          </w:p>
          <w:p w:rsidR="00884FEB" w:rsidRPr="0017440D" w:rsidRDefault="003105C6" w:rsidP="00560B97">
            <w:pPr>
              <w:autoSpaceDE w:val="0"/>
              <w:autoSpaceDN w:val="0"/>
              <w:adjustRightInd w:val="0"/>
              <w:spacing w:before="0" w:after="0"/>
              <w:jc w:val="left"/>
              <w:rPr>
                <w:rStyle w:val="InstructionsTabelleText"/>
                <w:rFonts w:ascii="Times New Roman" w:hAnsi="Times New Roman"/>
              </w:rPr>
            </w:pPr>
            <w:r w:rsidRPr="003105C6">
              <w:rPr>
                <w:rStyle w:val="InstructionsTabelleText"/>
                <w:rFonts w:ascii="Times New Roman" w:hAnsi="Times New Roman"/>
              </w:rPr>
              <w:t>The effect of the collateralization of the Financial Collateral Comprehensive Method applied to an exp</w:t>
            </w:r>
            <w:r w:rsidRPr="003105C6">
              <w:rPr>
                <w:rStyle w:val="InstructionsTabelleText"/>
                <w:rFonts w:ascii="Times New Roman" w:hAnsi="Times New Roman"/>
              </w:rPr>
              <w:t>o</w:t>
            </w:r>
            <w:r w:rsidRPr="003105C6">
              <w:rPr>
                <w:rStyle w:val="InstructionsTabelleText"/>
                <w:rFonts w:ascii="Times New Roman" w:hAnsi="Times New Roman"/>
              </w:rPr>
              <w:t>sure, which is secured by eligible financial collateral, is calculated according to Articles 218, 219, 220, 221, 222 and 223 of CRR. These figures have to be reported in columns 1</w:t>
            </w:r>
            <w:r w:rsidR="00560B97">
              <w:rPr>
                <w:rStyle w:val="InstructionsTabelleText"/>
                <w:rFonts w:ascii="Times New Roman" w:hAnsi="Times New Roman"/>
              </w:rPr>
              <w:t>20</w:t>
            </w:r>
            <w:r w:rsidRPr="003105C6">
              <w:rPr>
                <w:rStyle w:val="InstructionsTabelleText"/>
                <w:rFonts w:ascii="Times New Roman" w:hAnsi="Times New Roman"/>
              </w:rPr>
              <w:t xml:space="preserve"> to 1</w:t>
            </w:r>
            <w:r w:rsidR="00560B97">
              <w:rPr>
                <w:rStyle w:val="InstructionsTabelleText"/>
                <w:rFonts w:ascii="Times New Roman" w:hAnsi="Times New Roman"/>
              </w:rPr>
              <w:t>4</w:t>
            </w:r>
            <w:r w:rsidRPr="003105C6">
              <w:rPr>
                <w:rStyle w:val="InstructionsTabelleText"/>
                <w:rFonts w:ascii="Times New Roman" w:hAnsi="Times New Roman"/>
              </w:rPr>
              <w:t xml:space="preserve">0 of CR SA. </w:t>
            </w:r>
          </w:p>
        </w:tc>
      </w:tr>
      <w:tr w:rsidR="00884FEB" w:rsidRPr="0017440D" w:rsidTr="00D20C67">
        <w:tc>
          <w:tcPr>
            <w:tcW w:w="1188" w:type="dxa"/>
          </w:tcPr>
          <w:p w:rsidR="00884FEB" w:rsidRPr="0017440D" w:rsidRDefault="003105C6" w:rsidP="00601450">
            <w:pPr>
              <w:rPr>
                <w:rFonts w:ascii="Times New Roman" w:hAnsi="Times New Roman"/>
                <w:szCs w:val="20"/>
              </w:rPr>
            </w:pPr>
            <w:r w:rsidRPr="003105C6">
              <w:rPr>
                <w:rFonts w:ascii="Times New Roman" w:hAnsi="Times New Roman"/>
                <w:szCs w:val="20"/>
              </w:rPr>
              <w:t>120</w:t>
            </w:r>
          </w:p>
        </w:tc>
        <w:tc>
          <w:tcPr>
            <w:tcW w:w="8640" w:type="dxa"/>
          </w:tcPr>
          <w:p w:rsidR="00884FEB" w:rsidRPr="0017440D" w:rsidRDefault="003105C6" w:rsidP="00D20C67">
            <w:pPr>
              <w:rPr>
                <w:rFonts w:ascii="Times New Roman" w:hAnsi="Times New Roman"/>
                <w:b/>
                <w:szCs w:val="20"/>
                <w:u w:val="single"/>
              </w:rPr>
            </w:pPr>
            <w:r w:rsidRPr="003105C6">
              <w:rPr>
                <w:rFonts w:ascii="Times New Roman" w:hAnsi="Times New Roman"/>
                <w:b/>
                <w:szCs w:val="20"/>
                <w:u w:val="single"/>
              </w:rPr>
              <w:t>Volatility adjustment to the exposure</w:t>
            </w:r>
          </w:p>
          <w:p w:rsidR="00884FEB" w:rsidRPr="0017440D" w:rsidRDefault="003105C6" w:rsidP="00D20C67">
            <w:pPr>
              <w:rPr>
                <w:rStyle w:val="InstructionsTabelleText"/>
                <w:rFonts w:ascii="Times New Roman" w:hAnsi="Times New Roman"/>
              </w:rPr>
            </w:pPr>
            <w:r w:rsidRPr="003105C6">
              <w:rPr>
                <w:rStyle w:val="InstructionsTabelleText"/>
                <w:rFonts w:ascii="Times New Roman" w:hAnsi="Times New Roman"/>
              </w:rPr>
              <w:t xml:space="preserve">Article 218 (2) to (3) of CRR. </w:t>
            </w:r>
          </w:p>
          <w:p w:rsidR="00884FEB" w:rsidRPr="0017440D" w:rsidRDefault="003105C6" w:rsidP="00D20C67">
            <w:pPr>
              <w:rPr>
                <w:rFonts w:ascii="Times New Roman" w:hAnsi="Times New Roman"/>
                <w:szCs w:val="20"/>
              </w:rPr>
            </w:pPr>
            <w:r w:rsidRPr="003105C6">
              <w:rPr>
                <w:rStyle w:val="InstructionsTabelleText"/>
                <w:rFonts w:ascii="Times New Roman" w:hAnsi="Times New Roman"/>
              </w:rPr>
              <w:t>The amount to be reported is given by the impact of  the volatility adjustment to the exposure (Eva-E) = E*He</w:t>
            </w:r>
          </w:p>
        </w:tc>
      </w:tr>
      <w:tr w:rsidR="00884FEB" w:rsidRPr="0017440D" w:rsidTr="00D20C67">
        <w:tc>
          <w:tcPr>
            <w:tcW w:w="1188" w:type="dxa"/>
          </w:tcPr>
          <w:p w:rsidR="00884FEB" w:rsidRPr="0017440D" w:rsidRDefault="003105C6" w:rsidP="00D20C67">
            <w:pPr>
              <w:rPr>
                <w:rFonts w:ascii="Times New Roman" w:hAnsi="Times New Roman"/>
                <w:szCs w:val="20"/>
              </w:rPr>
            </w:pPr>
            <w:r w:rsidRPr="003105C6">
              <w:rPr>
                <w:rFonts w:ascii="Times New Roman" w:hAnsi="Times New Roman"/>
                <w:szCs w:val="20"/>
              </w:rPr>
              <w:t>130</w:t>
            </w:r>
          </w:p>
        </w:tc>
        <w:tc>
          <w:tcPr>
            <w:tcW w:w="8640" w:type="dxa"/>
          </w:tcPr>
          <w:p w:rsidR="00884FEB" w:rsidRPr="0017440D" w:rsidRDefault="003C4D40" w:rsidP="00D20C67">
            <w:pPr>
              <w:rPr>
                <w:rFonts w:ascii="Times New Roman" w:hAnsi="Times New Roman"/>
                <w:b/>
                <w:szCs w:val="20"/>
                <w:u w:val="single"/>
              </w:rPr>
            </w:pPr>
            <w:r>
              <w:rPr>
                <w:rFonts w:ascii="Times New Roman" w:hAnsi="Times New Roman"/>
                <w:b/>
                <w:szCs w:val="20"/>
                <w:u w:val="single"/>
              </w:rPr>
              <w:t xml:space="preserve">(-) </w:t>
            </w:r>
            <w:r w:rsidR="003105C6" w:rsidRPr="003105C6">
              <w:rPr>
                <w:rFonts w:ascii="Times New Roman" w:hAnsi="Times New Roman"/>
                <w:b/>
                <w:szCs w:val="20"/>
                <w:u w:val="single"/>
              </w:rPr>
              <w:t>Financial collateral adjusted value (</w:t>
            </w:r>
            <w:proofErr w:type="spellStart"/>
            <w:r w:rsidR="003105C6" w:rsidRPr="003105C6">
              <w:rPr>
                <w:rFonts w:ascii="Times New Roman" w:hAnsi="Times New Roman"/>
                <w:b/>
                <w:szCs w:val="20"/>
                <w:u w:val="single"/>
              </w:rPr>
              <w:t>Cvam</w:t>
            </w:r>
            <w:proofErr w:type="spellEnd"/>
            <w:r w:rsidR="003105C6" w:rsidRPr="003105C6">
              <w:rPr>
                <w:rFonts w:ascii="Times New Roman" w:hAnsi="Times New Roman"/>
                <w:b/>
                <w:szCs w:val="20"/>
                <w:u w:val="single"/>
              </w:rPr>
              <w:t>)</w:t>
            </w:r>
          </w:p>
          <w:p w:rsidR="00884FEB" w:rsidRPr="0017440D" w:rsidRDefault="003105C6" w:rsidP="00D20C67">
            <w:pPr>
              <w:rPr>
                <w:rStyle w:val="InstructionsTabelleText"/>
                <w:rFonts w:ascii="Times New Roman" w:hAnsi="Times New Roman"/>
              </w:rPr>
            </w:pPr>
            <w:r w:rsidRPr="003105C6">
              <w:rPr>
                <w:rStyle w:val="InstructionsTabelleText"/>
                <w:rFonts w:ascii="Times New Roman" w:hAnsi="Times New Roman"/>
              </w:rPr>
              <w:t>Article 234 (2) of CRR.</w:t>
            </w:r>
          </w:p>
          <w:p w:rsidR="00884FEB" w:rsidRPr="0017440D" w:rsidRDefault="00884FEB" w:rsidP="00D20C67">
            <w:pPr>
              <w:rPr>
                <w:rStyle w:val="InstructionsTabelleText"/>
                <w:rFonts w:ascii="Times New Roman" w:hAnsi="Times New Roman"/>
              </w:rPr>
            </w:pPr>
          </w:p>
          <w:p w:rsidR="00884FEB" w:rsidRPr="0017440D" w:rsidRDefault="003105C6" w:rsidP="00D20C67">
            <w:pPr>
              <w:rPr>
                <w:rStyle w:val="InstructionsTabelleText"/>
                <w:rFonts w:ascii="Times New Roman" w:hAnsi="Times New Roman"/>
              </w:rPr>
            </w:pPr>
            <w:r w:rsidRPr="003105C6">
              <w:rPr>
                <w:rStyle w:val="InstructionsTabelleText"/>
                <w:rFonts w:ascii="Times New Roman" w:hAnsi="Times New Roman"/>
              </w:rPr>
              <w:t>For trading book operations includes financial collateral and commodities eligible for trading book e</w:t>
            </w:r>
            <w:r w:rsidRPr="003105C6">
              <w:rPr>
                <w:rStyle w:val="InstructionsTabelleText"/>
                <w:rFonts w:ascii="Times New Roman" w:hAnsi="Times New Roman"/>
              </w:rPr>
              <w:t>x</w:t>
            </w:r>
            <w:r w:rsidRPr="003105C6">
              <w:rPr>
                <w:rStyle w:val="InstructionsTabelleText"/>
                <w:rFonts w:ascii="Times New Roman" w:hAnsi="Times New Roman"/>
              </w:rPr>
              <w:t xml:space="preserve">posures according to Article 293 (2) points (c) to (f) of CCR. </w:t>
            </w:r>
          </w:p>
          <w:p w:rsidR="00884FEB" w:rsidRPr="0017440D" w:rsidRDefault="003105C6" w:rsidP="00621A9B">
            <w:pPr>
              <w:rPr>
                <w:rStyle w:val="InstructionsTabelleText"/>
                <w:rFonts w:ascii="Times New Roman" w:hAnsi="Times New Roman"/>
              </w:rPr>
            </w:pPr>
            <w:r w:rsidRPr="003105C6">
              <w:rPr>
                <w:rStyle w:val="InstructionsTabelleText"/>
                <w:rFonts w:ascii="Times New Roman" w:hAnsi="Times New Roman"/>
              </w:rPr>
              <w:t xml:space="preserve">The amount to be reported corresponds to </w:t>
            </w:r>
            <w:proofErr w:type="spellStart"/>
            <w:r w:rsidRPr="003105C6">
              <w:rPr>
                <w:rStyle w:val="InstructionsTabelleText"/>
                <w:rFonts w:ascii="Times New Roman" w:hAnsi="Times New Roman"/>
              </w:rPr>
              <w:t>Cvam</w:t>
            </w:r>
            <w:proofErr w:type="spellEnd"/>
            <w:r w:rsidRPr="003105C6">
              <w:rPr>
                <w:rStyle w:val="InstructionsTabelleText"/>
                <w:rFonts w:ascii="Times New Roman" w:hAnsi="Times New Roman"/>
              </w:rPr>
              <w:t>= C*(1-Hc-Hfx)*(t-t*)</w:t>
            </w:r>
            <w:proofErr w:type="gramStart"/>
            <w:r w:rsidRPr="003105C6">
              <w:rPr>
                <w:rStyle w:val="InstructionsTabelleText"/>
                <w:rFonts w:ascii="Times New Roman" w:hAnsi="Times New Roman"/>
              </w:rPr>
              <w:t>/(</w:t>
            </w:r>
            <w:proofErr w:type="gramEnd"/>
            <w:r w:rsidRPr="003105C6">
              <w:rPr>
                <w:rStyle w:val="InstructionsTabelleText"/>
                <w:rFonts w:ascii="Times New Roman" w:hAnsi="Times New Roman"/>
              </w:rPr>
              <w:t xml:space="preserve">T-t*), where for a definition of C, </w:t>
            </w:r>
            <w:proofErr w:type="spellStart"/>
            <w:r w:rsidRPr="003105C6">
              <w:rPr>
                <w:rStyle w:val="InstructionsTabelleText"/>
                <w:rFonts w:ascii="Times New Roman" w:hAnsi="Times New Roman"/>
              </w:rPr>
              <w:t>Hc</w:t>
            </w:r>
            <w:proofErr w:type="spellEnd"/>
            <w:r w:rsidRPr="003105C6">
              <w:rPr>
                <w:rStyle w:val="InstructionsTabelleText"/>
                <w:rFonts w:ascii="Times New Roman" w:hAnsi="Times New Roman"/>
              </w:rPr>
              <w:t xml:space="preserve">, </w:t>
            </w:r>
            <w:proofErr w:type="spellStart"/>
            <w:r w:rsidRPr="003105C6">
              <w:rPr>
                <w:rStyle w:val="InstructionsTabelleText"/>
                <w:rFonts w:ascii="Times New Roman" w:hAnsi="Times New Roman"/>
              </w:rPr>
              <w:t>Hfx</w:t>
            </w:r>
            <w:proofErr w:type="spellEnd"/>
            <w:r w:rsidRPr="003105C6">
              <w:rPr>
                <w:rStyle w:val="InstructionsTabelleText"/>
                <w:rFonts w:ascii="Times New Roman" w:hAnsi="Times New Roman"/>
              </w:rPr>
              <w:t>, t, T and t* see part 3 title II chapter 4 sectio</w:t>
            </w:r>
            <w:r w:rsidR="00621A9B">
              <w:rPr>
                <w:rStyle w:val="InstructionsTabelleText"/>
                <w:rFonts w:ascii="Times New Roman" w:hAnsi="Times New Roman"/>
              </w:rPr>
              <w:t>n</w:t>
            </w:r>
            <w:r w:rsidRPr="003105C6">
              <w:rPr>
                <w:rStyle w:val="InstructionsTabelleText"/>
                <w:rFonts w:ascii="Times New Roman" w:hAnsi="Times New Roman"/>
              </w:rPr>
              <w:t xml:space="preserve"> 4 and 5 of CRR.</w:t>
            </w:r>
          </w:p>
        </w:tc>
      </w:tr>
      <w:tr w:rsidR="00884FEB" w:rsidRPr="0017440D" w:rsidTr="00D20C67">
        <w:tc>
          <w:tcPr>
            <w:tcW w:w="1188" w:type="dxa"/>
          </w:tcPr>
          <w:p w:rsidR="00884FEB" w:rsidRPr="0017440D" w:rsidRDefault="003105C6" w:rsidP="00601450">
            <w:pPr>
              <w:rPr>
                <w:rFonts w:ascii="Times New Roman" w:hAnsi="Times New Roman"/>
                <w:szCs w:val="20"/>
              </w:rPr>
            </w:pPr>
            <w:r w:rsidRPr="003105C6">
              <w:rPr>
                <w:rFonts w:ascii="Times New Roman" w:hAnsi="Times New Roman"/>
                <w:szCs w:val="20"/>
              </w:rPr>
              <w:t>140</w:t>
            </w:r>
          </w:p>
        </w:tc>
        <w:tc>
          <w:tcPr>
            <w:tcW w:w="8640" w:type="dxa"/>
          </w:tcPr>
          <w:p w:rsidR="00884FEB" w:rsidRPr="0017440D" w:rsidRDefault="003C4D40" w:rsidP="00D20C67">
            <w:pPr>
              <w:rPr>
                <w:rFonts w:ascii="Times New Roman" w:hAnsi="Times New Roman"/>
                <w:b/>
                <w:szCs w:val="20"/>
                <w:u w:val="single"/>
              </w:rPr>
            </w:pPr>
            <w:r>
              <w:rPr>
                <w:rFonts w:ascii="Times New Roman" w:hAnsi="Times New Roman"/>
                <w:b/>
                <w:szCs w:val="20"/>
                <w:u w:val="single"/>
              </w:rPr>
              <w:t xml:space="preserve">Of which: </w:t>
            </w:r>
            <w:r w:rsidR="003105C6" w:rsidRPr="003105C6">
              <w:rPr>
                <w:rFonts w:ascii="Times New Roman" w:hAnsi="Times New Roman"/>
                <w:b/>
                <w:szCs w:val="20"/>
                <w:u w:val="single"/>
              </w:rPr>
              <w:t>Volatility and maturity adjustments</w:t>
            </w:r>
          </w:p>
          <w:p w:rsidR="00884FEB" w:rsidRPr="0017440D" w:rsidRDefault="003105C6" w:rsidP="00D20C67">
            <w:pPr>
              <w:rPr>
                <w:rStyle w:val="InstructionsTabelleText"/>
                <w:rFonts w:ascii="Times New Roman" w:hAnsi="Times New Roman"/>
              </w:rPr>
            </w:pPr>
            <w:r w:rsidRPr="003105C6">
              <w:rPr>
                <w:rStyle w:val="InstructionsTabelleText"/>
                <w:rFonts w:ascii="Times New Roman" w:hAnsi="Times New Roman"/>
              </w:rPr>
              <w:t xml:space="preserve">Article 218 (1) of CRR and Article 234 (2) of CRR. </w:t>
            </w:r>
          </w:p>
          <w:p w:rsidR="00884FEB" w:rsidRPr="0017440D" w:rsidRDefault="003105C6" w:rsidP="00D20C67">
            <w:pPr>
              <w:rPr>
                <w:rFonts w:ascii="Times New Roman" w:hAnsi="Times New Roman"/>
                <w:szCs w:val="20"/>
              </w:rPr>
            </w:pPr>
            <w:r w:rsidRPr="003105C6">
              <w:rPr>
                <w:rStyle w:val="InstructionsTabelleText"/>
                <w:rFonts w:ascii="Times New Roman" w:hAnsi="Times New Roman"/>
              </w:rPr>
              <w:t>The amount to be reported is the joint impact of volatility and maturity adjustments (</w:t>
            </w:r>
            <w:proofErr w:type="spellStart"/>
            <w:r w:rsidRPr="003105C6">
              <w:rPr>
                <w:rStyle w:val="InstructionsTabelleText"/>
                <w:rFonts w:ascii="Times New Roman" w:hAnsi="Times New Roman"/>
              </w:rPr>
              <w:t>Cvam</w:t>
            </w:r>
            <w:proofErr w:type="spellEnd"/>
            <w:r w:rsidRPr="003105C6">
              <w:rPr>
                <w:rStyle w:val="InstructionsTabelleText"/>
                <w:rFonts w:ascii="Times New Roman" w:hAnsi="Times New Roman"/>
              </w:rPr>
              <w:t>-C) = C*[(1-Hc-Hfx)*(t-t*)/(T-t*)-1], where the impact of volatility adjustment is (</w:t>
            </w:r>
            <w:proofErr w:type="spellStart"/>
            <w:r w:rsidRPr="003105C6">
              <w:rPr>
                <w:rStyle w:val="InstructionsTabelleText"/>
                <w:rFonts w:ascii="Times New Roman" w:hAnsi="Times New Roman"/>
              </w:rPr>
              <w:t>Cva</w:t>
            </w:r>
            <w:proofErr w:type="spellEnd"/>
            <w:r w:rsidRPr="003105C6">
              <w:rPr>
                <w:rStyle w:val="InstructionsTabelleText"/>
                <w:rFonts w:ascii="Times New Roman" w:hAnsi="Times New Roman"/>
              </w:rPr>
              <w:t>-C) = C*[(1-Hc-Hfx)-1] and the impact of maturity adjustments is (</w:t>
            </w:r>
            <w:proofErr w:type="spellStart"/>
            <w:r w:rsidRPr="003105C6">
              <w:rPr>
                <w:rStyle w:val="InstructionsTabelleText"/>
                <w:rFonts w:ascii="Times New Roman" w:hAnsi="Times New Roman"/>
              </w:rPr>
              <w:t>Cvam-Cva</w:t>
            </w:r>
            <w:proofErr w:type="spellEnd"/>
            <w:r w:rsidRPr="003105C6">
              <w:rPr>
                <w:rStyle w:val="InstructionsTabelleText"/>
                <w:rFonts w:ascii="Times New Roman" w:hAnsi="Times New Roman"/>
              </w:rPr>
              <w:t>)= C*(1-Hc-Hfx)*[(t-t*)/(T-t*)-1]</w:t>
            </w:r>
          </w:p>
        </w:tc>
      </w:tr>
      <w:tr w:rsidR="00884FEB" w:rsidRPr="0017440D" w:rsidTr="00D20C67">
        <w:tc>
          <w:tcPr>
            <w:tcW w:w="1188" w:type="dxa"/>
          </w:tcPr>
          <w:p w:rsidR="00884FEB" w:rsidRPr="0017440D" w:rsidRDefault="003105C6" w:rsidP="00D20C67">
            <w:pPr>
              <w:rPr>
                <w:rFonts w:ascii="Times New Roman" w:hAnsi="Times New Roman"/>
                <w:szCs w:val="20"/>
              </w:rPr>
            </w:pPr>
            <w:r w:rsidRPr="003105C6">
              <w:rPr>
                <w:rFonts w:ascii="Times New Roman" w:hAnsi="Times New Roman"/>
                <w:szCs w:val="20"/>
              </w:rPr>
              <w:t>150</w:t>
            </w:r>
          </w:p>
        </w:tc>
        <w:tc>
          <w:tcPr>
            <w:tcW w:w="8640" w:type="dxa"/>
          </w:tcPr>
          <w:p w:rsidR="00884FEB" w:rsidRPr="0017440D" w:rsidRDefault="003105C6" w:rsidP="00D20C67">
            <w:pPr>
              <w:rPr>
                <w:rFonts w:ascii="Times New Roman" w:hAnsi="Times New Roman"/>
                <w:b/>
                <w:szCs w:val="20"/>
                <w:u w:val="single"/>
              </w:rPr>
            </w:pPr>
            <w:r w:rsidRPr="003105C6">
              <w:rPr>
                <w:rFonts w:ascii="Times New Roman" w:hAnsi="Times New Roman"/>
                <w:b/>
                <w:szCs w:val="20"/>
                <w:u w:val="single"/>
              </w:rPr>
              <w:t>Fully adjusted exposure value (E*)</w:t>
            </w:r>
          </w:p>
          <w:p w:rsidR="00884FEB" w:rsidRPr="0017440D" w:rsidRDefault="003105C6" w:rsidP="003C60B9">
            <w:pPr>
              <w:rPr>
                <w:rFonts w:ascii="Times New Roman" w:hAnsi="Times New Roman"/>
                <w:b/>
                <w:szCs w:val="20"/>
                <w:u w:val="single"/>
              </w:rPr>
            </w:pPr>
            <w:r w:rsidRPr="003105C6">
              <w:rPr>
                <w:rFonts w:ascii="Times New Roman" w:hAnsi="Times New Roman"/>
                <w:szCs w:val="20"/>
              </w:rPr>
              <w:t>Article 215 (4), Article 218 (2) to (5) and Article 223 (1) of CRR.</w:t>
            </w:r>
          </w:p>
        </w:tc>
      </w:tr>
      <w:tr w:rsidR="00884FEB" w:rsidRPr="0017440D" w:rsidTr="00D20C67">
        <w:tc>
          <w:tcPr>
            <w:tcW w:w="1188" w:type="dxa"/>
          </w:tcPr>
          <w:p w:rsidR="00884FEB" w:rsidRPr="0017440D" w:rsidRDefault="003105C6" w:rsidP="00601450">
            <w:pPr>
              <w:rPr>
                <w:rFonts w:ascii="Times New Roman" w:hAnsi="Times New Roman"/>
                <w:szCs w:val="20"/>
              </w:rPr>
            </w:pPr>
            <w:r w:rsidRPr="003105C6">
              <w:rPr>
                <w:rFonts w:ascii="Times New Roman" w:hAnsi="Times New Roman"/>
                <w:szCs w:val="20"/>
              </w:rPr>
              <w:t>160 - 190</w:t>
            </w:r>
          </w:p>
        </w:tc>
        <w:tc>
          <w:tcPr>
            <w:tcW w:w="8640" w:type="dxa"/>
          </w:tcPr>
          <w:p w:rsidR="00884FEB" w:rsidRPr="0017440D" w:rsidRDefault="003105C6" w:rsidP="00D20C67">
            <w:pPr>
              <w:rPr>
                <w:rFonts w:ascii="Times New Roman" w:hAnsi="Times New Roman"/>
                <w:b/>
                <w:szCs w:val="20"/>
                <w:u w:val="single"/>
              </w:rPr>
            </w:pPr>
            <w:r w:rsidRPr="003105C6">
              <w:rPr>
                <w:rFonts w:ascii="Times New Roman" w:hAnsi="Times New Roman"/>
                <w:b/>
                <w:szCs w:val="20"/>
                <w:u w:val="single"/>
              </w:rPr>
              <w:t>Breakdown of the fully adjusted exposure of off-balance sheet items by conversion factors</w:t>
            </w:r>
          </w:p>
          <w:p w:rsidR="00884FEB" w:rsidRPr="0017440D" w:rsidRDefault="003105C6" w:rsidP="003C60B9">
            <w:pPr>
              <w:rPr>
                <w:rFonts w:ascii="Times New Roman" w:hAnsi="Times New Roman"/>
                <w:b/>
                <w:szCs w:val="20"/>
                <w:u w:val="single"/>
              </w:rPr>
            </w:pPr>
            <w:r w:rsidRPr="003105C6">
              <w:rPr>
                <w:rFonts w:ascii="Times New Roman" w:hAnsi="Times New Roman"/>
                <w:szCs w:val="20"/>
              </w:rPr>
              <w:t>Article 106 (1) and Article 4 (30) of CRR. See also Article 217 (3) and Article 223 (1) of CRR.</w:t>
            </w:r>
          </w:p>
        </w:tc>
      </w:tr>
      <w:tr w:rsidR="00884FEB" w:rsidRPr="0017440D" w:rsidTr="00D20C67">
        <w:tc>
          <w:tcPr>
            <w:tcW w:w="1188" w:type="dxa"/>
          </w:tcPr>
          <w:p w:rsidR="00884FEB" w:rsidRPr="0017440D" w:rsidRDefault="003105C6" w:rsidP="00D20C67">
            <w:pPr>
              <w:rPr>
                <w:rFonts w:ascii="Times New Roman" w:hAnsi="Times New Roman"/>
                <w:szCs w:val="20"/>
              </w:rPr>
            </w:pPr>
            <w:r w:rsidRPr="003105C6">
              <w:rPr>
                <w:rFonts w:ascii="Times New Roman" w:hAnsi="Times New Roman"/>
                <w:szCs w:val="20"/>
              </w:rPr>
              <w:t>200</w:t>
            </w:r>
          </w:p>
        </w:tc>
        <w:tc>
          <w:tcPr>
            <w:tcW w:w="8640" w:type="dxa"/>
          </w:tcPr>
          <w:p w:rsidR="00884FEB" w:rsidRPr="0017440D" w:rsidRDefault="003105C6" w:rsidP="00D20C67">
            <w:pPr>
              <w:rPr>
                <w:rFonts w:ascii="Times New Roman" w:hAnsi="Times New Roman"/>
                <w:b/>
                <w:szCs w:val="20"/>
                <w:u w:val="single"/>
              </w:rPr>
            </w:pPr>
            <w:r w:rsidRPr="003105C6">
              <w:rPr>
                <w:rFonts w:ascii="Times New Roman" w:hAnsi="Times New Roman"/>
                <w:b/>
                <w:szCs w:val="20"/>
                <w:u w:val="single"/>
              </w:rPr>
              <w:t>Exposure value</w:t>
            </w:r>
          </w:p>
          <w:p w:rsidR="00884FEB" w:rsidRPr="0017440D" w:rsidRDefault="003105C6" w:rsidP="00D20C67">
            <w:pPr>
              <w:rPr>
                <w:rStyle w:val="InstructionsTabelleText"/>
                <w:rFonts w:ascii="Times New Roman" w:hAnsi="Times New Roman"/>
              </w:rPr>
            </w:pPr>
            <w:r w:rsidRPr="003105C6">
              <w:rPr>
                <w:rStyle w:val="InstructionsTabelleText"/>
                <w:rFonts w:ascii="Times New Roman" w:hAnsi="Times New Roman"/>
              </w:rPr>
              <w:t>Part 3 title II chapter 4 section 4 of CRR.</w:t>
            </w:r>
          </w:p>
          <w:p w:rsidR="00884FEB" w:rsidRPr="0017440D" w:rsidRDefault="003105C6" w:rsidP="003C60B9">
            <w:pPr>
              <w:rPr>
                <w:rStyle w:val="InstructionsTabelleText"/>
                <w:rFonts w:ascii="Times New Roman" w:hAnsi="Times New Roman"/>
              </w:rPr>
            </w:pPr>
            <w:r w:rsidRPr="003105C6">
              <w:rPr>
                <w:rStyle w:val="InstructionsTabelleText"/>
                <w:rFonts w:ascii="Times New Roman" w:hAnsi="Times New Roman"/>
              </w:rPr>
              <w:t xml:space="preserve">Exposure value after taking into account value adjustments, all credit risk </w:t>
            </w:r>
            <w:proofErr w:type="spellStart"/>
            <w:r w:rsidRPr="003105C6">
              <w:rPr>
                <w:rStyle w:val="InstructionsTabelleText"/>
                <w:rFonts w:ascii="Times New Roman" w:hAnsi="Times New Roman"/>
              </w:rPr>
              <w:t>mitigants</w:t>
            </w:r>
            <w:proofErr w:type="spellEnd"/>
            <w:r w:rsidRPr="003105C6">
              <w:rPr>
                <w:rStyle w:val="InstructionsTabelleText"/>
                <w:rFonts w:ascii="Times New Roman" w:hAnsi="Times New Roman"/>
              </w:rPr>
              <w:t xml:space="preserve"> and credit conve</w:t>
            </w:r>
            <w:r w:rsidRPr="003105C6">
              <w:rPr>
                <w:rStyle w:val="InstructionsTabelleText"/>
                <w:rFonts w:ascii="Times New Roman" w:hAnsi="Times New Roman"/>
              </w:rPr>
              <w:t>r</w:t>
            </w:r>
            <w:r w:rsidRPr="003105C6">
              <w:rPr>
                <w:rStyle w:val="InstructionsTabelleText"/>
                <w:rFonts w:ascii="Times New Roman" w:hAnsi="Times New Roman"/>
              </w:rPr>
              <w:t>sion factors that is to be assigned to risk weights according to Article 108 and part 3 title II chapter 2 section 2 of CRR.</w:t>
            </w:r>
          </w:p>
        </w:tc>
      </w:tr>
      <w:tr w:rsidR="00884FEB" w:rsidRPr="0017440D" w:rsidTr="00D20C67">
        <w:tc>
          <w:tcPr>
            <w:tcW w:w="1188" w:type="dxa"/>
          </w:tcPr>
          <w:p w:rsidR="00884FEB" w:rsidRPr="0017440D" w:rsidRDefault="003105C6" w:rsidP="00D20C67">
            <w:pPr>
              <w:rPr>
                <w:rFonts w:ascii="Times New Roman" w:hAnsi="Times New Roman"/>
                <w:szCs w:val="20"/>
              </w:rPr>
            </w:pPr>
            <w:r w:rsidRPr="003105C6">
              <w:rPr>
                <w:rStyle w:val="InstructionsTabelleText"/>
                <w:rFonts w:ascii="Times New Roman" w:hAnsi="Times New Roman"/>
              </w:rPr>
              <w:t>210</w:t>
            </w:r>
          </w:p>
        </w:tc>
        <w:tc>
          <w:tcPr>
            <w:tcW w:w="8640" w:type="dxa"/>
          </w:tcPr>
          <w:p w:rsidR="00884FEB" w:rsidRPr="0017440D" w:rsidRDefault="003105C6" w:rsidP="00D20C67">
            <w:pPr>
              <w:rPr>
                <w:rStyle w:val="InstructionsTabelleberschrift"/>
                <w:rFonts w:ascii="Times New Roman" w:hAnsi="Times New Roman"/>
              </w:rPr>
            </w:pPr>
            <w:r w:rsidRPr="003105C6">
              <w:rPr>
                <w:rStyle w:val="InstructionsTabelleberschrift"/>
                <w:rFonts w:ascii="Times New Roman" w:hAnsi="Times New Roman"/>
              </w:rPr>
              <w:t>Of which: Arising from Counterparty Credit Risk</w:t>
            </w:r>
          </w:p>
          <w:p w:rsidR="00884FEB" w:rsidRPr="0017440D" w:rsidRDefault="003105C6" w:rsidP="00D51B89">
            <w:pPr>
              <w:rPr>
                <w:rFonts w:ascii="Times New Roman" w:hAnsi="Times New Roman"/>
                <w:b/>
                <w:szCs w:val="20"/>
                <w:u w:val="single"/>
              </w:rPr>
            </w:pPr>
            <w:r w:rsidRPr="003105C6">
              <w:rPr>
                <w:rStyle w:val="InstructionsTabelleText"/>
                <w:rFonts w:ascii="Times New Roman" w:hAnsi="Times New Roman"/>
              </w:rPr>
              <w:t>For Derivative instruments, repurchase transactions, securities or commodities lending or borrowing transactions, long settlement transactions and margin lending transactions subject to part 3 title II chapter 6 of CRR, the original exposure will correspond to the Exposure Value for Counterparty Credit Risk ca</w:t>
            </w:r>
            <w:r w:rsidRPr="003105C6">
              <w:rPr>
                <w:rStyle w:val="InstructionsTabelleText"/>
                <w:rFonts w:ascii="Times New Roman" w:hAnsi="Times New Roman"/>
              </w:rPr>
              <w:t>l</w:t>
            </w:r>
            <w:r w:rsidRPr="003105C6">
              <w:rPr>
                <w:rStyle w:val="InstructionsTabelleText"/>
                <w:rFonts w:ascii="Times New Roman" w:hAnsi="Times New Roman"/>
              </w:rPr>
              <w:t>culated according to the methods laid down in part 3 title II chapter 6 sections 3, 4, 5, 6 and 7 of CRR.</w:t>
            </w:r>
          </w:p>
        </w:tc>
      </w:tr>
      <w:tr w:rsidR="00530FC7" w:rsidRPr="0017440D" w:rsidTr="00D20C67">
        <w:tc>
          <w:tcPr>
            <w:tcW w:w="1188" w:type="dxa"/>
          </w:tcPr>
          <w:p w:rsidR="00530FC7" w:rsidRPr="0017440D" w:rsidRDefault="00930478" w:rsidP="00D20C67">
            <w:pPr>
              <w:rPr>
                <w:rFonts w:ascii="Times New Roman" w:hAnsi="Times New Roman"/>
                <w:szCs w:val="20"/>
              </w:rPr>
            </w:pPr>
            <w:r>
              <w:rPr>
                <w:rFonts w:ascii="Times New Roman" w:hAnsi="Times New Roman"/>
                <w:szCs w:val="20"/>
              </w:rPr>
              <w:lastRenderedPageBreak/>
              <w:t>220</w:t>
            </w:r>
          </w:p>
        </w:tc>
        <w:tc>
          <w:tcPr>
            <w:tcW w:w="8640" w:type="dxa"/>
          </w:tcPr>
          <w:p w:rsidR="00530FC7" w:rsidRPr="0017440D" w:rsidRDefault="003105C6" w:rsidP="00D20C67">
            <w:pPr>
              <w:rPr>
                <w:rFonts w:ascii="Times New Roman" w:hAnsi="Times New Roman"/>
                <w:b/>
                <w:szCs w:val="20"/>
                <w:u w:val="single"/>
              </w:rPr>
            </w:pPr>
            <w:r w:rsidRPr="003105C6">
              <w:rPr>
                <w:rFonts w:ascii="Times New Roman" w:hAnsi="Times New Roman"/>
                <w:b/>
                <w:szCs w:val="20"/>
                <w:u w:val="single"/>
              </w:rPr>
              <w:t>Risk weighted exposure amount</w:t>
            </w:r>
          </w:p>
          <w:p w:rsidR="00530FC7" w:rsidRPr="0017440D" w:rsidRDefault="003105C6" w:rsidP="00D20C67">
            <w:pPr>
              <w:rPr>
                <w:rFonts w:ascii="Times New Roman" w:hAnsi="Times New Roman"/>
                <w:b/>
                <w:szCs w:val="20"/>
                <w:u w:val="single"/>
              </w:rPr>
            </w:pPr>
            <w:r w:rsidRPr="003105C6">
              <w:rPr>
                <w:rFonts w:ascii="Times New Roman" w:hAnsi="Times New Roman"/>
                <w:szCs w:val="20"/>
              </w:rPr>
              <w:t>Article 108 (1) to (5) of CRR.</w:t>
            </w:r>
          </w:p>
        </w:tc>
      </w:tr>
      <w:tr w:rsidR="00597562" w:rsidRPr="0017440D" w:rsidTr="001A6EB3">
        <w:tc>
          <w:tcPr>
            <w:tcW w:w="1188" w:type="dxa"/>
            <w:shd w:val="clear" w:color="auto" w:fill="auto"/>
          </w:tcPr>
          <w:p w:rsidR="00597562" w:rsidRPr="003105C6" w:rsidRDefault="00930478" w:rsidP="00D20C67">
            <w:pPr>
              <w:rPr>
                <w:rFonts w:ascii="Times New Roman" w:hAnsi="Times New Roman"/>
                <w:szCs w:val="20"/>
              </w:rPr>
            </w:pPr>
            <w:r>
              <w:rPr>
                <w:rFonts w:ascii="Times New Roman" w:hAnsi="Times New Roman"/>
                <w:szCs w:val="20"/>
              </w:rPr>
              <w:t>230</w:t>
            </w:r>
          </w:p>
        </w:tc>
        <w:tc>
          <w:tcPr>
            <w:tcW w:w="8640" w:type="dxa"/>
            <w:shd w:val="clear" w:color="auto" w:fill="auto"/>
          </w:tcPr>
          <w:p w:rsidR="00597562" w:rsidRPr="00597562" w:rsidRDefault="00DD5FC1" w:rsidP="00DD5FC1">
            <w:pPr>
              <w:rPr>
                <w:rFonts w:ascii="Times New Roman" w:hAnsi="Times New Roman"/>
                <w:szCs w:val="20"/>
              </w:rPr>
            </w:pPr>
            <w:r w:rsidRPr="00DD5FC1">
              <w:rPr>
                <w:rFonts w:ascii="Times New Roman" w:hAnsi="Times New Roman"/>
                <w:b/>
                <w:szCs w:val="20"/>
                <w:u w:val="single"/>
              </w:rPr>
              <w:t xml:space="preserve">Of which: with </w:t>
            </w:r>
            <w:r>
              <w:rPr>
                <w:rFonts w:ascii="Times New Roman" w:hAnsi="Times New Roman"/>
                <w:b/>
                <w:szCs w:val="20"/>
                <w:u w:val="single"/>
              </w:rPr>
              <w:t>a</w:t>
            </w:r>
            <w:r w:rsidRPr="00DD5FC1">
              <w:rPr>
                <w:rFonts w:ascii="Times New Roman" w:hAnsi="Times New Roman"/>
                <w:b/>
                <w:szCs w:val="20"/>
                <w:u w:val="single"/>
              </w:rPr>
              <w:t xml:space="preserve"> credit assessment by a nominated ECAI</w:t>
            </w:r>
          </w:p>
        </w:tc>
      </w:tr>
      <w:tr w:rsidR="00597562" w:rsidRPr="0017440D" w:rsidTr="001A6EB3">
        <w:tc>
          <w:tcPr>
            <w:tcW w:w="1188" w:type="dxa"/>
            <w:shd w:val="clear" w:color="auto" w:fill="auto"/>
          </w:tcPr>
          <w:p w:rsidR="00597562" w:rsidRPr="003105C6" w:rsidRDefault="00930478" w:rsidP="00D20C67">
            <w:pPr>
              <w:rPr>
                <w:rFonts w:ascii="Times New Roman" w:hAnsi="Times New Roman"/>
                <w:szCs w:val="20"/>
              </w:rPr>
            </w:pPr>
            <w:r>
              <w:rPr>
                <w:rFonts w:ascii="Times New Roman" w:hAnsi="Times New Roman"/>
                <w:szCs w:val="20"/>
              </w:rPr>
              <w:t>240</w:t>
            </w:r>
          </w:p>
        </w:tc>
        <w:tc>
          <w:tcPr>
            <w:tcW w:w="8640" w:type="dxa"/>
            <w:shd w:val="clear" w:color="auto" w:fill="auto"/>
          </w:tcPr>
          <w:p w:rsidR="00DD5FC1" w:rsidRPr="00DD5FC1" w:rsidRDefault="00DD5FC1" w:rsidP="00DD5FC1">
            <w:pPr>
              <w:rPr>
                <w:rFonts w:ascii="Times New Roman" w:hAnsi="Times New Roman"/>
                <w:b/>
                <w:szCs w:val="20"/>
                <w:u w:val="single"/>
              </w:rPr>
            </w:pPr>
            <w:r w:rsidRPr="00DD5FC1">
              <w:rPr>
                <w:rFonts w:ascii="Times New Roman" w:hAnsi="Times New Roman"/>
                <w:b/>
                <w:szCs w:val="20"/>
                <w:u w:val="single"/>
              </w:rPr>
              <w:t>O</w:t>
            </w:r>
            <w:r>
              <w:rPr>
                <w:rFonts w:ascii="Times New Roman" w:hAnsi="Times New Roman"/>
                <w:b/>
                <w:szCs w:val="20"/>
                <w:u w:val="single"/>
              </w:rPr>
              <w:t>f which</w:t>
            </w:r>
            <w:r w:rsidRPr="00DD5FC1">
              <w:rPr>
                <w:rFonts w:ascii="Times New Roman" w:hAnsi="Times New Roman"/>
                <w:b/>
                <w:szCs w:val="20"/>
                <w:u w:val="single"/>
              </w:rPr>
              <w:t xml:space="preserve">:  </w:t>
            </w:r>
            <w:r>
              <w:rPr>
                <w:rFonts w:ascii="Times New Roman" w:hAnsi="Times New Roman"/>
                <w:b/>
                <w:szCs w:val="20"/>
                <w:u w:val="single"/>
              </w:rPr>
              <w:t>with a</w:t>
            </w:r>
            <w:r w:rsidRPr="00DD5FC1">
              <w:rPr>
                <w:rFonts w:ascii="Times New Roman" w:hAnsi="Times New Roman"/>
                <w:b/>
                <w:szCs w:val="20"/>
                <w:u w:val="single"/>
              </w:rPr>
              <w:t xml:space="preserve"> </w:t>
            </w:r>
            <w:r>
              <w:rPr>
                <w:rFonts w:ascii="Times New Roman" w:hAnsi="Times New Roman"/>
                <w:b/>
                <w:szCs w:val="20"/>
                <w:u w:val="single"/>
              </w:rPr>
              <w:t>credit</w:t>
            </w:r>
            <w:r w:rsidRPr="00DD5FC1">
              <w:rPr>
                <w:rFonts w:ascii="Times New Roman" w:hAnsi="Times New Roman"/>
                <w:b/>
                <w:szCs w:val="20"/>
                <w:u w:val="single"/>
              </w:rPr>
              <w:t xml:space="preserve"> </w:t>
            </w:r>
            <w:r>
              <w:rPr>
                <w:rFonts w:ascii="Times New Roman" w:hAnsi="Times New Roman"/>
                <w:b/>
                <w:szCs w:val="20"/>
                <w:u w:val="single"/>
              </w:rPr>
              <w:t>assessment</w:t>
            </w:r>
            <w:r w:rsidRPr="00DD5FC1">
              <w:rPr>
                <w:rFonts w:ascii="Times New Roman" w:hAnsi="Times New Roman"/>
                <w:b/>
                <w:szCs w:val="20"/>
                <w:u w:val="single"/>
              </w:rPr>
              <w:t xml:space="preserve"> </w:t>
            </w:r>
            <w:r>
              <w:rPr>
                <w:rFonts w:ascii="Times New Roman" w:hAnsi="Times New Roman"/>
                <w:b/>
                <w:szCs w:val="20"/>
                <w:u w:val="single"/>
              </w:rPr>
              <w:t>derived from central government</w:t>
            </w:r>
          </w:p>
          <w:p w:rsidR="00597562" w:rsidRPr="00597562" w:rsidRDefault="00597562" w:rsidP="00D20C67">
            <w:pPr>
              <w:rPr>
                <w:rFonts w:ascii="Times New Roman" w:hAnsi="Times New Roman"/>
                <w:szCs w:val="20"/>
              </w:rPr>
            </w:pPr>
          </w:p>
        </w:tc>
      </w:tr>
    </w:tbl>
    <w:p w:rsidR="00884FEB" w:rsidRPr="0017440D" w:rsidRDefault="00884FEB" w:rsidP="00884FEB">
      <w:pPr>
        <w:rPr>
          <w:rFonts w:ascii="Times New Roman" w:hAnsi="Times New Roman"/>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88"/>
        <w:gridCol w:w="8701"/>
      </w:tblGrid>
      <w:tr w:rsidR="00884FEB" w:rsidRPr="0017440D" w:rsidTr="007F0442">
        <w:tc>
          <w:tcPr>
            <w:tcW w:w="1188" w:type="dxa"/>
            <w:shd w:val="clear" w:color="auto" w:fill="CCCCCC"/>
          </w:tcPr>
          <w:p w:rsidR="00884FEB" w:rsidRPr="0017440D" w:rsidRDefault="003105C6" w:rsidP="00D20C67">
            <w:pPr>
              <w:rPr>
                <w:rStyle w:val="InstructionsTabelleText"/>
                <w:rFonts w:ascii="Times New Roman" w:hAnsi="Times New Roman"/>
              </w:rPr>
            </w:pPr>
            <w:r w:rsidRPr="003105C6">
              <w:rPr>
                <w:rStyle w:val="InstructionsTabelleText"/>
                <w:rFonts w:ascii="Times New Roman" w:hAnsi="Times New Roman"/>
              </w:rPr>
              <w:t>rows</w:t>
            </w:r>
          </w:p>
        </w:tc>
        <w:tc>
          <w:tcPr>
            <w:tcW w:w="8701" w:type="dxa"/>
            <w:shd w:val="clear" w:color="auto" w:fill="CCCCCC"/>
          </w:tcPr>
          <w:p w:rsidR="00884FEB" w:rsidRPr="0017440D" w:rsidRDefault="003105C6" w:rsidP="00D20C67">
            <w:pPr>
              <w:ind w:left="72"/>
              <w:rPr>
                <w:rStyle w:val="InstructionsTabelleText"/>
                <w:rFonts w:ascii="Times New Roman" w:hAnsi="Times New Roman"/>
              </w:rPr>
            </w:pPr>
            <w:r w:rsidRPr="003105C6">
              <w:rPr>
                <w:rStyle w:val="InstructionsTabelleText"/>
                <w:rFonts w:ascii="Times New Roman" w:hAnsi="Times New Roman"/>
              </w:rPr>
              <w:t>Instructions</w:t>
            </w:r>
          </w:p>
        </w:tc>
      </w:tr>
      <w:tr w:rsidR="00884FEB" w:rsidRPr="0017440D" w:rsidTr="007F0442">
        <w:tc>
          <w:tcPr>
            <w:tcW w:w="1188" w:type="dxa"/>
          </w:tcPr>
          <w:p w:rsidR="00884FEB" w:rsidRPr="0017440D" w:rsidRDefault="003105C6" w:rsidP="00D20C67">
            <w:pPr>
              <w:rPr>
                <w:rStyle w:val="InstructionsTabelleText"/>
                <w:rFonts w:ascii="Times New Roman" w:hAnsi="Times New Roman"/>
              </w:rPr>
            </w:pPr>
            <w:r w:rsidRPr="003105C6">
              <w:rPr>
                <w:rStyle w:val="InstructionsTabelleText"/>
                <w:rFonts w:ascii="Times New Roman" w:hAnsi="Times New Roman"/>
              </w:rPr>
              <w:t>010</w:t>
            </w:r>
          </w:p>
        </w:tc>
        <w:tc>
          <w:tcPr>
            <w:tcW w:w="8701" w:type="dxa"/>
          </w:tcPr>
          <w:p w:rsidR="00884FEB" w:rsidRPr="0017440D" w:rsidRDefault="003105C6" w:rsidP="00D20C67">
            <w:pPr>
              <w:ind w:left="72"/>
              <w:rPr>
                <w:rFonts w:ascii="Times New Roman" w:hAnsi="Times New Roman"/>
                <w:b/>
                <w:bCs/>
                <w:u w:val="single"/>
              </w:rPr>
            </w:pPr>
            <w:r w:rsidRPr="003105C6">
              <w:rPr>
                <w:rStyle w:val="InstructionsTabelleberschrift"/>
                <w:rFonts w:ascii="Times New Roman" w:hAnsi="Times New Roman"/>
              </w:rPr>
              <w:t>Total exposures</w:t>
            </w:r>
          </w:p>
        </w:tc>
      </w:tr>
      <w:tr w:rsidR="00D51B89" w:rsidRPr="00FC6BDB" w:rsidTr="00FC6BDB">
        <w:tc>
          <w:tcPr>
            <w:tcW w:w="1188" w:type="dxa"/>
            <w:shd w:val="clear" w:color="auto" w:fill="auto"/>
          </w:tcPr>
          <w:p w:rsidR="00D51B89" w:rsidRPr="00FC6BDB" w:rsidRDefault="00D51B89" w:rsidP="00455364">
            <w:pPr>
              <w:rPr>
                <w:rStyle w:val="InstructionsTabelleText"/>
                <w:rFonts w:ascii="Times New Roman" w:hAnsi="Times New Roman"/>
                <w:lang w:val="en-US"/>
              </w:rPr>
            </w:pPr>
            <w:r w:rsidRPr="00FC6BDB">
              <w:rPr>
                <w:rStyle w:val="InstructionsTabelleText"/>
                <w:rFonts w:ascii="Times New Roman" w:hAnsi="Times New Roman"/>
                <w:lang w:val="en-US"/>
              </w:rPr>
              <w:t>011</w:t>
            </w:r>
          </w:p>
        </w:tc>
        <w:tc>
          <w:tcPr>
            <w:tcW w:w="8701" w:type="dxa"/>
            <w:shd w:val="clear" w:color="auto" w:fill="auto"/>
          </w:tcPr>
          <w:p w:rsidR="00D51B89" w:rsidRPr="00FC6BDB" w:rsidRDefault="00D51B89" w:rsidP="00D20C67">
            <w:pPr>
              <w:ind w:left="72"/>
              <w:rPr>
                <w:rStyle w:val="InstructionsTabelleberschrift"/>
                <w:rFonts w:ascii="Times New Roman" w:hAnsi="Times New Roman"/>
              </w:rPr>
            </w:pPr>
            <w:r w:rsidRPr="00FC6BDB">
              <w:rPr>
                <w:rStyle w:val="InstructionsTabelleberschrift"/>
                <w:rFonts w:ascii="Times New Roman" w:hAnsi="Times New Roman"/>
              </w:rPr>
              <w:t>of which: SME</w:t>
            </w:r>
          </w:p>
          <w:p w:rsidR="00FC6BDB" w:rsidRPr="00FC6BDB" w:rsidRDefault="00FC6BDB" w:rsidP="00FC6BDB">
            <w:pPr>
              <w:rPr>
                <w:rStyle w:val="InstructionsTabelleText"/>
                <w:rFonts w:ascii="Times New Roman" w:hAnsi="Times New Roman"/>
                <w:bCs/>
              </w:rPr>
            </w:pPr>
            <w:r w:rsidRPr="00FC6BDB">
              <w:rPr>
                <w:rStyle w:val="InstructionsTabelleText"/>
                <w:rFonts w:ascii="Times New Roman" w:hAnsi="Times New Roman"/>
                <w:bCs/>
              </w:rPr>
              <w:t>For exposure class Retail:</w:t>
            </w:r>
          </w:p>
          <w:p w:rsidR="00FC6BDB" w:rsidRPr="00FC6BDB" w:rsidRDefault="00FC6BDB" w:rsidP="00FC6BDB">
            <w:pPr>
              <w:rPr>
                <w:rStyle w:val="InstructionsTabelleText"/>
                <w:rFonts w:ascii="Times New Roman" w:hAnsi="Times New Roman"/>
                <w:bCs/>
              </w:rPr>
            </w:pPr>
            <w:r w:rsidRPr="00FC6BDB">
              <w:rPr>
                <w:rStyle w:val="InstructionsTabelleText"/>
                <w:rFonts w:ascii="Times New Roman" w:hAnsi="Times New Roman"/>
                <w:bCs/>
              </w:rPr>
              <w:t>Small and medium sized entities that meet the requirements as in Article 118 of CRR.</w:t>
            </w:r>
          </w:p>
          <w:p w:rsidR="00FC6BDB" w:rsidRPr="00FC6BDB" w:rsidRDefault="00FC6BDB" w:rsidP="00FC6BDB">
            <w:pPr>
              <w:rPr>
                <w:rStyle w:val="InstructionsTabelleText"/>
                <w:rFonts w:ascii="Times New Roman" w:hAnsi="Times New Roman"/>
                <w:bCs/>
              </w:rPr>
            </w:pPr>
            <w:r w:rsidRPr="00FC6BDB">
              <w:rPr>
                <w:rStyle w:val="InstructionsTabelleText"/>
                <w:rFonts w:ascii="Times New Roman" w:hAnsi="Times New Roman"/>
                <w:bCs/>
              </w:rPr>
              <w:t>Only reported in exposure class 'Retail'</w:t>
            </w:r>
          </w:p>
          <w:p w:rsidR="00FC6BDB" w:rsidRPr="00FC6BDB" w:rsidRDefault="00FC6BDB" w:rsidP="00FC6BDB">
            <w:pPr>
              <w:rPr>
                <w:rStyle w:val="InstructionsTabelleText"/>
                <w:rFonts w:ascii="Times New Roman" w:hAnsi="Times New Roman"/>
                <w:bCs/>
              </w:rPr>
            </w:pPr>
          </w:p>
          <w:p w:rsidR="00FC6BDB" w:rsidRPr="00FC6BDB" w:rsidRDefault="00FC6BDB" w:rsidP="00FC6BDB">
            <w:pPr>
              <w:rPr>
                <w:rStyle w:val="InstructionsTabelleText"/>
                <w:rFonts w:ascii="Times New Roman" w:hAnsi="Times New Roman"/>
                <w:bCs/>
              </w:rPr>
            </w:pPr>
            <w:r w:rsidRPr="00FC6BDB">
              <w:rPr>
                <w:rStyle w:val="InstructionsTabelleText"/>
                <w:rFonts w:ascii="Times New Roman" w:hAnsi="Times New Roman"/>
                <w:bCs/>
              </w:rPr>
              <w:t>For exposure class Corporates:</w:t>
            </w:r>
          </w:p>
          <w:p w:rsidR="00FC6BDB" w:rsidRPr="00FC6BDB" w:rsidRDefault="00FC6BDB" w:rsidP="00FC6BDB">
            <w:pPr>
              <w:rPr>
                <w:rStyle w:val="InstructionsTabelleText"/>
                <w:rFonts w:ascii="Times New Roman" w:hAnsi="Times New Roman"/>
                <w:bCs/>
              </w:rPr>
            </w:pPr>
            <w:r w:rsidRPr="00FC6BDB">
              <w:rPr>
                <w:rStyle w:val="InstructionsTabelleText"/>
                <w:rFonts w:ascii="Times New Roman" w:hAnsi="Times New Roman"/>
                <w:bCs/>
              </w:rPr>
              <w:t>Small and medium sized entities that do not meet the requirements as in Article 118 of CRR.</w:t>
            </w:r>
          </w:p>
          <w:p w:rsidR="00D51B89" w:rsidRPr="00FC6BDB" w:rsidRDefault="00FC6BDB" w:rsidP="00FC6BDB">
            <w:pPr>
              <w:rPr>
                <w:rStyle w:val="InstructionsTabelleberschrift"/>
                <w:rFonts w:ascii="Times New Roman" w:hAnsi="Times New Roman"/>
              </w:rPr>
            </w:pPr>
            <w:r w:rsidRPr="00FC6BDB">
              <w:rPr>
                <w:rStyle w:val="InstructionsTabelleText"/>
                <w:rFonts w:ascii="Times New Roman" w:hAnsi="Times New Roman"/>
                <w:bCs/>
              </w:rPr>
              <w:t>Only reported in exposure class 'Corporates'</w:t>
            </w:r>
          </w:p>
        </w:tc>
      </w:tr>
      <w:tr w:rsidR="00D51B89" w:rsidRPr="0017440D" w:rsidTr="00FC6BDB">
        <w:tc>
          <w:tcPr>
            <w:tcW w:w="1188" w:type="dxa"/>
            <w:shd w:val="clear" w:color="auto" w:fill="auto"/>
          </w:tcPr>
          <w:p w:rsidR="00D51B89" w:rsidRPr="00FC6BDB" w:rsidRDefault="00D51B89" w:rsidP="00455364">
            <w:pPr>
              <w:rPr>
                <w:rStyle w:val="InstructionsTabelleText"/>
                <w:rFonts w:ascii="Times New Roman" w:hAnsi="Times New Roman"/>
              </w:rPr>
            </w:pPr>
            <w:r w:rsidRPr="00FC6BDB">
              <w:rPr>
                <w:rStyle w:val="InstructionsTabelleText"/>
                <w:rFonts w:ascii="Times New Roman" w:hAnsi="Times New Roman"/>
              </w:rPr>
              <w:t>01</w:t>
            </w:r>
            <w:r w:rsidR="00FC6BDB" w:rsidRPr="00FC6BDB">
              <w:rPr>
                <w:rStyle w:val="InstructionsTabelleText"/>
                <w:rFonts w:ascii="Times New Roman" w:hAnsi="Times New Roman"/>
              </w:rPr>
              <w:t>2</w:t>
            </w:r>
          </w:p>
        </w:tc>
        <w:tc>
          <w:tcPr>
            <w:tcW w:w="8701" w:type="dxa"/>
            <w:shd w:val="clear" w:color="auto" w:fill="auto"/>
          </w:tcPr>
          <w:p w:rsidR="00D51B89" w:rsidRPr="00FC6BDB" w:rsidRDefault="00D51B89" w:rsidP="00D20C67">
            <w:pPr>
              <w:ind w:left="72"/>
              <w:rPr>
                <w:rStyle w:val="InstructionsTabelleberschrift"/>
                <w:rFonts w:ascii="Times New Roman" w:hAnsi="Times New Roman"/>
              </w:rPr>
            </w:pPr>
            <w:r w:rsidRPr="00FC6BDB">
              <w:rPr>
                <w:rStyle w:val="InstructionsTabelleberschrift"/>
                <w:rFonts w:ascii="Times New Roman" w:hAnsi="Times New Roman"/>
              </w:rPr>
              <w:t>of which: Secured by mortgages on immovable property - Residential property</w:t>
            </w:r>
          </w:p>
          <w:p w:rsidR="00D51B89" w:rsidRPr="00FC6BDB" w:rsidRDefault="00D51B89" w:rsidP="00D51B89">
            <w:pPr>
              <w:rPr>
                <w:rStyle w:val="InstructionsTabelleText"/>
                <w:rFonts w:ascii="Times New Roman" w:hAnsi="Times New Roman"/>
                <w:bCs/>
              </w:rPr>
            </w:pPr>
            <w:r w:rsidRPr="00FC6BDB">
              <w:rPr>
                <w:rStyle w:val="InstructionsTabelleText"/>
                <w:rFonts w:ascii="Times New Roman" w:hAnsi="Times New Roman"/>
                <w:bCs/>
              </w:rPr>
              <w:t>Article 120 of CRR.</w:t>
            </w:r>
          </w:p>
          <w:p w:rsidR="00D51B89" w:rsidRPr="003105C6" w:rsidRDefault="00D51B89" w:rsidP="00D51B89">
            <w:pPr>
              <w:rPr>
                <w:rStyle w:val="InstructionsTabelleberschrift"/>
                <w:rFonts w:ascii="Times New Roman" w:hAnsi="Times New Roman"/>
              </w:rPr>
            </w:pPr>
            <w:r w:rsidRPr="00FC6BDB">
              <w:rPr>
                <w:rStyle w:val="InstructionsTabelleText"/>
                <w:rFonts w:ascii="Times New Roman" w:hAnsi="Times New Roman"/>
                <w:bCs/>
              </w:rPr>
              <w:t>Only reported in exposure class 'Secured by mortgages on immovable property'</w:t>
            </w:r>
          </w:p>
        </w:tc>
      </w:tr>
      <w:tr w:rsidR="00BC69F8" w:rsidRPr="0017440D" w:rsidTr="00FC6BDB">
        <w:tc>
          <w:tcPr>
            <w:tcW w:w="1188" w:type="dxa"/>
            <w:shd w:val="clear" w:color="auto" w:fill="auto"/>
          </w:tcPr>
          <w:p w:rsidR="00BC69F8" w:rsidRPr="00FC6BDB" w:rsidRDefault="00BC69F8" w:rsidP="00455364">
            <w:pPr>
              <w:rPr>
                <w:rStyle w:val="InstructionsTabelleText"/>
                <w:rFonts w:ascii="Times New Roman" w:hAnsi="Times New Roman"/>
              </w:rPr>
            </w:pPr>
            <w:r>
              <w:rPr>
                <w:rStyle w:val="InstructionsTabelleText"/>
                <w:rFonts w:ascii="Times New Roman" w:hAnsi="Times New Roman"/>
              </w:rPr>
              <w:t>013</w:t>
            </w:r>
          </w:p>
        </w:tc>
        <w:tc>
          <w:tcPr>
            <w:tcW w:w="8701" w:type="dxa"/>
            <w:shd w:val="clear" w:color="auto" w:fill="auto"/>
          </w:tcPr>
          <w:p w:rsidR="00BC69F8" w:rsidRDefault="00BC69F8" w:rsidP="00D20C67">
            <w:pPr>
              <w:ind w:left="72"/>
              <w:rPr>
                <w:rStyle w:val="InstructionsTabelleberschrift"/>
                <w:rFonts w:ascii="Times New Roman" w:hAnsi="Times New Roman"/>
              </w:rPr>
            </w:pPr>
            <w:r w:rsidRPr="00BC69F8">
              <w:rPr>
                <w:rStyle w:val="InstructionsTabelleberschrift"/>
                <w:rFonts w:ascii="Times New Roman" w:hAnsi="Times New Roman"/>
              </w:rPr>
              <w:t>of which: Exposures under the permanent partial use of the standardised approach</w:t>
            </w:r>
          </w:p>
          <w:p w:rsidR="00BC69F8" w:rsidRPr="00BC69F8" w:rsidRDefault="00BC69F8" w:rsidP="00D20C67">
            <w:pPr>
              <w:keepNext/>
              <w:ind w:left="72"/>
              <w:outlineLvl w:val="1"/>
              <w:rPr>
                <w:rStyle w:val="InstructionsTabelleberschrift"/>
                <w:rFonts w:ascii="Times New Roman" w:hAnsi="Times New Roman"/>
                <w:b w:val="0"/>
                <w:u w:val="none"/>
              </w:rPr>
            </w:pPr>
            <w:r w:rsidRPr="00BC69F8">
              <w:rPr>
                <w:rStyle w:val="InstructionsTabelleberschrift"/>
                <w:rFonts w:ascii="Times New Roman" w:hAnsi="Times New Roman"/>
                <w:b w:val="0"/>
                <w:u w:val="none"/>
              </w:rPr>
              <w:t>Exposures treated under Article 145(1) of the CRR</w:t>
            </w:r>
          </w:p>
        </w:tc>
      </w:tr>
      <w:tr w:rsidR="00BC69F8" w:rsidRPr="0017440D" w:rsidTr="00FC6BDB">
        <w:tc>
          <w:tcPr>
            <w:tcW w:w="1188" w:type="dxa"/>
            <w:shd w:val="clear" w:color="auto" w:fill="auto"/>
          </w:tcPr>
          <w:p w:rsidR="00BC69F8" w:rsidRPr="00FC6BDB" w:rsidRDefault="00BC69F8" w:rsidP="00455364">
            <w:pPr>
              <w:rPr>
                <w:rStyle w:val="InstructionsTabelleText"/>
                <w:rFonts w:ascii="Times New Roman" w:hAnsi="Times New Roman"/>
              </w:rPr>
            </w:pPr>
            <w:r>
              <w:rPr>
                <w:rStyle w:val="InstructionsTabelleText"/>
                <w:rFonts w:ascii="Times New Roman" w:hAnsi="Times New Roman"/>
              </w:rPr>
              <w:t>014</w:t>
            </w:r>
          </w:p>
        </w:tc>
        <w:tc>
          <w:tcPr>
            <w:tcW w:w="8701" w:type="dxa"/>
            <w:shd w:val="clear" w:color="auto" w:fill="auto"/>
          </w:tcPr>
          <w:p w:rsidR="00BC69F8" w:rsidRDefault="00BC69F8" w:rsidP="00D20C67">
            <w:pPr>
              <w:ind w:left="72"/>
              <w:rPr>
                <w:rStyle w:val="InstructionsTabelleberschrift"/>
                <w:rFonts w:ascii="Times New Roman" w:hAnsi="Times New Roman"/>
              </w:rPr>
            </w:pPr>
            <w:r w:rsidRPr="00BC69F8">
              <w:rPr>
                <w:rStyle w:val="InstructionsTabelleberschrift"/>
                <w:rFonts w:ascii="Times New Roman" w:hAnsi="Times New Roman"/>
              </w:rPr>
              <w:t>of which: Exposures under the standardised approach with prior supervisory permission to carry out a sequential IRB implementation</w:t>
            </w:r>
          </w:p>
          <w:p w:rsidR="00BC69F8" w:rsidRPr="00BC69F8" w:rsidRDefault="00BC69F8" w:rsidP="00D20C67">
            <w:pPr>
              <w:keepNext/>
              <w:ind w:left="72"/>
              <w:outlineLvl w:val="1"/>
              <w:rPr>
                <w:rStyle w:val="InstructionsTabelleberschrift"/>
                <w:rFonts w:ascii="Times New Roman" w:hAnsi="Times New Roman"/>
                <w:b w:val="0"/>
                <w:u w:val="none"/>
              </w:rPr>
            </w:pPr>
            <w:r w:rsidRPr="00BC69F8">
              <w:rPr>
                <w:rStyle w:val="InstructionsTabelleberschrift"/>
                <w:rFonts w:ascii="Times New Roman" w:hAnsi="Times New Roman"/>
                <w:b w:val="0"/>
                <w:u w:val="none"/>
              </w:rPr>
              <w:t>Exposures treated under Article 143(1) of the CRR</w:t>
            </w:r>
          </w:p>
        </w:tc>
      </w:tr>
      <w:tr w:rsidR="00884FEB" w:rsidRPr="0017440D" w:rsidTr="007F0442">
        <w:tc>
          <w:tcPr>
            <w:tcW w:w="1188" w:type="dxa"/>
          </w:tcPr>
          <w:p w:rsidR="00884FEB" w:rsidRPr="0017440D" w:rsidRDefault="003105C6" w:rsidP="00403B31">
            <w:pPr>
              <w:rPr>
                <w:rStyle w:val="InstructionsTabelleText"/>
                <w:rFonts w:ascii="Times New Roman" w:hAnsi="Times New Roman"/>
              </w:rPr>
            </w:pPr>
            <w:r w:rsidRPr="003105C6">
              <w:rPr>
                <w:rStyle w:val="InstructionsTabelleText"/>
                <w:rFonts w:ascii="Times New Roman" w:hAnsi="Times New Roman"/>
              </w:rPr>
              <w:t>020 - 0</w:t>
            </w:r>
            <w:r w:rsidR="00403B31">
              <w:rPr>
                <w:rStyle w:val="InstructionsTabelleText"/>
                <w:rFonts w:ascii="Times New Roman" w:hAnsi="Times New Roman"/>
              </w:rPr>
              <w:t>8</w:t>
            </w:r>
            <w:r w:rsidRPr="003105C6">
              <w:rPr>
                <w:rStyle w:val="InstructionsTabelleText"/>
                <w:rFonts w:ascii="Times New Roman" w:hAnsi="Times New Roman"/>
              </w:rPr>
              <w:t>0</w:t>
            </w:r>
          </w:p>
        </w:tc>
        <w:tc>
          <w:tcPr>
            <w:tcW w:w="8701" w:type="dxa"/>
          </w:tcPr>
          <w:p w:rsidR="00884FEB" w:rsidRPr="0017440D" w:rsidRDefault="003105C6" w:rsidP="00D20C67">
            <w:pPr>
              <w:ind w:left="72"/>
              <w:rPr>
                <w:rStyle w:val="InstructionsTabelleberschrift"/>
                <w:rFonts w:ascii="Times New Roman" w:hAnsi="Times New Roman"/>
              </w:rPr>
            </w:pPr>
            <w:r w:rsidRPr="003105C6">
              <w:rPr>
                <w:rStyle w:val="InstructionsTabelleberschrift"/>
                <w:rFonts w:ascii="Times New Roman" w:hAnsi="Times New Roman"/>
              </w:rPr>
              <w:t>BREAKDOWN OF TOTAL EXPOSURES BY EXPOSURE TYPES</w:t>
            </w:r>
          </w:p>
          <w:p w:rsidR="00884FEB" w:rsidRPr="0017440D" w:rsidRDefault="003105C6" w:rsidP="00D20C67">
            <w:pPr>
              <w:rPr>
                <w:rStyle w:val="InstructionsTabelleText"/>
                <w:rFonts w:ascii="Times New Roman" w:hAnsi="Times New Roman"/>
              </w:rPr>
            </w:pPr>
            <w:r w:rsidRPr="003105C6">
              <w:rPr>
                <w:rStyle w:val="InstructionsTabelleText"/>
                <w:rFonts w:ascii="Times New Roman" w:hAnsi="Times New Roman"/>
              </w:rPr>
              <w:t>Reporting institution´s “banking book” positions shall be broken-down, following the criteria provided below, into on-balance sheet exposures subject to credit risk, off-balance sheet exposures subject to credit risk and exposures subject to counterparty credit risk. Furthermo</w:t>
            </w:r>
            <w:r w:rsidR="00403B31">
              <w:rPr>
                <w:rStyle w:val="InstructionsTabelleText"/>
                <w:rFonts w:ascii="Times New Roman" w:hAnsi="Times New Roman"/>
              </w:rPr>
              <w:t xml:space="preserve">re the reporting institution´s </w:t>
            </w:r>
            <w:r w:rsidRPr="003105C6">
              <w:rPr>
                <w:rStyle w:val="InstructionsTabelleText"/>
                <w:rFonts w:ascii="Times New Roman" w:hAnsi="Times New Roman"/>
              </w:rPr>
              <w:t>“trading book” counterparty credit risk positions according to Article 87 (3) point (f) and Article 293 (2) of CRR are assigned to the exposures subject to counterparty credit risk. Institutions that apply Article 89 (1) of CRR also b</w:t>
            </w:r>
            <w:r w:rsidR="00403B31">
              <w:rPr>
                <w:rStyle w:val="InstructionsTabelleText"/>
                <w:rFonts w:ascii="Times New Roman" w:hAnsi="Times New Roman"/>
              </w:rPr>
              <w:t xml:space="preserve">reak </w:t>
            </w:r>
            <w:r w:rsidRPr="003105C6">
              <w:rPr>
                <w:rStyle w:val="InstructionsTabelleText"/>
                <w:rFonts w:ascii="Times New Roman" w:hAnsi="Times New Roman"/>
              </w:rPr>
              <w:t>down their “trading book” positions following the criteria provided below, into on-balance sheet exposur</w:t>
            </w:r>
            <w:r w:rsidR="00403B31">
              <w:rPr>
                <w:rStyle w:val="InstructionsTabelleText"/>
                <w:rFonts w:ascii="Times New Roman" w:hAnsi="Times New Roman"/>
              </w:rPr>
              <w:t>es subject to credit risk, off-</w:t>
            </w:r>
            <w:r w:rsidRPr="003105C6">
              <w:rPr>
                <w:rStyle w:val="InstructionsTabelleText"/>
                <w:rFonts w:ascii="Times New Roman" w:hAnsi="Times New Roman"/>
              </w:rPr>
              <w:t>balance sheet exposures subject to credit risk and exp</w:t>
            </w:r>
            <w:r w:rsidRPr="003105C6">
              <w:rPr>
                <w:rStyle w:val="InstructionsTabelleText"/>
                <w:rFonts w:ascii="Times New Roman" w:hAnsi="Times New Roman"/>
              </w:rPr>
              <w:t>o</w:t>
            </w:r>
            <w:r w:rsidRPr="003105C6">
              <w:rPr>
                <w:rStyle w:val="InstructionsTabelleText"/>
                <w:rFonts w:ascii="Times New Roman" w:hAnsi="Times New Roman"/>
              </w:rPr>
              <w:t>sures subject to counterparty credit risk.</w:t>
            </w:r>
          </w:p>
          <w:p w:rsidR="00884FEB" w:rsidRPr="0017440D" w:rsidRDefault="003105C6" w:rsidP="00D20C67">
            <w:pPr>
              <w:rPr>
                <w:rStyle w:val="InstructionsTabelleText"/>
                <w:rFonts w:ascii="Times New Roman" w:hAnsi="Times New Roman"/>
              </w:rPr>
            </w:pPr>
            <w:r w:rsidRPr="003105C6">
              <w:rPr>
                <w:rStyle w:val="InstructionsTabelleText"/>
                <w:rFonts w:ascii="Times New Roman" w:hAnsi="Times New Roman"/>
              </w:rPr>
              <w:t>Positions deducted from own funds shall not be subject to an additional capital charge. To deduct a pos</w:t>
            </w:r>
            <w:r w:rsidRPr="003105C6">
              <w:rPr>
                <w:rStyle w:val="InstructionsTabelleText"/>
                <w:rFonts w:ascii="Times New Roman" w:hAnsi="Times New Roman"/>
              </w:rPr>
              <w:t>i</w:t>
            </w:r>
            <w:r w:rsidRPr="003105C6">
              <w:rPr>
                <w:rStyle w:val="InstructionsTabelleText"/>
                <w:rFonts w:ascii="Times New Roman" w:hAnsi="Times New Roman"/>
              </w:rPr>
              <w:t>tion from own funds is basically equivalent to apply the maximum possible risk weigh of 1250% (ther</w:t>
            </w:r>
            <w:r w:rsidRPr="003105C6">
              <w:rPr>
                <w:rStyle w:val="InstructionsTabelleText"/>
                <w:rFonts w:ascii="Times New Roman" w:hAnsi="Times New Roman"/>
              </w:rPr>
              <w:t>e</w:t>
            </w:r>
            <w:r w:rsidRPr="003105C6">
              <w:rPr>
                <w:rStyle w:val="InstructionsTabelleText"/>
                <w:rFonts w:ascii="Times New Roman" w:hAnsi="Times New Roman"/>
              </w:rPr>
              <w:t>fore, it should not be included in these rows).</w:t>
            </w:r>
          </w:p>
          <w:p w:rsidR="00884FEB" w:rsidRPr="0017440D" w:rsidRDefault="003105C6" w:rsidP="00D20C67">
            <w:pPr>
              <w:ind w:left="72"/>
              <w:rPr>
                <w:rStyle w:val="InstructionsTabelleText"/>
                <w:rFonts w:ascii="Times New Roman" w:hAnsi="Times New Roman"/>
              </w:rPr>
            </w:pPr>
            <w:r w:rsidRPr="003105C6">
              <w:rPr>
                <w:rStyle w:val="InstructionsTabelleText"/>
                <w:rFonts w:ascii="Times New Roman" w:hAnsi="Times New Roman"/>
              </w:rPr>
              <w:t>Securitisations positions and securitised positions shall not be reported in CR-SA or CR-IRB templates but in CR SEC-SA or CR SEC-IRB.</w:t>
            </w:r>
          </w:p>
        </w:tc>
      </w:tr>
      <w:tr w:rsidR="00884FEB" w:rsidRPr="0017440D" w:rsidTr="007F0442">
        <w:tc>
          <w:tcPr>
            <w:tcW w:w="1188" w:type="dxa"/>
          </w:tcPr>
          <w:p w:rsidR="00884FEB" w:rsidRPr="0017440D" w:rsidRDefault="003105C6" w:rsidP="00D20C67">
            <w:pPr>
              <w:rPr>
                <w:rStyle w:val="InstructionsTabelleText"/>
                <w:rFonts w:ascii="Times New Roman" w:hAnsi="Times New Roman"/>
              </w:rPr>
            </w:pPr>
            <w:r w:rsidRPr="003105C6">
              <w:rPr>
                <w:rStyle w:val="InstructionsTabelleText"/>
                <w:rFonts w:ascii="Times New Roman" w:hAnsi="Times New Roman"/>
              </w:rPr>
              <w:t>020</w:t>
            </w:r>
          </w:p>
        </w:tc>
        <w:tc>
          <w:tcPr>
            <w:tcW w:w="8701" w:type="dxa"/>
          </w:tcPr>
          <w:p w:rsidR="00884FEB" w:rsidRPr="0017440D" w:rsidRDefault="003105C6" w:rsidP="00D20C67">
            <w:pPr>
              <w:ind w:left="72"/>
              <w:rPr>
                <w:rStyle w:val="InstructionsTabelleberschrift"/>
                <w:rFonts w:ascii="Times New Roman" w:hAnsi="Times New Roman"/>
              </w:rPr>
            </w:pPr>
            <w:r w:rsidRPr="003105C6">
              <w:rPr>
                <w:rStyle w:val="InstructionsTabelleberschrift"/>
                <w:rFonts w:ascii="Times New Roman" w:hAnsi="Times New Roman"/>
              </w:rPr>
              <w:t xml:space="preserve">On balance sheet exposures subject to credit risk </w:t>
            </w:r>
          </w:p>
          <w:p w:rsidR="00884FEB" w:rsidRPr="0017440D" w:rsidRDefault="003105C6" w:rsidP="00D20C67">
            <w:pPr>
              <w:ind w:left="72"/>
              <w:rPr>
                <w:rStyle w:val="InstructionsTabelleText"/>
                <w:rFonts w:ascii="Times New Roman" w:hAnsi="Times New Roman"/>
              </w:rPr>
            </w:pPr>
            <w:r w:rsidRPr="003105C6">
              <w:rPr>
                <w:rStyle w:val="InstructionsTabelleText"/>
                <w:rFonts w:ascii="Times New Roman" w:hAnsi="Times New Roman"/>
              </w:rPr>
              <w:lastRenderedPageBreak/>
              <w:t>Assets referred to in Article 94 of CRR not included in any other category.</w:t>
            </w:r>
          </w:p>
          <w:p w:rsidR="00884FEB" w:rsidRPr="0017440D" w:rsidRDefault="003105C6" w:rsidP="00D20C67">
            <w:pPr>
              <w:ind w:left="72"/>
              <w:rPr>
                <w:rStyle w:val="InstructionsTabelleText"/>
                <w:rFonts w:ascii="Times New Roman" w:hAnsi="Times New Roman"/>
              </w:rPr>
            </w:pPr>
            <w:r w:rsidRPr="003105C6">
              <w:rPr>
                <w:rStyle w:val="InstructionsTabelleText"/>
                <w:rFonts w:ascii="Times New Roman" w:hAnsi="Times New Roman"/>
              </w:rPr>
              <w:t>Exposures, which are on-balance sheet items and which are included as Securities Financing Transa</w:t>
            </w:r>
            <w:r w:rsidRPr="003105C6">
              <w:rPr>
                <w:rStyle w:val="InstructionsTabelleText"/>
                <w:rFonts w:ascii="Times New Roman" w:hAnsi="Times New Roman"/>
              </w:rPr>
              <w:t>c</w:t>
            </w:r>
            <w:r w:rsidRPr="003105C6">
              <w:rPr>
                <w:rStyle w:val="InstructionsTabelleText"/>
                <w:rFonts w:ascii="Times New Roman" w:hAnsi="Times New Roman"/>
              </w:rPr>
              <w:t>tions, Derivatives &amp; Long Settlement Transactions or from Contractual Cross Product Netting shall be reported in rows 040-060 and, therefore, not reported in this row.</w:t>
            </w:r>
          </w:p>
          <w:p w:rsidR="00884FEB" w:rsidRPr="0017440D" w:rsidRDefault="003105C6" w:rsidP="00D20C67">
            <w:pPr>
              <w:ind w:left="72"/>
              <w:rPr>
                <w:rStyle w:val="InstructionsTabelleText"/>
                <w:rFonts w:ascii="Times New Roman" w:hAnsi="Times New Roman"/>
              </w:rPr>
            </w:pPr>
            <w:r w:rsidRPr="003105C6">
              <w:rPr>
                <w:rStyle w:val="InstructionsTabelleText"/>
                <w:rFonts w:ascii="Times New Roman" w:hAnsi="Times New Roman"/>
              </w:rPr>
              <w:t>Free deliveries according to Article 369 (1) of CRR (if not deducted) do not constitute an on-balance sheet item, but nevertheless shall be reported in this row.</w:t>
            </w:r>
          </w:p>
          <w:p w:rsidR="00DA3B36" w:rsidRPr="0017440D" w:rsidRDefault="003105C6" w:rsidP="008427C5">
            <w:pPr>
              <w:ind w:left="72"/>
              <w:rPr>
                <w:rStyle w:val="InstructionsTabelleberschrift"/>
                <w:rFonts w:ascii="Times New Roman" w:hAnsi="Times New Roman"/>
              </w:rPr>
            </w:pPr>
            <w:r w:rsidRPr="003105C6">
              <w:rPr>
                <w:rStyle w:val="InstructionsTabelleText"/>
                <w:rFonts w:ascii="Times New Roman" w:hAnsi="Times New Roman"/>
              </w:rPr>
              <w:t>Exposures arising from assets posted to a CCP according to Article 4 (75) of CRR and default fund e</w:t>
            </w:r>
            <w:r w:rsidRPr="003105C6">
              <w:rPr>
                <w:rStyle w:val="InstructionsTabelleText"/>
                <w:rFonts w:ascii="Times New Roman" w:hAnsi="Times New Roman"/>
              </w:rPr>
              <w:t>x</w:t>
            </w:r>
            <w:r w:rsidRPr="003105C6">
              <w:rPr>
                <w:rStyle w:val="InstructionsTabelleText"/>
                <w:rFonts w:ascii="Times New Roman" w:hAnsi="Times New Roman"/>
              </w:rPr>
              <w:t>posures according to Article 4 (74) of CRR</w:t>
            </w:r>
          </w:p>
        </w:tc>
      </w:tr>
      <w:tr w:rsidR="00884FEB" w:rsidRPr="0017440D" w:rsidTr="007F0442">
        <w:tc>
          <w:tcPr>
            <w:tcW w:w="1188" w:type="dxa"/>
          </w:tcPr>
          <w:p w:rsidR="00884FEB" w:rsidRPr="0017440D" w:rsidRDefault="003105C6" w:rsidP="00D20C67">
            <w:pPr>
              <w:rPr>
                <w:rFonts w:ascii="Times New Roman" w:hAnsi="Times New Roman"/>
                <w:szCs w:val="20"/>
              </w:rPr>
            </w:pPr>
            <w:r w:rsidRPr="003105C6">
              <w:rPr>
                <w:rStyle w:val="InstructionsTabelleText"/>
                <w:rFonts w:ascii="Times New Roman" w:hAnsi="Times New Roman"/>
              </w:rPr>
              <w:lastRenderedPageBreak/>
              <w:t>030</w:t>
            </w:r>
          </w:p>
        </w:tc>
        <w:tc>
          <w:tcPr>
            <w:tcW w:w="8701" w:type="dxa"/>
          </w:tcPr>
          <w:p w:rsidR="00884FEB" w:rsidRPr="0017440D" w:rsidRDefault="003105C6" w:rsidP="00D20C67">
            <w:pPr>
              <w:ind w:left="72"/>
              <w:rPr>
                <w:rStyle w:val="InstructionsTabelleberschrift"/>
                <w:rFonts w:ascii="Times New Roman" w:hAnsi="Times New Roman"/>
              </w:rPr>
            </w:pPr>
            <w:r w:rsidRPr="003105C6">
              <w:rPr>
                <w:rStyle w:val="InstructionsTabelleberschrift"/>
                <w:rFonts w:ascii="Times New Roman" w:hAnsi="Times New Roman"/>
              </w:rPr>
              <w:t>Off balance sheet exposures subject to credit risk</w:t>
            </w:r>
          </w:p>
          <w:p w:rsidR="00884FEB" w:rsidRPr="0017440D" w:rsidRDefault="003105C6" w:rsidP="00D20C67">
            <w:pPr>
              <w:ind w:left="72"/>
              <w:rPr>
                <w:rStyle w:val="InstructionsTabelleText"/>
                <w:rFonts w:ascii="Times New Roman" w:hAnsi="Times New Roman"/>
              </w:rPr>
            </w:pPr>
            <w:r w:rsidRPr="003105C6">
              <w:rPr>
                <w:rStyle w:val="InstructionsTabelleText"/>
                <w:rFonts w:ascii="Times New Roman" w:hAnsi="Times New Roman"/>
              </w:rPr>
              <w:t>Off-balance sheet positions</w:t>
            </w:r>
            <w:r w:rsidRPr="003105C6">
              <w:rPr>
                <w:rFonts w:ascii="Times New Roman" w:hAnsi="Times New Roman"/>
              </w:rPr>
              <w:t xml:space="preserve"> </w:t>
            </w:r>
            <w:r w:rsidRPr="003105C6">
              <w:rPr>
                <w:rStyle w:val="InstructionsTabelleText"/>
                <w:rFonts w:ascii="Times New Roman" w:hAnsi="Times New Roman"/>
              </w:rPr>
              <w:t>comprise those items listed in Annex I of CRR.</w:t>
            </w:r>
          </w:p>
          <w:p w:rsidR="00884FEB" w:rsidRPr="0017440D" w:rsidRDefault="003105C6" w:rsidP="00D20C67">
            <w:pPr>
              <w:ind w:left="72"/>
              <w:rPr>
                <w:rStyle w:val="InstructionsTabelleText"/>
                <w:rFonts w:ascii="Times New Roman" w:hAnsi="Times New Roman"/>
              </w:rPr>
            </w:pPr>
            <w:r w:rsidRPr="003105C6">
              <w:rPr>
                <w:rStyle w:val="InstructionsTabelleText"/>
                <w:rFonts w:ascii="Times New Roman" w:hAnsi="Times New Roman"/>
              </w:rPr>
              <w:t>Exposures, which are off-balance sheet items and which are included as Securities Financing Transa</w:t>
            </w:r>
            <w:r w:rsidRPr="003105C6">
              <w:rPr>
                <w:rStyle w:val="InstructionsTabelleText"/>
                <w:rFonts w:ascii="Times New Roman" w:hAnsi="Times New Roman"/>
              </w:rPr>
              <w:t>c</w:t>
            </w:r>
            <w:r w:rsidRPr="003105C6">
              <w:rPr>
                <w:rStyle w:val="InstructionsTabelleText"/>
                <w:rFonts w:ascii="Times New Roman" w:hAnsi="Times New Roman"/>
              </w:rPr>
              <w:t>tions, Derivatives &amp; Long Settlement Transactions or from Contractual Cross Product Netting shall be reported in rows 040-060 and, therefore, not reported in this row.</w:t>
            </w:r>
          </w:p>
          <w:p w:rsidR="008427C5" w:rsidRPr="0017440D" w:rsidRDefault="003105C6" w:rsidP="00D20C67">
            <w:pPr>
              <w:ind w:left="72"/>
              <w:rPr>
                <w:rStyle w:val="InstructionsTabelleberschrift"/>
                <w:rFonts w:ascii="Times New Roman" w:hAnsi="Times New Roman"/>
              </w:rPr>
            </w:pPr>
            <w:r w:rsidRPr="003105C6">
              <w:rPr>
                <w:rStyle w:val="InstructionsTabelleText"/>
                <w:rFonts w:ascii="Times New Roman" w:hAnsi="Times New Roman"/>
              </w:rPr>
              <w:t>Exposures arising from assets posted to a CCP according to Article 4 (75) of CRR and default fund e</w:t>
            </w:r>
            <w:r w:rsidRPr="003105C6">
              <w:rPr>
                <w:rStyle w:val="InstructionsTabelleText"/>
                <w:rFonts w:ascii="Times New Roman" w:hAnsi="Times New Roman"/>
              </w:rPr>
              <w:t>x</w:t>
            </w:r>
            <w:r w:rsidRPr="003105C6">
              <w:rPr>
                <w:rStyle w:val="InstructionsTabelleText"/>
                <w:rFonts w:ascii="Times New Roman" w:hAnsi="Times New Roman"/>
              </w:rPr>
              <w:t>posures according to Article 4 (74) of CRR</w:t>
            </w:r>
          </w:p>
        </w:tc>
      </w:tr>
      <w:tr w:rsidR="00884FEB" w:rsidRPr="0017440D" w:rsidTr="007F0442">
        <w:tc>
          <w:tcPr>
            <w:tcW w:w="1188" w:type="dxa"/>
          </w:tcPr>
          <w:p w:rsidR="00884FEB" w:rsidRPr="0017440D" w:rsidRDefault="003105C6" w:rsidP="007F0442">
            <w:pPr>
              <w:rPr>
                <w:rStyle w:val="InstructionsTabelleText"/>
                <w:rFonts w:ascii="Times New Roman" w:hAnsi="Times New Roman"/>
              </w:rPr>
            </w:pPr>
            <w:r w:rsidRPr="003105C6">
              <w:rPr>
                <w:rStyle w:val="InstructionsTabelleText"/>
                <w:rFonts w:ascii="Times New Roman" w:hAnsi="Times New Roman"/>
              </w:rPr>
              <w:t>040-</w:t>
            </w:r>
            <w:r w:rsidR="00FC6BDB">
              <w:rPr>
                <w:rStyle w:val="InstructionsTabelleText"/>
                <w:rFonts w:ascii="Times New Roman" w:hAnsi="Times New Roman"/>
              </w:rPr>
              <w:t>080</w:t>
            </w:r>
          </w:p>
        </w:tc>
        <w:tc>
          <w:tcPr>
            <w:tcW w:w="8701" w:type="dxa"/>
          </w:tcPr>
          <w:p w:rsidR="00884FEB" w:rsidRPr="0017440D" w:rsidRDefault="003105C6" w:rsidP="00D20C67">
            <w:pPr>
              <w:ind w:left="72"/>
              <w:rPr>
                <w:rStyle w:val="InstructionsTabelleberschrift"/>
                <w:rFonts w:ascii="Times New Roman" w:hAnsi="Times New Roman"/>
              </w:rPr>
            </w:pPr>
            <w:r w:rsidRPr="003105C6">
              <w:rPr>
                <w:rStyle w:val="InstructionsTabelleberschrift"/>
                <w:rFonts w:ascii="Times New Roman" w:hAnsi="Times New Roman"/>
              </w:rPr>
              <w:t>Exposures / Transactions subject to counterparty credit risk</w:t>
            </w:r>
          </w:p>
        </w:tc>
      </w:tr>
      <w:tr w:rsidR="00884FEB" w:rsidRPr="0017440D" w:rsidTr="007F0442">
        <w:tc>
          <w:tcPr>
            <w:tcW w:w="1188" w:type="dxa"/>
          </w:tcPr>
          <w:p w:rsidR="00884FEB" w:rsidRPr="0017440D" w:rsidRDefault="003105C6" w:rsidP="00D20C67">
            <w:pPr>
              <w:rPr>
                <w:rFonts w:ascii="Times New Roman" w:hAnsi="Times New Roman"/>
                <w:szCs w:val="20"/>
              </w:rPr>
            </w:pPr>
            <w:r w:rsidRPr="003105C6">
              <w:rPr>
                <w:rStyle w:val="InstructionsTabelleText"/>
                <w:rFonts w:ascii="Times New Roman" w:hAnsi="Times New Roman"/>
              </w:rPr>
              <w:t>040</w:t>
            </w:r>
          </w:p>
        </w:tc>
        <w:tc>
          <w:tcPr>
            <w:tcW w:w="8701" w:type="dxa"/>
          </w:tcPr>
          <w:p w:rsidR="00884FEB" w:rsidRPr="0017440D" w:rsidRDefault="003105C6" w:rsidP="00D20C67">
            <w:pPr>
              <w:ind w:left="72"/>
              <w:rPr>
                <w:rStyle w:val="InstructionsTabelleberschrift"/>
                <w:rFonts w:ascii="Times New Roman" w:hAnsi="Times New Roman"/>
              </w:rPr>
            </w:pPr>
            <w:r w:rsidRPr="003105C6">
              <w:rPr>
                <w:rStyle w:val="InstructionsTabelleberschrift"/>
                <w:rFonts w:ascii="Times New Roman" w:hAnsi="Times New Roman"/>
              </w:rPr>
              <w:t xml:space="preserve">Securities Financing Transactions </w:t>
            </w:r>
          </w:p>
          <w:p w:rsidR="00884FEB" w:rsidRPr="0017440D" w:rsidRDefault="003105C6" w:rsidP="00953A69">
            <w:pPr>
              <w:ind w:left="72"/>
              <w:rPr>
                <w:rStyle w:val="InstructionsTabelleText"/>
                <w:rFonts w:ascii="Times New Roman" w:hAnsi="Times New Roman"/>
              </w:rPr>
            </w:pPr>
            <w:r w:rsidRPr="003105C6">
              <w:rPr>
                <w:rStyle w:val="InstructionsTabelleText"/>
                <w:rFonts w:ascii="Times New Roman" w:hAnsi="Times New Roman"/>
              </w:rPr>
              <w:t>Securities Financing Transactions (SFT), as defined in paragraph 17 of the Basle Committee document "The Application of Basel II to Trading Activities and the Treatment of Double Default Effects", i</w:t>
            </w:r>
            <w:r w:rsidRPr="003105C6">
              <w:rPr>
                <w:rStyle w:val="InstructionsTabelleText"/>
                <w:rFonts w:ascii="Times New Roman" w:hAnsi="Times New Roman"/>
              </w:rPr>
              <w:t>n</w:t>
            </w:r>
            <w:r w:rsidRPr="003105C6">
              <w:rPr>
                <w:rStyle w:val="InstructionsTabelleText"/>
                <w:rFonts w:ascii="Times New Roman" w:hAnsi="Times New Roman"/>
              </w:rPr>
              <w:t>cludes: (i) Repurchase and reverse repurchase agreements defined in Article 4 (56) of CRR as well as securities or commodities lending and borrowing transactions a; (ii) margin lending transactions as d</w:t>
            </w:r>
            <w:r w:rsidRPr="003105C6">
              <w:rPr>
                <w:rStyle w:val="InstructionsTabelleText"/>
                <w:rFonts w:ascii="Times New Roman" w:hAnsi="Times New Roman"/>
              </w:rPr>
              <w:t>e</w:t>
            </w:r>
            <w:r w:rsidRPr="003105C6">
              <w:rPr>
                <w:rStyle w:val="InstructionsTabelleText"/>
                <w:rFonts w:ascii="Times New Roman" w:hAnsi="Times New Roman"/>
              </w:rPr>
              <w:t>fined in Article 267 (3) of CRR.</w:t>
            </w:r>
          </w:p>
        </w:tc>
      </w:tr>
      <w:tr w:rsidR="00455364" w:rsidRPr="0017440D" w:rsidTr="007F0442">
        <w:tc>
          <w:tcPr>
            <w:tcW w:w="1188" w:type="dxa"/>
          </w:tcPr>
          <w:p w:rsidR="00455364" w:rsidRPr="0017440D" w:rsidRDefault="00FC6BDB" w:rsidP="00D20C67">
            <w:pPr>
              <w:rPr>
                <w:rStyle w:val="InstructionsTabelleText"/>
                <w:rFonts w:ascii="Times New Roman" w:hAnsi="Times New Roman"/>
              </w:rPr>
            </w:pPr>
            <w:r>
              <w:rPr>
                <w:rStyle w:val="InstructionsTabelleText"/>
                <w:rFonts w:ascii="Times New Roman" w:hAnsi="Times New Roman"/>
              </w:rPr>
              <w:t>05</w:t>
            </w:r>
            <w:r w:rsidR="003105C6" w:rsidRPr="003105C6">
              <w:rPr>
                <w:rStyle w:val="InstructionsTabelleText"/>
                <w:rFonts w:ascii="Times New Roman" w:hAnsi="Times New Roman"/>
              </w:rPr>
              <w:t>0</w:t>
            </w:r>
          </w:p>
        </w:tc>
        <w:tc>
          <w:tcPr>
            <w:tcW w:w="8701" w:type="dxa"/>
          </w:tcPr>
          <w:p w:rsidR="00455364" w:rsidRPr="0017440D" w:rsidRDefault="003105C6" w:rsidP="00D20C67">
            <w:pPr>
              <w:ind w:left="72"/>
              <w:rPr>
                <w:rStyle w:val="InstructionsTabelleberschrift"/>
                <w:rFonts w:ascii="Times New Roman" w:hAnsi="Times New Roman"/>
              </w:rPr>
            </w:pPr>
            <w:r w:rsidRPr="003105C6">
              <w:rPr>
                <w:rStyle w:val="InstructionsTabelleberschrift"/>
                <w:rFonts w:ascii="Times New Roman" w:hAnsi="Times New Roman"/>
              </w:rPr>
              <w:t>Of which: centrally cleared through a compliant CCP’ also for SFTs</w:t>
            </w:r>
          </w:p>
          <w:p w:rsidR="007F0442" w:rsidRPr="0017440D" w:rsidRDefault="003105C6" w:rsidP="007F0442">
            <w:pPr>
              <w:ind w:left="72"/>
              <w:rPr>
                <w:rStyle w:val="InstructionsTabelleText"/>
                <w:rFonts w:ascii="Times New Roman" w:hAnsi="Times New Roman"/>
              </w:rPr>
            </w:pPr>
            <w:r w:rsidRPr="003105C6">
              <w:rPr>
                <w:rStyle w:val="InstructionsTabelleText"/>
                <w:rFonts w:ascii="Times New Roman" w:hAnsi="Times New Roman"/>
              </w:rPr>
              <w:t>Article 297 of CRR for compliant CCPs according to Articles 4 (73) in conjunction with Article 295 (2) of CRR</w:t>
            </w:r>
          </w:p>
          <w:p w:rsidR="007F0442" w:rsidRPr="0017440D" w:rsidRDefault="00FC6BDB" w:rsidP="007F0442">
            <w:pPr>
              <w:ind w:left="72"/>
              <w:rPr>
                <w:rStyle w:val="InstructionsTabelleText"/>
                <w:rFonts w:ascii="Times New Roman" w:hAnsi="Times New Roman"/>
              </w:rPr>
            </w:pPr>
            <w:r>
              <w:rPr>
                <w:rStyle w:val="InstructionsTabelleText"/>
                <w:rFonts w:ascii="Times New Roman" w:hAnsi="Times New Roman"/>
              </w:rPr>
              <w:t>M</w:t>
            </w:r>
            <w:r w:rsidR="003105C6" w:rsidRPr="003105C6">
              <w:rPr>
                <w:rStyle w:val="InstructionsTabelleText"/>
                <w:rFonts w:ascii="Times New Roman" w:hAnsi="Times New Roman"/>
              </w:rPr>
              <w:t>ark-to-market exposures to a CCP and potential future exposures to a CCP according to Article 4 (75) of CRR</w:t>
            </w:r>
          </w:p>
        </w:tc>
      </w:tr>
      <w:tr w:rsidR="00884FEB" w:rsidRPr="0017440D" w:rsidTr="007F0442">
        <w:tc>
          <w:tcPr>
            <w:tcW w:w="1188" w:type="dxa"/>
          </w:tcPr>
          <w:p w:rsidR="00884FEB" w:rsidRPr="0017440D" w:rsidRDefault="00FC6BDB" w:rsidP="00D20C67">
            <w:pPr>
              <w:rPr>
                <w:rFonts w:ascii="Times New Roman" w:hAnsi="Times New Roman"/>
                <w:szCs w:val="20"/>
              </w:rPr>
            </w:pPr>
            <w:r>
              <w:rPr>
                <w:rStyle w:val="InstructionsTabelleText"/>
                <w:rFonts w:ascii="Times New Roman" w:hAnsi="Times New Roman"/>
              </w:rPr>
              <w:t>06</w:t>
            </w:r>
            <w:r w:rsidR="003105C6" w:rsidRPr="003105C6">
              <w:rPr>
                <w:rStyle w:val="InstructionsTabelleText"/>
                <w:rFonts w:ascii="Times New Roman" w:hAnsi="Times New Roman"/>
              </w:rPr>
              <w:t>0</w:t>
            </w:r>
          </w:p>
        </w:tc>
        <w:tc>
          <w:tcPr>
            <w:tcW w:w="8701" w:type="dxa"/>
          </w:tcPr>
          <w:p w:rsidR="00884FEB" w:rsidRPr="0017440D" w:rsidRDefault="003105C6" w:rsidP="00D20C67">
            <w:pPr>
              <w:ind w:left="72"/>
              <w:rPr>
                <w:rStyle w:val="InstructionsTabelleberschrift"/>
                <w:rFonts w:ascii="Times New Roman" w:hAnsi="Times New Roman"/>
              </w:rPr>
            </w:pPr>
            <w:r w:rsidRPr="003105C6">
              <w:rPr>
                <w:rStyle w:val="InstructionsTabelleberschrift"/>
                <w:rFonts w:ascii="Times New Roman" w:hAnsi="Times New Roman"/>
              </w:rPr>
              <w:t xml:space="preserve">Derivatives and Long Settlement Transactions </w:t>
            </w:r>
          </w:p>
          <w:p w:rsidR="00884FEB" w:rsidRPr="0017440D" w:rsidRDefault="003105C6" w:rsidP="00D20C67">
            <w:pPr>
              <w:ind w:left="72"/>
              <w:rPr>
                <w:rStyle w:val="InstructionsTabelleText"/>
                <w:rFonts w:ascii="Times New Roman" w:hAnsi="Times New Roman"/>
              </w:rPr>
            </w:pPr>
            <w:r w:rsidRPr="003105C6">
              <w:rPr>
                <w:rStyle w:val="InstructionsTabelleText"/>
                <w:rFonts w:ascii="Times New Roman" w:hAnsi="Times New Roman"/>
              </w:rPr>
              <w:t>Derivatives comprise those contract listed in Annex II of CRR.</w:t>
            </w:r>
          </w:p>
          <w:p w:rsidR="00884FEB" w:rsidRPr="0017440D" w:rsidRDefault="003105C6" w:rsidP="00D20C67">
            <w:pPr>
              <w:ind w:left="72"/>
              <w:rPr>
                <w:rStyle w:val="InstructionsTabelleText"/>
                <w:rFonts w:ascii="Times New Roman" w:hAnsi="Times New Roman"/>
              </w:rPr>
            </w:pPr>
            <w:r w:rsidRPr="003105C6">
              <w:rPr>
                <w:rStyle w:val="InstructionsTabelleText"/>
                <w:rFonts w:ascii="Times New Roman" w:hAnsi="Times New Roman"/>
              </w:rPr>
              <w:t>Long Settlement Transactions as defined in Article 267 (2) of CRR.</w:t>
            </w:r>
          </w:p>
          <w:p w:rsidR="00884FEB" w:rsidRPr="0017440D" w:rsidRDefault="003105C6" w:rsidP="00853594">
            <w:pPr>
              <w:ind w:left="72"/>
              <w:rPr>
                <w:rStyle w:val="InstructionsTabelleText"/>
                <w:rFonts w:ascii="Times New Roman" w:hAnsi="Times New Roman"/>
              </w:rPr>
            </w:pPr>
            <w:r w:rsidRPr="003105C6">
              <w:rPr>
                <w:rStyle w:val="InstructionsTabelleText"/>
                <w:rFonts w:ascii="Times New Roman" w:hAnsi="Times New Roman"/>
              </w:rPr>
              <w:t>Derivatives and Long Settlement Transa</w:t>
            </w:r>
            <w:r w:rsidR="00853594">
              <w:rPr>
                <w:rStyle w:val="InstructionsTabelleText"/>
                <w:rFonts w:ascii="Times New Roman" w:hAnsi="Times New Roman"/>
              </w:rPr>
              <w:t xml:space="preserve">ctions which are included in a </w:t>
            </w:r>
            <w:r w:rsidRPr="003105C6">
              <w:rPr>
                <w:rStyle w:val="InstructionsTabelleText"/>
                <w:rFonts w:ascii="Times New Roman" w:hAnsi="Times New Roman"/>
              </w:rPr>
              <w:t>Cross Product Netting and ther</w:t>
            </w:r>
            <w:r w:rsidRPr="003105C6">
              <w:rPr>
                <w:rStyle w:val="InstructionsTabelleText"/>
                <w:rFonts w:ascii="Times New Roman" w:hAnsi="Times New Roman"/>
              </w:rPr>
              <w:t>e</w:t>
            </w:r>
            <w:r w:rsidRPr="003105C6">
              <w:rPr>
                <w:rStyle w:val="InstructionsTabelleText"/>
                <w:rFonts w:ascii="Times New Roman" w:hAnsi="Times New Roman"/>
              </w:rPr>
              <w:t xml:space="preserve">fore reported in row </w:t>
            </w:r>
            <w:proofErr w:type="gramStart"/>
            <w:r w:rsidR="00560B97">
              <w:rPr>
                <w:rStyle w:val="InstructionsTabelleText"/>
                <w:rFonts w:ascii="Times New Roman" w:hAnsi="Times New Roman"/>
              </w:rPr>
              <w:t>100</w:t>
            </w:r>
            <w:r w:rsidRPr="003105C6">
              <w:rPr>
                <w:rStyle w:val="InstructionsTabelleText"/>
                <w:rFonts w:ascii="Times New Roman" w:hAnsi="Times New Roman"/>
              </w:rPr>
              <w:t>,</w:t>
            </w:r>
            <w:proofErr w:type="gramEnd"/>
            <w:r w:rsidRPr="003105C6">
              <w:rPr>
                <w:rStyle w:val="InstructionsTabelleText"/>
                <w:rFonts w:ascii="Times New Roman" w:hAnsi="Times New Roman"/>
              </w:rPr>
              <w:t xml:space="preserve"> shall not be reported in this row.</w:t>
            </w:r>
          </w:p>
        </w:tc>
      </w:tr>
      <w:tr w:rsidR="00DA3B36" w:rsidRPr="0017440D" w:rsidTr="007F0442">
        <w:tc>
          <w:tcPr>
            <w:tcW w:w="1188" w:type="dxa"/>
          </w:tcPr>
          <w:p w:rsidR="00DA3B36" w:rsidRPr="0017440D" w:rsidRDefault="00FC6BDB" w:rsidP="007F0442">
            <w:pPr>
              <w:rPr>
                <w:rStyle w:val="InstructionsTabelleText"/>
                <w:rFonts w:ascii="Times New Roman" w:hAnsi="Times New Roman"/>
              </w:rPr>
            </w:pPr>
            <w:r>
              <w:rPr>
                <w:rStyle w:val="InstructionsTabelleText"/>
                <w:rFonts w:ascii="Times New Roman" w:hAnsi="Times New Roman"/>
              </w:rPr>
              <w:t>07</w:t>
            </w:r>
            <w:r w:rsidR="003105C6" w:rsidRPr="003105C6">
              <w:rPr>
                <w:rStyle w:val="InstructionsTabelleText"/>
                <w:rFonts w:ascii="Times New Roman" w:hAnsi="Times New Roman"/>
              </w:rPr>
              <w:t>0</w:t>
            </w:r>
          </w:p>
        </w:tc>
        <w:tc>
          <w:tcPr>
            <w:tcW w:w="8701" w:type="dxa"/>
          </w:tcPr>
          <w:p w:rsidR="00DA3B36" w:rsidRPr="0017440D" w:rsidRDefault="003105C6" w:rsidP="00D20C67">
            <w:pPr>
              <w:ind w:left="72"/>
              <w:rPr>
                <w:rStyle w:val="InstructionsTabelleberschrift"/>
                <w:rFonts w:ascii="Times New Roman" w:hAnsi="Times New Roman"/>
              </w:rPr>
            </w:pPr>
            <w:r w:rsidRPr="003105C6">
              <w:rPr>
                <w:rStyle w:val="InstructionsTabelleberschrift"/>
                <w:rFonts w:ascii="Times New Roman" w:hAnsi="Times New Roman"/>
              </w:rPr>
              <w:t xml:space="preserve">Of which: </w:t>
            </w:r>
            <w:r w:rsidR="00FC6BDB">
              <w:rPr>
                <w:rStyle w:val="InstructionsTabelleberschrift"/>
                <w:rFonts w:ascii="Times New Roman" w:hAnsi="Times New Roman"/>
              </w:rPr>
              <w:t>c</w:t>
            </w:r>
            <w:r w:rsidRPr="003105C6">
              <w:rPr>
                <w:rStyle w:val="InstructionsTabelleberschrift"/>
                <w:rFonts w:ascii="Times New Roman" w:hAnsi="Times New Roman"/>
              </w:rPr>
              <w:t xml:space="preserve">entrally cleared through </w:t>
            </w:r>
            <w:r w:rsidR="00FC6BDB">
              <w:rPr>
                <w:rStyle w:val="InstructionsTabelleberschrift"/>
                <w:rFonts w:ascii="Times New Roman" w:hAnsi="Times New Roman"/>
              </w:rPr>
              <w:t xml:space="preserve">a </w:t>
            </w:r>
            <w:r w:rsidRPr="003105C6">
              <w:rPr>
                <w:rStyle w:val="InstructionsTabelleberschrift"/>
                <w:rFonts w:ascii="Times New Roman" w:hAnsi="Times New Roman"/>
              </w:rPr>
              <w:t>compliant CCP</w:t>
            </w:r>
          </w:p>
          <w:p w:rsidR="00DA3B36" w:rsidRPr="0017440D" w:rsidRDefault="003105C6" w:rsidP="00FC6BDB">
            <w:pPr>
              <w:ind w:left="72"/>
              <w:rPr>
                <w:rStyle w:val="InstructionsTabelleberschrift"/>
                <w:rFonts w:ascii="Times New Roman" w:hAnsi="Times New Roman"/>
                <w:b w:val="0"/>
                <w:u w:val="none"/>
              </w:rPr>
            </w:pPr>
            <w:r w:rsidRPr="003105C6">
              <w:rPr>
                <w:rStyle w:val="InstructionsTabelleberschrift"/>
                <w:rFonts w:ascii="Times New Roman" w:hAnsi="Times New Roman"/>
                <w:b w:val="0"/>
                <w:u w:val="none"/>
              </w:rPr>
              <w:t>Article 297 of CRR for compliant CCPs according to Articles 4 (73) in conjunction with Article 295 (2) of CRR</w:t>
            </w:r>
          </w:p>
          <w:p w:rsidR="00DA3B36" w:rsidRPr="0017440D" w:rsidRDefault="003105C6" w:rsidP="00DA3B36">
            <w:pPr>
              <w:ind w:left="72"/>
              <w:rPr>
                <w:rStyle w:val="InstructionsTabelleberschrift"/>
                <w:rFonts w:ascii="Times New Roman" w:hAnsi="Times New Roman"/>
              </w:rPr>
            </w:pPr>
            <w:r w:rsidRPr="003105C6">
              <w:rPr>
                <w:rStyle w:val="InstructionsTabelleberschrift"/>
                <w:rFonts w:ascii="Times New Roman" w:hAnsi="Times New Roman"/>
                <w:b w:val="0"/>
                <w:u w:val="none"/>
              </w:rPr>
              <w:t>Mark-to-market exposures to a CCP and potential future exposures to a CCP according to Article 4 (75) of CRR</w:t>
            </w:r>
          </w:p>
        </w:tc>
      </w:tr>
      <w:tr w:rsidR="00884FEB" w:rsidRPr="0017440D" w:rsidTr="007F0442">
        <w:tc>
          <w:tcPr>
            <w:tcW w:w="1188" w:type="dxa"/>
          </w:tcPr>
          <w:p w:rsidR="00884FEB" w:rsidRPr="0017440D" w:rsidRDefault="00FC6BDB" w:rsidP="007F0442">
            <w:pPr>
              <w:rPr>
                <w:rFonts w:ascii="Times New Roman" w:hAnsi="Times New Roman"/>
                <w:szCs w:val="20"/>
              </w:rPr>
            </w:pPr>
            <w:r>
              <w:rPr>
                <w:rStyle w:val="InstructionsTabelleText"/>
                <w:rFonts w:ascii="Times New Roman" w:hAnsi="Times New Roman"/>
              </w:rPr>
              <w:t>080</w:t>
            </w:r>
          </w:p>
        </w:tc>
        <w:tc>
          <w:tcPr>
            <w:tcW w:w="8701" w:type="dxa"/>
          </w:tcPr>
          <w:p w:rsidR="00884FEB" w:rsidRPr="0017440D" w:rsidRDefault="003105C6" w:rsidP="00D20C67">
            <w:pPr>
              <w:ind w:left="72"/>
              <w:rPr>
                <w:rStyle w:val="InstructionsTabelleberschrift"/>
                <w:rFonts w:ascii="Times New Roman" w:hAnsi="Times New Roman"/>
              </w:rPr>
            </w:pPr>
            <w:r w:rsidRPr="003105C6">
              <w:rPr>
                <w:rStyle w:val="InstructionsTabelleberschrift"/>
                <w:rFonts w:ascii="Times New Roman" w:hAnsi="Times New Roman"/>
              </w:rPr>
              <w:t>From Contractual Cross Product Netting</w:t>
            </w:r>
          </w:p>
          <w:p w:rsidR="00884FEB" w:rsidRPr="0017440D" w:rsidRDefault="003105C6" w:rsidP="005B0C8D">
            <w:pPr>
              <w:ind w:left="72"/>
              <w:rPr>
                <w:rStyle w:val="InstructionsTabelleText"/>
                <w:rFonts w:ascii="Times New Roman" w:hAnsi="Times New Roman"/>
              </w:rPr>
            </w:pPr>
            <w:r w:rsidRPr="003105C6">
              <w:rPr>
                <w:rStyle w:val="InstructionsTabelleText"/>
                <w:rFonts w:ascii="Times New Roman" w:hAnsi="Times New Roman"/>
              </w:rPr>
              <w:t>Exposures that due to the existence of a contractual cross product netting (as defined in Article 267 (11) of CRR cannot be assigned to either Derivatives&amp; Long Settlement Transactions or Securities Financing Transactions) will be included under this category.</w:t>
            </w:r>
          </w:p>
        </w:tc>
      </w:tr>
      <w:tr w:rsidR="00884FEB" w:rsidRPr="0017440D" w:rsidTr="007F0442">
        <w:tc>
          <w:tcPr>
            <w:tcW w:w="1188" w:type="dxa"/>
          </w:tcPr>
          <w:p w:rsidR="00884FEB" w:rsidRPr="0017440D" w:rsidRDefault="003105C6" w:rsidP="00853594">
            <w:pPr>
              <w:rPr>
                <w:rStyle w:val="InstructionsTabelleText"/>
                <w:rFonts w:ascii="Times New Roman" w:hAnsi="Times New Roman"/>
              </w:rPr>
            </w:pPr>
            <w:r w:rsidRPr="003105C6">
              <w:rPr>
                <w:rStyle w:val="InstructionsTabelleText"/>
                <w:rFonts w:ascii="Times New Roman" w:hAnsi="Times New Roman"/>
              </w:rPr>
              <w:t>0</w:t>
            </w:r>
            <w:r w:rsidR="00FC6BDB">
              <w:rPr>
                <w:rStyle w:val="InstructionsTabelleText"/>
                <w:rFonts w:ascii="Times New Roman" w:hAnsi="Times New Roman"/>
              </w:rPr>
              <w:t>90</w:t>
            </w:r>
            <w:r w:rsidRPr="003105C6">
              <w:rPr>
                <w:rStyle w:val="InstructionsTabelleText"/>
                <w:rFonts w:ascii="Times New Roman" w:hAnsi="Times New Roman"/>
              </w:rPr>
              <w:t>-</w:t>
            </w:r>
            <w:r w:rsidR="001A6EB3">
              <w:rPr>
                <w:rStyle w:val="InstructionsTabelleText"/>
                <w:rFonts w:ascii="Times New Roman" w:hAnsi="Times New Roman"/>
              </w:rPr>
              <w:t>2</w:t>
            </w:r>
            <w:r w:rsidR="00853594">
              <w:rPr>
                <w:rStyle w:val="InstructionsTabelleText"/>
                <w:rFonts w:ascii="Times New Roman" w:hAnsi="Times New Roman"/>
              </w:rPr>
              <w:t>1</w:t>
            </w:r>
            <w:r w:rsidR="001A6EB3">
              <w:rPr>
                <w:rStyle w:val="InstructionsTabelleText"/>
                <w:rFonts w:ascii="Times New Roman" w:hAnsi="Times New Roman"/>
              </w:rPr>
              <w:t>0</w:t>
            </w:r>
          </w:p>
        </w:tc>
        <w:tc>
          <w:tcPr>
            <w:tcW w:w="8701" w:type="dxa"/>
          </w:tcPr>
          <w:p w:rsidR="00884FEB" w:rsidRPr="0017440D" w:rsidRDefault="003105C6" w:rsidP="00D20C67">
            <w:pPr>
              <w:ind w:left="72"/>
              <w:rPr>
                <w:rStyle w:val="InstructionsTabelleberschrift"/>
                <w:rFonts w:ascii="Times New Roman" w:hAnsi="Times New Roman"/>
              </w:rPr>
            </w:pPr>
            <w:r w:rsidRPr="003105C6">
              <w:rPr>
                <w:rStyle w:val="InstructionsTabelleberschrift"/>
                <w:rFonts w:ascii="Times New Roman" w:hAnsi="Times New Roman"/>
              </w:rPr>
              <w:t>BREAKDOWN OF EXPOSURES BY RISK WEIGHTS</w:t>
            </w:r>
          </w:p>
          <w:p w:rsidR="0098778D" w:rsidRPr="0017440D" w:rsidRDefault="0098778D">
            <w:pPr>
              <w:autoSpaceDE w:val="0"/>
              <w:autoSpaceDN w:val="0"/>
              <w:adjustRightInd w:val="0"/>
              <w:spacing w:before="0" w:after="0"/>
              <w:ind w:left="72"/>
              <w:jc w:val="left"/>
              <w:rPr>
                <w:rStyle w:val="InstructionsTabelleText"/>
                <w:rFonts w:ascii="Times New Roman" w:hAnsi="Times New Roman"/>
              </w:rPr>
            </w:pPr>
          </w:p>
        </w:tc>
      </w:tr>
      <w:tr w:rsidR="00884FEB" w:rsidRPr="0017440D" w:rsidTr="001A6EB3">
        <w:tc>
          <w:tcPr>
            <w:tcW w:w="1188" w:type="dxa"/>
            <w:shd w:val="clear" w:color="auto" w:fill="auto"/>
          </w:tcPr>
          <w:p w:rsidR="00884FEB" w:rsidRPr="0017440D" w:rsidRDefault="00403B31" w:rsidP="007F0442">
            <w:pPr>
              <w:rPr>
                <w:rFonts w:ascii="Times New Roman" w:hAnsi="Times New Roman"/>
                <w:szCs w:val="20"/>
              </w:rPr>
            </w:pPr>
            <w:r>
              <w:rPr>
                <w:rStyle w:val="InstructionsTabelleText"/>
                <w:rFonts w:ascii="Times New Roman" w:hAnsi="Times New Roman"/>
              </w:rPr>
              <w:lastRenderedPageBreak/>
              <w:t>090</w:t>
            </w:r>
          </w:p>
        </w:tc>
        <w:tc>
          <w:tcPr>
            <w:tcW w:w="8701" w:type="dxa"/>
            <w:shd w:val="clear" w:color="auto" w:fill="auto"/>
          </w:tcPr>
          <w:p w:rsidR="00884FEB" w:rsidRPr="0017440D" w:rsidRDefault="003105C6" w:rsidP="00D20C67">
            <w:pPr>
              <w:ind w:left="72"/>
              <w:rPr>
                <w:rStyle w:val="InstructionsTabelleberschrift"/>
                <w:rFonts w:ascii="Times New Roman" w:hAnsi="Times New Roman"/>
              </w:rPr>
            </w:pPr>
            <w:r w:rsidRPr="003105C6">
              <w:rPr>
                <w:rStyle w:val="InstructionsTabelleberschrift"/>
                <w:rFonts w:ascii="Times New Roman" w:hAnsi="Times New Roman"/>
              </w:rPr>
              <w:t>0 %</w:t>
            </w:r>
          </w:p>
          <w:p w:rsidR="00884FEB" w:rsidRPr="0017440D" w:rsidRDefault="003105C6" w:rsidP="00385B93">
            <w:pPr>
              <w:ind w:left="72"/>
              <w:rPr>
                <w:rStyle w:val="InstructionsTabelleText"/>
                <w:rFonts w:ascii="Times New Roman" w:hAnsi="Times New Roman"/>
              </w:rPr>
            </w:pPr>
            <w:r w:rsidRPr="003105C6">
              <w:rPr>
                <w:rStyle w:val="InstructionsTabelleText"/>
                <w:rFonts w:ascii="Times New Roman" w:hAnsi="Times New Roman"/>
              </w:rPr>
              <w:t xml:space="preserve">This row is not available for </w:t>
            </w:r>
            <w:r w:rsidR="00385B93">
              <w:rPr>
                <w:rStyle w:val="InstructionsTabelleText"/>
                <w:rFonts w:ascii="Times New Roman" w:hAnsi="Times New Roman"/>
              </w:rPr>
              <w:t>exposure class</w:t>
            </w:r>
            <w:r w:rsidR="00385B93" w:rsidRPr="003105C6">
              <w:rPr>
                <w:rStyle w:val="InstructionsTabelleText"/>
                <w:rFonts w:ascii="Times New Roman" w:hAnsi="Times New Roman"/>
              </w:rPr>
              <w:t xml:space="preserve"> </w:t>
            </w:r>
            <w:r w:rsidRPr="003105C6">
              <w:rPr>
                <w:rStyle w:val="InstructionsTabelleText"/>
                <w:rFonts w:ascii="Times New Roman" w:hAnsi="Times New Roman"/>
              </w:rPr>
              <w:t>Retail</w:t>
            </w:r>
          </w:p>
        </w:tc>
      </w:tr>
      <w:tr w:rsidR="00942368" w:rsidRPr="0017440D" w:rsidTr="001A6EB3">
        <w:tc>
          <w:tcPr>
            <w:tcW w:w="1188" w:type="dxa"/>
            <w:shd w:val="clear" w:color="auto" w:fill="auto"/>
          </w:tcPr>
          <w:p w:rsidR="00942368" w:rsidRPr="0017440D" w:rsidRDefault="003105C6" w:rsidP="00D20C67">
            <w:pPr>
              <w:rPr>
                <w:rStyle w:val="InstructionsTabelleText"/>
                <w:rFonts w:ascii="Times New Roman" w:hAnsi="Times New Roman"/>
              </w:rPr>
            </w:pPr>
            <w:r w:rsidRPr="003105C6">
              <w:rPr>
                <w:rStyle w:val="InstructionsTabelleText"/>
                <w:rFonts w:ascii="Times New Roman" w:hAnsi="Times New Roman"/>
              </w:rPr>
              <w:t>1</w:t>
            </w:r>
            <w:r w:rsidR="001A6EB3">
              <w:rPr>
                <w:rStyle w:val="InstructionsTabelleText"/>
                <w:rFonts w:ascii="Times New Roman" w:hAnsi="Times New Roman"/>
              </w:rPr>
              <w:t>00</w:t>
            </w:r>
          </w:p>
        </w:tc>
        <w:tc>
          <w:tcPr>
            <w:tcW w:w="8701" w:type="dxa"/>
            <w:shd w:val="clear" w:color="auto" w:fill="auto"/>
          </w:tcPr>
          <w:p w:rsidR="00942368" w:rsidRPr="0017440D" w:rsidRDefault="003105C6" w:rsidP="00D20C67">
            <w:pPr>
              <w:ind w:left="72"/>
              <w:rPr>
                <w:rStyle w:val="InstructionsTabelleberschrift"/>
                <w:rFonts w:ascii="Times New Roman" w:hAnsi="Times New Roman"/>
              </w:rPr>
            </w:pPr>
            <w:r w:rsidRPr="003105C6">
              <w:rPr>
                <w:rStyle w:val="InstructionsTabelleberschrift"/>
                <w:rFonts w:ascii="Times New Roman" w:hAnsi="Times New Roman"/>
              </w:rPr>
              <w:t>2%</w:t>
            </w:r>
          </w:p>
          <w:p w:rsidR="008427C5" w:rsidRPr="0017440D" w:rsidRDefault="003105C6" w:rsidP="00D20C67">
            <w:pPr>
              <w:ind w:left="72"/>
              <w:rPr>
                <w:rStyle w:val="InstructionsTabelleberschrift"/>
                <w:rFonts w:ascii="Times New Roman" w:hAnsi="Times New Roman"/>
                <w:u w:val="none"/>
              </w:rPr>
            </w:pPr>
            <w:r w:rsidRPr="003105C6">
              <w:rPr>
                <w:rFonts w:ascii="Times New Roman" w:eastAsia="Arial" w:hAnsi="Times New Roman"/>
                <w:szCs w:val="20"/>
                <w:lang w:val="de-DE"/>
              </w:rPr>
              <w:t>Article 297 (1) of CRR</w:t>
            </w:r>
          </w:p>
        </w:tc>
      </w:tr>
      <w:tr w:rsidR="00884FEB" w:rsidRPr="0017440D" w:rsidTr="001A6EB3">
        <w:tc>
          <w:tcPr>
            <w:tcW w:w="1188" w:type="dxa"/>
            <w:shd w:val="clear" w:color="auto" w:fill="auto"/>
          </w:tcPr>
          <w:p w:rsidR="00884FEB" w:rsidRPr="0017440D" w:rsidRDefault="001A6EB3" w:rsidP="00D20C67">
            <w:pPr>
              <w:rPr>
                <w:rFonts w:ascii="Times New Roman" w:hAnsi="Times New Roman"/>
                <w:szCs w:val="20"/>
              </w:rPr>
            </w:pPr>
            <w:r>
              <w:rPr>
                <w:rStyle w:val="InstructionsTabelleText"/>
                <w:rFonts w:ascii="Times New Roman" w:hAnsi="Times New Roman"/>
              </w:rPr>
              <w:t>110</w:t>
            </w:r>
          </w:p>
        </w:tc>
        <w:tc>
          <w:tcPr>
            <w:tcW w:w="8701" w:type="dxa"/>
            <w:shd w:val="clear" w:color="auto" w:fill="auto"/>
          </w:tcPr>
          <w:p w:rsidR="00884FEB" w:rsidRPr="0017440D" w:rsidRDefault="003105C6" w:rsidP="00D20C67">
            <w:pPr>
              <w:ind w:left="72"/>
              <w:rPr>
                <w:rStyle w:val="InstructionsTabelleberschrift"/>
                <w:rFonts w:ascii="Times New Roman" w:hAnsi="Times New Roman"/>
              </w:rPr>
            </w:pPr>
            <w:r w:rsidRPr="003105C6">
              <w:rPr>
                <w:rStyle w:val="InstructionsTabelleberschrift"/>
                <w:rFonts w:ascii="Times New Roman" w:hAnsi="Times New Roman"/>
              </w:rPr>
              <w:t>10 %</w:t>
            </w:r>
          </w:p>
          <w:p w:rsidR="00884FEB" w:rsidRPr="0017440D" w:rsidRDefault="003105C6" w:rsidP="00D20C67">
            <w:pPr>
              <w:ind w:left="72"/>
              <w:rPr>
                <w:rStyle w:val="InstructionsTabelleberschrift"/>
                <w:rFonts w:ascii="Times New Roman" w:hAnsi="Times New Roman"/>
              </w:rPr>
            </w:pPr>
            <w:r w:rsidRPr="003105C6">
              <w:rPr>
                <w:rStyle w:val="InstructionsTabelleText"/>
                <w:rFonts w:ascii="Times New Roman" w:hAnsi="Times New Roman"/>
              </w:rPr>
              <w:t xml:space="preserve">This row is not available for </w:t>
            </w:r>
            <w:r w:rsidR="00385B93">
              <w:rPr>
                <w:rStyle w:val="InstructionsTabelleText"/>
                <w:rFonts w:ascii="Times New Roman" w:hAnsi="Times New Roman"/>
              </w:rPr>
              <w:t>exposure classes</w:t>
            </w:r>
            <w:r w:rsidR="00385B93" w:rsidRPr="003105C6" w:rsidDel="00385B93">
              <w:rPr>
                <w:rStyle w:val="InstructionsTabelleText"/>
                <w:rFonts w:ascii="Times New Roman" w:hAnsi="Times New Roman"/>
              </w:rPr>
              <w:t xml:space="preserve"> </w:t>
            </w:r>
            <w:r w:rsidRPr="003105C6">
              <w:rPr>
                <w:rStyle w:val="InstructionsTabelleText"/>
                <w:rFonts w:ascii="Times New Roman" w:hAnsi="Times New Roman"/>
              </w:rPr>
              <w:t>Institutions, Corporates and Retail</w:t>
            </w:r>
          </w:p>
        </w:tc>
      </w:tr>
      <w:tr w:rsidR="00884FEB" w:rsidRPr="0017440D" w:rsidTr="001A6EB3">
        <w:tc>
          <w:tcPr>
            <w:tcW w:w="1188" w:type="dxa"/>
            <w:shd w:val="clear" w:color="auto" w:fill="auto"/>
          </w:tcPr>
          <w:p w:rsidR="00884FEB" w:rsidRDefault="003105C6" w:rsidP="00D20C67">
            <w:pPr>
              <w:rPr>
                <w:rStyle w:val="InstructionsTabelleText"/>
                <w:rFonts w:ascii="Times New Roman" w:hAnsi="Times New Roman"/>
              </w:rPr>
            </w:pPr>
            <w:r w:rsidRPr="003105C6">
              <w:rPr>
                <w:rStyle w:val="InstructionsTabelleText"/>
                <w:rFonts w:ascii="Times New Roman" w:hAnsi="Times New Roman"/>
              </w:rPr>
              <w:t>1</w:t>
            </w:r>
            <w:r w:rsidR="001A6EB3">
              <w:rPr>
                <w:rStyle w:val="InstructionsTabelleText"/>
                <w:rFonts w:ascii="Times New Roman" w:hAnsi="Times New Roman"/>
              </w:rPr>
              <w:t>20</w:t>
            </w:r>
          </w:p>
          <w:p w:rsidR="001A6EB3" w:rsidRPr="0017440D" w:rsidRDefault="001A6EB3" w:rsidP="00D20C67">
            <w:pPr>
              <w:rPr>
                <w:rFonts w:ascii="Times New Roman" w:hAnsi="Times New Roman"/>
                <w:szCs w:val="20"/>
              </w:rPr>
            </w:pPr>
          </w:p>
        </w:tc>
        <w:tc>
          <w:tcPr>
            <w:tcW w:w="8701" w:type="dxa"/>
            <w:shd w:val="clear" w:color="auto" w:fill="auto"/>
          </w:tcPr>
          <w:p w:rsidR="00884FEB" w:rsidRPr="0017440D" w:rsidRDefault="003105C6" w:rsidP="00D20C67">
            <w:pPr>
              <w:ind w:left="72"/>
              <w:rPr>
                <w:rStyle w:val="InstructionsTabelleberschrift"/>
                <w:rFonts w:ascii="Times New Roman" w:hAnsi="Times New Roman"/>
              </w:rPr>
            </w:pPr>
            <w:r w:rsidRPr="003105C6">
              <w:rPr>
                <w:rStyle w:val="InstructionsTabelleberschrift"/>
                <w:rFonts w:ascii="Times New Roman" w:hAnsi="Times New Roman"/>
              </w:rPr>
              <w:t>20 %</w:t>
            </w:r>
          </w:p>
          <w:p w:rsidR="00884FEB" w:rsidRPr="0017440D" w:rsidRDefault="003105C6" w:rsidP="00D20C67">
            <w:pPr>
              <w:ind w:left="72"/>
              <w:rPr>
                <w:rStyle w:val="InstructionsTabelleberschrift"/>
                <w:rFonts w:ascii="Times New Roman" w:hAnsi="Times New Roman"/>
              </w:rPr>
            </w:pPr>
            <w:r w:rsidRPr="003105C6">
              <w:rPr>
                <w:rStyle w:val="InstructionsTabelleText"/>
                <w:rFonts w:ascii="Times New Roman" w:hAnsi="Times New Roman"/>
              </w:rPr>
              <w:t xml:space="preserve">This row is not available for </w:t>
            </w:r>
            <w:r w:rsidR="00385B93">
              <w:rPr>
                <w:rStyle w:val="InstructionsTabelleText"/>
                <w:rFonts w:ascii="Times New Roman" w:hAnsi="Times New Roman"/>
              </w:rPr>
              <w:t>exposure class</w:t>
            </w:r>
            <w:r w:rsidR="00385B93" w:rsidRPr="003105C6" w:rsidDel="00385B93">
              <w:rPr>
                <w:rStyle w:val="InstructionsTabelleText"/>
                <w:rFonts w:ascii="Times New Roman" w:hAnsi="Times New Roman"/>
              </w:rPr>
              <w:t xml:space="preserve"> </w:t>
            </w:r>
            <w:r w:rsidRPr="003105C6">
              <w:rPr>
                <w:rStyle w:val="InstructionsTabelleText"/>
                <w:rFonts w:ascii="Times New Roman" w:hAnsi="Times New Roman"/>
              </w:rPr>
              <w:t>Retail</w:t>
            </w:r>
          </w:p>
        </w:tc>
      </w:tr>
      <w:tr w:rsidR="00884FEB" w:rsidRPr="0017440D" w:rsidTr="001A6EB3">
        <w:tc>
          <w:tcPr>
            <w:tcW w:w="1188" w:type="dxa"/>
            <w:shd w:val="clear" w:color="auto" w:fill="auto"/>
          </w:tcPr>
          <w:p w:rsidR="00884FEB" w:rsidRPr="0017440D" w:rsidRDefault="003105C6" w:rsidP="001A6EB3">
            <w:pPr>
              <w:rPr>
                <w:rFonts w:ascii="Times New Roman" w:hAnsi="Times New Roman"/>
                <w:szCs w:val="20"/>
              </w:rPr>
            </w:pPr>
            <w:r w:rsidRPr="003105C6">
              <w:rPr>
                <w:rStyle w:val="InstructionsTabelleText"/>
                <w:rFonts w:ascii="Times New Roman" w:hAnsi="Times New Roman"/>
              </w:rPr>
              <w:t>1</w:t>
            </w:r>
            <w:r w:rsidR="001A6EB3">
              <w:rPr>
                <w:rStyle w:val="InstructionsTabelleText"/>
                <w:rFonts w:ascii="Times New Roman" w:hAnsi="Times New Roman"/>
              </w:rPr>
              <w:t>3</w:t>
            </w:r>
            <w:r w:rsidR="00403B31">
              <w:rPr>
                <w:rStyle w:val="InstructionsTabelleText"/>
                <w:rFonts w:ascii="Times New Roman" w:hAnsi="Times New Roman"/>
              </w:rPr>
              <w:t>0</w:t>
            </w:r>
          </w:p>
        </w:tc>
        <w:tc>
          <w:tcPr>
            <w:tcW w:w="8701" w:type="dxa"/>
            <w:shd w:val="clear" w:color="auto" w:fill="auto"/>
          </w:tcPr>
          <w:p w:rsidR="00884FEB" w:rsidRPr="0017440D" w:rsidRDefault="003105C6" w:rsidP="00D20C67">
            <w:pPr>
              <w:ind w:left="72"/>
              <w:rPr>
                <w:rStyle w:val="InstructionsTabelleberschrift"/>
                <w:rFonts w:ascii="Times New Roman" w:hAnsi="Times New Roman"/>
              </w:rPr>
            </w:pPr>
            <w:r w:rsidRPr="003105C6">
              <w:rPr>
                <w:rStyle w:val="InstructionsTabelleberschrift"/>
                <w:rFonts w:ascii="Times New Roman" w:hAnsi="Times New Roman"/>
              </w:rPr>
              <w:t>35 %</w:t>
            </w:r>
          </w:p>
          <w:p w:rsidR="00884FEB" w:rsidRPr="0017440D" w:rsidRDefault="003105C6" w:rsidP="00D20C67">
            <w:pPr>
              <w:ind w:left="72"/>
              <w:rPr>
                <w:rStyle w:val="InstructionsTabelleberschrift"/>
                <w:rFonts w:ascii="Times New Roman" w:hAnsi="Times New Roman"/>
              </w:rPr>
            </w:pPr>
            <w:r w:rsidRPr="003105C6">
              <w:rPr>
                <w:rStyle w:val="InstructionsTabelleText"/>
                <w:rFonts w:ascii="Times New Roman" w:hAnsi="Times New Roman"/>
              </w:rPr>
              <w:t xml:space="preserve">This row is not available for </w:t>
            </w:r>
            <w:r w:rsidR="00385B93">
              <w:rPr>
                <w:rStyle w:val="InstructionsTabelleText"/>
                <w:rFonts w:ascii="Times New Roman" w:hAnsi="Times New Roman"/>
              </w:rPr>
              <w:t>exposure classes</w:t>
            </w:r>
            <w:r w:rsidR="00385B93" w:rsidRPr="003105C6" w:rsidDel="00385B93">
              <w:rPr>
                <w:rStyle w:val="InstructionsTabelleText"/>
                <w:rFonts w:ascii="Times New Roman" w:hAnsi="Times New Roman"/>
              </w:rPr>
              <w:t xml:space="preserve"> </w:t>
            </w:r>
            <w:r w:rsidRPr="003105C6">
              <w:rPr>
                <w:rStyle w:val="InstructionsTabelleText"/>
                <w:rFonts w:ascii="Times New Roman" w:hAnsi="Times New Roman"/>
              </w:rPr>
              <w:t>Government and Retail</w:t>
            </w:r>
          </w:p>
        </w:tc>
      </w:tr>
      <w:tr w:rsidR="00884FEB" w:rsidRPr="0017440D" w:rsidTr="001A6EB3">
        <w:tc>
          <w:tcPr>
            <w:tcW w:w="1188" w:type="dxa"/>
            <w:shd w:val="clear" w:color="auto" w:fill="auto"/>
          </w:tcPr>
          <w:p w:rsidR="00884FEB" w:rsidRPr="0017440D" w:rsidRDefault="00403B31" w:rsidP="00D20C67">
            <w:pPr>
              <w:rPr>
                <w:rFonts w:ascii="Times New Roman" w:hAnsi="Times New Roman"/>
                <w:szCs w:val="20"/>
              </w:rPr>
            </w:pPr>
            <w:r>
              <w:rPr>
                <w:rStyle w:val="InstructionsTabelleText"/>
                <w:rFonts w:ascii="Times New Roman" w:hAnsi="Times New Roman"/>
              </w:rPr>
              <w:t>1</w:t>
            </w:r>
            <w:r w:rsidR="001A6EB3">
              <w:rPr>
                <w:rStyle w:val="InstructionsTabelleText"/>
                <w:rFonts w:ascii="Times New Roman" w:hAnsi="Times New Roman"/>
              </w:rPr>
              <w:t>40</w:t>
            </w:r>
          </w:p>
        </w:tc>
        <w:tc>
          <w:tcPr>
            <w:tcW w:w="8701" w:type="dxa"/>
            <w:shd w:val="clear" w:color="auto" w:fill="auto"/>
          </w:tcPr>
          <w:p w:rsidR="00884FEB" w:rsidRPr="0017440D" w:rsidRDefault="003105C6" w:rsidP="00D20C67">
            <w:pPr>
              <w:ind w:left="72"/>
              <w:rPr>
                <w:rStyle w:val="InstructionsTabelleberschrift"/>
                <w:rFonts w:ascii="Times New Roman" w:hAnsi="Times New Roman"/>
              </w:rPr>
            </w:pPr>
            <w:r w:rsidRPr="003105C6">
              <w:rPr>
                <w:rStyle w:val="InstructionsTabelleberschrift"/>
                <w:rFonts w:ascii="Times New Roman" w:hAnsi="Times New Roman"/>
              </w:rPr>
              <w:t>50 %</w:t>
            </w:r>
          </w:p>
          <w:p w:rsidR="00884FEB" w:rsidRPr="0017440D" w:rsidRDefault="003105C6" w:rsidP="00D20C67">
            <w:pPr>
              <w:ind w:left="72"/>
              <w:rPr>
                <w:rStyle w:val="InstructionsTabelleberschrift"/>
                <w:rFonts w:ascii="Times New Roman" w:hAnsi="Times New Roman"/>
              </w:rPr>
            </w:pPr>
            <w:r w:rsidRPr="003105C6">
              <w:rPr>
                <w:rStyle w:val="InstructionsTabelleText"/>
                <w:rFonts w:ascii="Times New Roman" w:hAnsi="Times New Roman"/>
              </w:rPr>
              <w:t xml:space="preserve">This row is not available for </w:t>
            </w:r>
            <w:r w:rsidR="00385B93">
              <w:rPr>
                <w:rStyle w:val="InstructionsTabelleText"/>
                <w:rFonts w:ascii="Times New Roman" w:hAnsi="Times New Roman"/>
              </w:rPr>
              <w:t>exposure class</w:t>
            </w:r>
            <w:r w:rsidR="00385B93" w:rsidRPr="003105C6" w:rsidDel="00385B93">
              <w:rPr>
                <w:rStyle w:val="InstructionsTabelleText"/>
                <w:rFonts w:ascii="Times New Roman" w:hAnsi="Times New Roman"/>
              </w:rPr>
              <w:t xml:space="preserve"> </w:t>
            </w:r>
            <w:r w:rsidRPr="003105C6">
              <w:rPr>
                <w:rStyle w:val="InstructionsTabelleText"/>
                <w:rFonts w:ascii="Times New Roman" w:hAnsi="Times New Roman"/>
              </w:rPr>
              <w:t>Retail</w:t>
            </w:r>
          </w:p>
        </w:tc>
      </w:tr>
      <w:tr w:rsidR="00884FEB" w:rsidRPr="0017440D" w:rsidTr="001A6EB3">
        <w:tc>
          <w:tcPr>
            <w:tcW w:w="1188" w:type="dxa"/>
            <w:shd w:val="clear" w:color="auto" w:fill="auto"/>
          </w:tcPr>
          <w:p w:rsidR="00884FEB" w:rsidRPr="0017440D" w:rsidRDefault="00125A56" w:rsidP="001A6EB3">
            <w:pPr>
              <w:rPr>
                <w:rFonts w:ascii="Times New Roman" w:hAnsi="Times New Roman"/>
                <w:szCs w:val="20"/>
              </w:rPr>
            </w:pPr>
            <w:r>
              <w:rPr>
                <w:rStyle w:val="InstructionsTabelleText"/>
                <w:rFonts w:ascii="Times New Roman" w:hAnsi="Times New Roman"/>
              </w:rPr>
              <w:t>150</w:t>
            </w:r>
          </w:p>
        </w:tc>
        <w:tc>
          <w:tcPr>
            <w:tcW w:w="8701" w:type="dxa"/>
            <w:shd w:val="clear" w:color="auto" w:fill="auto"/>
          </w:tcPr>
          <w:p w:rsidR="00884FEB" w:rsidRPr="0017440D" w:rsidRDefault="003105C6" w:rsidP="00D20C67">
            <w:pPr>
              <w:ind w:left="72"/>
              <w:rPr>
                <w:rStyle w:val="InstructionsTabelleberschrift"/>
                <w:rFonts w:ascii="Times New Roman" w:hAnsi="Times New Roman"/>
              </w:rPr>
            </w:pPr>
            <w:r w:rsidRPr="003105C6">
              <w:rPr>
                <w:rStyle w:val="InstructionsTabelleberschrift"/>
                <w:rFonts w:ascii="Times New Roman" w:hAnsi="Times New Roman"/>
              </w:rPr>
              <w:t>70%</w:t>
            </w:r>
          </w:p>
          <w:p w:rsidR="00884FEB" w:rsidRPr="0017440D" w:rsidRDefault="003105C6" w:rsidP="005B0C8D">
            <w:pPr>
              <w:ind w:left="72"/>
              <w:rPr>
                <w:rStyle w:val="InstructionsTabelleText"/>
                <w:rFonts w:ascii="Times New Roman" w:hAnsi="Times New Roman"/>
              </w:rPr>
            </w:pPr>
            <w:r w:rsidRPr="003105C6">
              <w:rPr>
                <w:rStyle w:val="InstructionsTabelleText"/>
                <w:rFonts w:ascii="Times New Roman" w:hAnsi="Times New Roman"/>
              </w:rPr>
              <w:t>Article 227 (3) point (c) of CRR.</w:t>
            </w:r>
          </w:p>
        </w:tc>
      </w:tr>
      <w:tr w:rsidR="00884FEB" w:rsidRPr="0017440D" w:rsidTr="001A6EB3">
        <w:tc>
          <w:tcPr>
            <w:tcW w:w="1188" w:type="dxa"/>
            <w:shd w:val="clear" w:color="auto" w:fill="auto"/>
          </w:tcPr>
          <w:p w:rsidR="00884FEB" w:rsidRPr="0017440D" w:rsidRDefault="00125A56" w:rsidP="00403B31">
            <w:pPr>
              <w:rPr>
                <w:rFonts w:ascii="Times New Roman" w:hAnsi="Times New Roman"/>
                <w:szCs w:val="20"/>
              </w:rPr>
            </w:pPr>
            <w:r>
              <w:rPr>
                <w:rStyle w:val="InstructionsTabelleText"/>
                <w:rFonts w:ascii="Times New Roman" w:hAnsi="Times New Roman"/>
              </w:rPr>
              <w:t>160</w:t>
            </w:r>
          </w:p>
        </w:tc>
        <w:tc>
          <w:tcPr>
            <w:tcW w:w="8701" w:type="dxa"/>
            <w:shd w:val="clear" w:color="auto" w:fill="auto"/>
          </w:tcPr>
          <w:p w:rsidR="00884FEB" w:rsidRPr="0017440D" w:rsidRDefault="003105C6" w:rsidP="00D20C67">
            <w:pPr>
              <w:ind w:left="72"/>
              <w:rPr>
                <w:rStyle w:val="InstructionsTabelleberschrift"/>
                <w:rFonts w:ascii="Times New Roman" w:hAnsi="Times New Roman"/>
              </w:rPr>
            </w:pPr>
            <w:r w:rsidRPr="003105C6">
              <w:rPr>
                <w:rStyle w:val="InstructionsTabelleberschrift"/>
                <w:rFonts w:ascii="Times New Roman" w:hAnsi="Times New Roman"/>
              </w:rPr>
              <w:t>75 %</w:t>
            </w:r>
          </w:p>
          <w:p w:rsidR="00884FEB" w:rsidRPr="0017440D" w:rsidRDefault="003105C6" w:rsidP="00385B93">
            <w:pPr>
              <w:ind w:left="72"/>
              <w:rPr>
                <w:rStyle w:val="InstructionsTabelleberschrift"/>
                <w:rFonts w:ascii="Times New Roman" w:hAnsi="Times New Roman"/>
              </w:rPr>
            </w:pPr>
            <w:r w:rsidRPr="003105C6">
              <w:rPr>
                <w:rStyle w:val="InstructionsTabelleText"/>
                <w:rFonts w:ascii="Times New Roman" w:hAnsi="Times New Roman"/>
              </w:rPr>
              <w:t xml:space="preserve">This row is </w:t>
            </w:r>
            <w:r w:rsidR="00385B93">
              <w:rPr>
                <w:rStyle w:val="InstructionsTabelleText"/>
                <w:rFonts w:ascii="Times New Roman" w:hAnsi="Times New Roman"/>
              </w:rPr>
              <w:t>only</w:t>
            </w:r>
            <w:r w:rsidR="00385B93" w:rsidRPr="003105C6">
              <w:rPr>
                <w:rStyle w:val="InstructionsTabelleText"/>
                <w:rFonts w:ascii="Times New Roman" w:hAnsi="Times New Roman"/>
              </w:rPr>
              <w:t xml:space="preserve"> </w:t>
            </w:r>
            <w:r w:rsidRPr="003105C6">
              <w:rPr>
                <w:rStyle w:val="InstructionsTabelleText"/>
                <w:rFonts w:ascii="Times New Roman" w:hAnsi="Times New Roman"/>
              </w:rPr>
              <w:t xml:space="preserve">available for </w:t>
            </w:r>
            <w:r w:rsidR="00385B93">
              <w:rPr>
                <w:rStyle w:val="InstructionsTabelleText"/>
                <w:rFonts w:ascii="Times New Roman" w:hAnsi="Times New Roman"/>
              </w:rPr>
              <w:t>the exposure class Retail</w:t>
            </w:r>
            <w:r w:rsidRPr="003105C6">
              <w:rPr>
                <w:rStyle w:val="InstructionsTabelleText"/>
                <w:rFonts w:ascii="Times New Roman" w:hAnsi="Times New Roman"/>
              </w:rPr>
              <w:t>.</w:t>
            </w:r>
          </w:p>
        </w:tc>
      </w:tr>
      <w:tr w:rsidR="00884FEB" w:rsidRPr="0017440D" w:rsidTr="001A6EB3">
        <w:tc>
          <w:tcPr>
            <w:tcW w:w="1188" w:type="dxa"/>
            <w:shd w:val="clear" w:color="auto" w:fill="auto"/>
          </w:tcPr>
          <w:p w:rsidR="00884FEB" w:rsidRPr="0017440D" w:rsidRDefault="00125A56" w:rsidP="00403B31">
            <w:pPr>
              <w:rPr>
                <w:rStyle w:val="InstructionsTabelleText"/>
                <w:rFonts w:ascii="Times New Roman" w:hAnsi="Times New Roman"/>
              </w:rPr>
            </w:pPr>
            <w:r>
              <w:rPr>
                <w:rStyle w:val="InstructionsTabelleText"/>
                <w:rFonts w:ascii="Times New Roman" w:hAnsi="Times New Roman"/>
              </w:rPr>
              <w:t>170</w:t>
            </w:r>
          </w:p>
        </w:tc>
        <w:tc>
          <w:tcPr>
            <w:tcW w:w="8701" w:type="dxa"/>
            <w:shd w:val="clear" w:color="auto" w:fill="auto"/>
          </w:tcPr>
          <w:p w:rsidR="00884FEB" w:rsidRPr="0017440D" w:rsidRDefault="003105C6" w:rsidP="00D20C67">
            <w:pPr>
              <w:ind w:left="72"/>
              <w:rPr>
                <w:rStyle w:val="InstructionsTabelleberschrift"/>
                <w:rFonts w:ascii="Times New Roman" w:hAnsi="Times New Roman"/>
              </w:rPr>
            </w:pPr>
            <w:r w:rsidRPr="003105C6">
              <w:rPr>
                <w:rStyle w:val="InstructionsTabelleberschrift"/>
                <w:rFonts w:ascii="Times New Roman" w:hAnsi="Times New Roman"/>
              </w:rPr>
              <w:t>100 %</w:t>
            </w:r>
          </w:p>
          <w:p w:rsidR="00884FEB" w:rsidRPr="0017440D" w:rsidRDefault="003105C6" w:rsidP="00D20C67">
            <w:pPr>
              <w:ind w:left="72"/>
              <w:rPr>
                <w:rStyle w:val="InstructionsTabelleberschrift"/>
                <w:rFonts w:ascii="Times New Roman" w:hAnsi="Times New Roman"/>
              </w:rPr>
            </w:pPr>
            <w:r w:rsidRPr="003105C6">
              <w:rPr>
                <w:rStyle w:val="InstructionsTabelleText"/>
                <w:rFonts w:ascii="Times New Roman" w:hAnsi="Times New Roman"/>
              </w:rPr>
              <w:t xml:space="preserve">This row is not available for </w:t>
            </w:r>
            <w:r w:rsidR="00385B93">
              <w:rPr>
                <w:rStyle w:val="InstructionsTabelleText"/>
                <w:rFonts w:ascii="Times New Roman" w:hAnsi="Times New Roman"/>
              </w:rPr>
              <w:t>exposure class</w:t>
            </w:r>
            <w:r w:rsidR="00385B93" w:rsidRPr="003105C6" w:rsidDel="00385B93">
              <w:rPr>
                <w:rStyle w:val="InstructionsTabelleText"/>
                <w:rFonts w:ascii="Times New Roman" w:hAnsi="Times New Roman"/>
              </w:rPr>
              <w:t xml:space="preserve"> </w:t>
            </w:r>
            <w:r w:rsidRPr="003105C6">
              <w:rPr>
                <w:rStyle w:val="InstructionsTabelleText"/>
                <w:rFonts w:ascii="Times New Roman" w:hAnsi="Times New Roman"/>
              </w:rPr>
              <w:t>Retail.</w:t>
            </w:r>
          </w:p>
          <w:p w:rsidR="00884FEB" w:rsidRPr="0017440D" w:rsidRDefault="00884FEB" w:rsidP="00D20C67">
            <w:pPr>
              <w:ind w:left="72"/>
              <w:rPr>
                <w:rStyle w:val="InstructionsTabelleText"/>
                <w:rFonts w:ascii="Times New Roman" w:hAnsi="Times New Roman"/>
              </w:rPr>
            </w:pPr>
          </w:p>
        </w:tc>
      </w:tr>
      <w:tr w:rsidR="00884FEB" w:rsidRPr="0017440D" w:rsidTr="001A6EB3">
        <w:tc>
          <w:tcPr>
            <w:tcW w:w="1188" w:type="dxa"/>
            <w:shd w:val="clear" w:color="auto" w:fill="auto"/>
          </w:tcPr>
          <w:p w:rsidR="00884FEB" w:rsidRPr="0017440D" w:rsidRDefault="00125A56" w:rsidP="00D20C67">
            <w:pPr>
              <w:rPr>
                <w:rFonts w:ascii="Times New Roman" w:hAnsi="Times New Roman"/>
                <w:szCs w:val="20"/>
              </w:rPr>
            </w:pPr>
            <w:r>
              <w:rPr>
                <w:rStyle w:val="InstructionsTabelleText"/>
                <w:rFonts w:ascii="Times New Roman" w:hAnsi="Times New Roman"/>
              </w:rPr>
              <w:t>180</w:t>
            </w:r>
          </w:p>
        </w:tc>
        <w:tc>
          <w:tcPr>
            <w:tcW w:w="8701" w:type="dxa"/>
            <w:shd w:val="clear" w:color="auto" w:fill="auto"/>
          </w:tcPr>
          <w:p w:rsidR="00884FEB" w:rsidRPr="0017440D" w:rsidRDefault="003105C6" w:rsidP="00D20C67">
            <w:pPr>
              <w:ind w:left="72"/>
              <w:rPr>
                <w:rStyle w:val="InstructionsTabelleberschrift"/>
                <w:rFonts w:ascii="Times New Roman" w:hAnsi="Times New Roman"/>
              </w:rPr>
            </w:pPr>
            <w:r w:rsidRPr="003105C6">
              <w:rPr>
                <w:rStyle w:val="InstructionsTabelleberschrift"/>
                <w:rFonts w:ascii="Times New Roman" w:hAnsi="Times New Roman"/>
              </w:rPr>
              <w:t>150 %</w:t>
            </w:r>
          </w:p>
          <w:p w:rsidR="00884FEB" w:rsidRPr="0017440D" w:rsidRDefault="003105C6" w:rsidP="00D20C67">
            <w:pPr>
              <w:ind w:left="72"/>
              <w:rPr>
                <w:rStyle w:val="InstructionsTabelleText"/>
                <w:rFonts w:ascii="Times New Roman" w:hAnsi="Times New Roman"/>
              </w:rPr>
            </w:pPr>
            <w:r w:rsidRPr="003105C6">
              <w:rPr>
                <w:rStyle w:val="InstructionsTabelleText"/>
                <w:rFonts w:ascii="Times New Roman" w:hAnsi="Times New Roman"/>
              </w:rPr>
              <w:t xml:space="preserve">This row is not available for </w:t>
            </w:r>
            <w:r w:rsidR="00385B93">
              <w:rPr>
                <w:rStyle w:val="InstructionsTabelleText"/>
                <w:rFonts w:ascii="Times New Roman" w:hAnsi="Times New Roman"/>
              </w:rPr>
              <w:t>exposure class</w:t>
            </w:r>
            <w:r w:rsidR="00385B93" w:rsidRPr="003105C6" w:rsidDel="00385B93">
              <w:rPr>
                <w:rStyle w:val="InstructionsTabelleText"/>
                <w:rFonts w:ascii="Times New Roman" w:hAnsi="Times New Roman"/>
              </w:rPr>
              <w:t xml:space="preserve"> </w:t>
            </w:r>
            <w:r w:rsidRPr="003105C6">
              <w:rPr>
                <w:rStyle w:val="InstructionsTabelleText"/>
                <w:rFonts w:ascii="Times New Roman" w:hAnsi="Times New Roman"/>
              </w:rPr>
              <w:t>Retail.</w:t>
            </w:r>
          </w:p>
          <w:p w:rsidR="0098778D" w:rsidRPr="0017440D" w:rsidRDefault="0098778D">
            <w:pPr>
              <w:rPr>
                <w:rStyle w:val="InstructionsTabelleberschrift"/>
                <w:rFonts w:ascii="Times New Roman" w:hAnsi="Times New Roman"/>
              </w:rPr>
            </w:pPr>
          </w:p>
        </w:tc>
      </w:tr>
      <w:tr w:rsidR="00884FEB" w:rsidRPr="0017440D" w:rsidTr="001A6EB3">
        <w:tc>
          <w:tcPr>
            <w:tcW w:w="1188" w:type="dxa"/>
            <w:shd w:val="clear" w:color="auto" w:fill="auto"/>
          </w:tcPr>
          <w:p w:rsidR="00884FEB" w:rsidRPr="0017440D" w:rsidRDefault="00125A56" w:rsidP="00D20C67">
            <w:pPr>
              <w:rPr>
                <w:rFonts w:ascii="Times New Roman" w:hAnsi="Times New Roman"/>
                <w:szCs w:val="20"/>
              </w:rPr>
            </w:pPr>
            <w:r>
              <w:rPr>
                <w:rFonts w:ascii="Times New Roman" w:hAnsi="Times New Roman"/>
                <w:szCs w:val="20"/>
              </w:rPr>
              <w:t>190</w:t>
            </w:r>
          </w:p>
        </w:tc>
        <w:tc>
          <w:tcPr>
            <w:tcW w:w="8701" w:type="dxa"/>
            <w:shd w:val="clear" w:color="auto" w:fill="auto"/>
          </w:tcPr>
          <w:p w:rsidR="00884FEB" w:rsidRPr="0017440D" w:rsidRDefault="003105C6" w:rsidP="00D20C67">
            <w:pPr>
              <w:ind w:left="72"/>
              <w:rPr>
                <w:rStyle w:val="InstructionsTabelleberschrift"/>
                <w:rFonts w:ascii="Times New Roman" w:hAnsi="Times New Roman"/>
              </w:rPr>
            </w:pPr>
            <w:r w:rsidRPr="003105C6">
              <w:rPr>
                <w:rStyle w:val="InstructionsTabelleberschrift"/>
                <w:rFonts w:ascii="Times New Roman" w:hAnsi="Times New Roman"/>
              </w:rPr>
              <w:t>250%</w:t>
            </w:r>
          </w:p>
          <w:p w:rsidR="00884FEB" w:rsidRPr="0017440D" w:rsidRDefault="003105C6" w:rsidP="00D20C67">
            <w:pPr>
              <w:ind w:left="72"/>
              <w:rPr>
                <w:rStyle w:val="InstructionsTabelleText"/>
                <w:rFonts w:ascii="Times New Roman" w:hAnsi="Times New Roman"/>
              </w:rPr>
            </w:pPr>
            <w:r w:rsidRPr="003105C6">
              <w:rPr>
                <w:rStyle w:val="InstructionsTabelleText"/>
                <w:rFonts w:ascii="Times New Roman" w:hAnsi="Times New Roman"/>
              </w:rPr>
              <w:t>Article 128 (2) CRR</w:t>
            </w:r>
          </w:p>
        </w:tc>
      </w:tr>
      <w:tr w:rsidR="00884FEB" w:rsidRPr="0017440D" w:rsidTr="001A6EB3">
        <w:tc>
          <w:tcPr>
            <w:tcW w:w="1188" w:type="dxa"/>
            <w:shd w:val="clear" w:color="auto" w:fill="auto"/>
          </w:tcPr>
          <w:p w:rsidR="00884FEB" w:rsidRPr="0017440D" w:rsidRDefault="00125A56" w:rsidP="00403B31">
            <w:pPr>
              <w:rPr>
                <w:rFonts w:ascii="Times New Roman" w:hAnsi="Times New Roman"/>
                <w:szCs w:val="20"/>
              </w:rPr>
            </w:pPr>
            <w:r>
              <w:rPr>
                <w:rFonts w:ascii="Times New Roman" w:hAnsi="Times New Roman"/>
                <w:szCs w:val="20"/>
              </w:rPr>
              <w:t>200</w:t>
            </w:r>
          </w:p>
        </w:tc>
        <w:tc>
          <w:tcPr>
            <w:tcW w:w="8701" w:type="dxa"/>
            <w:shd w:val="clear" w:color="auto" w:fill="auto"/>
          </w:tcPr>
          <w:p w:rsidR="00884FEB" w:rsidRPr="0017440D" w:rsidRDefault="003105C6" w:rsidP="00D20C67">
            <w:pPr>
              <w:ind w:left="72"/>
              <w:rPr>
                <w:rStyle w:val="InstructionsTabelleberschrift"/>
                <w:rFonts w:ascii="Times New Roman" w:hAnsi="Times New Roman"/>
              </w:rPr>
            </w:pPr>
            <w:r w:rsidRPr="003105C6">
              <w:rPr>
                <w:rStyle w:val="InstructionsTabelleberschrift"/>
                <w:rFonts w:ascii="Times New Roman" w:hAnsi="Times New Roman"/>
              </w:rPr>
              <w:t>1250%</w:t>
            </w:r>
          </w:p>
          <w:p w:rsidR="00884FEB" w:rsidRPr="0017440D" w:rsidRDefault="003105C6" w:rsidP="00D20C67">
            <w:pPr>
              <w:ind w:left="72"/>
              <w:rPr>
                <w:rStyle w:val="InstructionsTabelleberschrift"/>
                <w:rFonts w:ascii="Times New Roman" w:hAnsi="Times New Roman"/>
              </w:rPr>
            </w:pPr>
            <w:r w:rsidRPr="003105C6">
              <w:rPr>
                <w:rStyle w:val="InstructionsTabelleText"/>
                <w:rFonts w:ascii="Times New Roman" w:hAnsi="Times New Roman"/>
              </w:rPr>
              <w:t>Article 128 (2) CRR</w:t>
            </w:r>
          </w:p>
        </w:tc>
      </w:tr>
      <w:tr w:rsidR="00884FEB" w:rsidRPr="0017440D" w:rsidTr="001A6EB3">
        <w:tc>
          <w:tcPr>
            <w:tcW w:w="1188" w:type="dxa"/>
            <w:shd w:val="clear" w:color="auto" w:fill="auto"/>
          </w:tcPr>
          <w:p w:rsidR="00884FEB" w:rsidRPr="0017440D" w:rsidRDefault="00125A56" w:rsidP="00403B31">
            <w:pPr>
              <w:rPr>
                <w:rFonts w:ascii="Times New Roman" w:hAnsi="Times New Roman"/>
                <w:szCs w:val="20"/>
              </w:rPr>
            </w:pPr>
            <w:r>
              <w:rPr>
                <w:rFonts w:ascii="Times New Roman" w:hAnsi="Times New Roman"/>
                <w:szCs w:val="20"/>
              </w:rPr>
              <w:t>210</w:t>
            </w:r>
          </w:p>
        </w:tc>
        <w:tc>
          <w:tcPr>
            <w:tcW w:w="8701" w:type="dxa"/>
            <w:shd w:val="clear" w:color="auto" w:fill="auto"/>
          </w:tcPr>
          <w:p w:rsidR="00884FEB" w:rsidRPr="0017440D" w:rsidRDefault="003105C6" w:rsidP="00D20C67">
            <w:pPr>
              <w:ind w:left="72"/>
              <w:rPr>
                <w:rStyle w:val="InstructionsTabelleberschrift"/>
                <w:rFonts w:ascii="Times New Roman" w:hAnsi="Times New Roman"/>
              </w:rPr>
            </w:pPr>
            <w:r w:rsidRPr="003105C6">
              <w:rPr>
                <w:rStyle w:val="InstructionsTabelleberschrift"/>
                <w:rFonts w:ascii="Times New Roman" w:hAnsi="Times New Roman"/>
              </w:rPr>
              <w:t>Other risk weights</w:t>
            </w:r>
          </w:p>
          <w:p w:rsidR="00884FEB" w:rsidRPr="0017440D" w:rsidRDefault="003105C6" w:rsidP="00D20C67">
            <w:pPr>
              <w:autoSpaceDE w:val="0"/>
              <w:autoSpaceDN w:val="0"/>
              <w:adjustRightInd w:val="0"/>
              <w:spacing w:before="0" w:after="0"/>
              <w:ind w:left="72"/>
              <w:jc w:val="left"/>
              <w:rPr>
                <w:rStyle w:val="InstructionsTabelleText"/>
                <w:rFonts w:ascii="Times New Roman" w:hAnsi="Times New Roman"/>
              </w:rPr>
            </w:pPr>
            <w:r w:rsidRPr="003105C6">
              <w:rPr>
                <w:rStyle w:val="InstructionsTabelleText"/>
                <w:rFonts w:ascii="Times New Roman" w:hAnsi="Times New Roman"/>
              </w:rPr>
              <w:t xml:space="preserve">This row is not available for </w:t>
            </w:r>
            <w:r w:rsidR="00385B93">
              <w:rPr>
                <w:rStyle w:val="InstructionsTabelleText"/>
                <w:rFonts w:ascii="Times New Roman" w:hAnsi="Times New Roman"/>
              </w:rPr>
              <w:t>exposure classes</w:t>
            </w:r>
            <w:r w:rsidR="00385B93" w:rsidRPr="003105C6" w:rsidDel="00385B93">
              <w:rPr>
                <w:rStyle w:val="InstructionsTabelleText"/>
                <w:rFonts w:ascii="Times New Roman" w:hAnsi="Times New Roman"/>
              </w:rPr>
              <w:t xml:space="preserve"> </w:t>
            </w:r>
            <w:r w:rsidRPr="003105C6">
              <w:rPr>
                <w:rStyle w:val="InstructionsTabelleText"/>
                <w:rFonts w:ascii="Times New Roman" w:hAnsi="Times New Roman"/>
              </w:rPr>
              <w:t>Government, Corporates, Institutions and Retail.</w:t>
            </w:r>
          </w:p>
          <w:p w:rsidR="00884FEB" w:rsidRPr="0017440D" w:rsidRDefault="00884FEB" w:rsidP="00D20C67">
            <w:pPr>
              <w:autoSpaceDE w:val="0"/>
              <w:autoSpaceDN w:val="0"/>
              <w:adjustRightInd w:val="0"/>
              <w:spacing w:before="0" w:after="0"/>
              <w:ind w:left="72"/>
              <w:jc w:val="left"/>
              <w:rPr>
                <w:rStyle w:val="InstructionsTabelleText"/>
                <w:rFonts w:ascii="Times New Roman" w:hAnsi="Times New Roman"/>
              </w:rPr>
            </w:pPr>
          </w:p>
          <w:p w:rsidR="00B84F65" w:rsidRDefault="003105C6" w:rsidP="00D20C67">
            <w:pPr>
              <w:autoSpaceDE w:val="0"/>
              <w:autoSpaceDN w:val="0"/>
              <w:adjustRightInd w:val="0"/>
              <w:spacing w:before="0" w:after="0"/>
              <w:ind w:left="72"/>
              <w:jc w:val="left"/>
              <w:rPr>
                <w:rStyle w:val="InstructionsTabelleText"/>
                <w:rFonts w:ascii="Times New Roman" w:hAnsi="Times New Roman"/>
              </w:rPr>
            </w:pPr>
            <w:r w:rsidRPr="003105C6">
              <w:rPr>
                <w:rStyle w:val="InstructionsTabelleText"/>
                <w:rFonts w:ascii="Times New Roman" w:hAnsi="Times New Roman"/>
              </w:rPr>
              <w:t>For reporting those exposures not subject to the risk weights listed in the template.</w:t>
            </w:r>
          </w:p>
          <w:p w:rsidR="00B84F65" w:rsidRPr="0017440D" w:rsidRDefault="00B84F65" w:rsidP="00B84F65">
            <w:pPr>
              <w:rPr>
                <w:rFonts w:ascii="Times New Roman" w:hAnsi="Times New Roman"/>
                <w:szCs w:val="20"/>
              </w:rPr>
            </w:pPr>
            <w:r w:rsidRPr="003105C6">
              <w:rPr>
                <w:rFonts w:ascii="Times New Roman" w:hAnsi="Times New Roman"/>
                <w:szCs w:val="20"/>
              </w:rPr>
              <w:t xml:space="preserve">Article 108 (1) to (5) of CRR. </w:t>
            </w:r>
          </w:p>
          <w:p w:rsidR="00B84F65" w:rsidRPr="0017440D" w:rsidRDefault="00B84F65" w:rsidP="00B84F65">
            <w:pPr>
              <w:autoSpaceDE w:val="0"/>
              <w:autoSpaceDN w:val="0"/>
              <w:adjustRightInd w:val="0"/>
              <w:spacing w:before="0" w:after="0"/>
              <w:ind w:left="72"/>
              <w:jc w:val="left"/>
              <w:rPr>
                <w:rStyle w:val="InstructionsTabelleText"/>
                <w:rFonts w:ascii="Times New Roman" w:hAnsi="Times New Roman"/>
              </w:rPr>
            </w:pPr>
          </w:p>
          <w:p w:rsidR="00B84F65" w:rsidRPr="0017440D" w:rsidRDefault="00B84F65" w:rsidP="00B84F65">
            <w:pPr>
              <w:autoSpaceDE w:val="0"/>
              <w:autoSpaceDN w:val="0"/>
              <w:adjustRightInd w:val="0"/>
              <w:spacing w:before="0" w:after="0"/>
              <w:ind w:left="72"/>
              <w:jc w:val="left"/>
              <w:rPr>
                <w:rStyle w:val="InstructionsTabelleText"/>
                <w:rFonts w:ascii="Times New Roman" w:hAnsi="Times New Roman"/>
              </w:rPr>
            </w:pPr>
            <w:r w:rsidRPr="003105C6">
              <w:rPr>
                <w:rStyle w:val="InstructionsTabelleText"/>
                <w:rFonts w:ascii="Times New Roman" w:hAnsi="Times New Roman"/>
              </w:rPr>
              <w:t xml:space="preserve">Unrated nth to default credit derivatives under the Standardized Approach (Article 129 (6) of CRR) should be reported in </w:t>
            </w:r>
            <w:r w:rsidR="00007D9A">
              <w:rPr>
                <w:rStyle w:val="InstructionsTabelleText"/>
                <w:rFonts w:ascii="Times New Roman" w:hAnsi="Times New Roman"/>
              </w:rPr>
              <w:t xml:space="preserve">this </w:t>
            </w:r>
            <w:r>
              <w:rPr>
                <w:rStyle w:val="InstructionsTabelleText"/>
                <w:rFonts w:ascii="Times New Roman" w:hAnsi="Times New Roman"/>
              </w:rPr>
              <w:t>row</w:t>
            </w:r>
            <w:r w:rsidRPr="003105C6">
              <w:rPr>
                <w:rStyle w:val="InstructionsTabelleText"/>
                <w:rFonts w:ascii="Times New Roman" w:hAnsi="Times New Roman"/>
              </w:rPr>
              <w:t xml:space="preserve"> under the exposure class "Other items".</w:t>
            </w:r>
          </w:p>
          <w:p w:rsidR="00884FEB" w:rsidRPr="0017440D" w:rsidRDefault="00B84F65" w:rsidP="00B84F65">
            <w:pPr>
              <w:autoSpaceDE w:val="0"/>
              <w:autoSpaceDN w:val="0"/>
              <w:adjustRightInd w:val="0"/>
              <w:spacing w:before="0" w:after="0"/>
              <w:ind w:left="72"/>
              <w:jc w:val="left"/>
              <w:rPr>
                <w:rStyle w:val="InstructionsTabelleText"/>
                <w:rFonts w:ascii="Times New Roman" w:hAnsi="Times New Roman"/>
              </w:rPr>
            </w:pPr>
            <w:r w:rsidRPr="003105C6">
              <w:rPr>
                <w:rStyle w:val="InstructionsTabelleText"/>
                <w:rFonts w:ascii="Times New Roman" w:hAnsi="Times New Roman"/>
              </w:rPr>
              <w:t>See also article 119 (2) and article 147 (2) point (b) of CRR.</w:t>
            </w:r>
            <w:r w:rsidR="003105C6" w:rsidRPr="003105C6">
              <w:rPr>
                <w:rStyle w:val="InstructionsTabelleText"/>
                <w:rFonts w:ascii="Times New Roman" w:hAnsi="Times New Roman"/>
              </w:rPr>
              <w:t xml:space="preserve"> </w:t>
            </w:r>
          </w:p>
          <w:p w:rsidR="006C0915" w:rsidRPr="0017440D" w:rsidRDefault="006C0915">
            <w:pPr>
              <w:autoSpaceDE w:val="0"/>
              <w:autoSpaceDN w:val="0"/>
              <w:adjustRightInd w:val="0"/>
              <w:spacing w:before="0" w:after="0"/>
              <w:ind w:left="72"/>
              <w:jc w:val="left"/>
              <w:rPr>
                <w:rStyle w:val="InstructionsTabelleberschrift"/>
                <w:rFonts w:ascii="Times New Roman" w:hAnsi="Times New Roman"/>
              </w:rPr>
            </w:pPr>
          </w:p>
        </w:tc>
      </w:tr>
      <w:tr w:rsidR="003A1AEE" w:rsidRPr="0017440D" w:rsidTr="001A6EB3">
        <w:tc>
          <w:tcPr>
            <w:tcW w:w="1188" w:type="dxa"/>
            <w:shd w:val="clear" w:color="auto" w:fill="auto"/>
          </w:tcPr>
          <w:p w:rsidR="003A1AEE" w:rsidRDefault="003A1AEE" w:rsidP="00403B31">
            <w:pPr>
              <w:rPr>
                <w:rFonts w:ascii="Times New Roman" w:hAnsi="Times New Roman"/>
                <w:szCs w:val="20"/>
              </w:rPr>
            </w:pPr>
            <w:r>
              <w:rPr>
                <w:rFonts w:ascii="Times New Roman" w:hAnsi="Times New Roman"/>
                <w:szCs w:val="20"/>
              </w:rPr>
              <w:t>220 - 250</w:t>
            </w:r>
          </w:p>
        </w:tc>
        <w:tc>
          <w:tcPr>
            <w:tcW w:w="8701" w:type="dxa"/>
            <w:shd w:val="clear" w:color="auto" w:fill="auto"/>
          </w:tcPr>
          <w:p w:rsidR="003A1AEE" w:rsidRPr="003105C6" w:rsidRDefault="003A1AEE" w:rsidP="00D20C67">
            <w:pPr>
              <w:ind w:left="72"/>
              <w:rPr>
                <w:rStyle w:val="InstructionsTabelleberschrift"/>
                <w:rFonts w:ascii="Times New Roman" w:hAnsi="Times New Roman"/>
              </w:rPr>
            </w:pPr>
            <w:r>
              <w:rPr>
                <w:rStyle w:val="InstructionsTabelleberschrift"/>
                <w:rFonts w:ascii="Times New Roman" w:hAnsi="Times New Roman"/>
              </w:rPr>
              <w:t>Memorandum Items</w:t>
            </w:r>
          </w:p>
        </w:tc>
      </w:tr>
      <w:tr w:rsidR="00125A56" w:rsidRPr="0017440D" w:rsidTr="00124FA4">
        <w:tc>
          <w:tcPr>
            <w:tcW w:w="1188" w:type="dxa"/>
            <w:shd w:val="clear" w:color="auto" w:fill="auto"/>
          </w:tcPr>
          <w:p w:rsidR="00125A56" w:rsidRPr="0017440D" w:rsidRDefault="00125A56" w:rsidP="00124FA4">
            <w:pPr>
              <w:rPr>
                <w:rStyle w:val="InstructionsTabelleText"/>
                <w:rFonts w:ascii="Times New Roman" w:hAnsi="Times New Roman"/>
              </w:rPr>
            </w:pPr>
            <w:r>
              <w:rPr>
                <w:rStyle w:val="InstructionsTabelleText"/>
                <w:rFonts w:ascii="Times New Roman" w:hAnsi="Times New Roman"/>
              </w:rPr>
              <w:lastRenderedPageBreak/>
              <w:t>220</w:t>
            </w:r>
          </w:p>
          <w:p w:rsidR="00125A56" w:rsidRPr="0017440D" w:rsidRDefault="00125A56" w:rsidP="00124FA4">
            <w:pPr>
              <w:rPr>
                <w:rStyle w:val="InstructionsTabelleText"/>
                <w:rFonts w:ascii="Times New Roman" w:hAnsi="Times New Roman"/>
              </w:rPr>
            </w:pPr>
          </w:p>
        </w:tc>
        <w:tc>
          <w:tcPr>
            <w:tcW w:w="8701" w:type="dxa"/>
            <w:shd w:val="clear" w:color="auto" w:fill="auto"/>
          </w:tcPr>
          <w:p w:rsidR="00125A56" w:rsidRDefault="00125A56" w:rsidP="00124FA4">
            <w:pPr>
              <w:rPr>
                <w:rStyle w:val="InstructionsTabelleberschrift"/>
                <w:rFonts w:ascii="Times New Roman" w:hAnsi="Times New Roman"/>
              </w:rPr>
            </w:pPr>
            <w:r w:rsidRPr="00125A56">
              <w:rPr>
                <w:rStyle w:val="InstructionsTabelleberschrift"/>
                <w:rFonts w:ascii="Times New Roman" w:hAnsi="Times New Roman"/>
              </w:rPr>
              <w:t>Exposures secured by commercial immovable property and subject to a risk weight of 50%</w:t>
            </w:r>
          </w:p>
          <w:p w:rsidR="00125A56" w:rsidRDefault="00125A56" w:rsidP="00124FA4">
            <w:pPr>
              <w:rPr>
                <w:rFonts w:ascii="Times New Roman" w:hAnsi="Times New Roman"/>
                <w:bCs/>
              </w:rPr>
            </w:pPr>
            <w:r w:rsidRPr="003105C6">
              <w:rPr>
                <w:rFonts w:ascii="Times New Roman" w:hAnsi="Times New Roman"/>
                <w:bCs/>
              </w:rPr>
              <w:t>Article 107 point (i) of CRR</w:t>
            </w:r>
          </w:p>
          <w:p w:rsidR="00125A56" w:rsidRPr="0017440D" w:rsidRDefault="00125A56" w:rsidP="00124FA4">
            <w:pPr>
              <w:rPr>
                <w:rStyle w:val="InstructionsTabelleText"/>
                <w:rFonts w:ascii="Times New Roman" w:hAnsi="Times New Roman"/>
              </w:rPr>
            </w:pPr>
            <w:r w:rsidRPr="003105C6">
              <w:rPr>
                <w:rStyle w:val="InstructionsTabelleText"/>
                <w:rFonts w:ascii="Times New Roman" w:hAnsi="Times New Roman"/>
              </w:rPr>
              <w:t>This is a memorandum item only. Independent from the calculation of risk exposure amounts of exp</w:t>
            </w:r>
            <w:r w:rsidRPr="003105C6">
              <w:rPr>
                <w:rStyle w:val="InstructionsTabelleText"/>
                <w:rFonts w:ascii="Times New Roman" w:hAnsi="Times New Roman"/>
              </w:rPr>
              <w:t>o</w:t>
            </w:r>
            <w:r w:rsidRPr="003105C6">
              <w:rPr>
                <w:rStyle w:val="InstructionsTabelleText"/>
                <w:rFonts w:ascii="Times New Roman" w:hAnsi="Times New Roman"/>
              </w:rPr>
              <w:t>sures secured by commercial immovable property according to Article 119 and 121 of CRR the exp</w:t>
            </w:r>
            <w:r w:rsidRPr="003105C6">
              <w:rPr>
                <w:rStyle w:val="InstructionsTabelleText"/>
                <w:rFonts w:ascii="Times New Roman" w:hAnsi="Times New Roman"/>
              </w:rPr>
              <w:t>o</w:t>
            </w:r>
            <w:r w:rsidRPr="003105C6">
              <w:rPr>
                <w:rStyle w:val="InstructionsTabelleText"/>
                <w:rFonts w:ascii="Times New Roman" w:hAnsi="Times New Roman"/>
              </w:rPr>
              <w:t>sures assigned to the risk weight of 50% shall be broken down and reported in this row based on the crit</w:t>
            </w:r>
            <w:r w:rsidRPr="003105C6">
              <w:rPr>
                <w:rStyle w:val="InstructionsTabelleText"/>
                <w:rFonts w:ascii="Times New Roman" w:hAnsi="Times New Roman"/>
              </w:rPr>
              <w:t>e</w:t>
            </w:r>
            <w:r w:rsidRPr="003105C6">
              <w:rPr>
                <w:rStyle w:val="InstructionsTabelleText"/>
                <w:rFonts w:ascii="Times New Roman" w:hAnsi="Times New Roman"/>
              </w:rPr>
              <w:t>ria whether the exposures are secured by commercial real estate.</w:t>
            </w:r>
          </w:p>
        </w:tc>
      </w:tr>
      <w:tr w:rsidR="00125A56" w:rsidRPr="0017440D" w:rsidTr="00124FA4">
        <w:tc>
          <w:tcPr>
            <w:tcW w:w="1188" w:type="dxa"/>
            <w:shd w:val="clear" w:color="auto" w:fill="auto"/>
          </w:tcPr>
          <w:p w:rsidR="00125A56" w:rsidRPr="0017440D" w:rsidRDefault="00125A56" w:rsidP="00124FA4">
            <w:pPr>
              <w:rPr>
                <w:rStyle w:val="InstructionsTabelleText"/>
                <w:rFonts w:ascii="Times New Roman" w:hAnsi="Times New Roman"/>
              </w:rPr>
            </w:pPr>
            <w:r>
              <w:rPr>
                <w:rStyle w:val="InstructionsTabelleText"/>
                <w:rFonts w:ascii="Times New Roman" w:hAnsi="Times New Roman"/>
              </w:rPr>
              <w:t>230</w:t>
            </w:r>
          </w:p>
        </w:tc>
        <w:tc>
          <w:tcPr>
            <w:tcW w:w="8701" w:type="dxa"/>
            <w:shd w:val="clear" w:color="auto" w:fill="auto"/>
          </w:tcPr>
          <w:p w:rsidR="00125A56" w:rsidRDefault="00125A56" w:rsidP="00124FA4">
            <w:pPr>
              <w:ind w:left="72"/>
              <w:rPr>
                <w:rStyle w:val="InstructionsTabelleberschrift"/>
                <w:rFonts w:ascii="Times New Roman" w:hAnsi="Times New Roman"/>
              </w:rPr>
            </w:pPr>
            <w:r w:rsidRPr="00125A56">
              <w:rPr>
                <w:rStyle w:val="InstructionsTabelleberschrift"/>
                <w:rFonts w:ascii="Times New Roman" w:hAnsi="Times New Roman"/>
              </w:rPr>
              <w:t>Exposures in default subject to a risk weight of 100%</w:t>
            </w:r>
          </w:p>
          <w:p w:rsidR="00125A56" w:rsidRDefault="00125A56" w:rsidP="00124FA4">
            <w:pPr>
              <w:ind w:left="72"/>
              <w:rPr>
                <w:rFonts w:ascii="Times New Roman" w:hAnsi="Times New Roman"/>
                <w:bCs/>
              </w:rPr>
            </w:pPr>
            <w:r w:rsidRPr="003105C6">
              <w:rPr>
                <w:rFonts w:ascii="Times New Roman" w:hAnsi="Times New Roman"/>
                <w:bCs/>
              </w:rPr>
              <w:t>Article 107 point (j) of CRR.</w:t>
            </w:r>
          </w:p>
          <w:p w:rsidR="00125A56" w:rsidRPr="0017440D" w:rsidRDefault="00125A56" w:rsidP="00124FA4">
            <w:pPr>
              <w:ind w:left="72"/>
              <w:rPr>
                <w:rStyle w:val="InstructionsTabelleberschrift"/>
                <w:rFonts w:ascii="Times New Roman" w:hAnsi="Times New Roman"/>
              </w:rPr>
            </w:pPr>
            <w:r w:rsidRPr="003105C6">
              <w:rPr>
                <w:rStyle w:val="InstructionsTabelleText"/>
                <w:rFonts w:ascii="Times New Roman" w:hAnsi="Times New Roman"/>
              </w:rPr>
              <w:t>This row is a memorandum item only and shall not be considered when the risk exposure amounts are calculated. The reporting in this row does not affect the calculation of risk weighted exposure amounts of exposure class “in default” according to Article 107 point (j) of CRR.</w:t>
            </w:r>
          </w:p>
        </w:tc>
      </w:tr>
      <w:tr w:rsidR="00125A56" w:rsidRPr="0017440D" w:rsidTr="00124FA4">
        <w:tc>
          <w:tcPr>
            <w:tcW w:w="1188" w:type="dxa"/>
            <w:shd w:val="clear" w:color="auto" w:fill="auto"/>
          </w:tcPr>
          <w:p w:rsidR="00125A56" w:rsidRPr="0017440D" w:rsidRDefault="00125A56" w:rsidP="00124FA4">
            <w:pPr>
              <w:rPr>
                <w:rFonts w:ascii="Times New Roman" w:hAnsi="Times New Roman"/>
                <w:szCs w:val="20"/>
              </w:rPr>
            </w:pPr>
            <w:r w:rsidRPr="003105C6">
              <w:rPr>
                <w:rStyle w:val="InstructionsTabelleText"/>
                <w:rFonts w:ascii="Times New Roman" w:hAnsi="Times New Roman"/>
              </w:rPr>
              <w:t>2</w:t>
            </w:r>
            <w:r>
              <w:rPr>
                <w:rStyle w:val="InstructionsTabelleText"/>
                <w:rFonts w:ascii="Times New Roman" w:hAnsi="Times New Roman"/>
              </w:rPr>
              <w:t>40</w:t>
            </w:r>
          </w:p>
        </w:tc>
        <w:tc>
          <w:tcPr>
            <w:tcW w:w="8701" w:type="dxa"/>
            <w:shd w:val="clear" w:color="auto" w:fill="auto"/>
          </w:tcPr>
          <w:p w:rsidR="00125A56" w:rsidRPr="0017440D" w:rsidRDefault="00125A56" w:rsidP="00124FA4">
            <w:pPr>
              <w:ind w:left="72"/>
              <w:rPr>
                <w:rStyle w:val="InstructionsTabelleberschrift"/>
                <w:rFonts w:ascii="Times New Roman" w:hAnsi="Times New Roman"/>
              </w:rPr>
            </w:pPr>
            <w:r w:rsidRPr="00125A56">
              <w:rPr>
                <w:rStyle w:val="InstructionsTabelleberschrift"/>
                <w:rFonts w:ascii="Times New Roman" w:hAnsi="Times New Roman"/>
              </w:rPr>
              <w:t>Exposures secured by mortgages on immovable property and subject to a risk weight of 100%</w:t>
            </w:r>
            <w:r w:rsidRPr="003105C6">
              <w:rPr>
                <w:rStyle w:val="InstructionsTabelleberschrift"/>
                <w:rFonts w:ascii="Times New Roman" w:hAnsi="Times New Roman"/>
              </w:rPr>
              <w:t xml:space="preserve"> </w:t>
            </w:r>
          </w:p>
          <w:p w:rsidR="00125A56" w:rsidRDefault="00125A56" w:rsidP="00124FA4">
            <w:pPr>
              <w:ind w:left="72"/>
              <w:rPr>
                <w:rFonts w:ascii="Times New Roman" w:hAnsi="Times New Roman"/>
                <w:bCs/>
              </w:rPr>
            </w:pPr>
            <w:r w:rsidRPr="003105C6">
              <w:rPr>
                <w:rFonts w:ascii="Times New Roman" w:hAnsi="Times New Roman"/>
                <w:bCs/>
              </w:rPr>
              <w:t>Article 107 point (i) of CRR.</w:t>
            </w:r>
          </w:p>
          <w:p w:rsidR="00125A56" w:rsidRPr="0017440D" w:rsidRDefault="00125A56" w:rsidP="00124FA4">
            <w:pPr>
              <w:ind w:left="72"/>
              <w:rPr>
                <w:rStyle w:val="InstructionsTabelleberschrift"/>
                <w:rFonts w:ascii="Times New Roman" w:hAnsi="Times New Roman"/>
              </w:rPr>
            </w:pPr>
            <w:r w:rsidRPr="003105C6">
              <w:rPr>
                <w:rStyle w:val="InstructionsTabelleText"/>
                <w:rFonts w:ascii="Times New Roman" w:hAnsi="Times New Roman"/>
              </w:rPr>
              <w:t>This is a memorandum item only. Independent from the calculation of risk exposure amounts of exp</w:t>
            </w:r>
            <w:r w:rsidRPr="003105C6">
              <w:rPr>
                <w:rStyle w:val="InstructionsTabelleText"/>
                <w:rFonts w:ascii="Times New Roman" w:hAnsi="Times New Roman"/>
              </w:rPr>
              <w:t>o</w:t>
            </w:r>
            <w:r w:rsidRPr="003105C6">
              <w:rPr>
                <w:rStyle w:val="InstructionsTabelleText"/>
                <w:rFonts w:ascii="Times New Roman" w:hAnsi="Times New Roman"/>
              </w:rPr>
              <w:t>sures secured by mortgages on immovable property according to Article 119, 120 and 121 of CRR the exposures assigned to the risk weight of 100% shall be broken down and reported in this row based on the criteria whether the exposures are secured by real estate property.</w:t>
            </w:r>
          </w:p>
        </w:tc>
      </w:tr>
      <w:tr w:rsidR="00125A56" w:rsidRPr="0017440D" w:rsidTr="00124FA4">
        <w:tc>
          <w:tcPr>
            <w:tcW w:w="1188" w:type="dxa"/>
            <w:shd w:val="clear" w:color="auto" w:fill="auto"/>
          </w:tcPr>
          <w:p w:rsidR="00125A56" w:rsidRPr="0017440D" w:rsidRDefault="00125A56" w:rsidP="00124FA4">
            <w:pPr>
              <w:rPr>
                <w:rStyle w:val="InstructionsTabelleText"/>
                <w:rFonts w:ascii="Times New Roman" w:hAnsi="Times New Roman"/>
              </w:rPr>
            </w:pPr>
            <w:r>
              <w:rPr>
                <w:rStyle w:val="InstructionsTabelleText"/>
                <w:rFonts w:ascii="Times New Roman" w:hAnsi="Times New Roman"/>
              </w:rPr>
              <w:t>250</w:t>
            </w:r>
          </w:p>
        </w:tc>
        <w:tc>
          <w:tcPr>
            <w:tcW w:w="8701" w:type="dxa"/>
            <w:shd w:val="clear" w:color="auto" w:fill="auto"/>
          </w:tcPr>
          <w:p w:rsidR="00125A56" w:rsidRPr="0017440D" w:rsidRDefault="00125A56" w:rsidP="00124FA4">
            <w:pPr>
              <w:ind w:left="72"/>
              <w:rPr>
                <w:rStyle w:val="InstructionsTabelleberschrift"/>
                <w:rFonts w:ascii="Times New Roman" w:hAnsi="Times New Roman"/>
              </w:rPr>
            </w:pPr>
            <w:r w:rsidRPr="00125A56">
              <w:rPr>
                <w:rStyle w:val="InstructionsTabelleberschrift"/>
                <w:rFonts w:ascii="Times New Roman" w:hAnsi="Times New Roman"/>
              </w:rPr>
              <w:t>Exposures in default subject to a risk weight of 150%</w:t>
            </w:r>
            <w:r w:rsidRPr="003105C6">
              <w:rPr>
                <w:rStyle w:val="InstructionsTabelleberschrift"/>
                <w:rFonts w:ascii="Times New Roman" w:hAnsi="Times New Roman"/>
              </w:rPr>
              <w:t xml:space="preserve"> </w:t>
            </w:r>
          </w:p>
          <w:p w:rsidR="00125A56" w:rsidRDefault="00125A56" w:rsidP="00124FA4">
            <w:pPr>
              <w:ind w:left="72"/>
              <w:rPr>
                <w:rFonts w:ascii="Times New Roman" w:hAnsi="Times New Roman"/>
                <w:bCs/>
              </w:rPr>
            </w:pPr>
            <w:r w:rsidRPr="003105C6">
              <w:rPr>
                <w:rFonts w:ascii="Times New Roman" w:hAnsi="Times New Roman"/>
                <w:bCs/>
              </w:rPr>
              <w:t>Article 107 point (j) of CRR.</w:t>
            </w:r>
          </w:p>
          <w:p w:rsidR="00125A56" w:rsidRPr="0017440D" w:rsidRDefault="00125A56" w:rsidP="00124FA4">
            <w:pPr>
              <w:ind w:left="72"/>
              <w:rPr>
                <w:rStyle w:val="InstructionsTabelleberschrift"/>
                <w:rFonts w:ascii="Times New Roman" w:hAnsi="Times New Roman"/>
              </w:rPr>
            </w:pPr>
            <w:r w:rsidRPr="003105C6">
              <w:rPr>
                <w:rStyle w:val="InstructionsTabelleText"/>
                <w:rFonts w:ascii="Times New Roman" w:hAnsi="Times New Roman"/>
              </w:rPr>
              <w:t>This row is a memorandum item only and shall not be considered when the risk exposure amounts are calculated. The reporting in this row does not affect the calculation of risk weighted exposure amounts requirements of exposure class “in default” according to Article 107 point (j) of CRR.</w:t>
            </w:r>
          </w:p>
        </w:tc>
      </w:tr>
    </w:tbl>
    <w:p w:rsidR="00D92396" w:rsidRPr="0017440D" w:rsidRDefault="00D92396" w:rsidP="00FA2ED7">
      <w:pPr>
        <w:pStyle w:val="Instructionsberschrift2"/>
        <w:numPr>
          <w:ilvl w:val="0"/>
          <w:numId w:val="0"/>
        </w:numPr>
        <w:rPr>
          <w:rFonts w:ascii="Times New Roman" w:hAnsi="Times New Roman" w:cs="Times New Roman"/>
        </w:rPr>
      </w:pPr>
    </w:p>
    <w:sectPr w:rsidR="00D92396" w:rsidRPr="0017440D" w:rsidSect="00B51F42">
      <w:footerReference w:type="even" r:id="rId8"/>
      <w:footerReference w:type="default" r:id="rId9"/>
      <w:headerReference w:type="first" r:id="rId10"/>
      <w:endnotePr>
        <w:numFmt w:val="decimal"/>
      </w:endnotePr>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51D1" w:rsidRDefault="001651D1" w:rsidP="00D946DB">
      <w:pPr>
        <w:spacing w:before="0" w:after="0"/>
      </w:pPr>
      <w:r>
        <w:separator/>
      </w:r>
    </w:p>
  </w:endnote>
  <w:endnote w:type="continuationSeparator" w:id="0">
    <w:p w:rsidR="001651D1" w:rsidRDefault="001651D1" w:rsidP="00D946DB">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1D1" w:rsidRDefault="00496C8E">
    <w:pPr>
      <w:pStyle w:val="Fuzeile"/>
      <w:framePr w:wrap="auto" w:vAnchor="text" w:hAnchor="margin" w:xAlign="right" w:y="1"/>
      <w:rPr>
        <w:rStyle w:val="Seitenzahl"/>
      </w:rPr>
    </w:pPr>
    <w:r>
      <w:rPr>
        <w:rStyle w:val="Seitenzahl"/>
      </w:rPr>
      <w:fldChar w:fldCharType="begin"/>
    </w:r>
    <w:r w:rsidR="001651D1">
      <w:rPr>
        <w:rStyle w:val="Seitenzahl"/>
      </w:rPr>
      <w:instrText xml:space="preserve">PAGE  </w:instrText>
    </w:r>
    <w:r>
      <w:rPr>
        <w:rStyle w:val="Seitenzahl"/>
      </w:rPr>
      <w:fldChar w:fldCharType="separate"/>
    </w:r>
    <w:r w:rsidR="001651D1">
      <w:rPr>
        <w:rStyle w:val="Seitenzahl"/>
        <w:noProof/>
      </w:rPr>
      <w:t>144</w:t>
    </w:r>
    <w:r>
      <w:rPr>
        <w:rStyle w:val="Seitenzahl"/>
      </w:rPr>
      <w:fldChar w:fldCharType="end"/>
    </w:r>
  </w:p>
  <w:p w:rsidR="001651D1" w:rsidRDefault="001651D1">
    <w:pPr>
      <w:pStyle w:val="Fuzeil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1D1" w:rsidRDefault="00496C8E">
    <w:pPr>
      <w:pStyle w:val="Fuzeile"/>
      <w:tabs>
        <w:tab w:val="left" w:pos="8640"/>
      </w:tabs>
      <w:ind w:right="6"/>
      <w:jc w:val="right"/>
    </w:pPr>
    <w:r>
      <w:rPr>
        <w:rStyle w:val="Seitenzahl"/>
        <w:rFonts w:cs="Verdana"/>
        <w:szCs w:val="20"/>
      </w:rPr>
      <w:fldChar w:fldCharType="begin"/>
    </w:r>
    <w:r w:rsidR="001651D1">
      <w:rPr>
        <w:rStyle w:val="Seitenzahl"/>
        <w:rFonts w:cs="Verdana"/>
        <w:szCs w:val="20"/>
      </w:rPr>
      <w:instrText xml:space="preserve">PAGE  </w:instrText>
    </w:r>
    <w:r>
      <w:rPr>
        <w:rStyle w:val="Seitenzahl"/>
        <w:rFonts w:cs="Verdana"/>
        <w:szCs w:val="20"/>
      </w:rPr>
      <w:fldChar w:fldCharType="separate"/>
    </w:r>
    <w:r w:rsidR="00953A69">
      <w:rPr>
        <w:rStyle w:val="Seitenzahl"/>
        <w:rFonts w:cs="Verdana"/>
        <w:noProof/>
        <w:szCs w:val="20"/>
      </w:rPr>
      <w:t>15</w:t>
    </w:r>
    <w:r>
      <w:rPr>
        <w:rStyle w:val="Seitenzahl"/>
        <w:rFonts w:cs="Verdana"/>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51D1" w:rsidRDefault="001651D1" w:rsidP="00D946DB">
      <w:pPr>
        <w:spacing w:before="0" w:after="0"/>
      </w:pPr>
      <w:r>
        <w:separator/>
      </w:r>
    </w:p>
  </w:footnote>
  <w:footnote w:type="continuationSeparator" w:id="0">
    <w:p w:rsidR="001651D1" w:rsidRDefault="001651D1" w:rsidP="00D946DB">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1D1" w:rsidRDefault="001651D1">
    <w:pP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139C3"/>
    <w:multiLevelType w:val="hybridMultilevel"/>
    <w:tmpl w:val="5EC8873A"/>
    <w:lvl w:ilvl="0" w:tplc="040A0017">
      <w:start w:val="4"/>
      <w:numFmt w:val="bullet"/>
      <w:lvlText w:val="-"/>
      <w:lvlJc w:val="left"/>
      <w:pPr>
        <w:ind w:left="720" w:hanging="360"/>
      </w:pPr>
      <w:rPr>
        <w:rFonts w:ascii="Arial" w:eastAsia="Times New Roman" w:hAnsi="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03B9036A"/>
    <w:multiLevelType w:val="hybridMultilevel"/>
    <w:tmpl w:val="44D86FDE"/>
    <w:lvl w:ilvl="0" w:tplc="11985612">
      <w:start w:val="1"/>
      <w:numFmt w:val="lowerLetter"/>
      <w:lvlText w:val="%1)"/>
      <w:lvlJc w:val="left"/>
      <w:pPr>
        <w:ind w:left="720" w:hanging="360"/>
      </w:pPr>
    </w:lvl>
    <w:lvl w:ilvl="1" w:tplc="7BF04568" w:tentative="1">
      <w:start w:val="1"/>
      <w:numFmt w:val="lowerLetter"/>
      <w:lvlText w:val="%2."/>
      <w:lvlJc w:val="left"/>
      <w:pPr>
        <w:ind w:left="1440" w:hanging="360"/>
      </w:pPr>
    </w:lvl>
    <w:lvl w:ilvl="2" w:tplc="1312D95E" w:tentative="1">
      <w:start w:val="1"/>
      <w:numFmt w:val="lowerRoman"/>
      <w:lvlText w:val="%3."/>
      <w:lvlJc w:val="right"/>
      <w:pPr>
        <w:ind w:left="2160" w:hanging="180"/>
      </w:pPr>
    </w:lvl>
    <w:lvl w:ilvl="3" w:tplc="95821618" w:tentative="1">
      <w:start w:val="1"/>
      <w:numFmt w:val="decimal"/>
      <w:lvlText w:val="%4."/>
      <w:lvlJc w:val="left"/>
      <w:pPr>
        <w:ind w:left="2880" w:hanging="360"/>
      </w:pPr>
    </w:lvl>
    <w:lvl w:ilvl="4" w:tplc="13F2729E" w:tentative="1">
      <w:start w:val="1"/>
      <w:numFmt w:val="lowerLetter"/>
      <w:lvlText w:val="%5."/>
      <w:lvlJc w:val="left"/>
      <w:pPr>
        <w:ind w:left="3600" w:hanging="360"/>
      </w:pPr>
    </w:lvl>
    <w:lvl w:ilvl="5" w:tplc="910CE34E" w:tentative="1">
      <w:start w:val="1"/>
      <w:numFmt w:val="lowerRoman"/>
      <w:lvlText w:val="%6."/>
      <w:lvlJc w:val="right"/>
      <w:pPr>
        <w:ind w:left="4320" w:hanging="180"/>
      </w:pPr>
    </w:lvl>
    <w:lvl w:ilvl="6" w:tplc="C63A4C20" w:tentative="1">
      <w:start w:val="1"/>
      <w:numFmt w:val="decimal"/>
      <w:lvlText w:val="%7."/>
      <w:lvlJc w:val="left"/>
      <w:pPr>
        <w:ind w:left="5040" w:hanging="360"/>
      </w:pPr>
    </w:lvl>
    <w:lvl w:ilvl="7" w:tplc="DA1E6D38" w:tentative="1">
      <w:start w:val="1"/>
      <w:numFmt w:val="lowerLetter"/>
      <w:lvlText w:val="%8."/>
      <w:lvlJc w:val="left"/>
      <w:pPr>
        <w:ind w:left="5760" w:hanging="360"/>
      </w:pPr>
    </w:lvl>
    <w:lvl w:ilvl="8" w:tplc="6EE00492" w:tentative="1">
      <w:start w:val="1"/>
      <w:numFmt w:val="lowerRoman"/>
      <w:lvlText w:val="%9."/>
      <w:lvlJc w:val="right"/>
      <w:pPr>
        <w:ind w:left="6480" w:hanging="180"/>
      </w:pPr>
    </w:lvl>
  </w:abstractNum>
  <w:abstractNum w:abstractNumId="2">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nsid w:val="065D5978"/>
    <w:multiLevelType w:val="hybridMultilevel"/>
    <w:tmpl w:val="19AC6092"/>
    <w:lvl w:ilvl="0" w:tplc="27381462">
      <w:start w:val="1"/>
      <w:numFmt w:val="lowerLetter"/>
      <w:lvlText w:val="%1)"/>
      <w:lvlJc w:val="left"/>
      <w:pPr>
        <w:ind w:left="720" w:hanging="360"/>
      </w:pPr>
    </w:lvl>
    <w:lvl w:ilvl="1" w:tplc="404E6B4E" w:tentative="1">
      <w:start w:val="1"/>
      <w:numFmt w:val="lowerLetter"/>
      <w:lvlText w:val="%2."/>
      <w:lvlJc w:val="left"/>
      <w:pPr>
        <w:ind w:left="1440" w:hanging="360"/>
      </w:pPr>
    </w:lvl>
    <w:lvl w:ilvl="2" w:tplc="F61422D0" w:tentative="1">
      <w:start w:val="1"/>
      <w:numFmt w:val="lowerRoman"/>
      <w:lvlText w:val="%3."/>
      <w:lvlJc w:val="right"/>
      <w:pPr>
        <w:ind w:left="2160" w:hanging="180"/>
      </w:pPr>
    </w:lvl>
    <w:lvl w:ilvl="3" w:tplc="05A036E0" w:tentative="1">
      <w:start w:val="1"/>
      <w:numFmt w:val="decimal"/>
      <w:lvlText w:val="%4."/>
      <w:lvlJc w:val="left"/>
      <w:pPr>
        <w:ind w:left="2880" w:hanging="360"/>
      </w:pPr>
    </w:lvl>
    <w:lvl w:ilvl="4" w:tplc="97FAD02E" w:tentative="1">
      <w:start w:val="1"/>
      <w:numFmt w:val="lowerLetter"/>
      <w:lvlText w:val="%5."/>
      <w:lvlJc w:val="left"/>
      <w:pPr>
        <w:ind w:left="3600" w:hanging="360"/>
      </w:pPr>
    </w:lvl>
    <w:lvl w:ilvl="5" w:tplc="0A34EEA6" w:tentative="1">
      <w:start w:val="1"/>
      <w:numFmt w:val="lowerRoman"/>
      <w:lvlText w:val="%6."/>
      <w:lvlJc w:val="right"/>
      <w:pPr>
        <w:ind w:left="4320" w:hanging="180"/>
      </w:pPr>
    </w:lvl>
    <w:lvl w:ilvl="6" w:tplc="F6804410" w:tentative="1">
      <w:start w:val="1"/>
      <w:numFmt w:val="decimal"/>
      <w:lvlText w:val="%7."/>
      <w:lvlJc w:val="left"/>
      <w:pPr>
        <w:ind w:left="5040" w:hanging="360"/>
      </w:pPr>
    </w:lvl>
    <w:lvl w:ilvl="7" w:tplc="67ACBCC2" w:tentative="1">
      <w:start w:val="1"/>
      <w:numFmt w:val="lowerLetter"/>
      <w:lvlText w:val="%8."/>
      <w:lvlJc w:val="left"/>
      <w:pPr>
        <w:ind w:left="5760" w:hanging="360"/>
      </w:pPr>
    </w:lvl>
    <w:lvl w:ilvl="8" w:tplc="DD12BC32" w:tentative="1">
      <w:start w:val="1"/>
      <w:numFmt w:val="lowerRoman"/>
      <w:lvlText w:val="%9."/>
      <w:lvlJc w:val="right"/>
      <w:pPr>
        <w:ind w:left="6480" w:hanging="180"/>
      </w:pPr>
    </w:lvl>
  </w:abstractNum>
  <w:abstractNum w:abstractNumId="4">
    <w:nsid w:val="127717DD"/>
    <w:multiLevelType w:val="hybridMultilevel"/>
    <w:tmpl w:val="E57661CC"/>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nsid w:val="15F91B49"/>
    <w:multiLevelType w:val="hybridMultilevel"/>
    <w:tmpl w:val="D7CC27B6"/>
    <w:lvl w:ilvl="0" w:tplc="313E771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nsid w:val="19C145A5"/>
    <w:multiLevelType w:val="multilevel"/>
    <w:tmpl w:val="005C4994"/>
    <w:lvl w:ilvl="0">
      <w:start w:val="5"/>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nsid w:val="1A222FF4"/>
    <w:multiLevelType w:val="hybridMultilevel"/>
    <w:tmpl w:val="4F422C64"/>
    <w:lvl w:ilvl="0" w:tplc="91F28F2A">
      <w:start w:val="1"/>
      <w:numFmt w:val="decimal"/>
      <w:lvlText w:val="%1."/>
      <w:lvlJc w:val="left"/>
      <w:pPr>
        <w:tabs>
          <w:tab w:val="num" w:pos="539"/>
        </w:tabs>
        <w:ind w:left="539" w:hanging="539"/>
      </w:pPr>
      <w:rPr>
        <w:rFonts w:cs="Times New Roman" w:hint="default"/>
      </w:rPr>
    </w:lvl>
    <w:lvl w:ilvl="1" w:tplc="DAA0A6E0">
      <w:start w:val="1"/>
      <w:numFmt w:val="lowerLetter"/>
      <w:lvlText w:val="%2."/>
      <w:lvlJc w:val="left"/>
      <w:pPr>
        <w:tabs>
          <w:tab w:val="num" w:pos="1440"/>
        </w:tabs>
        <w:ind w:left="1440" w:hanging="360"/>
      </w:pPr>
      <w:rPr>
        <w:rFonts w:hint="default"/>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
    <w:nsid w:val="1B8740C3"/>
    <w:multiLevelType w:val="hybridMultilevel"/>
    <w:tmpl w:val="19AC6092"/>
    <w:lvl w:ilvl="0" w:tplc="04090003">
      <w:start w:val="1"/>
      <w:numFmt w:val="lowerLetter"/>
      <w:lvlText w:val="%1)"/>
      <w:lvlJc w:val="left"/>
      <w:pPr>
        <w:ind w:left="720" w:hanging="360"/>
      </w:pPr>
    </w:lvl>
    <w:lvl w:ilvl="1" w:tplc="04090005"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nsid w:val="1EC51552"/>
    <w:multiLevelType w:val="hybridMultilevel"/>
    <w:tmpl w:val="C6A2D7DA"/>
    <w:lvl w:ilvl="0" w:tplc="0407001B">
      <w:start w:val="1"/>
      <w:numFmt w:val="lowerRoman"/>
      <w:lvlText w:val="%1."/>
      <w:lvlJc w:val="right"/>
      <w:pPr>
        <w:tabs>
          <w:tab w:val="num" w:pos="1440"/>
        </w:tabs>
        <w:ind w:left="1440" w:hanging="360"/>
      </w:pPr>
      <w:rPr>
        <w:rFonts w:hint="default"/>
      </w:rPr>
    </w:lvl>
    <w:lvl w:ilvl="1" w:tplc="55727D7A" w:tentative="1">
      <w:start w:val="1"/>
      <w:numFmt w:val="bullet"/>
      <w:lvlText w:val="o"/>
      <w:lvlJc w:val="left"/>
      <w:pPr>
        <w:tabs>
          <w:tab w:val="num" w:pos="2160"/>
        </w:tabs>
        <w:ind w:left="2160" w:hanging="360"/>
      </w:pPr>
      <w:rPr>
        <w:rFonts w:ascii="Courier New" w:hAnsi="Courier New" w:hint="default"/>
      </w:rPr>
    </w:lvl>
    <w:lvl w:ilvl="2" w:tplc="1C506D3E" w:tentative="1">
      <w:start w:val="1"/>
      <w:numFmt w:val="bullet"/>
      <w:lvlText w:val=""/>
      <w:lvlJc w:val="left"/>
      <w:pPr>
        <w:tabs>
          <w:tab w:val="num" w:pos="2880"/>
        </w:tabs>
        <w:ind w:left="2880" w:hanging="360"/>
      </w:pPr>
      <w:rPr>
        <w:rFonts w:ascii="Wingdings" w:hAnsi="Wingdings" w:hint="default"/>
      </w:rPr>
    </w:lvl>
    <w:lvl w:ilvl="3" w:tplc="745C8968" w:tentative="1">
      <w:start w:val="1"/>
      <w:numFmt w:val="bullet"/>
      <w:lvlText w:val=""/>
      <w:lvlJc w:val="left"/>
      <w:pPr>
        <w:tabs>
          <w:tab w:val="num" w:pos="3600"/>
        </w:tabs>
        <w:ind w:left="3600" w:hanging="360"/>
      </w:pPr>
      <w:rPr>
        <w:rFonts w:ascii="Symbol" w:hAnsi="Symbol" w:hint="default"/>
      </w:rPr>
    </w:lvl>
    <w:lvl w:ilvl="4" w:tplc="EFB810E6" w:tentative="1">
      <w:start w:val="1"/>
      <w:numFmt w:val="bullet"/>
      <w:lvlText w:val="o"/>
      <w:lvlJc w:val="left"/>
      <w:pPr>
        <w:tabs>
          <w:tab w:val="num" w:pos="4320"/>
        </w:tabs>
        <w:ind w:left="4320" w:hanging="360"/>
      </w:pPr>
      <w:rPr>
        <w:rFonts w:ascii="Courier New" w:hAnsi="Courier New" w:hint="default"/>
      </w:rPr>
    </w:lvl>
    <w:lvl w:ilvl="5" w:tplc="A3FED1D2" w:tentative="1">
      <w:start w:val="1"/>
      <w:numFmt w:val="bullet"/>
      <w:lvlText w:val=""/>
      <w:lvlJc w:val="left"/>
      <w:pPr>
        <w:tabs>
          <w:tab w:val="num" w:pos="5040"/>
        </w:tabs>
        <w:ind w:left="5040" w:hanging="360"/>
      </w:pPr>
      <w:rPr>
        <w:rFonts w:ascii="Wingdings" w:hAnsi="Wingdings" w:hint="default"/>
      </w:rPr>
    </w:lvl>
    <w:lvl w:ilvl="6" w:tplc="FB98B5A8" w:tentative="1">
      <w:start w:val="1"/>
      <w:numFmt w:val="bullet"/>
      <w:lvlText w:val=""/>
      <w:lvlJc w:val="left"/>
      <w:pPr>
        <w:tabs>
          <w:tab w:val="num" w:pos="5760"/>
        </w:tabs>
        <w:ind w:left="5760" w:hanging="360"/>
      </w:pPr>
      <w:rPr>
        <w:rFonts w:ascii="Symbol" w:hAnsi="Symbol" w:hint="default"/>
      </w:rPr>
    </w:lvl>
    <w:lvl w:ilvl="7" w:tplc="8D00D734" w:tentative="1">
      <w:start w:val="1"/>
      <w:numFmt w:val="bullet"/>
      <w:lvlText w:val="o"/>
      <w:lvlJc w:val="left"/>
      <w:pPr>
        <w:tabs>
          <w:tab w:val="num" w:pos="6480"/>
        </w:tabs>
        <w:ind w:left="6480" w:hanging="360"/>
      </w:pPr>
      <w:rPr>
        <w:rFonts w:ascii="Courier New" w:hAnsi="Courier New" w:hint="default"/>
      </w:rPr>
    </w:lvl>
    <w:lvl w:ilvl="8" w:tplc="A128F330" w:tentative="1">
      <w:start w:val="1"/>
      <w:numFmt w:val="bullet"/>
      <w:lvlText w:val=""/>
      <w:lvlJc w:val="left"/>
      <w:pPr>
        <w:tabs>
          <w:tab w:val="num" w:pos="7200"/>
        </w:tabs>
        <w:ind w:left="7200" w:hanging="360"/>
      </w:pPr>
      <w:rPr>
        <w:rFonts w:ascii="Wingdings" w:hAnsi="Wingdings" w:hint="default"/>
      </w:rPr>
    </w:lvl>
  </w:abstractNum>
  <w:abstractNum w:abstractNumId="12">
    <w:nsid w:val="1F8B59CF"/>
    <w:multiLevelType w:val="hybridMultilevel"/>
    <w:tmpl w:val="3C40D654"/>
    <w:lvl w:ilvl="0" w:tplc="04070019">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nsid w:val="26164BE1"/>
    <w:multiLevelType w:val="hybridMultilevel"/>
    <w:tmpl w:val="4D400654"/>
    <w:lvl w:ilvl="0" w:tplc="040A0017">
      <w:start w:val="4"/>
      <w:numFmt w:val="bullet"/>
      <w:lvlText w:val="-"/>
      <w:lvlJc w:val="left"/>
      <w:pPr>
        <w:tabs>
          <w:tab w:val="num" w:pos="717"/>
        </w:tabs>
        <w:ind w:left="717" w:hanging="357"/>
      </w:pPr>
      <w:rPr>
        <w:rFonts w:ascii="Arial" w:eastAsia="Times New Roman" w:hAnsi="Arial" w:hint="default"/>
      </w:rPr>
    </w:lvl>
    <w:lvl w:ilvl="1" w:tplc="040A0019" w:tentative="1">
      <w:start w:val="1"/>
      <w:numFmt w:val="bullet"/>
      <w:lvlText w:val="o"/>
      <w:lvlJc w:val="left"/>
      <w:pPr>
        <w:tabs>
          <w:tab w:val="num" w:pos="1800"/>
        </w:tabs>
        <w:ind w:left="1800" w:hanging="360"/>
      </w:pPr>
      <w:rPr>
        <w:rFonts w:ascii="Courier New" w:hAnsi="Courier New" w:hint="default"/>
      </w:rPr>
    </w:lvl>
    <w:lvl w:ilvl="2" w:tplc="040A001B" w:tentative="1">
      <w:start w:val="1"/>
      <w:numFmt w:val="bullet"/>
      <w:lvlText w:val=""/>
      <w:lvlJc w:val="left"/>
      <w:pPr>
        <w:tabs>
          <w:tab w:val="num" w:pos="2520"/>
        </w:tabs>
        <w:ind w:left="2520" w:hanging="360"/>
      </w:pPr>
      <w:rPr>
        <w:rFonts w:ascii="Wingdings" w:hAnsi="Wingdings" w:hint="default"/>
      </w:rPr>
    </w:lvl>
    <w:lvl w:ilvl="3" w:tplc="040A000F" w:tentative="1">
      <w:start w:val="1"/>
      <w:numFmt w:val="bullet"/>
      <w:lvlText w:val=""/>
      <w:lvlJc w:val="left"/>
      <w:pPr>
        <w:tabs>
          <w:tab w:val="num" w:pos="3240"/>
        </w:tabs>
        <w:ind w:left="3240" w:hanging="360"/>
      </w:pPr>
      <w:rPr>
        <w:rFonts w:ascii="Symbol" w:hAnsi="Symbol" w:hint="default"/>
      </w:rPr>
    </w:lvl>
    <w:lvl w:ilvl="4" w:tplc="040A0019" w:tentative="1">
      <w:start w:val="1"/>
      <w:numFmt w:val="bullet"/>
      <w:lvlText w:val="o"/>
      <w:lvlJc w:val="left"/>
      <w:pPr>
        <w:tabs>
          <w:tab w:val="num" w:pos="3960"/>
        </w:tabs>
        <w:ind w:left="3960" w:hanging="360"/>
      </w:pPr>
      <w:rPr>
        <w:rFonts w:ascii="Courier New" w:hAnsi="Courier New" w:hint="default"/>
      </w:rPr>
    </w:lvl>
    <w:lvl w:ilvl="5" w:tplc="040A001B" w:tentative="1">
      <w:start w:val="1"/>
      <w:numFmt w:val="bullet"/>
      <w:lvlText w:val=""/>
      <w:lvlJc w:val="left"/>
      <w:pPr>
        <w:tabs>
          <w:tab w:val="num" w:pos="4680"/>
        </w:tabs>
        <w:ind w:left="4680" w:hanging="360"/>
      </w:pPr>
      <w:rPr>
        <w:rFonts w:ascii="Wingdings" w:hAnsi="Wingdings" w:hint="default"/>
      </w:rPr>
    </w:lvl>
    <w:lvl w:ilvl="6" w:tplc="040A000F" w:tentative="1">
      <w:start w:val="1"/>
      <w:numFmt w:val="bullet"/>
      <w:lvlText w:val=""/>
      <w:lvlJc w:val="left"/>
      <w:pPr>
        <w:tabs>
          <w:tab w:val="num" w:pos="5400"/>
        </w:tabs>
        <w:ind w:left="5400" w:hanging="360"/>
      </w:pPr>
      <w:rPr>
        <w:rFonts w:ascii="Symbol" w:hAnsi="Symbol" w:hint="default"/>
      </w:rPr>
    </w:lvl>
    <w:lvl w:ilvl="7" w:tplc="040A0019" w:tentative="1">
      <w:start w:val="1"/>
      <w:numFmt w:val="bullet"/>
      <w:lvlText w:val="o"/>
      <w:lvlJc w:val="left"/>
      <w:pPr>
        <w:tabs>
          <w:tab w:val="num" w:pos="6120"/>
        </w:tabs>
        <w:ind w:left="6120" w:hanging="360"/>
      </w:pPr>
      <w:rPr>
        <w:rFonts w:ascii="Courier New" w:hAnsi="Courier New" w:hint="default"/>
      </w:rPr>
    </w:lvl>
    <w:lvl w:ilvl="8" w:tplc="040A001B" w:tentative="1">
      <w:start w:val="1"/>
      <w:numFmt w:val="bullet"/>
      <w:lvlText w:val=""/>
      <w:lvlJc w:val="left"/>
      <w:pPr>
        <w:tabs>
          <w:tab w:val="num" w:pos="6840"/>
        </w:tabs>
        <w:ind w:left="6840" w:hanging="360"/>
      </w:pPr>
      <w:rPr>
        <w:rFonts w:ascii="Wingdings" w:hAnsi="Wingdings" w:hint="default"/>
      </w:rPr>
    </w:lvl>
  </w:abstractNum>
  <w:abstractNum w:abstractNumId="14">
    <w:nsid w:val="265E1C6C"/>
    <w:multiLevelType w:val="hybridMultilevel"/>
    <w:tmpl w:val="21DE9D90"/>
    <w:lvl w:ilvl="0" w:tplc="5614B816">
      <w:start w:val="1"/>
      <w:numFmt w:val="bullet"/>
      <w:lvlText w:val=""/>
      <w:lvlJc w:val="left"/>
      <w:pPr>
        <w:tabs>
          <w:tab w:val="num" w:pos="720"/>
        </w:tabs>
        <w:ind w:left="720" w:hanging="360"/>
      </w:pPr>
      <w:rPr>
        <w:rFonts w:ascii="Symbol" w:hAnsi="Symbol" w:hint="default"/>
      </w:rPr>
    </w:lvl>
    <w:lvl w:ilvl="1" w:tplc="BE3EE6E8" w:tentative="1">
      <w:start w:val="1"/>
      <w:numFmt w:val="bullet"/>
      <w:lvlText w:val="o"/>
      <w:lvlJc w:val="left"/>
      <w:pPr>
        <w:tabs>
          <w:tab w:val="num" w:pos="1440"/>
        </w:tabs>
        <w:ind w:left="1440" w:hanging="360"/>
      </w:pPr>
      <w:rPr>
        <w:rFonts w:ascii="Courier New" w:hAnsi="Courier New" w:hint="default"/>
      </w:rPr>
    </w:lvl>
    <w:lvl w:ilvl="2" w:tplc="EB2EFE10" w:tentative="1">
      <w:start w:val="1"/>
      <w:numFmt w:val="bullet"/>
      <w:lvlText w:val=""/>
      <w:lvlJc w:val="left"/>
      <w:pPr>
        <w:tabs>
          <w:tab w:val="num" w:pos="2160"/>
        </w:tabs>
        <w:ind w:left="2160" w:hanging="360"/>
      </w:pPr>
      <w:rPr>
        <w:rFonts w:ascii="Wingdings" w:hAnsi="Wingdings" w:hint="default"/>
      </w:rPr>
    </w:lvl>
    <w:lvl w:ilvl="3" w:tplc="6E0AEA0A" w:tentative="1">
      <w:start w:val="1"/>
      <w:numFmt w:val="bullet"/>
      <w:lvlText w:val=""/>
      <w:lvlJc w:val="left"/>
      <w:pPr>
        <w:tabs>
          <w:tab w:val="num" w:pos="2880"/>
        </w:tabs>
        <w:ind w:left="2880" w:hanging="360"/>
      </w:pPr>
      <w:rPr>
        <w:rFonts w:ascii="Symbol" w:hAnsi="Symbol" w:hint="default"/>
      </w:rPr>
    </w:lvl>
    <w:lvl w:ilvl="4" w:tplc="185CE796" w:tentative="1">
      <w:start w:val="1"/>
      <w:numFmt w:val="bullet"/>
      <w:lvlText w:val="o"/>
      <w:lvlJc w:val="left"/>
      <w:pPr>
        <w:tabs>
          <w:tab w:val="num" w:pos="3600"/>
        </w:tabs>
        <w:ind w:left="3600" w:hanging="360"/>
      </w:pPr>
      <w:rPr>
        <w:rFonts w:ascii="Courier New" w:hAnsi="Courier New" w:hint="default"/>
      </w:rPr>
    </w:lvl>
    <w:lvl w:ilvl="5" w:tplc="EBEC3E38" w:tentative="1">
      <w:start w:val="1"/>
      <w:numFmt w:val="bullet"/>
      <w:lvlText w:val=""/>
      <w:lvlJc w:val="left"/>
      <w:pPr>
        <w:tabs>
          <w:tab w:val="num" w:pos="4320"/>
        </w:tabs>
        <w:ind w:left="4320" w:hanging="360"/>
      </w:pPr>
      <w:rPr>
        <w:rFonts w:ascii="Wingdings" w:hAnsi="Wingdings" w:hint="default"/>
      </w:rPr>
    </w:lvl>
    <w:lvl w:ilvl="6" w:tplc="3BF81190" w:tentative="1">
      <w:start w:val="1"/>
      <w:numFmt w:val="bullet"/>
      <w:lvlText w:val=""/>
      <w:lvlJc w:val="left"/>
      <w:pPr>
        <w:tabs>
          <w:tab w:val="num" w:pos="5040"/>
        </w:tabs>
        <w:ind w:left="5040" w:hanging="360"/>
      </w:pPr>
      <w:rPr>
        <w:rFonts w:ascii="Symbol" w:hAnsi="Symbol" w:hint="default"/>
      </w:rPr>
    </w:lvl>
    <w:lvl w:ilvl="7" w:tplc="3F669EA0" w:tentative="1">
      <w:start w:val="1"/>
      <w:numFmt w:val="bullet"/>
      <w:lvlText w:val="o"/>
      <w:lvlJc w:val="left"/>
      <w:pPr>
        <w:tabs>
          <w:tab w:val="num" w:pos="5760"/>
        </w:tabs>
        <w:ind w:left="5760" w:hanging="360"/>
      </w:pPr>
      <w:rPr>
        <w:rFonts w:ascii="Courier New" w:hAnsi="Courier New" w:hint="default"/>
      </w:rPr>
    </w:lvl>
    <w:lvl w:ilvl="8" w:tplc="F0E056FA" w:tentative="1">
      <w:start w:val="1"/>
      <w:numFmt w:val="bullet"/>
      <w:lvlText w:val=""/>
      <w:lvlJc w:val="left"/>
      <w:pPr>
        <w:tabs>
          <w:tab w:val="num" w:pos="6480"/>
        </w:tabs>
        <w:ind w:left="6480" w:hanging="360"/>
      </w:pPr>
      <w:rPr>
        <w:rFonts w:ascii="Wingdings" w:hAnsi="Wingdings" w:hint="default"/>
      </w:rPr>
    </w:lvl>
  </w:abstractNum>
  <w:abstractNum w:abstractNumId="15">
    <w:nsid w:val="28806F6A"/>
    <w:multiLevelType w:val="hybridMultilevel"/>
    <w:tmpl w:val="C6A2D7DA"/>
    <w:lvl w:ilvl="0" w:tplc="0407001B">
      <w:start w:val="1"/>
      <w:numFmt w:val="lowerRoman"/>
      <w:lvlText w:val="%1."/>
      <w:lvlJc w:val="right"/>
      <w:pPr>
        <w:tabs>
          <w:tab w:val="num" w:pos="795"/>
        </w:tabs>
        <w:ind w:left="795" w:hanging="360"/>
      </w:pPr>
      <w:rPr>
        <w:rFonts w:hint="default"/>
      </w:rPr>
    </w:lvl>
    <w:lvl w:ilvl="1" w:tplc="55727D7A" w:tentative="1">
      <w:start w:val="1"/>
      <w:numFmt w:val="bullet"/>
      <w:lvlText w:val="o"/>
      <w:lvlJc w:val="left"/>
      <w:pPr>
        <w:tabs>
          <w:tab w:val="num" w:pos="1515"/>
        </w:tabs>
        <w:ind w:left="1515" w:hanging="360"/>
      </w:pPr>
      <w:rPr>
        <w:rFonts w:ascii="Courier New" w:hAnsi="Courier New" w:hint="default"/>
      </w:rPr>
    </w:lvl>
    <w:lvl w:ilvl="2" w:tplc="1C506D3E" w:tentative="1">
      <w:start w:val="1"/>
      <w:numFmt w:val="bullet"/>
      <w:lvlText w:val=""/>
      <w:lvlJc w:val="left"/>
      <w:pPr>
        <w:tabs>
          <w:tab w:val="num" w:pos="2235"/>
        </w:tabs>
        <w:ind w:left="2235" w:hanging="360"/>
      </w:pPr>
      <w:rPr>
        <w:rFonts w:ascii="Wingdings" w:hAnsi="Wingdings" w:hint="default"/>
      </w:rPr>
    </w:lvl>
    <w:lvl w:ilvl="3" w:tplc="745C8968" w:tentative="1">
      <w:start w:val="1"/>
      <w:numFmt w:val="bullet"/>
      <w:lvlText w:val=""/>
      <w:lvlJc w:val="left"/>
      <w:pPr>
        <w:tabs>
          <w:tab w:val="num" w:pos="2955"/>
        </w:tabs>
        <w:ind w:left="2955" w:hanging="360"/>
      </w:pPr>
      <w:rPr>
        <w:rFonts w:ascii="Symbol" w:hAnsi="Symbol" w:hint="default"/>
      </w:rPr>
    </w:lvl>
    <w:lvl w:ilvl="4" w:tplc="EFB810E6" w:tentative="1">
      <w:start w:val="1"/>
      <w:numFmt w:val="bullet"/>
      <w:lvlText w:val="o"/>
      <w:lvlJc w:val="left"/>
      <w:pPr>
        <w:tabs>
          <w:tab w:val="num" w:pos="3675"/>
        </w:tabs>
        <w:ind w:left="3675" w:hanging="360"/>
      </w:pPr>
      <w:rPr>
        <w:rFonts w:ascii="Courier New" w:hAnsi="Courier New" w:hint="default"/>
      </w:rPr>
    </w:lvl>
    <w:lvl w:ilvl="5" w:tplc="A3FED1D2" w:tentative="1">
      <w:start w:val="1"/>
      <w:numFmt w:val="bullet"/>
      <w:lvlText w:val=""/>
      <w:lvlJc w:val="left"/>
      <w:pPr>
        <w:tabs>
          <w:tab w:val="num" w:pos="4395"/>
        </w:tabs>
        <w:ind w:left="4395" w:hanging="360"/>
      </w:pPr>
      <w:rPr>
        <w:rFonts w:ascii="Wingdings" w:hAnsi="Wingdings" w:hint="default"/>
      </w:rPr>
    </w:lvl>
    <w:lvl w:ilvl="6" w:tplc="FB98B5A8" w:tentative="1">
      <w:start w:val="1"/>
      <w:numFmt w:val="bullet"/>
      <w:lvlText w:val=""/>
      <w:lvlJc w:val="left"/>
      <w:pPr>
        <w:tabs>
          <w:tab w:val="num" w:pos="5115"/>
        </w:tabs>
        <w:ind w:left="5115" w:hanging="360"/>
      </w:pPr>
      <w:rPr>
        <w:rFonts w:ascii="Symbol" w:hAnsi="Symbol" w:hint="default"/>
      </w:rPr>
    </w:lvl>
    <w:lvl w:ilvl="7" w:tplc="8D00D734" w:tentative="1">
      <w:start w:val="1"/>
      <w:numFmt w:val="bullet"/>
      <w:lvlText w:val="o"/>
      <w:lvlJc w:val="left"/>
      <w:pPr>
        <w:tabs>
          <w:tab w:val="num" w:pos="5835"/>
        </w:tabs>
        <w:ind w:left="5835" w:hanging="360"/>
      </w:pPr>
      <w:rPr>
        <w:rFonts w:ascii="Courier New" w:hAnsi="Courier New" w:hint="default"/>
      </w:rPr>
    </w:lvl>
    <w:lvl w:ilvl="8" w:tplc="A128F330" w:tentative="1">
      <w:start w:val="1"/>
      <w:numFmt w:val="bullet"/>
      <w:lvlText w:val=""/>
      <w:lvlJc w:val="left"/>
      <w:pPr>
        <w:tabs>
          <w:tab w:val="num" w:pos="6555"/>
        </w:tabs>
        <w:ind w:left="6555" w:hanging="360"/>
      </w:pPr>
      <w:rPr>
        <w:rFonts w:ascii="Wingdings" w:hAnsi="Wingdings" w:hint="default"/>
      </w:rPr>
    </w:lvl>
  </w:abstractNum>
  <w:abstractNum w:abstractNumId="16">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7">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2F7D7F02"/>
    <w:multiLevelType w:val="multilevel"/>
    <w:tmpl w:val="0407001D"/>
    <w:numStyleLink w:val="Formatvorlage3"/>
  </w:abstractNum>
  <w:abstractNum w:abstractNumId="19">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0">
    <w:nsid w:val="342F395B"/>
    <w:multiLevelType w:val="hybridMultilevel"/>
    <w:tmpl w:val="457CF2E2"/>
    <w:lvl w:ilvl="0" w:tplc="A3DCA00A">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22">
    <w:nsid w:val="383050FB"/>
    <w:multiLevelType w:val="hybridMultilevel"/>
    <w:tmpl w:val="DFA8D8CC"/>
    <w:lvl w:ilvl="0" w:tplc="23CCC556">
      <w:start w:val="1"/>
      <w:numFmt w:val="bullet"/>
      <w:lvlText w:val="o"/>
      <w:lvlJc w:val="left"/>
      <w:pPr>
        <w:tabs>
          <w:tab w:val="num" w:pos="720"/>
        </w:tabs>
        <w:ind w:left="720" w:hanging="360"/>
      </w:pPr>
      <w:rPr>
        <w:rFonts w:ascii="Courier New" w:hAnsi="Courier New"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nsid w:val="41E06437"/>
    <w:multiLevelType w:val="hybridMultilevel"/>
    <w:tmpl w:val="63368D06"/>
    <w:lvl w:ilvl="0" w:tplc="AFB2E206">
      <w:start w:val="327"/>
      <w:numFmt w:val="bullet"/>
      <w:lvlText w:val=""/>
      <w:lvlJc w:val="left"/>
      <w:pPr>
        <w:ind w:left="720" w:hanging="360"/>
      </w:pPr>
      <w:rPr>
        <w:rFonts w:ascii="Wingdings" w:eastAsia="Times New Roman" w:hAnsi="Wingdings"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6">
    <w:nsid w:val="4C576841"/>
    <w:multiLevelType w:val="hybridMultilevel"/>
    <w:tmpl w:val="958812F6"/>
    <w:lvl w:ilvl="0" w:tplc="661CD2C6">
      <w:start w:val="1"/>
      <w:numFmt w:val="bullet"/>
      <w:lvlText w:val="o"/>
      <w:lvlJc w:val="left"/>
      <w:pPr>
        <w:tabs>
          <w:tab w:val="num" w:pos="720"/>
        </w:tabs>
        <w:ind w:left="720" w:hanging="360"/>
      </w:pPr>
      <w:rPr>
        <w:rFonts w:ascii="Courier New" w:hAnsi="Courier New" w:hint="default"/>
      </w:rPr>
    </w:lvl>
    <w:lvl w:ilvl="1" w:tplc="04070019">
      <w:start w:val="1"/>
      <w:numFmt w:val="bullet"/>
      <w:lvlText w:val=""/>
      <w:lvlJc w:val="left"/>
      <w:pPr>
        <w:tabs>
          <w:tab w:val="num" w:pos="1440"/>
        </w:tabs>
        <w:ind w:left="1440" w:hanging="360"/>
      </w:pPr>
      <w:rPr>
        <w:rFonts w:ascii="Wingdings" w:hAnsi="Wingdings"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7">
    <w:nsid w:val="4C644F1E"/>
    <w:multiLevelType w:val="hybridMultilevel"/>
    <w:tmpl w:val="19AC6092"/>
    <w:lvl w:ilvl="0" w:tplc="C242F26A">
      <w:start w:val="1"/>
      <w:numFmt w:val="lowerLetter"/>
      <w:lvlText w:val="%1)"/>
      <w:lvlJc w:val="left"/>
      <w:pPr>
        <w:ind w:left="720" w:hanging="360"/>
      </w:pPr>
    </w:lvl>
    <w:lvl w:ilvl="1" w:tplc="5F7EFB24" w:tentative="1">
      <w:start w:val="1"/>
      <w:numFmt w:val="lowerLetter"/>
      <w:lvlText w:val="%2."/>
      <w:lvlJc w:val="left"/>
      <w:pPr>
        <w:ind w:left="1440" w:hanging="360"/>
      </w:pPr>
    </w:lvl>
    <w:lvl w:ilvl="2" w:tplc="30EC1DB6" w:tentative="1">
      <w:start w:val="1"/>
      <w:numFmt w:val="lowerRoman"/>
      <w:lvlText w:val="%3."/>
      <w:lvlJc w:val="right"/>
      <w:pPr>
        <w:ind w:left="2160" w:hanging="180"/>
      </w:pPr>
    </w:lvl>
    <w:lvl w:ilvl="3" w:tplc="45C2B2E8" w:tentative="1">
      <w:start w:val="1"/>
      <w:numFmt w:val="decimal"/>
      <w:lvlText w:val="%4."/>
      <w:lvlJc w:val="left"/>
      <w:pPr>
        <w:ind w:left="2880" w:hanging="360"/>
      </w:pPr>
    </w:lvl>
    <w:lvl w:ilvl="4" w:tplc="06A8C0D2" w:tentative="1">
      <w:start w:val="1"/>
      <w:numFmt w:val="lowerLetter"/>
      <w:lvlText w:val="%5."/>
      <w:lvlJc w:val="left"/>
      <w:pPr>
        <w:ind w:left="3600" w:hanging="360"/>
      </w:pPr>
    </w:lvl>
    <w:lvl w:ilvl="5" w:tplc="C44E76DC" w:tentative="1">
      <w:start w:val="1"/>
      <w:numFmt w:val="lowerRoman"/>
      <w:lvlText w:val="%6."/>
      <w:lvlJc w:val="right"/>
      <w:pPr>
        <w:ind w:left="4320" w:hanging="180"/>
      </w:pPr>
    </w:lvl>
    <w:lvl w:ilvl="6" w:tplc="30B4D070" w:tentative="1">
      <w:start w:val="1"/>
      <w:numFmt w:val="decimal"/>
      <w:lvlText w:val="%7."/>
      <w:lvlJc w:val="left"/>
      <w:pPr>
        <w:ind w:left="5040" w:hanging="360"/>
      </w:pPr>
    </w:lvl>
    <w:lvl w:ilvl="7" w:tplc="FF1219AA" w:tentative="1">
      <w:start w:val="1"/>
      <w:numFmt w:val="lowerLetter"/>
      <w:lvlText w:val="%8."/>
      <w:lvlJc w:val="left"/>
      <w:pPr>
        <w:ind w:left="5760" w:hanging="360"/>
      </w:pPr>
    </w:lvl>
    <w:lvl w:ilvl="8" w:tplc="F7BC8E82" w:tentative="1">
      <w:start w:val="1"/>
      <w:numFmt w:val="lowerRoman"/>
      <w:lvlText w:val="%9."/>
      <w:lvlJc w:val="right"/>
      <w:pPr>
        <w:ind w:left="6480" w:hanging="180"/>
      </w:pPr>
    </w:lvl>
  </w:abstractNum>
  <w:abstractNum w:abstractNumId="28">
    <w:nsid w:val="4EB95802"/>
    <w:multiLevelType w:val="multilevel"/>
    <w:tmpl w:val="0407001D"/>
    <w:styleLink w:val="Formatvorlage3"/>
    <w:lvl w:ilvl="0">
      <w:start w:val="1"/>
      <w:numFmt w:val="none"/>
      <w:pStyle w:val="berschrift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30">
    <w:nsid w:val="542857ED"/>
    <w:multiLevelType w:val="hybridMultilevel"/>
    <w:tmpl w:val="C6A2D7DA"/>
    <w:lvl w:ilvl="0" w:tplc="0407001B">
      <w:start w:val="1"/>
      <w:numFmt w:val="lowerRoman"/>
      <w:lvlText w:val="%1."/>
      <w:lvlJc w:val="right"/>
      <w:pPr>
        <w:tabs>
          <w:tab w:val="num" w:pos="795"/>
        </w:tabs>
        <w:ind w:left="795" w:hanging="360"/>
      </w:pPr>
      <w:rPr>
        <w:rFonts w:hint="default"/>
      </w:rPr>
    </w:lvl>
    <w:lvl w:ilvl="1" w:tplc="55727D7A" w:tentative="1">
      <w:start w:val="1"/>
      <w:numFmt w:val="bullet"/>
      <w:lvlText w:val="o"/>
      <w:lvlJc w:val="left"/>
      <w:pPr>
        <w:tabs>
          <w:tab w:val="num" w:pos="1515"/>
        </w:tabs>
        <w:ind w:left="1515" w:hanging="360"/>
      </w:pPr>
      <w:rPr>
        <w:rFonts w:ascii="Courier New" w:hAnsi="Courier New" w:hint="default"/>
      </w:rPr>
    </w:lvl>
    <w:lvl w:ilvl="2" w:tplc="1C506D3E" w:tentative="1">
      <w:start w:val="1"/>
      <w:numFmt w:val="bullet"/>
      <w:lvlText w:val=""/>
      <w:lvlJc w:val="left"/>
      <w:pPr>
        <w:tabs>
          <w:tab w:val="num" w:pos="2235"/>
        </w:tabs>
        <w:ind w:left="2235" w:hanging="360"/>
      </w:pPr>
      <w:rPr>
        <w:rFonts w:ascii="Wingdings" w:hAnsi="Wingdings" w:hint="default"/>
      </w:rPr>
    </w:lvl>
    <w:lvl w:ilvl="3" w:tplc="745C8968" w:tentative="1">
      <w:start w:val="1"/>
      <w:numFmt w:val="bullet"/>
      <w:lvlText w:val=""/>
      <w:lvlJc w:val="left"/>
      <w:pPr>
        <w:tabs>
          <w:tab w:val="num" w:pos="2955"/>
        </w:tabs>
        <w:ind w:left="2955" w:hanging="360"/>
      </w:pPr>
      <w:rPr>
        <w:rFonts w:ascii="Symbol" w:hAnsi="Symbol" w:hint="default"/>
      </w:rPr>
    </w:lvl>
    <w:lvl w:ilvl="4" w:tplc="EFB810E6" w:tentative="1">
      <w:start w:val="1"/>
      <w:numFmt w:val="bullet"/>
      <w:lvlText w:val="o"/>
      <w:lvlJc w:val="left"/>
      <w:pPr>
        <w:tabs>
          <w:tab w:val="num" w:pos="3675"/>
        </w:tabs>
        <w:ind w:left="3675" w:hanging="360"/>
      </w:pPr>
      <w:rPr>
        <w:rFonts w:ascii="Courier New" w:hAnsi="Courier New" w:hint="default"/>
      </w:rPr>
    </w:lvl>
    <w:lvl w:ilvl="5" w:tplc="A3FED1D2" w:tentative="1">
      <w:start w:val="1"/>
      <w:numFmt w:val="bullet"/>
      <w:lvlText w:val=""/>
      <w:lvlJc w:val="left"/>
      <w:pPr>
        <w:tabs>
          <w:tab w:val="num" w:pos="4395"/>
        </w:tabs>
        <w:ind w:left="4395" w:hanging="360"/>
      </w:pPr>
      <w:rPr>
        <w:rFonts w:ascii="Wingdings" w:hAnsi="Wingdings" w:hint="default"/>
      </w:rPr>
    </w:lvl>
    <w:lvl w:ilvl="6" w:tplc="FB98B5A8" w:tentative="1">
      <w:start w:val="1"/>
      <w:numFmt w:val="bullet"/>
      <w:lvlText w:val=""/>
      <w:lvlJc w:val="left"/>
      <w:pPr>
        <w:tabs>
          <w:tab w:val="num" w:pos="5115"/>
        </w:tabs>
        <w:ind w:left="5115" w:hanging="360"/>
      </w:pPr>
      <w:rPr>
        <w:rFonts w:ascii="Symbol" w:hAnsi="Symbol" w:hint="default"/>
      </w:rPr>
    </w:lvl>
    <w:lvl w:ilvl="7" w:tplc="8D00D734" w:tentative="1">
      <w:start w:val="1"/>
      <w:numFmt w:val="bullet"/>
      <w:lvlText w:val="o"/>
      <w:lvlJc w:val="left"/>
      <w:pPr>
        <w:tabs>
          <w:tab w:val="num" w:pos="5835"/>
        </w:tabs>
        <w:ind w:left="5835" w:hanging="360"/>
      </w:pPr>
      <w:rPr>
        <w:rFonts w:ascii="Courier New" w:hAnsi="Courier New" w:hint="default"/>
      </w:rPr>
    </w:lvl>
    <w:lvl w:ilvl="8" w:tplc="A128F330" w:tentative="1">
      <w:start w:val="1"/>
      <w:numFmt w:val="bullet"/>
      <w:lvlText w:val=""/>
      <w:lvlJc w:val="left"/>
      <w:pPr>
        <w:tabs>
          <w:tab w:val="num" w:pos="6555"/>
        </w:tabs>
        <w:ind w:left="6555" w:hanging="360"/>
      </w:pPr>
      <w:rPr>
        <w:rFonts w:ascii="Wingdings" w:hAnsi="Wingdings" w:hint="default"/>
      </w:rPr>
    </w:lvl>
  </w:abstractNum>
  <w:abstractNum w:abstractNumId="31">
    <w:nsid w:val="57D72E97"/>
    <w:multiLevelType w:val="hybridMultilevel"/>
    <w:tmpl w:val="44D86FDE"/>
    <w:lvl w:ilvl="0" w:tplc="BABE924A">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3">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34">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6">
    <w:nsid w:val="64FB3E53"/>
    <w:multiLevelType w:val="hybridMultilevel"/>
    <w:tmpl w:val="E172833E"/>
    <w:lvl w:ilvl="0" w:tplc="040A0017">
      <w:start w:val="1"/>
      <w:numFmt w:val="bullet"/>
      <w:lvlText w:val=""/>
      <w:lvlJc w:val="left"/>
      <w:pPr>
        <w:ind w:left="1440" w:hanging="360"/>
      </w:pPr>
      <w:rPr>
        <w:rFonts w:ascii="Symbol" w:hAnsi="Symbol" w:hint="default"/>
      </w:rPr>
    </w:lvl>
    <w:lvl w:ilvl="1" w:tplc="040A0019" w:tentative="1">
      <w:start w:val="1"/>
      <w:numFmt w:val="bullet"/>
      <w:lvlText w:val="o"/>
      <w:lvlJc w:val="left"/>
      <w:pPr>
        <w:ind w:left="2160" w:hanging="360"/>
      </w:pPr>
      <w:rPr>
        <w:rFonts w:ascii="Courier New" w:hAnsi="Courier New" w:hint="default"/>
      </w:rPr>
    </w:lvl>
    <w:lvl w:ilvl="2" w:tplc="040A001B" w:tentative="1">
      <w:start w:val="1"/>
      <w:numFmt w:val="bullet"/>
      <w:lvlText w:val=""/>
      <w:lvlJc w:val="left"/>
      <w:pPr>
        <w:ind w:left="2880" w:hanging="360"/>
      </w:pPr>
      <w:rPr>
        <w:rFonts w:ascii="Wingdings" w:hAnsi="Wingdings" w:hint="default"/>
      </w:rPr>
    </w:lvl>
    <w:lvl w:ilvl="3" w:tplc="040A000F" w:tentative="1">
      <w:start w:val="1"/>
      <w:numFmt w:val="bullet"/>
      <w:lvlText w:val=""/>
      <w:lvlJc w:val="left"/>
      <w:pPr>
        <w:ind w:left="3600" w:hanging="360"/>
      </w:pPr>
      <w:rPr>
        <w:rFonts w:ascii="Symbol" w:hAnsi="Symbol" w:hint="default"/>
      </w:rPr>
    </w:lvl>
    <w:lvl w:ilvl="4" w:tplc="040A0019" w:tentative="1">
      <w:start w:val="1"/>
      <w:numFmt w:val="bullet"/>
      <w:lvlText w:val="o"/>
      <w:lvlJc w:val="left"/>
      <w:pPr>
        <w:ind w:left="4320" w:hanging="360"/>
      </w:pPr>
      <w:rPr>
        <w:rFonts w:ascii="Courier New" w:hAnsi="Courier New" w:hint="default"/>
      </w:rPr>
    </w:lvl>
    <w:lvl w:ilvl="5" w:tplc="040A001B" w:tentative="1">
      <w:start w:val="1"/>
      <w:numFmt w:val="bullet"/>
      <w:lvlText w:val=""/>
      <w:lvlJc w:val="left"/>
      <w:pPr>
        <w:ind w:left="5040" w:hanging="360"/>
      </w:pPr>
      <w:rPr>
        <w:rFonts w:ascii="Wingdings" w:hAnsi="Wingdings" w:hint="default"/>
      </w:rPr>
    </w:lvl>
    <w:lvl w:ilvl="6" w:tplc="040A000F" w:tentative="1">
      <w:start w:val="1"/>
      <w:numFmt w:val="bullet"/>
      <w:lvlText w:val=""/>
      <w:lvlJc w:val="left"/>
      <w:pPr>
        <w:ind w:left="5760" w:hanging="360"/>
      </w:pPr>
      <w:rPr>
        <w:rFonts w:ascii="Symbol" w:hAnsi="Symbol" w:hint="default"/>
      </w:rPr>
    </w:lvl>
    <w:lvl w:ilvl="7" w:tplc="040A0019" w:tentative="1">
      <w:start w:val="1"/>
      <w:numFmt w:val="bullet"/>
      <w:lvlText w:val="o"/>
      <w:lvlJc w:val="left"/>
      <w:pPr>
        <w:ind w:left="6480" w:hanging="360"/>
      </w:pPr>
      <w:rPr>
        <w:rFonts w:ascii="Courier New" w:hAnsi="Courier New" w:hint="default"/>
      </w:rPr>
    </w:lvl>
    <w:lvl w:ilvl="8" w:tplc="040A001B" w:tentative="1">
      <w:start w:val="1"/>
      <w:numFmt w:val="bullet"/>
      <w:lvlText w:val=""/>
      <w:lvlJc w:val="left"/>
      <w:pPr>
        <w:ind w:left="7200" w:hanging="360"/>
      </w:pPr>
      <w:rPr>
        <w:rFonts w:ascii="Wingdings" w:hAnsi="Wingdings" w:hint="default"/>
      </w:rPr>
    </w:lvl>
  </w:abstractNum>
  <w:abstractNum w:abstractNumId="37">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8">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9">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nsid w:val="6A2E284F"/>
    <w:multiLevelType w:val="hybridMultilevel"/>
    <w:tmpl w:val="19AC6092"/>
    <w:lvl w:ilvl="0" w:tplc="08130001">
      <w:start w:val="1"/>
      <w:numFmt w:val="lowerLetter"/>
      <w:lvlText w:val="%1)"/>
      <w:lvlJc w:val="left"/>
      <w:pPr>
        <w:ind w:left="720" w:hanging="360"/>
      </w:pPr>
    </w:lvl>
    <w:lvl w:ilvl="1" w:tplc="08130003" w:tentative="1">
      <w:start w:val="1"/>
      <w:numFmt w:val="lowerLetter"/>
      <w:lvlText w:val="%2."/>
      <w:lvlJc w:val="left"/>
      <w:pPr>
        <w:ind w:left="1440" w:hanging="360"/>
      </w:pPr>
    </w:lvl>
    <w:lvl w:ilvl="2" w:tplc="08130005" w:tentative="1">
      <w:start w:val="1"/>
      <w:numFmt w:val="lowerRoman"/>
      <w:lvlText w:val="%3."/>
      <w:lvlJc w:val="right"/>
      <w:pPr>
        <w:ind w:left="2160" w:hanging="180"/>
      </w:pPr>
    </w:lvl>
    <w:lvl w:ilvl="3" w:tplc="08130001" w:tentative="1">
      <w:start w:val="1"/>
      <w:numFmt w:val="decimal"/>
      <w:lvlText w:val="%4."/>
      <w:lvlJc w:val="left"/>
      <w:pPr>
        <w:ind w:left="2880" w:hanging="360"/>
      </w:pPr>
    </w:lvl>
    <w:lvl w:ilvl="4" w:tplc="08130003" w:tentative="1">
      <w:start w:val="1"/>
      <w:numFmt w:val="lowerLetter"/>
      <w:lvlText w:val="%5."/>
      <w:lvlJc w:val="left"/>
      <w:pPr>
        <w:ind w:left="3600" w:hanging="360"/>
      </w:pPr>
    </w:lvl>
    <w:lvl w:ilvl="5" w:tplc="08130005" w:tentative="1">
      <w:start w:val="1"/>
      <w:numFmt w:val="lowerRoman"/>
      <w:lvlText w:val="%6."/>
      <w:lvlJc w:val="right"/>
      <w:pPr>
        <w:ind w:left="4320" w:hanging="180"/>
      </w:pPr>
    </w:lvl>
    <w:lvl w:ilvl="6" w:tplc="08130001" w:tentative="1">
      <w:start w:val="1"/>
      <w:numFmt w:val="decimal"/>
      <w:lvlText w:val="%7."/>
      <w:lvlJc w:val="left"/>
      <w:pPr>
        <w:ind w:left="5040" w:hanging="360"/>
      </w:pPr>
    </w:lvl>
    <w:lvl w:ilvl="7" w:tplc="08130003" w:tentative="1">
      <w:start w:val="1"/>
      <w:numFmt w:val="lowerLetter"/>
      <w:lvlText w:val="%8."/>
      <w:lvlJc w:val="left"/>
      <w:pPr>
        <w:ind w:left="5760" w:hanging="360"/>
      </w:pPr>
    </w:lvl>
    <w:lvl w:ilvl="8" w:tplc="08130005" w:tentative="1">
      <w:start w:val="1"/>
      <w:numFmt w:val="lowerRoman"/>
      <w:lvlText w:val="%9."/>
      <w:lvlJc w:val="right"/>
      <w:pPr>
        <w:ind w:left="6480" w:hanging="180"/>
      </w:pPr>
    </w:lvl>
  </w:abstractNum>
  <w:abstractNum w:abstractNumId="41">
    <w:nsid w:val="71312329"/>
    <w:multiLevelType w:val="hybridMultilevel"/>
    <w:tmpl w:val="21342918"/>
    <w:lvl w:ilvl="0" w:tplc="04070001">
      <w:start w:val="1"/>
      <w:numFmt w:val="bullet"/>
      <w:lvlText w:val=""/>
      <w:lvlJc w:val="left"/>
      <w:pPr>
        <w:ind w:left="1068" w:hanging="360"/>
      </w:pPr>
      <w:rPr>
        <w:rFonts w:ascii="Symbol" w:hAnsi="Symbol" w:hint="default"/>
      </w:rPr>
    </w:lvl>
    <w:lvl w:ilvl="1" w:tplc="04070003">
      <w:start w:val="1"/>
      <w:numFmt w:val="lowerLetter"/>
      <w:lvlText w:val="%2."/>
      <w:lvlJc w:val="left"/>
      <w:pPr>
        <w:ind w:left="1788" w:hanging="360"/>
      </w:pPr>
    </w:lvl>
    <w:lvl w:ilvl="2" w:tplc="04070005" w:tentative="1">
      <w:start w:val="1"/>
      <w:numFmt w:val="lowerRoman"/>
      <w:lvlText w:val="%3."/>
      <w:lvlJc w:val="right"/>
      <w:pPr>
        <w:ind w:left="2508" w:hanging="180"/>
      </w:pPr>
    </w:lvl>
    <w:lvl w:ilvl="3" w:tplc="04070001" w:tentative="1">
      <w:start w:val="1"/>
      <w:numFmt w:val="decimal"/>
      <w:lvlText w:val="%4."/>
      <w:lvlJc w:val="left"/>
      <w:pPr>
        <w:ind w:left="3228" w:hanging="360"/>
      </w:pPr>
    </w:lvl>
    <w:lvl w:ilvl="4" w:tplc="04070003" w:tentative="1">
      <w:start w:val="1"/>
      <w:numFmt w:val="lowerLetter"/>
      <w:lvlText w:val="%5."/>
      <w:lvlJc w:val="left"/>
      <w:pPr>
        <w:ind w:left="3948" w:hanging="360"/>
      </w:pPr>
    </w:lvl>
    <w:lvl w:ilvl="5" w:tplc="04070005" w:tentative="1">
      <w:start w:val="1"/>
      <w:numFmt w:val="lowerRoman"/>
      <w:lvlText w:val="%6."/>
      <w:lvlJc w:val="right"/>
      <w:pPr>
        <w:ind w:left="4668" w:hanging="180"/>
      </w:pPr>
    </w:lvl>
    <w:lvl w:ilvl="6" w:tplc="04070001" w:tentative="1">
      <w:start w:val="1"/>
      <w:numFmt w:val="decimal"/>
      <w:lvlText w:val="%7."/>
      <w:lvlJc w:val="left"/>
      <w:pPr>
        <w:ind w:left="5388" w:hanging="360"/>
      </w:pPr>
    </w:lvl>
    <w:lvl w:ilvl="7" w:tplc="04070003" w:tentative="1">
      <w:start w:val="1"/>
      <w:numFmt w:val="lowerLetter"/>
      <w:lvlText w:val="%8."/>
      <w:lvlJc w:val="left"/>
      <w:pPr>
        <w:ind w:left="6108" w:hanging="360"/>
      </w:pPr>
    </w:lvl>
    <w:lvl w:ilvl="8" w:tplc="04070005" w:tentative="1">
      <w:start w:val="1"/>
      <w:numFmt w:val="lowerRoman"/>
      <w:lvlText w:val="%9."/>
      <w:lvlJc w:val="right"/>
      <w:pPr>
        <w:ind w:left="6828" w:hanging="180"/>
      </w:pPr>
    </w:lvl>
  </w:abstractNum>
  <w:abstractNum w:abstractNumId="42">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3">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4">
    <w:nsid w:val="7A1A7D3E"/>
    <w:multiLevelType w:val="hybridMultilevel"/>
    <w:tmpl w:val="01D6D9C0"/>
    <w:lvl w:ilvl="0" w:tplc="FE50EEE0">
      <w:start w:val="459"/>
      <w:numFmt w:val="bullet"/>
      <w:lvlText w:val="-"/>
      <w:lvlJc w:val="left"/>
      <w:pPr>
        <w:tabs>
          <w:tab w:val="num" w:pos="435"/>
        </w:tabs>
        <w:ind w:left="435" w:hanging="360"/>
      </w:pPr>
      <w:rPr>
        <w:rFonts w:ascii="Verdana" w:eastAsia="Calibri" w:hAnsi="Verdana" w:cs="Verdana" w:hint="default"/>
      </w:rPr>
    </w:lvl>
    <w:lvl w:ilvl="1" w:tplc="B7140164" w:tentative="1">
      <w:start w:val="1"/>
      <w:numFmt w:val="bullet"/>
      <w:lvlText w:val="o"/>
      <w:lvlJc w:val="left"/>
      <w:pPr>
        <w:tabs>
          <w:tab w:val="num" w:pos="1155"/>
        </w:tabs>
        <w:ind w:left="1155" w:hanging="360"/>
      </w:pPr>
      <w:rPr>
        <w:rFonts w:ascii="Courier New" w:hAnsi="Courier New" w:cs="Courier New" w:hint="default"/>
      </w:rPr>
    </w:lvl>
    <w:lvl w:ilvl="2" w:tplc="D6424902" w:tentative="1">
      <w:start w:val="1"/>
      <w:numFmt w:val="bullet"/>
      <w:lvlText w:val=""/>
      <w:lvlJc w:val="left"/>
      <w:pPr>
        <w:tabs>
          <w:tab w:val="num" w:pos="1875"/>
        </w:tabs>
        <w:ind w:left="1875" w:hanging="360"/>
      </w:pPr>
      <w:rPr>
        <w:rFonts w:ascii="Wingdings" w:hAnsi="Wingdings" w:hint="default"/>
      </w:rPr>
    </w:lvl>
    <w:lvl w:ilvl="3" w:tplc="33DAADC4" w:tentative="1">
      <w:start w:val="1"/>
      <w:numFmt w:val="bullet"/>
      <w:lvlText w:val=""/>
      <w:lvlJc w:val="left"/>
      <w:pPr>
        <w:tabs>
          <w:tab w:val="num" w:pos="2595"/>
        </w:tabs>
        <w:ind w:left="2595" w:hanging="360"/>
      </w:pPr>
      <w:rPr>
        <w:rFonts w:ascii="Symbol" w:hAnsi="Symbol" w:hint="default"/>
      </w:rPr>
    </w:lvl>
    <w:lvl w:ilvl="4" w:tplc="ACF0F830" w:tentative="1">
      <w:start w:val="1"/>
      <w:numFmt w:val="bullet"/>
      <w:lvlText w:val="o"/>
      <w:lvlJc w:val="left"/>
      <w:pPr>
        <w:tabs>
          <w:tab w:val="num" w:pos="3315"/>
        </w:tabs>
        <w:ind w:left="3315" w:hanging="360"/>
      </w:pPr>
      <w:rPr>
        <w:rFonts w:ascii="Courier New" w:hAnsi="Courier New" w:cs="Courier New" w:hint="default"/>
      </w:rPr>
    </w:lvl>
    <w:lvl w:ilvl="5" w:tplc="CED2DAE4" w:tentative="1">
      <w:start w:val="1"/>
      <w:numFmt w:val="bullet"/>
      <w:lvlText w:val=""/>
      <w:lvlJc w:val="left"/>
      <w:pPr>
        <w:tabs>
          <w:tab w:val="num" w:pos="4035"/>
        </w:tabs>
        <w:ind w:left="4035" w:hanging="360"/>
      </w:pPr>
      <w:rPr>
        <w:rFonts w:ascii="Wingdings" w:hAnsi="Wingdings" w:hint="default"/>
      </w:rPr>
    </w:lvl>
    <w:lvl w:ilvl="6" w:tplc="074A0046" w:tentative="1">
      <w:start w:val="1"/>
      <w:numFmt w:val="bullet"/>
      <w:lvlText w:val=""/>
      <w:lvlJc w:val="left"/>
      <w:pPr>
        <w:tabs>
          <w:tab w:val="num" w:pos="4755"/>
        </w:tabs>
        <w:ind w:left="4755" w:hanging="360"/>
      </w:pPr>
      <w:rPr>
        <w:rFonts w:ascii="Symbol" w:hAnsi="Symbol" w:hint="default"/>
      </w:rPr>
    </w:lvl>
    <w:lvl w:ilvl="7" w:tplc="BBC281FC" w:tentative="1">
      <w:start w:val="1"/>
      <w:numFmt w:val="bullet"/>
      <w:lvlText w:val="o"/>
      <w:lvlJc w:val="left"/>
      <w:pPr>
        <w:tabs>
          <w:tab w:val="num" w:pos="5475"/>
        </w:tabs>
        <w:ind w:left="5475" w:hanging="360"/>
      </w:pPr>
      <w:rPr>
        <w:rFonts w:ascii="Courier New" w:hAnsi="Courier New" w:cs="Courier New" w:hint="default"/>
      </w:rPr>
    </w:lvl>
    <w:lvl w:ilvl="8" w:tplc="03FC3886" w:tentative="1">
      <w:start w:val="1"/>
      <w:numFmt w:val="bullet"/>
      <w:lvlText w:val=""/>
      <w:lvlJc w:val="left"/>
      <w:pPr>
        <w:tabs>
          <w:tab w:val="num" w:pos="6195"/>
        </w:tabs>
        <w:ind w:left="6195" w:hanging="360"/>
      </w:pPr>
      <w:rPr>
        <w:rFonts w:ascii="Wingdings" w:hAnsi="Wingdings" w:hint="default"/>
      </w:rPr>
    </w:lvl>
  </w:abstractNum>
  <w:abstractNum w:abstractNumId="45">
    <w:nsid w:val="7B6F1D02"/>
    <w:multiLevelType w:val="hybridMultilevel"/>
    <w:tmpl w:val="309C1596"/>
    <w:lvl w:ilvl="0" w:tplc="13D2A4B0">
      <w:start w:val="1"/>
      <w:numFmt w:val="bullet"/>
      <w:lvlText w:val=""/>
      <w:lvlJc w:val="left"/>
      <w:pPr>
        <w:tabs>
          <w:tab w:val="num" w:pos="720"/>
        </w:tabs>
        <w:ind w:left="720" w:hanging="360"/>
      </w:pPr>
      <w:rPr>
        <w:rFonts w:ascii="Symbol" w:hAnsi="Symbol"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46">
    <w:nsid w:val="7FDA2A15"/>
    <w:multiLevelType w:val="hybridMultilevel"/>
    <w:tmpl w:val="3C5AC638"/>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3"/>
  </w:num>
  <w:num w:numId="3">
    <w:abstractNumId w:val="43"/>
  </w:num>
  <w:num w:numId="4">
    <w:abstractNumId w:val="25"/>
  </w:num>
  <w:num w:numId="5">
    <w:abstractNumId w:val="38"/>
  </w:num>
  <w:num w:numId="6">
    <w:abstractNumId w:val="23"/>
  </w:num>
  <w:num w:numId="7">
    <w:abstractNumId w:val="42"/>
  </w:num>
  <w:num w:numId="8">
    <w:abstractNumId w:val="10"/>
  </w:num>
  <w:num w:numId="9">
    <w:abstractNumId w:val="34"/>
  </w:num>
  <w:num w:numId="10">
    <w:abstractNumId w:val="21"/>
  </w:num>
  <w:num w:numId="11">
    <w:abstractNumId w:val="29"/>
  </w:num>
  <w:num w:numId="12">
    <w:abstractNumId w:val="17"/>
  </w:num>
  <w:num w:numId="13">
    <w:abstractNumId w:val="13"/>
  </w:num>
  <w:num w:numId="14">
    <w:abstractNumId w:val="46"/>
  </w:num>
  <w:num w:numId="15">
    <w:abstractNumId w:val="14"/>
  </w:num>
  <w:num w:numId="16">
    <w:abstractNumId w:val="22"/>
  </w:num>
  <w:num w:numId="17">
    <w:abstractNumId w:val="26"/>
  </w:num>
  <w:num w:numId="18">
    <w:abstractNumId w:val="4"/>
  </w:num>
  <w:num w:numId="19">
    <w:abstractNumId w:val="20"/>
  </w:num>
  <w:num w:numId="20">
    <w:abstractNumId w:val="44"/>
  </w:num>
  <w:num w:numId="21">
    <w:abstractNumId w:val="31"/>
  </w:num>
  <w:num w:numId="22">
    <w:abstractNumId w:val="1"/>
  </w:num>
  <w:num w:numId="23">
    <w:abstractNumId w:val="3"/>
  </w:num>
  <w:num w:numId="24">
    <w:abstractNumId w:val="27"/>
  </w:num>
  <w:num w:numId="25">
    <w:abstractNumId w:val="40"/>
  </w:num>
  <w:num w:numId="26">
    <w:abstractNumId w:val="9"/>
  </w:num>
  <w:num w:numId="27">
    <w:abstractNumId w:val="37"/>
  </w:num>
  <w:num w:numId="28">
    <w:abstractNumId w:val="32"/>
  </w:num>
  <w:num w:numId="29">
    <w:abstractNumId w:val="19"/>
  </w:num>
  <w:num w:numId="30">
    <w:abstractNumId w:val="24"/>
  </w:num>
  <w:num w:numId="31">
    <w:abstractNumId w:val="36"/>
  </w:num>
  <w:num w:numId="32">
    <w:abstractNumId w:val="6"/>
  </w:num>
  <w:num w:numId="33">
    <w:abstractNumId w:val="7"/>
  </w:num>
  <w:num w:numId="34">
    <w:abstractNumId w:val="45"/>
  </w:num>
  <w:num w:numId="35">
    <w:abstractNumId w:val="8"/>
  </w:num>
  <w:num w:numId="36">
    <w:abstractNumId w:val="28"/>
  </w:num>
  <w:num w:numId="37">
    <w:abstractNumId w:val="18"/>
  </w:num>
  <w:num w:numId="38">
    <w:abstractNumId w:val="39"/>
  </w:num>
  <w:num w:numId="39">
    <w:abstractNumId w:val="30"/>
  </w:num>
  <w:num w:numId="40">
    <w:abstractNumId w:val="15"/>
  </w:num>
  <w:num w:numId="41">
    <w:abstractNumId w:val="11"/>
  </w:num>
  <w:num w:numId="42">
    <w:abstractNumId w:val="12"/>
  </w:num>
  <w:num w:numId="43">
    <w:abstractNumId w:val="0"/>
  </w:num>
  <w:num w:numId="44">
    <w:abstractNumId w:val="5"/>
  </w:num>
  <w:num w:numId="45">
    <w:abstractNumId w:val="35"/>
  </w:num>
  <w:num w:numId="46">
    <w:abstractNumId w:val="16"/>
  </w:num>
  <w:num w:numId="47">
    <w:abstractNumId w:val="19"/>
  </w:num>
  <w:num w:numId="48">
    <w:abstractNumId w:val="41"/>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5004"/>
  <w:defaultTabStop w:val="708"/>
  <w:autoHyphenation/>
  <w:hyphenationZone w:val="170"/>
  <w:characterSpacingControl w:val="doNotCompress"/>
  <w:footnotePr>
    <w:footnote w:id="-1"/>
    <w:footnote w:id="0"/>
  </w:footnotePr>
  <w:endnotePr>
    <w:numFmt w:val="decimal"/>
    <w:endnote w:id="-1"/>
    <w:endnote w:id="0"/>
  </w:endnotePr>
  <w:compat/>
  <w:rsids>
    <w:rsidRoot w:val="00884FEB"/>
    <w:rsid w:val="000020E5"/>
    <w:rsid w:val="00004FE8"/>
    <w:rsid w:val="00005765"/>
    <w:rsid w:val="00005FFC"/>
    <w:rsid w:val="00007D0D"/>
    <w:rsid w:val="00007D9A"/>
    <w:rsid w:val="00011BD0"/>
    <w:rsid w:val="00012D35"/>
    <w:rsid w:val="00014890"/>
    <w:rsid w:val="00020516"/>
    <w:rsid w:val="000232E2"/>
    <w:rsid w:val="000243CE"/>
    <w:rsid w:val="0002657F"/>
    <w:rsid w:val="000326C1"/>
    <w:rsid w:val="00037093"/>
    <w:rsid w:val="0005400A"/>
    <w:rsid w:val="0005609F"/>
    <w:rsid w:val="00057362"/>
    <w:rsid w:val="00061E48"/>
    <w:rsid w:val="00063085"/>
    <w:rsid w:val="00076091"/>
    <w:rsid w:val="00076880"/>
    <w:rsid w:val="000828C6"/>
    <w:rsid w:val="000858A9"/>
    <w:rsid w:val="000903FA"/>
    <w:rsid w:val="000B0EBE"/>
    <w:rsid w:val="000B6A14"/>
    <w:rsid w:val="000D220D"/>
    <w:rsid w:val="000E1572"/>
    <w:rsid w:val="000E29C9"/>
    <w:rsid w:val="000E7BA8"/>
    <w:rsid w:val="000F2F09"/>
    <w:rsid w:val="000F4702"/>
    <w:rsid w:val="000F6A80"/>
    <w:rsid w:val="000F6B25"/>
    <w:rsid w:val="0012049B"/>
    <w:rsid w:val="001220E9"/>
    <w:rsid w:val="00124B85"/>
    <w:rsid w:val="00124FA4"/>
    <w:rsid w:val="00125A56"/>
    <w:rsid w:val="001273B5"/>
    <w:rsid w:val="00133AC1"/>
    <w:rsid w:val="00136316"/>
    <w:rsid w:val="001402DB"/>
    <w:rsid w:val="001432EE"/>
    <w:rsid w:val="001570C4"/>
    <w:rsid w:val="00163DBA"/>
    <w:rsid w:val="001651D1"/>
    <w:rsid w:val="001721BD"/>
    <w:rsid w:val="0017440D"/>
    <w:rsid w:val="00175957"/>
    <w:rsid w:val="00177771"/>
    <w:rsid w:val="00183B7A"/>
    <w:rsid w:val="00184E8A"/>
    <w:rsid w:val="001854F6"/>
    <w:rsid w:val="00185877"/>
    <w:rsid w:val="001919E9"/>
    <w:rsid w:val="001A44B3"/>
    <w:rsid w:val="001A6EB3"/>
    <w:rsid w:val="001B4EA5"/>
    <w:rsid w:val="001C0A38"/>
    <w:rsid w:val="001C1392"/>
    <w:rsid w:val="001E01BA"/>
    <w:rsid w:val="001E5A75"/>
    <w:rsid w:val="001E6B9D"/>
    <w:rsid w:val="001F2920"/>
    <w:rsid w:val="001F5AC3"/>
    <w:rsid w:val="0021389C"/>
    <w:rsid w:val="00213DC3"/>
    <w:rsid w:val="0021767A"/>
    <w:rsid w:val="00221103"/>
    <w:rsid w:val="00222596"/>
    <w:rsid w:val="00222AC6"/>
    <w:rsid w:val="00225D42"/>
    <w:rsid w:val="0023488F"/>
    <w:rsid w:val="002357EA"/>
    <w:rsid w:val="00237276"/>
    <w:rsid w:val="00245325"/>
    <w:rsid w:val="0024776E"/>
    <w:rsid w:val="00250176"/>
    <w:rsid w:val="002506A3"/>
    <w:rsid w:val="00253022"/>
    <w:rsid w:val="00254DF6"/>
    <w:rsid w:val="00262C1B"/>
    <w:rsid w:val="002664C7"/>
    <w:rsid w:val="00271C8B"/>
    <w:rsid w:val="00276B41"/>
    <w:rsid w:val="00285E2F"/>
    <w:rsid w:val="002920FF"/>
    <w:rsid w:val="002A04D3"/>
    <w:rsid w:val="002B1DA9"/>
    <w:rsid w:val="002C41F1"/>
    <w:rsid w:val="002C6263"/>
    <w:rsid w:val="002D4E10"/>
    <w:rsid w:val="002D6653"/>
    <w:rsid w:val="002D6B9E"/>
    <w:rsid w:val="002E053A"/>
    <w:rsid w:val="002E2061"/>
    <w:rsid w:val="002E3720"/>
    <w:rsid w:val="002E4EB7"/>
    <w:rsid w:val="002E587F"/>
    <w:rsid w:val="002F0385"/>
    <w:rsid w:val="002F170E"/>
    <w:rsid w:val="002F39A7"/>
    <w:rsid w:val="00300224"/>
    <w:rsid w:val="00306AD1"/>
    <w:rsid w:val="00306F71"/>
    <w:rsid w:val="003105C6"/>
    <w:rsid w:val="00310F05"/>
    <w:rsid w:val="00311B2D"/>
    <w:rsid w:val="003137B9"/>
    <w:rsid w:val="00331FE6"/>
    <w:rsid w:val="00333A44"/>
    <w:rsid w:val="00345E53"/>
    <w:rsid w:val="00347FF9"/>
    <w:rsid w:val="00357F63"/>
    <w:rsid w:val="003616A1"/>
    <w:rsid w:val="00371593"/>
    <w:rsid w:val="00383FF2"/>
    <w:rsid w:val="00385B93"/>
    <w:rsid w:val="00387E40"/>
    <w:rsid w:val="00390DDA"/>
    <w:rsid w:val="00393539"/>
    <w:rsid w:val="00394FF1"/>
    <w:rsid w:val="003A0C05"/>
    <w:rsid w:val="003A1AEE"/>
    <w:rsid w:val="003A200A"/>
    <w:rsid w:val="003A449C"/>
    <w:rsid w:val="003A5D8C"/>
    <w:rsid w:val="003B3DBB"/>
    <w:rsid w:val="003C0FB5"/>
    <w:rsid w:val="003C2566"/>
    <w:rsid w:val="003C4D40"/>
    <w:rsid w:val="003C60B9"/>
    <w:rsid w:val="003D10E9"/>
    <w:rsid w:val="003D431C"/>
    <w:rsid w:val="003D56DE"/>
    <w:rsid w:val="003E5145"/>
    <w:rsid w:val="003F15BB"/>
    <w:rsid w:val="00401111"/>
    <w:rsid w:val="00403B31"/>
    <w:rsid w:val="00412D44"/>
    <w:rsid w:val="00415A1B"/>
    <w:rsid w:val="0043001B"/>
    <w:rsid w:val="004377DA"/>
    <w:rsid w:val="004377E2"/>
    <w:rsid w:val="00443003"/>
    <w:rsid w:val="00445E06"/>
    <w:rsid w:val="00452FEF"/>
    <w:rsid w:val="00455364"/>
    <w:rsid w:val="00461A5A"/>
    <w:rsid w:val="0047503C"/>
    <w:rsid w:val="0048116C"/>
    <w:rsid w:val="00484DDA"/>
    <w:rsid w:val="00485B0E"/>
    <w:rsid w:val="004901BE"/>
    <w:rsid w:val="00496C8E"/>
    <w:rsid w:val="00496F5D"/>
    <w:rsid w:val="004A1A86"/>
    <w:rsid w:val="004A5880"/>
    <w:rsid w:val="004A6C52"/>
    <w:rsid w:val="004B2A17"/>
    <w:rsid w:val="004B4DF9"/>
    <w:rsid w:val="004E04BF"/>
    <w:rsid w:val="004F50AF"/>
    <w:rsid w:val="00502FC6"/>
    <w:rsid w:val="0050399F"/>
    <w:rsid w:val="005067A1"/>
    <w:rsid w:val="0051117E"/>
    <w:rsid w:val="005135D6"/>
    <w:rsid w:val="00530FC7"/>
    <w:rsid w:val="0053327A"/>
    <w:rsid w:val="00533D6A"/>
    <w:rsid w:val="005429A0"/>
    <w:rsid w:val="005511AD"/>
    <w:rsid w:val="00552E3E"/>
    <w:rsid w:val="0055791B"/>
    <w:rsid w:val="00557DA3"/>
    <w:rsid w:val="00560B97"/>
    <w:rsid w:val="00563313"/>
    <w:rsid w:val="00564A89"/>
    <w:rsid w:val="00565031"/>
    <w:rsid w:val="005666F4"/>
    <w:rsid w:val="00585466"/>
    <w:rsid w:val="005911AC"/>
    <w:rsid w:val="00593E1F"/>
    <w:rsid w:val="00597562"/>
    <w:rsid w:val="005A18FB"/>
    <w:rsid w:val="005A2363"/>
    <w:rsid w:val="005A6305"/>
    <w:rsid w:val="005B02DE"/>
    <w:rsid w:val="005B0C8D"/>
    <w:rsid w:val="005B13A0"/>
    <w:rsid w:val="005C1BC9"/>
    <w:rsid w:val="005C287F"/>
    <w:rsid w:val="005C6DEB"/>
    <w:rsid w:val="005C7A91"/>
    <w:rsid w:val="005F5B6B"/>
    <w:rsid w:val="005F6FDF"/>
    <w:rsid w:val="00601450"/>
    <w:rsid w:val="006108B8"/>
    <w:rsid w:val="00611073"/>
    <w:rsid w:val="006128D7"/>
    <w:rsid w:val="0061482E"/>
    <w:rsid w:val="0061552A"/>
    <w:rsid w:val="00616264"/>
    <w:rsid w:val="00616690"/>
    <w:rsid w:val="00616E90"/>
    <w:rsid w:val="00621A9B"/>
    <w:rsid w:val="00627143"/>
    <w:rsid w:val="006317A9"/>
    <w:rsid w:val="00643011"/>
    <w:rsid w:val="00650DB8"/>
    <w:rsid w:val="00651C18"/>
    <w:rsid w:val="00652DF7"/>
    <w:rsid w:val="00652F11"/>
    <w:rsid w:val="0066173C"/>
    <w:rsid w:val="0067327A"/>
    <w:rsid w:val="006746DB"/>
    <w:rsid w:val="006771CE"/>
    <w:rsid w:val="006778A2"/>
    <w:rsid w:val="006916DC"/>
    <w:rsid w:val="00696F12"/>
    <w:rsid w:val="006A01F5"/>
    <w:rsid w:val="006A5922"/>
    <w:rsid w:val="006B19A0"/>
    <w:rsid w:val="006B2A31"/>
    <w:rsid w:val="006B55D6"/>
    <w:rsid w:val="006B5BA8"/>
    <w:rsid w:val="006B7228"/>
    <w:rsid w:val="006C0915"/>
    <w:rsid w:val="006C11BB"/>
    <w:rsid w:val="006C3FF9"/>
    <w:rsid w:val="006C4174"/>
    <w:rsid w:val="006C45C6"/>
    <w:rsid w:val="006C624D"/>
    <w:rsid w:val="006D25E8"/>
    <w:rsid w:val="006D49F3"/>
    <w:rsid w:val="006D7990"/>
    <w:rsid w:val="006E52E7"/>
    <w:rsid w:val="006F4097"/>
    <w:rsid w:val="007111B3"/>
    <w:rsid w:val="00711F3A"/>
    <w:rsid w:val="00712B6C"/>
    <w:rsid w:val="00721A22"/>
    <w:rsid w:val="00721CEA"/>
    <w:rsid w:val="007232CE"/>
    <w:rsid w:val="007247ED"/>
    <w:rsid w:val="00727756"/>
    <w:rsid w:val="00734BCB"/>
    <w:rsid w:val="0073581C"/>
    <w:rsid w:val="00736AD5"/>
    <w:rsid w:val="00736D27"/>
    <w:rsid w:val="007420C6"/>
    <w:rsid w:val="007434D0"/>
    <w:rsid w:val="00745B5D"/>
    <w:rsid w:val="007503D4"/>
    <w:rsid w:val="0075517F"/>
    <w:rsid w:val="00755758"/>
    <w:rsid w:val="0076257F"/>
    <w:rsid w:val="00763A4B"/>
    <w:rsid w:val="00764E61"/>
    <w:rsid w:val="0078015D"/>
    <w:rsid w:val="00781160"/>
    <w:rsid w:val="007827A3"/>
    <w:rsid w:val="00785E60"/>
    <w:rsid w:val="007864CA"/>
    <w:rsid w:val="00787CDE"/>
    <w:rsid w:val="007A1D61"/>
    <w:rsid w:val="007A4CFD"/>
    <w:rsid w:val="007B0068"/>
    <w:rsid w:val="007B025E"/>
    <w:rsid w:val="007B0AC3"/>
    <w:rsid w:val="007B5523"/>
    <w:rsid w:val="007C4C33"/>
    <w:rsid w:val="007C5B59"/>
    <w:rsid w:val="007D2AEF"/>
    <w:rsid w:val="007D2CE6"/>
    <w:rsid w:val="007E18BB"/>
    <w:rsid w:val="007E33D4"/>
    <w:rsid w:val="007E475F"/>
    <w:rsid w:val="007F0442"/>
    <w:rsid w:val="007F6D99"/>
    <w:rsid w:val="007F7A60"/>
    <w:rsid w:val="008004DF"/>
    <w:rsid w:val="008024B2"/>
    <w:rsid w:val="00816B32"/>
    <w:rsid w:val="00820E23"/>
    <w:rsid w:val="0082105B"/>
    <w:rsid w:val="0083444D"/>
    <w:rsid w:val="008420D9"/>
    <w:rsid w:val="008427C5"/>
    <w:rsid w:val="00845545"/>
    <w:rsid w:val="00853594"/>
    <w:rsid w:val="00856854"/>
    <w:rsid w:val="0087489F"/>
    <w:rsid w:val="00875044"/>
    <w:rsid w:val="00875C7F"/>
    <w:rsid w:val="008800A0"/>
    <w:rsid w:val="008815DE"/>
    <w:rsid w:val="0088172D"/>
    <w:rsid w:val="00883D75"/>
    <w:rsid w:val="00884B2C"/>
    <w:rsid w:val="00884FEB"/>
    <w:rsid w:val="0088630E"/>
    <w:rsid w:val="008A49E8"/>
    <w:rsid w:val="008A7A5D"/>
    <w:rsid w:val="008B2F5E"/>
    <w:rsid w:val="008B6066"/>
    <w:rsid w:val="008B7267"/>
    <w:rsid w:val="008C122C"/>
    <w:rsid w:val="008C624D"/>
    <w:rsid w:val="008C6E0B"/>
    <w:rsid w:val="008D2210"/>
    <w:rsid w:val="008E0E86"/>
    <w:rsid w:val="008E0F08"/>
    <w:rsid w:val="008E3CA9"/>
    <w:rsid w:val="008E47D2"/>
    <w:rsid w:val="008F1D51"/>
    <w:rsid w:val="008F6918"/>
    <w:rsid w:val="00900C1D"/>
    <w:rsid w:val="00924EEF"/>
    <w:rsid w:val="00930478"/>
    <w:rsid w:val="009371BA"/>
    <w:rsid w:val="00942368"/>
    <w:rsid w:val="00947186"/>
    <w:rsid w:val="00950950"/>
    <w:rsid w:val="00953A69"/>
    <w:rsid w:val="00955F25"/>
    <w:rsid w:val="00965272"/>
    <w:rsid w:val="00965DB8"/>
    <w:rsid w:val="00971A2C"/>
    <w:rsid w:val="0098245F"/>
    <w:rsid w:val="00985397"/>
    <w:rsid w:val="0098778D"/>
    <w:rsid w:val="00991C37"/>
    <w:rsid w:val="0099694B"/>
    <w:rsid w:val="009A1317"/>
    <w:rsid w:val="009A2E43"/>
    <w:rsid w:val="009A4B3E"/>
    <w:rsid w:val="009A6E08"/>
    <w:rsid w:val="009B6CE4"/>
    <w:rsid w:val="009C001E"/>
    <w:rsid w:val="009C2C58"/>
    <w:rsid w:val="009C3801"/>
    <w:rsid w:val="009C4291"/>
    <w:rsid w:val="009C7D6A"/>
    <w:rsid w:val="009D3244"/>
    <w:rsid w:val="009F3AD0"/>
    <w:rsid w:val="00A01C72"/>
    <w:rsid w:val="00A02850"/>
    <w:rsid w:val="00A03C89"/>
    <w:rsid w:val="00A03DC9"/>
    <w:rsid w:val="00A0483F"/>
    <w:rsid w:val="00A136CD"/>
    <w:rsid w:val="00A24751"/>
    <w:rsid w:val="00A320B1"/>
    <w:rsid w:val="00A33695"/>
    <w:rsid w:val="00A4309F"/>
    <w:rsid w:val="00A64421"/>
    <w:rsid w:val="00A72DF3"/>
    <w:rsid w:val="00A7736B"/>
    <w:rsid w:val="00A801A9"/>
    <w:rsid w:val="00A80A02"/>
    <w:rsid w:val="00A85CE0"/>
    <w:rsid w:val="00A86139"/>
    <w:rsid w:val="00A90BDF"/>
    <w:rsid w:val="00AA02BE"/>
    <w:rsid w:val="00AB2F46"/>
    <w:rsid w:val="00AB4E51"/>
    <w:rsid w:val="00AC14E2"/>
    <w:rsid w:val="00AC5975"/>
    <w:rsid w:val="00AC5F45"/>
    <w:rsid w:val="00AD061B"/>
    <w:rsid w:val="00AD4571"/>
    <w:rsid w:val="00AD53BD"/>
    <w:rsid w:val="00AE1CD7"/>
    <w:rsid w:val="00AE610F"/>
    <w:rsid w:val="00AF62BC"/>
    <w:rsid w:val="00AF672F"/>
    <w:rsid w:val="00AF7FA5"/>
    <w:rsid w:val="00B01163"/>
    <w:rsid w:val="00B057CA"/>
    <w:rsid w:val="00B12EA6"/>
    <w:rsid w:val="00B15280"/>
    <w:rsid w:val="00B17100"/>
    <w:rsid w:val="00B264B0"/>
    <w:rsid w:val="00B36BA6"/>
    <w:rsid w:val="00B42FA7"/>
    <w:rsid w:val="00B439B1"/>
    <w:rsid w:val="00B50194"/>
    <w:rsid w:val="00B51F42"/>
    <w:rsid w:val="00B53030"/>
    <w:rsid w:val="00B822A4"/>
    <w:rsid w:val="00B84F65"/>
    <w:rsid w:val="00BA6E03"/>
    <w:rsid w:val="00BB50BB"/>
    <w:rsid w:val="00BB6397"/>
    <w:rsid w:val="00BC068F"/>
    <w:rsid w:val="00BC2C58"/>
    <w:rsid w:val="00BC69F8"/>
    <w:rsid w:val="00BE1311"/>
    <w:rsid w:val="00BE358B"/>
    <w:rsid w:val="00BE6DFE"/>
    <w:rsid w:val="00C029BC"/>
    <w:rsid w:val="00C04D37"/>
    <w:rsid w:val="00C074C4"/>
    <w:rsid w:val="00C12FEB"/>
    <w:rsid w:val="00C25670"/>
    <w:rsid w:val="00C2636B"/>
    <w:rsid w:val="00C277FB"/>
    <w:rsid w:val="00C3194E"/>
    <w:rsid w:val="00C356C8"/>
    <w:rsid w:val="00C367B4"/>
    <w:rsid w:val="00C36B2D"/>
    <w:rsid w:val="00C37371"/>
    <w:rsid w:val="00C40D60"/>
    <w:rsid w:val="00C43A7D"/>
    <w:rsid w:val="00C46DB1"/>
    <w:rsid w:val="00C47BD3"/>
    <w:rsid w:val="00C47E20"/>
    <w:rsid w:val="00C54763"/>
    <w:rsid w:val="00C563A1"/>
    <w:rsid w:val="00C635CF"/>
    <w:rsid w:val="00C707EE"/>
    <w:rsid w:val="00C84BAF"/>
    <w:rsid w:val="00C87CEE"/>
    <w:rsid w:val="00C941FF"/>
    <w:rsid w:val="00C960CE"/>
    <w:rsid w:val="00C973FB"/>
    <w:rsid w:val="00CA2E80"/>
    <w:rsid w:val="00CA61EE"/>
    <w:rsid w:val="00CB484B"/>
    <w:rsid w:val="00CB4E0C"/>
    <w:rsid w:val="00CB5059"/>
    <w:rsid w:val="00CB6C8D"/>
    <w:rsid w:val="00CC6811"/>
    <w:rsid w:val="00CD7ED8"/>
    <w:rsid w:val="00CE5ACF"/>
    <w:rsid w:val="00D02770"/>
    <w:rsid w:val="00D054C0"/>
    <w:rsid w:val="00D06F70"/>
    <w:rsid w:val="00D10700"/>
    <w:rsid w:val="00D14A32"/>
    <w:rsid w:val="00D14E0F"/>
    <w:rsid w:val="00D2018B"/>
    <w:rsid w:val="00D20C67"/>
    <w:rsid w:val="00D2506C"/>
    <w:rsid w:val="00D27F99"/>
    <w:rsid w:val="00D30BE6"/>
    <w:rsid w:val="00D31C7A"/>
    <w:rsid w:val="00D35C30"/>
    <w:rsid w:val="00D36501"/>
    <w:rsid w:val="00D3793D"/>
    <w:rsid w:val="00D4194D"/>
    <w:rsid w:val="00D47551"/>
    <w:rsid w:val="00D51B89"/>
    <w:rsid w:val="00D52FEA"/>
    <w:rsid w:val="00D533DD"/>
    <w:rsid w:val="00D56AF5"/>
    <w:rsid w:val="00D60795"/>
    <w:rsid w:val="00D60F96"/>
    <w:rsid w:val="00D6494A"/>
    <w:rsid w:val="00D64B66"/>
    <w:rsid w:val="00D77799"/>
    <w:rsid w:val="00D8096D"/>
    <w:rsid w:val="00D8369E"/>
    <w:rsid w:val="00D84EB7"/>
    <w:rsid w:val="00D87BAB"/>
    <w:rsid w:val="00D92396"/>
    <w:rsid w:val="00D946DB"/>
    <w:rsid w:val="00DA3B36"/>
    <w:rsid w:val="00DA77E1"/>
    <w:rsid w:val="00DB0F07"/>
    <w:rsid w:val="00DB2DD0"/>
    <w:rsid w:val="00DB40CA"/>
    <w:rsid w:val="00DC2D05"/>
    <w:rsid w:val="00DC40DA"/>
    <w:rsid w:val="00DD1906"/>
    <w:rsid w:val="00DD5FC1"/>
    <w:rsid w:val="00DD72AA"/>
    <w:rsid w:val="00DE0962"/>
    <w:rsid w:val="00DE4EF2"/>
    <w:rsid w:val="00E050F3"/>
    <w:rsid w:val="00E052A9"/>
    <w:rsid w:val="00E07C8E"/>
    <w:rsid w:val="00E11F7B"/>
    <w:rsid w:val="00E143FD"/>
    <w:rsid w:val="00E14AF9"/>
    <w:rsid w:val="00E1696D"/>
    <w:rsid w:val="00E1750A"/>
    <w:rsid w:val="00E27969"/>
    <w:rsid w:val="00E32DA2"/>
    <w:rsid w:val="00E33BF7"/>
    <w:rsid w:val="00E41A58"/>
    <w:rsid w:val="00E45806"/>
    <w:rsid w:val="00E46936"/>
    <w:rsid w:val="00E47CCD"/>
    <w:rsid w:val="00E509EA"/>
    <w:rsid w:val="00E543B2"/>
    <w:rsid w:val="00E54B05"/>
    <w:rsid w:val="00E63DC8"/>
    <w:rsid w:val="00E64CB8"/>
    <w:rsid w:val="00E66040"/>
    <w:rsid w:val="00E75993"/>
    <w:rsid w:val="00E80172"/>
    <w:rsid w:val="00E804CC"/>
    <w:rsid w:val="00E92D43"/>
    <w:rsid w:val="00EA3FEF"/>
    <w:rsid w:val="00EA419C"/>
    <w:rsid w:val="00EB154B"/>
    <w:rsid w:val="00EB5804"/>
    <w:rsid w:val="00EC5046"/>
    <w:rsid w:val="00EC5C43"/>
    <w:rsid w:val="00ED55F7"/>
    <w:rsid w:val="00ED7C8E"/>
    <w:rsid w:val="00EE2205"/>
    <w:rsid w:val="00EF0DA4"/>
    <w:rsid w:val="00F00BAD"/>
    <w:rsid w:val="00F015E6"/>
    <w:rsid w:val="00F0322C"/>
    <w:rsid w:val="00F12EA3"/>
    <w:rsid w:val="00F1455C"/>
    <w:rsid w:val="00F30076"/>
    <w:rsid w:val="00F325B9"/>
    <w:rsid w:val="00F356CE"/>
    <w:rsid w:val="00F423F0"/>
    <w:rsid w:val="00F463F5"/>
    <w:rsid w:val="00F5381F"/>
    <w:rsid w:val="00F5524C"/>
    <w:rsid w:val="00F60F37"/>
    <w:rsid w:val="00F61095"/>
    <w:rsid w:val="00F620A2"/>
    <w:rsid w:val="00F63BA7"/>
    <w:rsid w:val="00F721B3"/>
    <w:rsid w:val="00F770DD"/>
    <w:rsid w:val="00F777C7"/>
    <w:rsid w:val="00F800B6"/>
    <w:rsid w:val="00F84B2D"/>
    <w:rsid w:val="00F93B5F"/>
    <w:rsid w:val="00F94566"/>
    <w:rsid w:val="00FA2ED7"/>
    <w:rsid w:val="00FB199D"/>
    <w:rsid w:val="00FB1C26"/>
    <w:rsid w:val="00FB1D44"/>
    <w:rsid w:val="00FB4960"/>
    <w:rsid w:val="00FB5258"/>
    <w:rsid w:val="00FC07BF"/>
    <w:rsid w:val="00FC371D"/>
    <w:rsid w:val="00FC4D06"/>
    <w:rsid w:val="00FC6BDB"/>
    <w:rsid w:val="00FD7524"/>
    <w:rsid w:val="00FE4AE0"/>
    <w:rsid w:val="00FE4D22"/>
    <w:rsid w:val="00FE4DA7"/>
    <w:rsid w:val="00FF480E"/>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7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1" w:qFormat="1"/>
    <w:lsdException w:name="heading 6" w:uiPriority="0"/>
    <w:lsdException w:name="heading 7" w:uiPriority="0"/>
    <w:lsdException w:name="heading 8" w:uiPriority="0"/>
    <w:lsdException w:name="heading 9"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nhideWhenUsed="0" w:qFormat="1"/>
    <w:lsdException w:name="Quote" w:semiHidden="0"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Standard">
    <w:name w:val="Normal"/>
    <w:qFormat/>
    <w:rsid w:val="00884FEB"/>
    <w:pPr>
      <w:spacing w:before="120" w:after="120"/>
      <w:jc w:val="both"/>
    </w:pPr>
    <w:rPr>
      <w:rFonts w:ascii="Verdana" w:eastAsia="Times New Roman" w:hAnsi="Verdana"/>
      <w:szCs w:val="24"/>
      <w:lang w:val="en-GB" w:eastAsia="en-US"/>
    </w:rPr>
  </w:style>
  <w:style w:type="paragraph" w:styleId="berschrift1">
    <w:name w:val="heading 1"/>
    <w:basedOn w:val="Standard"/>
    <w:next w:val="Standard"/>
    <w:link w:val="berschrift1Zchn"/>
    <w:autoRedefine/>
    <w:qFormat/>
    <w:rsid w:val="005A6305"/>
    <w:pPr>
      <w:keepNext/>
      <w:autoSpaceDE w:val="0"/>
      <w:autoSpaceDN w:val="0"/>
      <w:adjustRightInd w:val="0"/>
      <w:spacing w:before="0" w:after="0"/>
      <w:jc w:val="left"/>
      <w:outlineLvl w:val="0"/>
    </w:pPr>
    <w:rPr>
      <w:b/>
      <w:szCs w:val="20"/>
      <w:u w:val="single"/>
    </w:rPr>
  </w:style>
  <w:style w:type="paragraph" w:styleId="berschrift2">
    <w:name w:val="heading 2"/>
    <w:basedOn w:val="Standard"/>
    <w:next w:val="Standard"/>
    <w:link w:val="berschrift2Zchn"/>
    <w:autoRedefine/>
    <w:uiPriority w:val="99"/>
    <w:qFormat/>
    <w:rsid w:val="001E5A75"/>
    <w:pPr>
      <w:keepNext/>
      <w:spacing w:before="240"/>
      <w:outlineLvl w:val="1"/>
    </w:pPr>
    <w:rPr>
      <w:b/>
      <w:sz w:val="24"/>
    </w:rPr>
  </w:style>
  <w:style w:type="paragraph" w:styleId="berschrift3">
    <w:name w:val="heading 3"/>
    <w:basedOn w:val="Standard"/>
    <w:next w:val="Standard"/>
    <w:link w:val="berschrift3Zchn"/>
    <w:autoRedefine/>
    <w:uiPriority w:val="99"/>
    <w:qFormat/>
    <w:rsid w:val="001E5A75"/>
    <w:pPr>
      <w:keepNext/>
      <w:spacing w:before="180"/>
      <w:outlineLvl w:val="2"/>
    </w:pPr>
    <w:rPr>
      <w:b/>
    </w:rPr>
  </w:style>
  <w:style w:type="paragraph" w:styleId="berschrift4">
    <w:name w:val="heading 4"/>
    <w:basedOn w:val="Standard"/>
    <w:next w:val="Standard"/>
    <w:link w:val="berschrift4Zchn"/>
    <w:autoRedefine/>
    <w:uiPriority w:val="99"/>
    <w:qFormat/>
    <w:rsid w:val="00DE0962"/>
    <w:pPr>
      <w:keepNext/>
      <w:numPr>
        <w:numId w:val="37"/>
      </w:numPr>
      <w:spacing w:before="160"/>
      <w:outlineLvl w:val="3"/>
    </w:pPr>
    <w:rPr>
      <w:b/>
      <w:u w:val="single"/>
    </w:rPr>
  </w:style>
  <w:style w:type="paragraph" w:styleId="berschrift5">
    <w:name w:val="heading 5"/>
    <w:basedOn w:val="Standard"/>
    <w:next w:val="Standard"/>
    <w:link w:val="berschrift5Zchn"/>
    <w:autoRedefine/>
    <w:uiPriority w:val="1"/>
    <w:qFormat/>
    <w:rsid w:val="001E5A75"/>
    <w:pPr>
      <w:keepNext/>
      <w:spacing w:before="140"/>
      <w:outlineLvl w:val="4"/>
    </w:pPr>
    <w:rPr>
      <w:b/>
      <w:i/>
    </w:rPr>
  </w:style>
  <w:style w:type="paragraph" w:styleId="berschrift6">
    <w:name w:val="heading 6"/>
    <w:basedOn w:val="Standard"/>
    <w:next w:val="Standard"/>
    <w:link w:val="berschrift6Zchn"/>
    <w:semiHidden/>
    <w:unhideWhenUsed/>
    <w:rsid w:val="001E5A75"/>
    <w:pPr>
      <w:spacing w:before="240" w:after="60"/>
      <w:outlineLvl w:val="5"/>
    </w:pPr>
    <w:rPr>
      <w:rFonts w:ascii="Times New Roman" w:hAnsi="Times New Roman"/>
      <w:b/>
      <w:bCs/>
      <w:szCs w:val="22"/>
    </w:rPr>
  </w:style>
  <w:style w:type="paragraph" w:styleId="berschrift7">
    <w:name w:val="heading 7"/>
    <w:basedOn w:val="Standard"/>
    <w:next w:val="Standard"/>
    <w:link w:val="berschrift7Zchn"/>
    <w:semiHidden/>
    <w:unhideWhenUsed/>
    <w:rsid w:val="001E5A75"/>
    <w:pPr>
      <w:spacing w:before="240" w:after="60"/>
      <w:outlineLvl w:val="6"/>
    </w:pPr>
    <w:rPr>
      <w:rFonts w:ascii="Times New Roman" w:hAnsi="Times New Roman"/>
      <w:sz w:val="24"/>
    </w:rPr>
  </w:style>
  <w:style w:type="paragraph" w:styleId="berschrift8">
    <w:name w:val="heading 8"/>
    <w:basedOn w:val="Standard"/>
    <w:next w:val="Standard"/>
    <w:link w:val="berschrift8Zchn"/>
    <w:semiHidden/>
    <w:unhideWhenUsed/>
    <w:rsid w:val="001E5A75"/>
    <w:pPr>
      <w:spacing w:before="240" w:after="60"/>
      <w:outlineLvl w:val="7"/>
    </w:pPr>
    <w:rPr>
      <w:rFonts w:ascii="Times New Roman" w:hAnsi="Times New Roman"/>
      <w:i/>
      <w:iCs/>
      <w:sz w:val="24"/>
    </w:rPr>
  </w:style>
  <w:style w:type="paragraph" w:styleId="berschrift9">
    <w:name w:val="heading 9"/>
    <w:basedOn w:val="Standard"/>
    <w:next w:val="Standard"/>
    <w:link w:val="berschrift9Zchn"/>
    <w:semiHidden/>
    <w:unhideWhenUsed/>
    <w:rsid w:val="001E5A75"/>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5A6305"/>
    <w:rPr>
      <w:rFonts w:ascii="Verdana" w:eastAsia="Times New Roman" w:hAnsi="Verdana" w:cs="Times New Roman"/>
      <w:b/>
      <w:sz w:val="20"/>
      <w:szCs w:val="20"/>
      <w:u w:val="single"/>
      <w:lang w:val="en-GB"/>
    </w:rPr>
  </w:style>
  <w:style w:type="paragraph" w:styleId="Abbildungsverzeichnis">
    <w:name w:val="table of figures"/>
    <w:basedOn w:val="Standard"/>
    <w:next w:val="Standard"/>
    <w:semiHidden/>
    <w:rsid w:val="001E5A75"/>
    <w:pPr>
      <w:ind w:left="440" w:hanging="440"/>
    </w:pPr>
  </w:style>
  <w:style w:type="paragraph" w:customStyle="1" w:styleId="Aufzhlungszeichen1">
    <w:name w:val="Aufzählungszeichen1"/>
    <w:basedOn w:val="Standard"/>
    <w:uiPriority w:val="1"/>
    <w:qFormat/>
    <w:rsid w:val="001E5A75"/>
    <w:pPr>
      <w:numPr>
        <w:numId w:val="1"/>
      </w:numPr>
      <w:spacing w:line="240" w:lineRule="exact"/>
    </w:pPr>
  </w:style>
  <w:style w:type="paragraph" w:customStyle="1" w:styleId="Aufzhlungszeichen2">
    <w:name w:val="Aufzählungszeichen2"/>
    <w:basedOn w:val="Standard"/>
    <w:uiPriority w:val="1"/>
    <w:qFormat/>
    <w:rsid w:val="001E5A75"/>
    <w:pPr>
      <w:numPr>
        <w:numId w:val="2"/>
      </w:numPr>
      <w:spacing w:line="240" w:lineRule="exact"/>
    </w:pPr>
  </w:style>
  <w:style w:type="paragraph" w:customStyle="1" w:styleId="Aufzhlungszeichen3">
    <w:name w:val="Aufzählungszeichen3"/>
    <w:basedOn w:val="Standard"/>
    <w:uiPriority w:val="1"/>
    <w:qFormat/>
    <w:rsid w:val="001E5A75"/>
    <w:pPr>
      <w:numPr>
        <w:numId w:val="3"/>
      </w:numPr>
      <w:spacing w:line="240" w:lineRule="exact"/>
    </w:pPr>
  </w:style>
  <w:style w:type="paragraph" w:customStyle="1" w:styleId="Aufzhlungszeichen4">
    <w:name w:val="Aufzählungszeichen4"/>
    <w:basedOn w:val="Standard"/>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unotentext">
    <w:name w:val="footnote text"/>
    <w:basedOn w:val="Standard"/>
    <w:link w:val="FunotentextZchn"/>
    <w:rsid w:val="00C2636B"/>
    <w:pPr>
      <w:spacing w:line="180" w:lineRule="exact"/>
      <w:ind w:left="142" w:hanging="142"/>
    </w:pPr>
    <w:rPr>
      <w:sz w:val="16"/>
      <w:szCs w:val="16"/>
    </w:rPr>
  </w:style>
  <w:style w:type="character" w:customStyle="1" w:styleId="FunotentextZchn">
    <w:name w:val="Fußnotentext Zchn"/>
    <w:basedOn w:val="Absatz-Standardschriftart"/>
    <w:link w:val="Funotentext"/>
    <w:rsid w:val="00C2636B"/>
    <w:rPr>
      <w:rFonts w:ascii="Arial" w:hAnsi="Arial"/>
      <w:sz w:val="16"/>
      <w:szCs w:val="16"/>
      <w:lang w:eastAsia="de-DE"/>
    </w:rPr>
  </w:style>
  <w:style w:type="character" w:styleId="Funotenzeichen">
    <w:name w:val="footnote reference"/>
    <w:basedOn w:val="Absatz-Standardschriftart"/>
    <w:rsid w:val="001E5A75"/>
    <w:rPr>
      <w:rFonts w:ascii="Arial" w:hAnsi="Arial"/>
      <w:dstrike w:val="0"/>
      <w:kern w:val="0"/>
      <w:position w:val="4"/>
      <w:sz w:val="12"/>
      <w:szCs w:val="12"/>
      <w:vertAlign w:val="baseline"/>
    </w:rPr>
  </w:style>
  <w:style w:type="paragraph" w:styleId="Fuzeile">
    <w:name w:val="footer"/>
    <w:basedOn w:val="Standard"/>
    <w:link w:val="FuzeileZchn"/>
    <w:uiPriority w:val="99"/>
    <w:rsid w:val="001E5A75"/>
    <w:pPr>
      <w:tabs>
        <w:tab w:val="center" w:pos="4536"/>
        <w:tab w:val="right" w:pos="9072"/>
      </w:tabs>
    </w:pPr>
    <w:rPr>
      <w:szCs w:val="14"/>
    </w:rPr>
  </w:style>
  <w:style w:type="character" w:customStyle="1" w:styleId="FuzeileZchn">
    <w:name w:val="Fußzeile Zchn"/>
    <w:basedOn w:val="Absatz-Standardschriftart"/>
    <w:link w:val="Fuzeile"/>
    <w:uiPriority w:val="99"/>
    <w:rsid w:val="001E5A75"/>
    <w:rPr>
      <w:rFonts w:ascii="Arial" w:hAnsi="Arial"/>
      <w:szCs w:val="14"/>
      <w:lang w:eastAsia="de-DE"/>
    </w:rPr>
  </w:style>
  <w:style w:type="paragraph" w:customStyle="1" w:styleId="GliederungmitAufzhlung">
    <w:name w:val="Gliederung mit Aufzählung"/>
    <w:basedOn w:val="Standard"/>
    <w:uiPriority w:val="1"/>
    <w:qFormat/>
    <w:rsid w:val="001E5A75"/>
    <w:pPr>
      <w:numPr>
        <w:numId w:val="7"/>
      </w:numPr>
      <w:spacing w:line="312" w:lineRule="auto"/>
    </w:pPr>
  </w:style>
  <w:style w:type="paragraph" w:customStyle="1" w:styleId="GliederungmitNummerierung">
    <w:name w:val="Gliederung mit Nummerierung"/>
    <w:basedOn w:val="Standard"/>
    <w:uiPriority w:val="1"/>
    <w:qFormat/>
    <w:rsid w:val="001E5A75"/>
    <w:pPr>
      <w:numPr>
        <w:numId w:val="8"/>
      </w:numPr>
      <w:spacing w:line="312" w:lineRule="auto"/>
    </w:pPr>
  </w:style>
  <w:style w:type="paragraph" w:customStyle="1" w:styleId="HngEinrckung1">
    <w:name w:val="Häng. Einrückung1"/>
    <w:basedOn w:val="Standard"/>
    <w:uiPriority w:val="1"/>
    <w:qFormat/>
    <w:rsid w:val="001E5A75"/>
    <w:pPr>
      <w:spacing w:line="312" w:lineRule="auto"/>
      <w:ind w:left="567" w:hanging="567"/>
    </w:pPr>
  </w:style>
  <w:style w:type="paragraph" w:customStyle="1" w:styleId="HngEinrckung2">
    <w:name w:val="Häng. Einrückung2"/>
    <w:basedOn w:val="Standard"/>
    <w:uiPriority w:val="1"/>
    <w:qFormat/>
    <w:rsid w:val="001E5A75"/>
    <w:pPr>
      <w:spacing w:line="312" w:lineRule="auto"/>
      <w:ind w:left="1134" w:hanging="567"/>
    </w:pPr>
  </w:style>
  <w:style w:type="paragraph" w:customStyle="1" w:styleId="HngEinrckung3">
    <w:name w:val="Häng. Einrückung3"/>
    <w:basedOn w:val="Standard"/>
    <w:uiPriority w:val="1"/>
    <w:qFormat/>
    <w:rsid w:val="001E5A75"/>
    <w:pPr>
      <w:spacing w:line="312" w:lineRule="auto"/>
      <w:ind w:left="1701" w:hanging="567"/>
    </w:pPr>
  </w:style>
  <w:style w:type="character" w:styleId="Hyperlink">
    <w:name w:val="Hyperlink"/>
    <w:basedOn w:val="Absatz-Standardschriftart"/>
    <w:uiPriority w:val="99"/>
    <w:rsid w:val="001E5A75"/>
    <w:rPr>
      <w:color w:val="0000FF"/>
      <w:u w:val="single"/>
    </w:rPr>
  </w:style>
  <w:style w:type="paragraph" w:styleId="Kopfzeile">
    <w:name w:val="header"/>
    <w:basedOn w:val="Standard"/>
    <w:link w:val="KopfzeileZchn"/>
    <w:uiPriority w:val="99"/>
    <w:rsid w:val="001E5A75"/>
    <w:pPr>
      <w:tabs>
        <w:tab w:val="center" w:pos="4536"/>
        <w:tab w:val="right" w:pos="9072"/>
      </w:tabs>
    </w:pPr>
  </w:style>
  <w:style w:type="character" w:customStyle="1" w:styleId="KopfzeileZchn">
    <w:name w:val="Kopfzeile Zchn"/>
    <w:basedOn w:val="Absatz-Standardschriftart"/>
    <w:link w:val="Kopfzeile"/>
    <w:uiPriority w:val="99"/>
    <w:rsid w:val="001E5A75"/>
    <w:rPr>
      <w:rFonts w:ascii="Arial" w:hAnsi="Arial"/>
      <w:szCs w:val="20"/>
      <w:lang w:eastAsia="de-DE"/>
    </w:rPr>
  </w:style>
  <w:style w:type="paragraph" w:customStyle="1" w:styleId="Marginalspalte">
    <w:name w:val="Marginalspalte"/>
    <w:basedOn w:val="Standard"/>
    <w:uiPriority w:val="1"/>
    <w:qFormat/>
    <w:rsid w:val="001E5A75"/>
    <w:pPr>
      <w:framePr w:w="851" w:h="851" w:hSpace="284" w:wrap="around" w:vAnchor="text" w:hAnchor="page" w:y="1"/>
    </w:pPr>
    <w:rPr>
      <w:i/>
      <w:szCs w:val="22"/>
    </w:rPr>
  </w:style>
  <w:style w:type="paragraph" w:customStyle="1" w:styleId="Nummerierungsart1">
    <w:name w:val="Nummerierungsart1"/>
    <w:basedOn w:val="Standard"/>
    <w:uiPriority w:val="1"/>
    <w:qFormat/>
    <w:rsid w:val="001E5A75"/>
    <w:pPr>
      <w:numPr>
        <w:numId w:val="9"/>
      </w:numPr>
    </w:pPr>
  </w:style>
  <w:style w:type="paragraph" w:customStyle="1" w:styleId="Nummerierungsart2">
    <w:name w:val="Nummerierungsart2"/>
    <w:basedOn w:val="Standard"/>
    <w:uiPriority w:val="1"/>
    <w:qFormat/>
    <w:rsid w:val="001E5A75"/>
    <w:pPr>
      <w:numPr>
        <w:numId w:val="10"/>
      </w:numPr>
    </w:pPr>
  </w:style>
  <w:style w:type="paragraph" w:customStyle="1" w:styleId="Nummerierungsart3">
    <w:name w:val="Nummerierungsart3"/>
    <w:basedOn w:val="Standard"/>
    <w:uiPriority w:val="1"/>
    <w:qFormat/>
    <w:rsid w:val="001E5A75"/>
    <w:pPr>
      <w:numPr>
        <w:numId w:val="11"/>
      </w:numPr>
    </w:pPr>
  </w:style>
  <w:style w:type="paragraph" w:customStyle="1" w:styleId="Nummerierungsart4">
    <w:name w:val="Nummerierungsart4"/>
    <w:basedOn w:val="Standard"/>
    <w:uiPriority w:val="1"/>
    <w:qFormat/>
    <w:rsid w:val="001E5A75"/>
    <w:pPr>
      <w:numPr>
        <w:numId w:val="12"/>
      </w:numPr>
    </w:pPr>
  </w:style>
  <w:style w:type="character" w:styleId="Seitenzahl">
    <w:name w:val="page number"/>
    <w:uiPriority w:val="99"/>
    <w:rsid w:val="001E5A75"/>
    <w:rPr>
      <w:rFonts w:ascii="Arial" w:hAnsi="Arial"/>
      <w:sz w:val="22"/>
      <w:szCs w:val="22"/>
    </w:rPr>
  </w:style>
  <w:style w:type="character" w:customStyle="1" w:styleId="berschrift2Zchn">
    <w:name w:val="Überschrift 2 Zchn"/>
    <w:basedOn w:val="Absatz-Standardschriftart"/>
    <w:link w:val="berschrift2"/>
    <w:uiPriority w:val="99"/>
    <w:rsid w:val="00EC5046"/>
    <w:rPr>
      <w:rFonts w:ascii="Verdana" w:eastAsia="Times New Roman" w:hAnsi="Verdana" w:cs="Times New Roman"/>
      <w:b/>
      <w:szCs w:val="24"/>
      <w:u w:val="single"/>
      <w:lang w:val="en-US"/>
    </w:rPr>
  </w:style>
  <w:style w:type="character" w:customStyle="1" w:styleId="berschrift3Zchn">
    <w:name w:val="Überschrift 3 Zchn"/>
    <w:basedOn w:val="Absatz-Standardschriftart"/>
    <w:link w:val="berschrift3"/>
    <w:uiPriority w:val="99"/>
    <w:rsid w:val="001E5A75"/>
    <w:rPr>
      <w:rFonts w:ascii="Arial" w:hAnsi="Arial"/>
      <w:b/>
      <w:szCs w:val="20"/>
      <w:lang w:eastAsia="de-DE"/>
    </w:rPr>
  </w:style>
  <w:style w:type="character" w:customStyle="1" w:styleId="berschrift4Zchn">
    <w:name w:val="Überschrift 4 Zchn"/>
    <w:basedOn w:val="Absatz-Standardschriftart"/>
    <w:link w:val="berschrift4"/>
    <w:uiPriority w:val="99"/>
    <w:rsid w:val="00DE0962"/>
    <w:rPr>
      <w:rFonts w:ascii="Verdana" w:eastAsia="Times New Roman" w:hAnsi="Verdana" w:cs="Times New Roman"/>
      <w:b/>
      <w:sz w:val="20"/>
      <w:szCs w:val="24"/>
      <w:u w:val="single"/>
      <w:lang w:val="en-GB"/>
    </w:rPr>
  </w:style>
  <w:style w:type="character" w:customStyle="1" w:styleId="berschrift5Zchn">
    <w:name w:val="Überschrift 5 Zchn"/>
    <w:basedOn w:val="Absatz-Standardschriftart"/>
    <w:link w:val="berschrift5"/>
    <w:uiPriority w:val="1"/>
    <w:rsid w:val="001E5A75"/>
    <w:rPr>
      <w:rFonts w:ascii="Arial" w:hAnsi="Arial"/>
      <w:b/>
      <w:i/>
      <w:szCs w:val="20"/>
      <w:lang w:eastAsia="de-DE"/>
    </w:rPr>
  </w:style>
  <w:style w:type="character" w:customStyle="1" w:styleId="berschrift6Zchn">
    <w:name w:val="Überschrift 6 Zchn"/>
    <w:basedOn w:val="Absatz-Standardschriftart"/>
    <w:link w:val="berschrift6"/>
    <w:semiHidden/>
    <w:rsid w:val="001E5A75"/>
    <w:rPr>
      <w:rFonts w:ascii="Times New Roman" w:hAnsi="Times New Roman"/>
      <w:b/>
      <w:bCs/>
      <w:lang w:eastAsia="de-DE"/>
    </w:rPr>
  </w:style>
  <w:style w:type="character" w:customStyle="1" w:styleId="berschrift7Zchn">
    <w:name w:val="Überschrift 7 Zchn"/>
    <w:basedOn w:val="Absatz-Standardschriftart"/>
    <w:link w:val="berschrift7"/>
    <w:semiHidden/>
    <w:rsid w:val="001E5A75"/>
    <w:rPr>
      <w:rFonts w:ascii="Times New Roman" w:hAnsi="Times New Roman"/>
      <w:sz w:val="24"/>
      <w:szCs w:val="20"/>
      <w:lang w:eastAsia="de-DE"/>
    </w:rPr>
  </w:style>
  <w:style w:type="character" w:customStyle="1" w:styleId="berschrift8Zchn">
    <w:name w:val="Überschrift 8 Zchn"/>
    <w:basedOn w:val="Absatz-Standardschriftart"/>
    <w:link w:val="berschrift8"/>
    <w:semiHidden/>
    <w:rsid w:val="001E5A75"/>
    <w:rPr>
      <w:rFonts w:ascii="Times New Roman" w:hAnsi="Times New Roman"/>
      <w:i/>
      <w:iCs/>
      <w:sz w:val="24"/>
      <w:szCs w:val="20"/>
      <w:lang w:eastAsia="de-DE"/>
    </w:rPr>
  </w:style>
  <w:style w:type="character" w:customStyle="1" w:styleId="berschrift9Zchn">
    <w:name w:val="Überschrift 9 Zchn"/>
    <w:basedOn w:val="Absatz-Standardschriftart"/>
    <w:link w:val="berschrift9"/>
    <w:semiHidden/>
    <w:rsid w:val="001E5A75"/>
    <w:rPr>
      <w:rFonts w:ascii="Arial" w:hAnsi="Arial" w:cs="Arial"/>
      <w:lang w:eastAsia="de-DE"/>
    </w:rPr>
  </w:style>
  <w:style w:type="paragraph" w:styleId="Verzeichnis1">
    <w:name w:val="toc 1"/>
    <w:basedOn w:val="Standard"/>
    <w:next w:val="Standard"/>
    <w:autoRedefine/>
    <w:uiPriority w:val="39"/>
    <w:qFormat/>
    <w:rsid w:val="001E5A75"/>
    <w:pPr>
      <w:tabs>
        <w:tab w:val="left" w:pos="794"/>
        <w:tab w:val="right" w:leader="dot" w:pos="9071"/>
      </w:tabs>
      <w:ind w:left="794" w:hanging="794"/>
    </w:pPr>
    <w:rPr>
      <w:b/>
      <w:smallCaps/>
      <w:noProof/>
      <w:sz w:val="24"/>
    </w:rPr>
  </w:style>
  <w:style w:type="paragraph" w:styleId="Verzeichnis2">
    <w:name w:val="toc 2"/>
    <w:basedOn w:val="Standard"/>
    <w:next w:val="Standard"/>
    <w:autoRedefine/>
    <w:uiPriority w:val="39"/>
    <w:qFormat/>
    <w:rsid w:val="001E5A75"/>
    <w:pPr>
      <w:tabs>
        <w:tab w:val="left" w:pos="794"/>
        <w:tab w:val="right" w:leader="dot" w:pos="9071"/>
      </w:tabs>
      <w:spacing w:after="60"/>
      <w:ind w:left="794" w:hanging="794"/>
    </w:pPr>
    <w:rPr>
      <w:b/>
      <w:smallCaps/>
      <w:noProof/>
      <w:szCs w:val="22"/>
    </w:rPr>
  </w:style>
  <w:style w:type="paragraph" w:styleId="Verzeichnis3">
    <w:name w:val="toc 3"/>
    <w:basedOn w:val="Standard"/>
    <w:next w:val="Standard"/>
    <w:autoRedefine/>
    <w:uiPriority w:val="39"/>
    <w:qFormat/>
    <w:rsid w:val="001E5A75"/>
    <w:pPr>
      <w:tabs>
        <w:tab w:val="left" w:pos="794"/>
        <w:tab w:val="right" w:leader="dot" w:pos="9072"/>
      </w:tabs>
      <w:spacing w:after="60"/>
      <w:ind w:left="794" w:hanging="794"/>
    </w:pPr>
    <w:rPr>
      <w:smallCaps/>
      <w:noProof/>
    </w:rPr>
  </w:style>
  <w:style w:type="paragraph" w:styleId="Verzeichnis4">
    <w:name w:val="toc 4"/>
    <w:basedOn w:val="Standard"/>
    <w:next w:val="Standard"/>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Verzeichnis5">
    <w:name w:val="toc 5"/>
    <w:basedOn w:val="Standard"/>
    <w:next w:val="Standard"/>
    <w:autoRedefine/>
    <w:uiPriority w:val="39"/>
    <w:rsid w:val="001E5A75"/>
    <w:pPr>
      <w:tabs>
        <w:tab w:val="left" w:pos="794"/>
        <w:tab w:val="right" w:leader="dot" w:pos="9071"/>
      </w:tabs>
      <w:spacing w:after="40"/>
      <w:ind w:left="794" w:hanging="794"/>
    </w:pPr>
    <w:rPr>
      <w:smallCaps/>
      <w:noProof/>
      <w:sz w:val="18"/>
      <w:szCs w:val="18"/>
    </w:rPr>
  </w:style>
  <w:style w:type="paragraph" w:styleId="Verzeichnis6">
    <w:name w:val="toc 6"/>
    <w:basedOn w:val="Standard"/>
    <w:next w:val="Standard"/>
    <w:autoRedefine/>
    <w:uiPriority w:val="39"/>
    <w:rsid w:val="001E5A75"/>
    <w:pPr>
      <w:tabs>
        <w:tab w:val="left" w:pos="2058"/>
        <w:tab w:val="right" w:leader="dot" w:pos="9071"/>
      </w:tabs>
      <w:ind w:left="1134" w:hanging="1134"/>
    </w:pPr>
    <w:rPr>
      <w:noProof/>
      <w:sz w:val="16"/>
    </w:rPr>
  </w:style>
  <w:style w:type="paragraph" w:styleId="Verzeichnis7">
    <w:name w:val="toc 7"/>
    <w:basedOn w:val="Standard"/>
    <w:next w:val="Standard"/>
    <w:autoRedefine/>
    <w:uiPriority w:val="39"/>
    <w:rsid w:val="001E5A75"/>
    <w:pPr>
      <w:tabs>
        <w:tab w:val="right" w:leader="dot" w:pos="9071"/>
      </w:tabs>
      <w:ind w:left="1134" w:hanging="1134"/>
    </w:pPr>
    <w:rPr>
      <w:sz w:val="16"/>
    </w:rPr>
  </w:style>
  <w:style w:type="paragraph" w:styleId="Verzeichnis8">
    <w:name w:val="toc 8"/>
    <w:basedOn w:val="Standard"/>
    <w:next w:val="Standard"/>
    <w:autoRedefine/>
    <w:uiPriority w:val="39"/>
    <w:rsid w:val="001E5A75"/>
    <w:pPr>
      <w:tabs>
        <w:tab w:val="left" w:pos="2758"/>
        <w:tab w:val="right" w:leader="dot" w:pos="9071"/>
      </w:tabs>
      <w:ind w:left="1361" w:hanging="1361"/>
    </w:pPr>
    <w:rPr>
      <w:noProof/>
      <w:sz w:val="16"/>
    </w:rPr>
  </w:style>
  <w:style w:type="paragraph" w:styleId="Verzeichnis9">
    <w:name w:val="toc 9"/>
    <w:basedOn w:val="Standard"/>
    <w:next w:val="Standard"/>
    <w:autoRedefine/>
    <w:uiPriority w:val="39"/>
    <w:rsid w:val="001E5A75"/>
    <w:pPr>
      <w:tabs>
        <w:tab w:val="right" w:leader="dot" w:pos="9071"/>
      </w:tabs>
      <w:ind w:left="1361" w:hanging="1361"/>
    </w:pPr>
    <w:rPr>
      <w:sz w:val="16"/>
    </w:rPr>
  </w:style>
  <w:style w:type="paragraph" w:styleId="Anfhrungszeichen">
    <w:name w:val="Quote"/>
    <w:basedOn w:val="Standard"/>
    <w:next w:val="Standard"/>
    <w:link w:val="AnfhrungszeichenZchn"/>
    <w:uiPriority w:val="29"/>
    <w:semiHidden/>
    <w:rsid w:val="001E5A75"/>
    <w:rPr>
      <w:i/>
      <w:iCs/>
      <w:color w:val="000000"/>
    </w:rPr>
  </w:style>
  <w:style w:type="character" w:customStyle="1" w:styleId="AnfhrungszeichenZchn">
    <w:name w:val="Anführungszeichen Zchn"/>
    <w:basedOn w:val="Absatz-Standardschriftart"/>
    <w:link w:val="Anfhrungszeichen"/>
    <w:uiPriority w:val="29"/>
    <w:semiHidden/>
    <w:rsid w:val="001E5A75"/>
    <w:rPr>
      <w:rFonts w:ascii="Arial" w:hAnsi="Arial"/>
      <w:i/>
      <w:iCs/>
      <w:color w:val="000000"/>
      <w:szCs w:val="20"/>
      <w:lang w:eastAsia="de-DE"/>
    </w:rPr>
  </w:style>
  <w:style w:type="paragraph" w:styleId="Inhaltsverzeichnisberschrift">
    <w:name w:val="TOC Heading"/>
    <w:basedOn w:val="berschrift1"/>
    <w:next w:val="Standard"/>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ntext">
    <w:name w:val="endnote text"/>
    <w:basedOn w:val="Standard"/>
    <w:link w:val="EndnotentextZchn"/>
    <w:uiPriority w:val="1"/>
    <w:rsid w:val="001E5A75"/>
    <w:pPr>
      <w:spacing w:line="180" w:lineRule="exact"/>
      <w:ind w:left="142" w:hanging="142"/>
    </w:pPr>
    <w:rPr>
      <w:sz w:val="16"/>
    </w:rPr>
  </w:style>
  <w:style w:type="character" w:customStyle="1" w:styleId="EndnotentextZchn">
    <w:name w:val="Endnotentext Zchn"/>
    <w:basedOn w:val="Absatz-Standardschriftart"/>
    <w:link w:val="Endnotentext"/>
    <w:uiPriority w:val="1"/>
    <w:rsid w:val="001E5A75"/>
    <w:rPr>
      <w:rFonts w:ascii="Arial" w:hAnsi="Arial"/>
      <w:sz w:val="16"/>
      <w:szCs w:val="20"/>
      <w:lang w:eastAsia="de-DE"/>
    </w:rPr>
  </w:style>
  <w:style w:type="character" w:styleId="Endnotenzeichen">
    <w:name w:val="endnote reference"/>
    <w:basedOn w:val="Absatz-Standardschriftart"/>
    <w:uiPriority w:val="1"/>
    <w:rsid w:val="001E5A75"/>
    <w:rPr>
      <w:rFonts w:ascii="Arial" w:hAnsi="Arial"/>
      <w:color w:val="auto"/>
      <w:position w:val="4"/>
      <w:sz w:val="12"/>
      <w:vertAlign w:val="baseline"/>
    </w:rPr>
  </w:style>
  <w:style w:type="character" w:customStyle="1" w:styleId="Heading3Char">
    <w:name w:val="Heading 3 Char"/>
    <w:basedOn w:val="Absatz-Standardschriftart"/>
    <w:uiPriority w:val="99"/>
    <w:locked/>
    <w:rsid w:val="00884FEB"/>
    <w:rPr>
      <w:rFonts w:cs="Times New Roman"/>
      <w:sz w:val="24"/>
      <w:szCs w:val="24"/>
      <w:lang w:val="en-US" w:eastAsia="en-US"/>
    </w:rPr>
  </w:style>
  <w:style w:type="paragraph" w:customStyle="1" w:styleId="Ballontekst">
    <w:name w:val="Ballontekst"/>
    <w:basedOn w:val="Standard"/>
    <w:uiPriority w:val="99"/>
    <w:semiHidden/>
    <w:rsid w:val="00884FEB"/>
    <w:rPr>
      <w:rFonts w:ascii="Tahoma" w:hAnsi="Tahoma" w:cs="Tahoma"/>
      <w:sz w:val="16"/>
      <w:szCs w:val="16"/>
    </w:rPr>
  </w:style>
  <w:style w:type="character" w:styleId="Kommentarzeichen">
    <w:name w:val="annotation reference"/>
    <w:basedOn w:val="Absatz-Standardschriftart"/>
    <w:uiPriority w:val="99"/>
    <w:rsid w:val="00884FEB"/>
    <w:rPr>
      <w:rFonts w:cs="Times New Roman"/>
      <w:sz w:val="16"/>
      <w:szCs w:val="16"/>
    </w:rPr>
  </w:style>
  <w:style w:type="paragraph" w:styleId="Kommentartext">
    <w:name w:val="annotation text"/>
    <w:basedOn w:val="Standard"/>
    <w:link w:val="KommentartextZchn"/>
    <w:uiPriority w:val="99"/>
    <w:rsid w:val="00884FEB"/>
    <w:rPr>
      <w:szCs w:val="20"/>
    </w:rPr>
  </w:style>
  <w:style w:type="character" w:customStyle="1" w:styleId="KommentartextZchn">
    <w:name w:val="Kommentartext Zchn"/>
    <w:basedOn w:val="Absatz-Standardschriftart"/>
    <w:link w:val="Kommentartext"/>
    <w:uiPriority w:val="99"/>
    <w:rsid w:val="00884FEB"/>
    <w:rPr>
      <w:rFonts w:ascii="Verdana" w:eastAsia="Times New Roman" w:hAnsi="Verdana" w:cs="Times New Roman"/>
      <w:sz w:val="20"/>
      <w:szCs w:val="20"/>
      <w:lang w:val="en-US"/>
    </w:rPr>
  </w:style>
  <w:style w:type="paragraph" w:customStyle="1" w:styleId="Onderwerpvanopmerking">
    <w:name w:val="Onderwerp van opmerking"/>
    <w:basedOn w:val="Kommentartext"/>
    <w:next w:val="Kommentartext"/>
    <w:uiPriority w:val="99"/>
    <w:semiHidden/>
    <w:rsid w:val="00884FEB"/>
    <w:rPr>
      <w:b/>
      <w:bCs/>
    </w:rPr>
  </w:style>
  <w:style w:type="character" w:styleId="BesuchterHyperlink">
    <w:name w:val="FollowedHyperlink"/>
    <w:basedOn w:val="Absatz-Standardschriftart"/>
    <w:uiPriority w:val="99"/>
    <w:rsid w:val="00884FEB"/>
    <w:rPr>
      <w:rFonts w:cs="Times New Roman"/>
      <w:color w:val="606420"/>
      <w:u w:val="single"/>
    </w:rPr>
  </w:style>
  <w:style w:type="paragraph" w:styleId="Sprechblasentext">
    <w:name w:val="Balloon Text"/>
    <w:basedOn w:val="Standard"/>
    <w:link w:val="SprechblasentextZchn"/>
    <w:uiPriority w:val="99"/>
    <w:rsid w:val="00884FEB"/>
    <w:rPr>
      <w:rFonts w:ascii="Tahoma" w:hAnsi="Tahoma" w:cs="Tahoma"/>
      <w:sz w:val="16"/>
      <w:szCs w:val="16"/>
    </w:rPr>
  </w:style>
  <w:style w:type="character" w:customStyle="1" w:styleId="SprechblasentextZchn">
    <w:name w:val="Sprechblasentext Zchn"/>
    <w:basedOn w:val="Absatz-Standardschriftart"/>
    <w:link w:val="Sprechblasentext"/>
    <w:uiPriority w:val="99"/>
    <w:rsid w:val="00884FEB"/>
    <w:rPr>
      <w:rFonts w:ascii="Tahoma" w:eastAsia="Times New Roman" w:hAnsi="Tahoma" w:cs="Tahoma"/>
      <w:sz w:val="16"/>
      <w:szCs w:val="16"/>
      <w:lang w:val="en-US"/>
    </w:rPr>
  </w:style>
  <w:style w:type="paragraph" w:styleId="Kommentarthema">
    <w:name w:val="annotation subject"/>
    <w:basedOn w:val="Kommentartext"/>
    <w:next w:val="Kommentartext"/>
    <w:link w:val="KommentarthemaZchn"/>
    <w:uiPriority w:val="99"/>
    <w:rsid w:val="00884FEB"/>
    <w:rPr>
      <w:b/>
      <w:bCs/>
    </w:rPr>
  </w:style>
  <w:style w:type="character" w:customStyle="1" w:styleId="KommentarthemaZchn">
    <w:name w:val="Kommentarthema Zchn"/>
    <w:basedOn w:val="KommentartextZchn"/>
    <w:link w:val="Kommentarthema"/>
    <w:uiPriority w:val="99"/>
    <w:rsid w:val="00884FEB"/>
    <w:rPr>
      <w:b/>
      <w:bCs/>
    </w:rPr>
  </w:style>
  <w:style w:type="table" w:styleId="Tabellengitternetz">
    <w:name w:val="Table Grid"/>
    <w:aliases w:val="Tabla CUADROS"/>
    <w:basedOn w:val="NormaleTabelle"/>
    <w:uiPriority w:val="59"/>
    <w:rsid w:val="00884FEB"/>
    <w:rPr>
      <w:rFonts w:ascii="Times New Roman" w:eastAsia="Times New Roman" w:hAnsi="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vorlageberschrift4">
    <w:name w:val="Formatvorlage Überschrift 4"/>
    <w:basedOn w:val="berschrift4"/>
    <w:link w:val="Formatvorlageberschrift4Char"/>
    <w:uiPriority w:val="99"/>
    <w:rsid w:val="00884FEB"/>
    <w:pPr>
      <w:spacing w:before="240" w:after="60"/>
    </w:pPr>
    <w:rPr>
      <w:iCs/>
      <w:szCs w:val="28"/>
    </w:rPr>
  </w:style>
  <w:style w:type="character" w:customStyle="1" w:styleId="Formatvorlageberschrift4Char">
    <w:name w:val="Formatvorlage Überschrift 4 Char"/>
    <w:basedOn w:val="berschrift4Zchn"/>
    <w:link w:val="Formatvorlageberschrift4"/>
    <w:uiPriority w:val="99"/>
    <w:locked/>
    <w:rsid w:val="00884FEB"/>
    <w:rPr>
      <w:iCs/>
      <w:szCs w:val="28"/>
    </w:rPr>
  </w:style>
  <w:style w:type="paragraph" w:customStyle="1" w:styleId="Instructionsberschrift1">
    <w:name w:val="Instructions Überschrift 1"/>
    <w:basedOn w:val="berschrift1"/>
    <w:rsid w:val="00884FEB"/>
    <w:pPr>
      <w:tabs>
        <w:tab w:val="num" w:pos="540"/>
      </w:tabs>
      <w:spacing w:before="240"/>
      <w:ind w:left="540" w:hanging="540"/>
    </w:pPr>
    <w:rPr>
      <w:b w:val="0"/>
      <w:kern w:val="32"/>
    </w:rPr>
  </w:style>
  <w:style w:type="paragraph" w:customStyle="1" w:styleId="Instructionsberschrift2">
    <w:name w:val="Instructions Überschrift 2"/>
    <w:basedOn w:val="berschrift2"/>
    <w:rsid w:val="008C122C"/>
    <w:pPr>
      <w:numPr>
        <w:numId w:val="27"/>
      </w:numPr>
      <w:spacing w:after="240"/>
    </w:pPr>
    <w:rPr>
      <w:rFonts w:cs="Arial"/>
      <w:b w:val="0"/>
      <w:sz w:val="20"/>
      <w:u w:val="single"/>
    </w:rPr>
  </w:style>
  <w:style w:type="paragraph" w:customStyle="1" w:styleId="Instructionsberschrift3">
    <w:name w:val="Instructions Überschrift 3"/>
    <w:basedOn w:val="berschrift3"/>
    <w:link w:val="Instructionsberschrift3Zchn"/>
    <w:rsid w:val="006746DB"/>
    <w:pPr>
      <w:numPr>
        <w:numId w:val="28"/>
      </w:numPr>
      <w:spacing w:before="240" w:after="60" w:line="360" w:lineRule="auto"/>
    </w:pPr>
    <w:rPr>
      <w:rFonts w:cs="Arial"/>
      <w:b w:val="0"/>
      <w:szCs w:val="26"/>
      <w:u w:val="single"/>
    </w:rPr>
  </w:style>
  <w:style w:type="character" w:customStyle="1" w:styleId="Instructionsberschrift3Zchn">
    <w:name w:val="Instructions Überschrift 3 Zchn"/>
    <w:basedOn w:val="berschrift3Zchn"/>
    <w:link w:val="Instructionsberschrift3"/>
    <w:locked/>
    <w:rsid w:val="006746DB"/>
    <w:rPr>
      <w:rFonts w:ascii="Verdana" w:eastAsia="Times New Roman" w:hAnsi="Verdana" w:cs="Arial"/>
      <w:sz w:val="20"/>
      <w:szCs w:val="26"/>
      <w:u w:val="single"/>
      <w:lang w:val="en-GB"/>
    </w:rPr>
  </w:style>
  <w:style w:type="paragraph" w:customStyle="1" w:styleId="Instructionsberschrift4">
    <w:name w:val="Instructions Überschrift 4"/>
    <w:basedOn w:val="berschrift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Standard"/>
    <w:link w:val="InstructionsTextChar"/>
    <w:autoRedefine/>
    <w:rsid w:val="002F39A7"/>
    <w:pPr>
      <w:spacing w:before="0" w:after="0"/>
      <w:ind w:left="33"/>
    </w:pPr>
    <w:rPr>
      <w:rFonts w:ascii="Times New Roman" w:hAnsi="Times New Roman"/>
      <w:szCs w:val="17"/>
      <w:lang w:eastAsia="de-DE"/>
    </w:rPr>
  </w:style>
  <w:style w:type="character" w:customStyle="1" w:styleId="Instructionsberschrift4Char">
    <w:name w:val="Instructions Überschrift 4 Char"/>
    <w:basedOn w:val="berschrift4Zchn"/>
    <w:link w:val="Instructionsberschrift4"/>
    <w:uiPriority w:val="99"/>
    <w:locked/>
    <w:rsid w:val="00884FEB"/>
    <w:rPr>
      <w:bCs/>
    </w:rPr>
  </w:style>
  <w:style w:type="character" w:customStyle="1" w:styleId="InstructionsTabelleberschrift">
    <w:name w:val="Instructions Tabelle Überschrift"/>
    <w:basedOn w:val="Absatz-Standardschriftart"/>
    <w:qFormat/>
    <w:rsid w:val="00884FEB"/>
    <w:rPr>
      <w:rFonts w:ascii="Verdana" w:hAnsi="Verdana" w:cs="Times New Roman"/>
      <w:b/>
      <w:bCs/>
      <w:sz w:val="20"/>
      <w:u w:val="single"/>
    </w:rPr>
  </w:style>
  <w:style w:type="character" w:customStyle="1" w:styleId="InstructionsTabelleText">
    <w:name w:val="Instructions Tabelle Text"/>
    <w:basedOn w:val="Absatz-Standardschriftart"/>
    <w:rsid w:val="00884FEB"/>
    <w:rPr>
      <w:rFonts w:ascii="Verdana" w:hAnsi="Verdana" w:cs="Times New Roman"/>
      <w:sz w:val="20"/>
    </w:rPr>
  </w:style>
  <w:style w:type="character" w:customStyle="1" w:styleId="FormatvorlageInstructionsTabelleText">
    <w:name w:val="Formatvorlage Instructions Tabelle Text"/>
    <w:basedOn w:val="Absatz-Standardschriftar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Standard"/>
    <w:uiPriority w:val="99"/>
    <w:rsid w:val="00884FEB"/>
    <w:pPr>
      <w:spacing w:after="0"/>
      <w:ind w:left="567"/>
    </w:pPr>
    <w:rPr>
      <w:sz w:val="22"/>
      <w:szCs w:val="20"/>
      <w:lang w:eastAsia="fr-FR"/>
    </w:rPr>
  </w:style>
  <w:style w:type="paragraph" w:customStyle="1" w:styleId="Prrafodelista1">
    <w:name w:val="Párrafo de lista1"/>
    <w:basedOn w:val="Standard"/>
    <w:uiPriority w:val="99"/>
    <w:rsid w:val="00884FEB"/>
    <w:pPr>
      <w:ind w:left="720"/>
    </w:pPr>
  </w:style>
  <w:style w:type="paragraph" w:customStyle="1" w:styleId="Prrafodelista2">
    <w:name w:val="Párrafo de lista2"/>
    <w:basedOn w:val="Standard"/>
    <w:uiPriority w:val="99"/>
    <w:rsid w:val="00884FEB"/>
    <w:pPr>
      <w:ind w:left="708"/>
    </w:pPr>
  </w:style>
  <w:style w:type="paragraph" w:styleId="NurText">
    <w:name w:val="Plain Text"/>
    <w:basedOn w:val="Standard"/>
    <w:link w:val="NurTextZchn"/>
    <w:uiPriority w:val="99"/>
    <w:rsid w:val="00884FEB"/>
    <w:pPr>
      <w:spacing w:before="0" w:after="0"/>
      <w:jc w:val="left"/>
    </w:pPr>
    <w:rPr>
      <w:szCs w:val="20"/>
      <w:lang w:val="es-ES_tradnl" w:eastAsia="es-ES_tradnl"/>
    </w:rPr>
  </w:style>
  <w:style w:type="character" w:customStyle="1" w:styleId="NurTextZchn">
    <w:name w:val="Nur Text Zchn"/>
    <w:basedOn w:val="Absatz-Standardschriftart"/>
    <w:link w:val="NurText"/>
    <w:uiPriority w:val="99"/>
    <w:rsid w:val="00884FEB"/>
    <w:rPr>
      <w:rFonts w:ascii="Verdana" w:eastAsia="Times New Roman" w:hAnsi="Verdana" w:cs="Times New Roman"/>
      <w:sz w:val="20"/>
      <w:szCs w:val="20"/>
      <w:lang w:val="es-ES_tradnl" w:eastAsia="es-ES_tradnl"/>
    </w:rPr>
  </w:style>
  <w:style w:type="paragraph" w:customStyle="1" w:styleId="Listenabsatz1">
    <w:name w:val="Listenabsatz1"/>
    <w:basedOn w:val="Standard"/>
    <w:uiPriority w:val="99"/>
    <w:rsid w:val="00884FEB"/>
    <w:pPr>
      <w:ind w:left="708"/>
    </w:pPr>
  </w:style>
  <w:style w:type="character" w:customStyle="1" w:styleId="InstructionsTextChar">
    <w:name w:val="Instructions Text Char"/>
    <w:basedOn w:val="Absatz-Standardschriftart"/>
    <w:link w:val="InstructionsText"/>
    <w:locked/>
    <w:rsid w:val="002F39A7"/>
    <w:rPr>
      <w:rFonts w:ascii="Times New Roman" w:eastAsia="Times New Roman" w:hAnsi="Times New Roman" w:cs="Times New Roman"/>
      <w:sz w:val="20"/>
      <w:szCs w:val="17"/>
      <w:lang w:val="en-GB" w:eastAsia="de-DE"/>
    </w:rPr>
  </w:style>
  <w:style w:type="paragraph" w:styleId="berarbeitung">
    <w:name w:val="Revision"/>
    <w:hidden/>
    <w:uiPriority w:val="99"/>
    <w:semiHidden/>
    <w:rsid w:val="00884FEB"/>
    <w:rPr>
      <w:rFonts w:ascii="Verdana" w:eastAsia="Times New Roman" w:hAnsi="Verdana"/>
      <w:szCs w:val="24"/>
      <w:lang w:val="en-US" w:eastAsia="en-US"/>
    </w:rPr>
  </w:style>
  <w:style w:type="paragraph" w:styleId="Listenabsatz">
    <w:name w:val="List Paragraph"/>
    <w:basedOn w:val="Standard"/>
    <w:uiPriority w:val="99"/>
    <w:qFormat/>
    <w:rsid w:val="00884FEB"/>
    <w:pPr>
      <w:ind w:left="708"/>
    </w:pPr>
  </w:style>
  <w:style w:type="character" w:styleId="Platzhaltertext">
    <w:name w:val="Placeholder Text"/>
    <w:basedOn w:val="Absatz-Standardschriftart"/>
    <w:uiPriority w:val="99"/>
    <w:semiHidden/>
    <w:rsid w:val="00D946DB"/>
    <w:rPr>
      <w:color w:val="808080"/>
    </w:rPr>
  </w:style>
  <w:style w:type="paragraph" w:customStyle="1" w:styleId="InstructionsText2">
    <w:name w:val="Instructions Text 2"/>
    <w:basedOn w:val="InstructionsText"/>
    <w:qFormat/>
    <w:rsid w:val="00F620A2"/>
    <w:pPr>
      <w:numPr>
        <w:numId w:val="29"/>
      </w:numPr>
      <w:spacing w:after="240"/>
    </w:pPr>
  </w:style>
  <w:style w:type="character" w:customStyle="1" w:styleId="Instructionsberschrift3Char">
    <w:name w:val="Instructions Überschrift 3 Char"/>
    <w:basedOn w:val="berschrift3Zchn"/>
    <w:locked/>
    <w:rsid w:val="003B3DBB"/>
    <w:rPr>
      <w:rFonts w:ascii="Verdana" w:hAnsi="Verdana" w:cs="Arial"/>
      <w:bCs/>
      <w:szCs w:val="26"/>
      <w:u w:val="single"/>
      <w:lang w:val="en-US" w:eastAsia="en-US" w:bidi="ar-SA"/>
    </w:rPr>
  </w:style>
  <w:style w:type="paragraph" w:customStyle="1" w:styleId="CM4">
    <w:name w:val="CM4"/>
    <w:basedOn w:val="Standard"/>
    <w:next w:val="Standard"/>
    <w:uiPriority w:val="99"/>
    <w:rsid w:val="008815DE"/>
    <w:pPr>
      <w:autoSpaceDE w:val="0"/>
      <w:autoSpaceDN w:val="0"/>
      <w:adjustRightInd w:val="0"/>
      <w:spacing w:before="0" w:after="0"/>
      <w:jc w:val="left"/>
    </w:pPr>
    <w:rPr>
      <w:rFonts w:ascii="Times New Roman" w:eastAsia="Arial" w:hAnsi="Times New Roman"/>
      <w:sz w:val="24"/>
      <w:lang w:val="de-DE"/>
    </w:rPr>
  </w:style>
  <w:style w:type="numbering" w:customStyle="1" w:styleId="Formatvorlage3">
    <w:name w:val="Formatvorlage3"/>
    <w:uiPriority w:val="99"/>
    <w:rsid w:val="00DE0962"/>
    <w:pPr>
      <w:numPr>
        <w:numId w:val="36"/>
      </w:numPr>
    </w:pPr>
  </w:style>
  <w:style w:type="paragraph" w:styleId="Dokumentstruktur">
    <w:name w:val="Document Map"/>
    <w:basedOn w:val="Standard"/>
    <w:link w:val="DokumentstrukturZchn"/>
    <w:uiPriority w:val="99"/>
    <w:semiHidden/>
    <w:unhideWhenUsed/>
    <w:rsid w:val="0088630E"/>
    <w:pPr>
      <w:spacing w:before="0" w:after="0"/>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88630E"/>
    <w:rPr>
      <w:rFonts w:ascii="Tahoma" w:eastAsia="Times New Roman" w:hAnsi="Tahoma" w:cs="Tahoma"/>
      <w:sz w:val="16"/>
      <w:szCs w:val="16"/>
      <w:lang w:val="en-US"/>
    </w:rPr>
  </w:style>
  <w:style w:type="numbering" w:customStyle="1" w:styleId="Formatvorlage4">
    <w:name w:val="Formatvorlage4"/>
    <w:uiPriority w:val="99"/>
    <w:rsid w:val="00FB1D44"/>
    <w:pPr>
      <w:numPr>
        <w:numId w:val="38"/>
      </w:numPr>
    </w:pPr>
  </w:style>
  <w:style w:type="paragraph" w:customStyle="1" w:styleId="Titrearticle">
    <w:name w:val="Titre article"/>
    <w:basedOn w:val="Standard"/>
    <w:next w:val="Standard"/>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Standard"/>
    <w:link w:val="BaseparagraphnumberedChar"/>
    <w:qFormat/>
    <w:rsid w:val="00C87CEE"/>
    <w:pPr>
      <w:numPr>
        <w:numId w:val="44"/>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cs="Times New Roman"/>
      <w:sz w:val="24"/>
      <w:szCs w:val="24"/>
      <w:lang w:val="en-GB" w:eastAsia="en-GB"/>
    </w:rPr>
  </w:style>
</w:styles>
</file>

<file path=word/webSettings.xml><?xml version="1.0" encoding="utf-8"?>
<w:webSettings xmlns:r="http://schemas.openxmlformats.org/officeDocument/2006/relationships" xmlns:w="http://schemas.openxmlformats.org/wordprocessingml/2006/main">
  <w:divs>
    <w:div w:id="88271706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64747049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31BB5-5E7F-4819-8435-1FCE4961D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4796</Words>
  <Characters>30217</Characters>
  <Application>Microsoft Office Word</Application>
  <DocSecurity>0</DocSecurity>
  <Lines>251</Lines>
  <Paragraphs>69</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Deutsche Bundesbank</Company>
  <LinksUpToDate>false</LinksUpToDate>
  <CharactersWithSpaces>34944</CharactersWithSpaces>
  <SharedDoc>false</SharedDoc>
  <HLinks>
    <vt:vector size="306" baseType="variant">
      <vt:variant>
        <vt:i4>7995501</vt:i4>
      </vt:variant>
      <vt:variant>
        <vt:i4>300</vt:i4>
      </vt:variant>
      <vt:variant>
        <vt:i4>0</vt:i4>
      </vt:variant>
      <vt:variant>
        <vt:i4>5</vt:i4>
      </vt:variant>
      <vt:variant>
        <vt:lpwstr>http://www.eba.europa.eu/cebs/media/Publications/Standards and Guidelines/2011/COREP/GL04rev3CA-GSD.xls</vt:lpwstr>
      </vt:variant>
      <vt:variant>
        <vt:lpwstr/>
      </vt:variant>
      <vt:variant>
        <vt:i4>5898306</vt:i4>
      </vt:variant>
      <vt:variant>
        <vt:i4>297</vt:i4>
      </vt:variant>
      <vt:variant>
        <vt:i4>0</vt:i4>
      </vt:variant>
      <vt:variant>
        <vt:i4>5</vt:i4>
      </vt:variant>
      <vt:variant>
        <vt:lpwstr>http://www.eba.europa.eu/Publications/Consultation-Papers/All-consultations/CP01-CP10/CP04-Revised-2.aspx</vt:lpwstr>
      </vt:variant>
      <vt:variant>
        <vt:lpwstr/>
      </vt:variant>
      <vt:variant>
        <vt:i4>1048626</vt:i4>
      </vt:variant>
      <vt:variant>
        <vt:i4>290</vt:i4>
      </vt:variant>
      <vt:variant>
        <vt:i4>0</vt:i4>
      </vt:variant>
      <vt:variant>
        <vt:i4>5</vt:i4>
      </vt:variant>
      <vt:variant>
        <vt:lpwstr/>
      </vt:variant>
      <vt:variant>
        <vt:lpwstr>_Toc310415075</vt:lpwstr>
      </vt:variant>
      <vt:variant>
        <vt:i4>1048626</vt:i4>
      </vt:variant>
      <vt:variant>
        <vt:i4>284</vt:i4>
      </vt:variant>
      <vt:variant>
        <vt:i4>0</vt:i4>
      </vt:variant>
      <vt:variant>
        <vt:i4>5</vt:i4>
      </vt:variant>
      <vt:variant>
        <vt:lpwstr/>
      </vt:variant>
      <vt:variant>
        <vt:lpwstr>_Toc310415072</vt:lpwstr>
      </vt:variant>
      <vt:variant>
        <vt:i4>1114162</vt:i4>
      </vt:variant>
      <vt:variant>
        <vt:i4>278</vt:i4>
      </vt:variant>
      <vt:variant>
        <vt:i4>0</vt:i4>
      </vt:variant>
      <vt:variant>
        <vt:i4>5</vt:i4>
      </vt:variant>
      <vt:variant>
        <vt:lpwstr/>
      </vt:variant>
      <vt:variant>
        <vt:lpwstr>_Toc310415069</vt:lpwstr>
      </vt:variant>
      <vt:variant>
        <vt:i4>1114162</vt:i4>
      </vt:variant>
      <vt:variant>
        <vt:i4>272</vt:i4>
      </vt:variant>
      <vt:variant>
        <vt:i4>0</vt:i4>
      </vt:variant>
      <vt:variant>
        <vt:i4>5</vt:i4>
      </vt:variant>
      <vt:variant>
        <vt:lpwstr/>
      </vt:variant>
      <vt:variant>
        <vt:lpwstr>_Toc310415066</vt:lpwstr>
      </vt:variant>
      <vt:variant>
        <vt:i4>1114162</vt:i4>
      </vt:variant>
      <vt:variant>
        <vt:i4>266</vt:i4>
      </vt:variant>
      <vt:variant>
        <vt:i4>0</vt:i4>
      </vt:variant>
      <vt:variant>
        <vt:i4>5</vt:i4>
      </vt:variant>
      <vt:variant>
        <vt:lpwstr/>
      </vt:variant>
      <vt:variant>
        <vt:lpwstr>_Toc310415063</vt:lpwstr>
      </vt:variant>
      <vt:variant>
        <vt:i4>1114162</vt:i4>
      </vt:variant>
      <vt:variant>
        <vt:i4>260</vt:i4>
      </vt:variant>
      <vt:variant>
        <vt:i4>0</vt:i4>
      </vt:variant>
      <vt:variant>
        <vt:i4>5</vt:i4>
      </vt:variant>
      <vt:variant>
        <vt:lpwstr/>
      </vt:variant>
      <vt:variant>
        <vt:lpwstr>_Toc310415060</vt:lpwstr>
      </vt:variant>
      <vt:variant>
        <vt:i4>1179698</vt:i4>
      </vt:variant>
      <vt:variant>
        <vt:i4>254</vt:i4>
      </vt:variant>
      <vt:variant>
        <vt:i4>0</vt:i4>
      </vt:variant>
      <vt:variant>
        <vt:i4>5</vt:i4>
      </vt:variant>
      <vt:variant>
        <vt:lpwstr/>
      </vt:variant>
      <vt:variant>
        <vt:lpwstr>_Toc310415057</vt:lpwstr>
      </vt:variant>
      <vt:variant>
        <vt:i4>1179698</vt:i4>
      </vt:variant>
      <vt:variant>
        <vt:i4>248</vt:i4>
      </vt:variant>
      <vt:variant>
        <vt:i4>0</vt:i4>
      </vt:variant>
      <vt:variant>
        <vt:i4>5</vt:i4>
      </vt:variant>
      <vt:variant>
        <vt:lpwstr/>
      </vt:variant>
      <vt:variant>
        <vt:lpwstr>_Toc310415056</vt:lpwstr>
      </vt:variant>
      <vt:variant>
        <vt:i4>1179698</vt:i4>
      </vt:variant>
      <vt:variant>
        <vt:i4>242</vt:i4>
      </vt:variant>
      <vt:variant>
        <vt:i4>0</vt:i4>
      </vt:variant>
      <vt:variant>
        <vt:i4>5</vt:i4>
      </vt:variant>
      <vt:variant>
        <vt:lpwstr/>
      </vt:variant>
      <vt:variant>
        <vt:lpwstr>_Toc310415053</vt:lpwstr>
      </vt:variant>
      <vt:variant>
        <vt:i4>1179698</vt:i4>
      </vt:variant>
      <vt:variant>
        <vt:i4>236</vt:i4>
      </vt:variant>
      <vt:variant>
        <vt:i4>0</vt:i4>
      </vt:variant>
      <vt:variant>
        <vt:i4>5</vt:i4>
      </vt:variant>
      <vt:variant>
        <vt:lpwstr/>
      </vt:variant>
      <vt:variant>
        <vt:lpwstr>_Toc310415050</vt:lpwstr>
      </vt:variant>
      <vt:variant>
        <vt:i4>1245234</vt:i4>
      </vt:variant>
      <vt:variant>
        <vt:i4>230</vt:i4>
      </vt:variant>
      <vt:variant>
        <vt:i4>0</vt:i4>
      </vt:variant>
      <vt:variant>
        <vt:i4>5</vt:i4>
      </vt:variant>
      <vt:variant>
        <vt:lpwstr/>
      </vt:variant>
      <vt:variant>
        <vt:lpwstr>_Toc310415049</vt:lpwstr>
      </vt:variant>
      <vt:variant>
        <vt:i4>1245234</vt:i4>
      </vt:variant>
      <vt:variant>
        <vt:i4>224</vt:i4>
      </vt:variant>
      <vt:variant>
        <vt:i4>0</vt:i4>
      </vt:variant>
      <vt:variant>
        <vt:i4>5</vt:i4>
      </vt:variant>
      <vt:variant>
        <vt:lpwstr/>
      </vt:variant>
      <vt:variant>
        <vt:lpwstr>_Toc310415046</vt:lpwstr>
      </vt:variant>
      <vt:variant>
        <vt:i4>1245234</vt:i4>
      </vt:variant>
      <vt:variant>
        <vt:i4>218</vt:i4>
      </vt:variant>
      <vt:variant>
        <vt:i4>0</vt:i4>
      </vt:variant>
      <vt:variant>
        <vt:i4>5</vt:i4>
      </vt:variant>
      <vt:variant>
        <vt:lpwstr/>
      </vt:variant>
      <vt:variant>
        <vt:lpwstr>_Toc310415042</vt:lpwstr>
      </vt:variant>
      <vt:variant>
        <vt:i4>1310770</vt:i4>
      </vt:variant>
      <vt:variant>
        <vt:i4>212</vt:i4>
      </vt:variant>
      <vt:variant>
        <vt:i4>0</vt:i4>
      </vt:variant>
      <vt:variant>
        <vt:i4>5</vt:i4>
      </vt:variant>
      <vt:variant>
        <vt:lpwstr/>
      </vt:variant>
      <vt:variant>
        <vt:lpwstr>_Toc310415038</vt:lpwstr>
      </vt:variant>
      <vt:variant>
        <vt:i4>1310770</vt:i4>
      </vt:variant>
      <vt:variant>
        <vt:i4>206</vt:i4>
      </vt:variant>
      <vt:variant>
        <vt:i4>0</vt:i4>
      </vt:variant>
      <vt:variant>
        <vt:i4>5</vt:i4>
      </vt:variant>
      <vt:variant>
        <vt:lpwstr/>
      </vt:variant>
      <vt:variant>
        <vt:lpwstr>_Toc310415035</vt:lpwstr>
      </vt:variant>
      <vt:variant>
        <vt:i4>1310770</vt:i4>
      </vt:variant>
      <vt:variant>
        <vt:i4>200</vt:i4>
      </vt:variant>
      <vt:variant>
        <vt:i4>0</vt:i4>
      </vt:variant>
      <vt:variant>
        <vt:i4>5</vt:i4>
      </vt:variant>
      <vt:variant>
        <vt:lpwstr/>
      </vt:variant>
      <vt:variant>
        <vt:lpwstr>_Toc310415031</vt:lpwstr>
      </vt:variant>
      <vt:variant>
        <vt:i4>1376306</vt:i4>
      </vt:variant>
      <vt:variant>
        <vt:i4>194</vt:i4>
      </vt:variant>
      <vt:variant>
        <vt:i4>0</vt:i4>
      </vt:variant>
      <vt:variant>
        <vt:i4>5</vt:i4>
      </vt:variant>
      <vt:variant>
        <vt:lpwstr/>
      </vt:variant>
      <vt:variant>
        <vt:lpwstr>_Toc310415025</vt:lpwstr>
      </vt:variant>
      <vt:variant>
        <vt:i4>1441842</vt:i4>
      </vt:variant>
      <vt:variant>
        <vt:i4>188</vt:i4>
      </vt:variant>
      <vt:variant>
        <vt:i4>0</vt:i4>
      </vt:variant>
      <vt:variant>
        <vt:i4>5</vt:i4>
      </vt:variant>
      <vt:variant>
        <vt:lpwstr/>
      </vt:variant>
      <vt:variant>
        <vt:lpwstr>_Toc310415017</vt:lpwstr>
      </vt:variant>
      <vt:variant>
        <vt:i4>1441842</vt:i4>
      </vt:variant>
      <vt:variant>
        <vt:i4>182</vt:i4>
      </vt:variant>
      <vt:variant>
        <vt:i4>0</vt:i4>
      </vt:variant>
      <vt:variant>
        <vt:i4>5</vt:i4>
      </vt:variant>
      <vt:variant>
        <vt:lpwstr/>
      </vt:variant>
      <vt:variant>
        <vt:lpwstr>_Toc310415014</vt:lpwstr>
      </vt:variant>
      <vt:variant>
        <vt:i4>1441842</vt:i4>
      </vt:variant>
      <vt:variant>
        <vt:i4>176</vt:i4>
      </vt:variant>
      <vt:variant>
        <vt:i4>0</vt:i4>
      </vt:variant>
      <vt:variant>
        <vt:i4>5</vt:i4>
      </vt:variant>
      <vt:variant>
        <vt:lpwstr/>
      </vt:variant>
      <vt:variant>
        <vt:lpwstr>_Toc310415013</vt:lpwstr>
      </vt:variant>
      <vt:variant>
        <vt:i4>1441842</vt:i4>
      </vt:variant>
      <vt:variant>
        <vt:i4>170</vt:i4>
      </vt:variant>
      <vt:variant>
        <vt:i4>0</vt:i4>
      </vt:variant>
      <vt:variant>
        <vt:i4>5</vt:i4>
      </vt:variant>
      <vt:variant>
        <vt:lpwstr/>
      </vt:variant>
      <vt:variant>
        <vt:lpwstr>_Toc310415010</vt:lpwstr>
      </vt:variant>
      <vt:variant>
        <vt:i4>1507378</vt:i4>
      </vt:variant>
      <vt:variant>
        <vt:i4>164</vt:i4>
      </vt:variant>
      <vt:variant>
        <vt:i4>0</vt:i4>
      </vt:variant>
      <vt:variant>
        <vt:i4>5</vt:i4>
      </vt:variant>
      <vt:variant>
        <vt:lpwstr/>
      </vt:variant>
      <vt:variant>
        <vt:lpwstr>_Toc310415009</vt:lpwstr>
      </vt:variant>
      <vt:variant>
        <vt:i4>1507378</vt:i4>
      </vt:variant>
      <vt:variant>
        <vt:i4>158</vt:i4>
      </vt:variant>
      <vt:variant>
        <vt:i4>0</vt:i4>
      </vt:variant>
      <vt:variant>
        <vt:i4>5</vt:i4>
      </vt:variant>
      <vt:variant>
        <vt:lpwstr/>
      </vt:variant>
      <vt:variant>
        <vt:lpwstr>_Toc310415006</vt:lpwstr>
      </vt:variant>
      <vt:variant>
        <vt:i4>1507378</vt:i4>
      </vt:variant>
      <vt:variant>
        <vt:i4>152</vt:i4>
      </vt:variant>
      <vt:variant>
        <vt:i4>0</vt:i4>
      </vt:variant>
      <vt:variant>
        <vt:i4>5</vt:i4>
      </vt:variant>
      <vt:variant>
        <vt:lpwstr/>
      </vt:variant>
      <vt:variant>
        <vt:lpwstr>_Toc310415003</vt:lpwstr>
      </vt:variant>
      <vt:variant>
        <vt:i4>1507378</vt:i4>
      </vt:variant>
      <vt:variant>
        <vt:i4>146</vt:i4>
      </vt:variant>
      <vt:variant>
        <vt:i4>0</vt:i4>
      </vt:variant>
      <vt:variant>
        <vt:i4>5</vt:i4>
      </vt:variant>
      <vt:variant>
        <vt:lpwstr/>
      </vt:variant>
      <vt:variant>
        <vt:lpwstr>_Toc310415000</vt:lpwstr>
      </vt:variant>
      <vt:variant>
        <vt:i4>2031675</vt:i4>
      </vt:variant>
      <vt:variant>
        <vt:i4>140</vt:i4>
      </vt:variant>
      <vt:variant>
        <vt:i4>0</vt:i4>
      </vt:variant>
      <vt:variant>
        <vt:i4>5</vt:i4>
      </vt:variant>
      <vt:variant>
        <vt:lpwstr/>
      </vt:variant>
      <vt:variant>
        <vt:lpwstr>_Toc310414997</vt:lpwstr>
      </vt:variant>
      <vt:variant>
        <vt:i4>2031675</vt:i4>
      </vt:variant>
      <vt:variant>
        <vt:i4>134</vt:i4>
      </vt:variant>
      <vt:variant>
        <vt:i4>0</vt:i4>
      </vt:variant>
      <vt:variant>
        <vt:i4>5</vt:i4>
      </vt:variant>
      <vt:variant>
        <vt:lpwstr/>
      </vt:variant>
      <vt:variant>
        <vt:lpwstr>_Toc310414994</vt:lpwstr>
      </vt:variant>
      <vt:variant>
        <vt:i4>2031675</vt:i4>
      </vt:variant>
      <vt:variant>
        <vt:i4>128</vt:i4>
      </vt:variant>
      <vt:variant>
        <vt:i4>0</vt:i4>
      </vt:variant>
      <vt:variant>
        <vt:i4>5</vt:i4>
      </vt:variant>
      <vt:variant>
        <vt:lpwstr/>
      </vt:variant>
      <vt:variant>
        <vt:lpwstr>_Toc310414993</vt:lpwstr>
      </vt:variant>
      <vt:variant>
        <vt:i4>2031675</vt:i4>
      </vt:variant>
      <vt:variant>
        <vt:i4>122</vt:i4>
      </vt:variant>
      <vt:variant>
        <vt:i4>0</vt:i4>
      </vt:variant>
      <vt:variant>
        <vt:i4>5</vt:i4>
      </vt:variant>
      <vt:variant>
        <vt:lpwstr/>
      </vt:variant>
      <vt:variant>
        <vt:lpwstr>_Toc310414990</vt:lpwstr>
      </vt:variant>
      <vt:variant>
        <vt:i4>1966139</vt:i4>
      </vt:variant>
      <vt:variant>
        <vt:i4>116</vt:i4>
      </vt:variant>
      <vt:variant>
        <vt:i4>0</vt:i4>
      </vt:variant>
      <vt:variant>
        <vt:i4>5</vt:i4>
      </vt:variant>
      <vt:variant>
        <vt:lpwstr/>
      </vt:variant>
      <vt:variant>
        <vt:lpwstr>_Toc310414987</vt:lpwstr>
      </vt:variant>
      <vt:variant>
        <vt:i4>1966139</vt:i4>
      </vt:variant>
      <vt:variant>
        <vt:i4>110</vt:i4>
      </vt:variant>
      <vt:variant>
        <vt:i4>0</vt:i4>
      </vt:variant>
      <vt:variant>
        <vt:i4>5</vt:i4>
      </vt:variant>
      <vt:variant>
        <vt:lpwstr/>
      </vt:variant>
      <vt:variant>
        <vt:lpwstr>_Toc310414986</vt:lpwstr>
      </vt:variant>
      <vt:variant>
        <vt:i4>1966139</vt:i4>
      </vt:variant>
      <vt:variant>
        <vt:i4>104</vt:i4>
      </vt:variant>
      <vt:variant>
        <vt:i4>0</vt:i4>
      </vt:variant>
      <vt:variant>
        <vt:i4>5</vt:i4>
      </vt:variant>
      <vt:variant>
        <vt:lpwstr/>
      </vt:variant>
      <vt:variant>
        <vt:lpwstr>_Toc310414983</vt:lpwstr>
      </vt:variant>
      <vt:variant>
        <vt:i4>1966139</vt:i4>
      </vt:variant>
      <vt:variant>
        <vt:i4>98</vt:i4>
      </vt:variant>
      <vt:variant>
        <vt:i4>0</vt:i4>
      </vt:variant>
      <vt:variant>
        <vt:i4>5</vt:i4>
      </vt:variant>
      <vt:variant>
        <vt:lpwstr/>
      </vt:variant>
      <vt:variant>
        <vt:lpwstr>_Toc310414981</vt:lpwstr>
      </vt:variant>
      <vt:variant>
        <vt:i4>1966139</vt:i4>
      </vt:variant>
      <vt:variant>
        <vt:i4>92</vt:i4>
      </vt:variant>
      <vt:variant>
        <vt:i4>0</vt:i4>
      </vt:variant>
      <vt:variant>
        <vt:i4>5</vt:i4>
      </vt:variant>
      <vt:variant>
        <vt:lpwstr/>
      </vt:variant>
      <vt:variant>
        <vt:lpwstr>_Toc310414980</vt:lpwstr>
      </vt:variant>
      <vt:variant>
        <vt:i4>1114171</vt:i4>
      </vt:variant>
      <vt:variant>
        <vt:i4>86</vt:i4>
      </vt:variant>
      <vt:variant>
        <vt:i4>0</vt:i4>
      </vt:variant>
      <vt:variant>
        <vt:i4>5</vt:i4>
      </vt:variant>
      <vt:variant>
        <vt:lpwstr/>
      </vt:variant>
      <vt:variant>
        <vt:lpwstr>_Toc310414977</vt:lpwstr>
      </vt:variant>
      <vt:variant>
        <vt:i4>1114171</vt:i4>
      </vt:variant>
      <vt:variant>
        <vt:i4>80</vt:i4>
      </vt:variant>
      <vt:variant>
        <vt:i4>0</vt:i4>
      </vt:variant>
      <vt:variant>
        <vt:i4>5</vt:i4>
      </vt:variant>
      <vt:variant>
        <vt:lpwstr/>
      </vt:variant>
      <vt:variant>
        <vt:lpwstr>_Toc310414976</vt:lpwstr>
      </vt:variant>
      <vt:variant>
        <vt:i4>1114171</vt:i4>
      </vt:variant>
      <vt:variant>
        <vt:i4>74</vt:i4>
      </vt:variant>
      <vt:variant>
        <vt:i4>0</vt:i4>
      </vt:variant>
      <vt:variant>
        <vt:i4>5</vt:i4>
      </vt:variant>
      <vt:variant>
        <vt:lpwstr/>
      </vt:variant>
      <vt:variant>
        <vt:lpwstr>_Toc310414975</vt:lpwstr>
      </vt:variant>
      <vt:variant>
        <vt:i4>1114171</vt:i4>
      </vt:variant>
      <vt:variant>
        <vt:i4>68</vt:i4>
      </vt:variant>
      <vt:variant>
        <vt:i4>0</vt:i4>
      </vt:variant>
      <vt:variant>
        <vt:i4>5</vt:i4>
      </vt:variant>
      <vt:variant>
        <vt:lpwstr/>
      </vt:variant>
      <vt:variant>
        <vt:lpwstr>_Toc310414973</vt:lpwstr>
      </vt:variant>
      <vt:variant>
        <vt:i4>1114171</vt:i4>
      </vt:variant>
      <vt:variant>
        <vt:i4>62</vt:i4>
      </vt:variant>
      <vt:variant>
        <vt:i4>0</vt:i4>
      </vt:variant>
      <vt:variant>
        <vt:i4>5</vt:i4>
      </vt:variant>
      <vt:variant>
        <vt:lpwstr/>
      </vt:variant>
      <vt:variant>
        <vt:lpwstr>_Toc310414971</vt:lpwstr>
      </vt:variant>
      <vt:variant>
        <vt:i4>1048635</vt:i4>
      </vt:variant>
      <vt:variant>
        <vt:i4>56</vt:i4>
      </vt:variant>
      <vt:variant>
        <vt:i4>0</vt:i4>
      </vt:variant>
      <vt:variant>
        <vt:i4>5</vt:i4>
      </vt:variant>
      <vt:variant>
        <vt:lpwstr/>
      </vt:variant>
      <vt:variant>
        <vt:lpwstr>_Toc310414969</vt:lpwstr>
      </vt:variant>
      <vt:variant>
        <vt:i4>1048635</vt:i4>
      </vt:variant>
      <vt:variant>
        <vt:i4>50</vt:i4>
      </vt:variant>
      <vt:variant>
        <vt:i4>0</vt:i4>
      </vt:variant>
      <vt:variant>
        <vt:i4>5</vt:i4>
      </vt:variant>
      <vt:variant>
        <vt:lpwstr/>
      </vt:variant>
      <vt:variant>
        <vt:lpwstr>_Toc310414967</vt:lpwstr>
      </vt:variant>
      <vt:variant>
        <vt:i4>1048635</vt:i4>
      </vt:variant>
      <vt:variant>
        <vt:i4>44</vt:i4>
      </vt:variant>
      <vt:variant>
        <vt:i4>0</vt:i4>
      </vt:variant>
      <vt:variant>
        <vt:i4>5</vt:i4>
      </vt:variant>
      <vt:variant>
        <vt:lpwstr/>
      </vt:variant>
      <vt:variant>
        <vt:lpwstr>_Toc310414966</vt:lpwstr>
      </vt:variant>
      <vt:variant>
        <vt:i4>1048635</vt:i4>
      </vt:variant>
      <vt:variant>
        <vt:i4>38</vt:i4>
      </vt:variant>
      <vt:variant>
        <vt:i4>0</vt:i4>
      </vt:variant>
      <vt:variant>
        <vt:i4>5</vt:i4>
      </vt:variant>
      <vt:variant>
        <vt:lpwstr/>
      </vt:variant>
      <vt:variant>
        <vt:lpwstr>_Toc310414965</vt:lpwstr>
      </vt:variant>
      <vt:variant>
        <vt:i4>1048635</vt:i4>
      </vt:variant>
      <vt:variant>
        <vt:i4>32</vt:i4>
      </vt:variant>
      <vt:variant>
        <vt:i4>0</vt:i4>
      </vt:variant>
      <vt:variant>
        <vt:i4>5</vt:i4>
      </vt:variant>
      <vt:variant>
        <vt:lpwstr/>
      </vt:variant>
      <vt:variant>
        <vt:lpwstr>_Toc310414964</vt:lpwstr>
      </vt:variant>
      <vt:variant>
        <vt:i4>1048635</vt:i4>
      </vt:variant>
      <vt:variant>
        <vt:i4>26</vt:i4>
      </vt:variant>
      <vt:variant>
        <vt:i4>0</vt:i4>
      </vt:variant>
      <vt:variant>
        <vt:i4>5</vt:i4>
      </vt:variant>
      <vt:variant>
        <vt:lpwstr/>
      </vt:variant>
      <vt:variant>
        <vt:lpwstr>_Toc310414963</vt:lpwstr>
      </vt:variant>
      <vt:variant>
        <vt:i4>1048635</vt:i4>
      </vt:variant>
      <vt:variant>
        <vt:i4>20</vt:i4>
      </vt:variant>
      <vt:variant>
        <vt:i4>0</vt:i4>
      </vt:variant>
      <vt:variant>
        <vt:i4>5</vt:i4>
      </vt:variant>
      <vt:variant>
        <vt:lpwstr/>
      </vt:variant>
      <vt:variant>
        <vt:lpwstr>_Toc310414962</vt:lpwstr>
      </vt:variant>
      <vt:variant>
        <vt:i4>1048635</vt:i4>
      </vt:variant>
      <vt:variant>
        <vt:i4>14</vt:i4>
      </vt:variant>
      <vt:variant>
        <vt:i4>0</vt:i4>
      </vt:variant>
      <vt:variant>
        <vt:i4>5</vt:i4>
      </vt:variant>
      <vt:variant>
        <vt:lpwstr/>
      </vt:variant>
      <vt:variant>
        <vt:lpwstr>_Toc310414961</vt:lpwstr>
      </vt:variant>
      <vt:variant>
        <vt:i4>1048635</vt:i4>
      </vt:variant>
      <vt:variant>
        <vt:i4>8</vt:i4>
      </vt:variant>
      <vt:variant>
        <vt:i4>0</vt:i4>
      </vt:variant>
      <vt:variant>
        <vt:i4>5</vt:i4>
      </vt:variant>
      <vt:variant>
        <vt:lpwstr/>
      </vt:variant>
      <vt:variant>
        <vt:lpwstr>_Toc310414960</vt:lpwstr>
      </vt:variant>
      <vt:variant>
        <vt:i4>1245243</vt:i4>
      </vt:variant>
      <vt:variant>
        <vt:i4>2</vt:i4>
      </vt:variant>
      <vt:variant>
        <vt:i4>0</vt:i4>
      </vt:variant>
      <vt:variant>
        <vt:i4>5</vt:i4>
      </vt:variant>
      <vt:variant>
        <vt:lpwstr/>
      </vt:variant>
      <vt:variant>
        <vt:lpwstr>_Toc310414959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wstrohbach</dc:creator>
  <cp:keywords/>
  <cp:lastModifiedBy>Kukreja</cp:lastModifiedBy>
  <cp:revision>3</cp:revision>
  <cp:lastPrinted>2012-06-06T09:31:00Z</cp:lastPrinted>
  <dcterms:created xsi:type="dcterms:W3CDTF">2013-03-08T10:31:00Z</dcterms:created>
  <dcterms:modified xsi:type="dcterms:W3CDTF">2013-03-08T11:15:00Z</dcterms:modified>
</cp:coreProperties>
</file>