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15D" w:rsidRPr="00A33695" w:rsidRDefault="0098215D" w:rsidP="00A33695">
      <w:pPr>
        <w:jc w:val="center"/>
        <w:rPr>
          <w:rFonts w:ascii="Times New Roman" w:hAnsi="Times New Roman"/>
          <w:sz w:val="28"/>
          <w:szCs w:val="28"/>
          <w:lang w:val="en-US"/>
        </w:rPr>
      </w:pPr>
      <w:bookmarkStart w:id="0" w:name="_Toc262568021"/>
      <w:bookmarkStart w:id="1" w:name="_Toc295829847"/>
      <w:r w:rsidRPr="00A33695">
        <w:rPr>
          <w:rFonts w:ascii="Times New Roman" w:hAnsi="Times New Roman"/>
          <w:sz w:val="28"/>
          <w:szCs w:val="28"/>
          <w:lang w:val="en-US"/>
        </w:rPr>
        <w:t>ANNEX II</w:t>
      </w:r>
    </w:p>
    <w:p w:rsidR="0098215D" w:rsidRPr="0017440D" w:rsidRDefault="0098215D" w:rsidP="00C87CEE">
      <w:pPr>
        <w:jc w:val="center"/>
        <w:rPr>
          <w:rFonts w:ascii="Times New Roman" w:hAnsi="Times New Roman"/>
          <w:b/>
          <w:sz w:val="24"/>
          <w:lang w:eastAsia="de-DE"/>
        </w:rPr>
      </w:pPr>
      <w:r>
        <w:rPr>
          <w:rFonts w:ascii="Times New Roman" w:hAnsi="Times New Roman"/>
          <w:b/>
          <w:sz w:val="24"/>
          <w:lang w:eastAsia="de-DE"/>
        </w:rPr>
        <w:t>REPORTING ON OWN FUNDS REQUIREMENTS</w:t>
      </w:r>
    </w:p>
    <w:p w:rsidR="0098215D" w:rsidRPr="00A33695" w:rsidRDefault="0098215D" w:rsidP="00A33695">
      <w:pPr>
        <w:pStyle w:val="InstructionsText2"/>
      </w:pPr>
      <w:r w:rsidRPr="003105C6">
        <w:t>This Annex contains additional instructions for the tables (hereinafter “COREP”) included in Annex I of this Regulation. This Annex complements the instructions in format of references included in the t</w:t>
      </w:r>
      <w:r w:rsidRPr="003105C6">
        <w:t>a</w:t>
      </w:r>
      <w:r w:rsidRPr="003105C6">
        <w:t>bles in Annex I.</w:t>
      </w:r>
    </w:p>
    <w:p w:rsidR="0098215D" w:rsidRPr="0017440D" w:rsidRDefault="0098215D" w:rsidP="00EC5046">
      <w:pPr>
        <w:rPr>
          <w:rFonts w:ascii="Times New Roman" w:hAnsi="Times New Roman"/>
        </w:rPr>
      </w:pPr>
    </w:p>
    <w:p w:rsidR="0098215D" w:rsidRPr="0017440D" w:rsidRDefault="0098215D" w:rsidP="00D64B66">
      <w:pPr>
        <w:pStyle w:val="Heading2"/>
        <w:rPr>
          <w:rFonts w:ascii="Times New Roman" w:hAnsi="Times New Roman"/>
        </w:rPr>
      </w:pPr>
      <w:bookmarkStart w:id="2" w:name="_Toc264038394"/>
      <w:bookmarkStart w:id="3" w:name="_Toc310414959"/>
      <w:r w:rsidRPr="003105C6">
        <w:rPr>
          <w:rFonts w:ascii="Times New Roman" w:hAnsi="Times New Roman"/>
        </w:rPr>
        <w:t>PART I:</w:t>
      </w:r>
      <w:bookmarkEnd w:id="2"/>
      <w:r w:rsidRPr="003105C6">
        <w:rPr>
          <w:rFonts w:ascii="Times New Roman" w:hAnsi="Times New Roman"/>
        </w:rPr>
        <w:t xml:space="preserve"> GENERAL INSTRUCTIONS</w:t>
      </w:r>
      <w:bookmarkEnd w:id="3"/>
    </w:p>
    <w:p w:rsidR="0098215D" w:rsidRPr="0017440D" w:rsidRDefault="0098215D" w:rsidP="00EC5046">
      <w:pPr>
        <w:rPr>
          <w:rFonts w:ascii="Times New Roman" w:hAnsi="Times New Roman"/>
        </w:rPr>
      </w:pPr>
    </w:p>
    <w:p w:rsidR="002E5685" w:rsidRDefault="002E5685" w:rsidP="00F56B44">
      <w:pPr>
        <w:pStyle w:val="Instructionsberschrift2"/>
        <w:numPr>
          <w:ilvl w:val="0"/>
          <w:numId w:val="51"/>
        </w:numPr>
        <w:rPr>
          <w:rFonts w:ascii="Times New Roman" w:hAnsi="Times New Roman" w:cs="Times New Roman"/>
        </w:rPr>
      </w:pPr>
      <w:bookmarkStart w:id="4" w:name="_Toc292456202"/>
      <w:bookmarkStart w:id="5" w:name="_Toc295829851"/>
      <w:bookmarkStart w:id="6" w:name="_Toc310415017"/>
      <w:bookmarkEnd w:id="0"/>
      <w:bookmarkEnd w:id="1"/>
      <w:r>
        <w:rPr>
          <w:rFonts w:ascii="Times New Roman" w:hAnsi="Times New Roman" w:cs="Times New Roman"/>
        </w:rPr>
        <w:t>CR GB – Information with geographical breakdown</w:t>
      </w:r>
    </w:p>
    <w:p w:rsidR="0098215D" w:rsidRDefault="00922953" w:rsidP="002E5685">
      <w:pPr>
        <w:pStyle w:val="Instructionsberschrift2"/>
        <w:numPr>
          <w:ilvl w:val="1"/>
          <w:numId w:val="5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 1</w:t>
      </w:r>
      <w:r w:rsidR="0098215D">
        <w:rPr>
          <w:rFonts w:ascii="Times New Roman" w:hAnsi="Times New Roman" w:cs="Times New Roman"/>
        </w:rPr>
        <w:t xml:space="preserve"> </w:t>
      </w:r>
      <w:r w:rsidR="0098215D" w:rsidRPr="003105C6">
        <w:rPr>
          <w:rFonts w:ascii="Times New Roman" w:hAnsi="Times New Roman" w:cs="Times New Roman"/>
        </w:rPr>
        <w:t xml:space="preserve">– </w:t>
      </w:r>
      <w:bookmarkEnd w:id="4"/>
      <w:bookmarkEnd w:id="5"/>
      <w:bookmarkEnd w:id="6"/>
      <w:r w:rsidR="0098215D" w:rsidRPr="001C5D5D">
        <w:rPr>
          <w:rFonts w:ascii="Times New Roman" w:hAnsi="Times New Roman" w:cs="Times New Roman"/>
        </w:rPr>
        <w:t xml:space="preserve">Geographical breakdown of exposures by residence of the </w:t>
      </w:r>
      <w:r w:rsidR="00D62CE1">
        <w:rPr>
          <w:rFonts w:ascii="Times New Roman" w:hAnsi="Times New Roman" w:cs="Times New Roman"/>
        </w:rPr>
        <w:t>obligor</w:t>
      </w:r>
      <w:r w:rsidR="00D62CE1" w:rsidRPr="001C5D5D">
        <w:rPr>
          <w:rFonts w:ascii="Times New Roman" w:hAnsi="Times New Roman" w:cs="Times New Roman"/>
        </w:rPr>
        <w:t xml:space="preserve"> </w:t>
      </w:r>
      <w:r w:rsidR="0098215D" w:rsidRPr="001C5D5D">
        <w:rPr>
          <w:rFonts w:ascii="Times New Roman" w:hAnsi="Times New Roman" w:cs="Times New Roman"/>
        </w:rPr>
        <w:t>(SA exposures)</w:t>
      </w:r>
    </w:p>
    <w:p w:rsidR="00E83E84" w:rsidRDefault="007F530A">
      <w:pPr>
        <w:pStyle w:val="Instructionsberschrift2"/>
        <w:numPr>
          <w:ilvl w:val="2"/>
          <w:numId w:val="5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General remarks</w:t>
      </w:r>
    </w:p>
    <w:p w:rsidR="00483227" w:rsidRDefault="00483227" w:rsidP="00483227">
      <w:pPr>
        <w:pStyle w:val="InstructionsText2"/>
        <w:numPr>
          <w:ilvl w:val="0"/>
          <w:numId w:val="45"/>
        </w:numPr>
      </w:pPr>
      <w:r>
        <w:t>Institutions fulfilling the threshold set in Article 5 (1) shall submit</w:t>
      </w:r>
      <w:r w:rsidR="003C0A1D">
        <w:t xml:space="preserve"> information </w:t>
      </w:r>
      <w:r>
        <w:t>regarding the domestic cou</w:t>
      </w:r>
      <w:r>
        <w:t>n</w:t>
      </w:r>
      <w:r>
        <w:t>try as well as any non-domestic country.</w:t>
      </w:r>
    </w:p>
    <w:p w:rsidR="00483227" w:rsidRDefault="00483227" w:rsidP="008F3BC6">
      <w:pPr>
        <w:pStyle w:val="InstructionsText2"/>
        <w:numPr>
          <w:ilvl w:val="0"/>
          <w:numId w:val="45"/>
        </w:numPr>
      </w:pPr>
      <w:r>
        <w:t xml:space="preserve">The term ‘residence of the obligor’ </w:t>
      </w:r>
      <w:r w:rsidR="003C0A1D">
        <w:t>refers to</w:t>
      </w:r>
      <w:r w:rsidR="008F3BC6" w:rsidRPr="008F3BC6">
        <w:t xml:space="preserve"> the country of incorporation of the </w:t>
      </w:r>
      <w:r w:rsidR="008F3BC6">
        <w:t>obligor</w:t>
      </w:r>
      <w:r w:rsidR="008F3BC6" w:rsidRPr="008F3BC6">
        <w:t>. This concept can be applied on an immediate-</w:t>
      </w:r>
      <w:r w:rsidR="008F3BC6">
        <w:t>obligor</w:t>
      </w:r>
      <w:r w:rsidR="008F3BC6" w:rsidRPr="008F3BC6">
        <w:t xml:space="preserve"> basis and on an ultimate-risk basis. Hence, CRM techniques can change the allocation of an exposure to a country.</w:t>
      </w:r>
    </w:p>
    <w:p w:rsidR="0098215D" w:rsidRPr="0017440D" w:rsidRDefault="0098215D" w:rsidP="00884FEB">
      <w:pPr>
        <w:autoSpaceDE w:val="0"/>
        <w:autoSpaceDN w:val="0"/>
        <w:adjustRightInd w:val="0"/>
        <w:spacing w:before="0" w:after="240"/>
        <w:jc w:val="left"/>
        <w:rPr>
          <w:rFonts w:ascii="Times New Roman" w:hAnsi="Times New Roman"/>
          <w:szCs w:val="20"/>
          <w:lang w:eastAsia="de-DE"/>
        </w:rPr>
      </w:pPr>
    </w:p>
    <w:p w:rsidR="0098215D" w:rsidRPr="003105C6" w:rsidRDefault="0098215D" w:rsidP="002E5685">
      <w:pPr>
        <w:pStyle w:val="Instructionsberschrift2"/>
        <w:numPr>
          <w:ilvl w:val="2"/>
          <w:numId w:val="51"/>
        </w:numPr>
        <w:rPr>
          <w:rFonts w:ascii="Times New Roman" w:hAnsi="Times New Roman" w:cs="Times New Roman"/>
        </w:rPr>
      </w:pPr>
      <w:bookmarkStart w:id="7" w:name="_Toc262568032"/>
      <w:bookmarkStart w:id="8" w:name="_Toc264038430"/>
      <w:bookmarkStart w:id="9" w:name="_Toc292456209"/>
      <w:bookmarkStart w:id="10" w:name="_Toc295829860"/>
      <w:bookmarkStart w:id="11" w:name="_Toc310415024"/>
      <w:r w:rsidRPr="003105C6">
        <w:rPr>
          <w:rFonts w:ascii="Times New Roman" w:hAnsi="Times New Roman" w:cs="Times New Roman"/>
        </w:rPr>
        <w:t>Instructions concerning specific positions</w:t>
      </w:r>
      <w:bookmarkEnd w:id="7"/>
      <w:bookmarkEnd w:id="8"/>
      <w:bookmarkEnd w:id="9"/>
      <w:bookmarkEnd w:id="10"/>
      <w:bookmarkEnd w:id="11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8"/>
        <w:gridCol w:w="8640"/>
      </w:tblGrid>
      <w:tr w:rsidR="0098215D" w:rsidRPr="0017440D" w:rsidTr="001273B5">
        <w:trPr>
          <w:trHeight w:val="581"/>
        </w:trPr>
        <w:tc>
          <w:tcPr>
            <w:tcW w:w="9828" w:type="dxa"/>
            <w:gridSpan w:val="2"/>
            <w:shd w:val="clear" w:color="auto" w:fill="CCCCCC"/>
          </w:tcPr>
          <w:p w:rsidR="0098215D" w:rsidRPr="0017440D" w:rsidRDefault="0098215D" w:rsidP="001273B5">
            <w:pPr>
              <w:spacing w:after="0"/>
              <w:rPr>
                <w:rStyle w:val="InstructionsTabelleText"/>
                <w:rFonts w:ascii="Times New Roman" w:hAnsi="Times New Roman"/>
                <w:b/>
              </w:rPr>
            </w:pPr>
            <w:r w:rsidRPr="003105C6">
              <w:rPr>
                <w:rStyle w:val="InstructionsTabelleText"/>
                <w:rFonts w:ascii="Times New Roman" w:hAnsi="Times New Roman"/>
                <w:b/>
              </w:rPr>
              <w:t>Columns</w:t>
            </w:r>
          </w:p>
        </w:tc>
      </w:tr>
      <w:tr w:rsidR="0098215D" w:rsidRPr="006A44C6" w:rsidTr="00D20C67">
        <w:tc>
          <w:tcPr>
            <w:tcW w:w="1188" w:type="dxa"/>
          </w:tcPr>
          <w:p w:rsidR="0098215D" w:rsidRPr="0017440D" w:rsidRDefault="0098215D" w:rsidP="00BF1028">
            <w:pPr>
              <w:rPr>
                <w:rStyle w:val="InstructionsTabelleText"/>
                <w:rFonts w:ascii="Times New Roman" w:hAnsi="Times New Roman"/>
              </w:rPr>
            </w:pPr>
            <w:r w:rsidRPr="003105C6">
              <w:rPr>
                <w:rStyle w:val="InstructionsTabelleText"/>
                <w:rFonts w:ascii="Times New Roman" w:hAnsi="Times New Roman"/>
              </w:rPr>
              <w:t>010</w:t>
            </w:r>
          </w:p>
        </w:tc>
        <w:tc>
          <w:tcPr>
            <w:tcW w:w="8640" w:type="dxa"/>
          </w:tcPr>
          <w:p w:rsidR="0098215D" w:rsidRPr="006A44C6" w:rsidRDefault="0098215D" w:rsidP="00D20C67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6A44C6">
              <w:rPr>
                <w:rFonts w:ascii="Times New Roman" w:hAnsi="Times New Roman"/>
                <w:b/>
                <w:szCs w:val="20"/>
                <w:u w:val="single"/>
              </w:rPr>
              <w:t>ORIGINAL EXPOSURE PRE CONVERSION FACTORS</w:t>
            </w:r>
          </w:p>
          <w:p w:rsidR="0098215D" w:rsidRPr="006A44C6" w:rsidRDefault="0098215D" w:rsidP="00ED318A">
            <w:pPr>
              <w:rPr>
                <w:rFonts w:ascii="Times New Roman" w:hAnsi="Times New Roman"/>
                <w:szCs w:val="20"/>
              </w:rPr>
            </w:pPr>
            <w:r w:rsidRPr="006A44C6">
              <w:rPr>
                <w:rFonts w:ascii="Times New Roman" w:hAnsi="Times New Roman"/>
                <w:szCs w:val="20"/>
              </w:rPr>
              <w:t xml:space="preserve">Same definition as for column </w:t>
            </w:r>
            <w:r>
              <w:rPr>
                <w:rFonts w:ascii="Times New Roman" w:hAnsi="Times New Roman"/>
                <w:szCs w:val="20"/>
              </w:rPr>
              <w:t>010</w:t>
            </w:r>
            <w:r w:rsidRPr="006A44C6">
              <w:rPr>
                <w:rFonts w:ascii="Times New Roman" w:hAnsi="Times New Roman"/>
                <w:szCs w:val="20"/>
              </w:rPr>
              <w:t xml:space="preserve"> of CR SA</w:t>
            </w:r>
            <w:r>
              <w:rPr>
                <w:rFonts w:ascii="Times New Roman" w:hAnsi="Times New Roman"/>
                <w:szCs w:val="20"/>
              </w:rPr>
              <w:t xml:space="preserve"> template</w:t>
            </w:r>
          </w:p>
        </w:tc>
      </w:tr>
      <w:tr w:rsidR="0098215D" w:rsidRPr="0017440D" w:rsidTr="00D20C67">
        <w:tc>
          <w:tcPr>
            <w:tcW w:w="1188" w:type="dxa"/>
          </w:tcPr>
          <w:p w:rsidR="0098215D" w:rsidRPr="0017440D" w:rsidRDefault="0098215D" w:rsidP="00BF1028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  <w:r w:rsidRPr="003105C6">
              <w:rPr>
                <w:rFonts w:ascii="Times New Roman" w:hAnsi="Times New Roman"/>
                <w:szCs w:val="20"/>
              </w:rPr>
              <w:t>20</w:t>
            </w:r>
          </w:p>
        </w:tc>
        <w:tc>
          <w:tcPr>
            <w:tcW w:w="8640" w:type="dxa"/>
          </w:tcPr>
          <w:p w:rsidR="0098215D" w:rsidRDefault="00D62CE1" w:rsidP="00787622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>Exposures in default</w:t>
            </w:r>
          </w:p>
          <w:p w:rsidR="0098215D" w:rsidRDefault="0098215D" w:rsidP="00D20C67">
            <w:pPr>
              <w:rPr>
                <w:rStyle w:val="InstructionsTabelleText"/>
                <w:rFonts w:ascii="Times New Roman" w:hAnsi="Times New Roman"/>
              </w:rPr>
            </w:pPr>
            <w:r>
              <w:rPr>
                <w:rStyle w:val="InstructionsTabelleText"/>
                <w:rFonts w:ascii="Times New Roman" w:hAnsi="Times New Roman"/>
              </w:rPr>
              <w:t>Original e</w:t>
            </w:r>
            <w:r w:rsidRPr="003105C6">
              <w:rPr>
                <w:rStyle w:val="InstructionsTabelleText"/>
                <w:rFonts w:ascii="Times New Roman" w:hAnsi="Times New Roman"/>
              </w:rPr>
              <w:t xml:space="preserve">xposure </w:t>
            </w:r>
            <w:r w:rsidR="009F7FF8">
              <w:rPr>
                <w:rStyle w:val="InstructionsTabelleText"/>
                <w:rFonts w:ascii="Times New Roman" w:hAnsi="Times New Roman"/>
              </w:rPr>
              <w:t>pre conversion factors</w:t>
            </w:r>
            <w:r w:rsidR="009F7FF8" w:rsidRPr="003105C6">
              <w:rPr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rFonts w:ascii="Times New Roman" w:hAnsi="Times New Roman"/>
              </w:rPr>
              <w:t>for those exposures which have been classified as “defaulted exposures”.</w:t>
            </w:r>
          </w:p>
          <w:p w:rsidR="0098215D" w:rsidRDefault="0098215D" w:rsidP="00B17CE6">
            <w:pPr>
              <w:rPr>
                <w:rStyle w:val="InstructionsTabelleText"/>
                <w:rFonts w:ascii="Times New Roman" w:hAnsi="Times New Roman"/>
              </w:rPr>
            </w:pPr>
            <w:r w:rsidRPr="00975F7A">
              <w:rPr>
                <w:rStyle w:val="InstructionsTabelleText"/>
                <w:rFonts w:ascii="Times New Roman" w:hAnsi="Times New Roman"/>
              </w:rPr>
              <w:t>Th</w:t>
            </w:r>
            <w:r>
              <w:rPr>
                <w:rStyle w:val="InstructionsTabelleText"/>
                <w:rFonts w:ascii="Times New Roman" w:hAnsi="Times New Roman"/>
              </w:rPr>
              <w:t>is</w:t>
            </w:r>
            <w:r w:rsidRPr="00975F7A">
              <w:rPr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rFonts w:ascii="Times New Roman" w:hAnsi="Times New Roman"/>
              </w:rPr>
              <w:t>‘</w:t>
            </w:r>
            <w:r w:rsidRPr="00975F7A">
              <w:rPr>
                <w:rStyle w:val="InstructionsTabelleText"/>
                <w:rFonts w:ascii="Times New Roman" w:hAnsi="Times New Roman"/>
              </w:rPr>
              <w:t xml:space="preserve">memorandum </w:t>
            </w:r>
            <w:r>
              <w:rPr>
                <w:rStyle w:val="InstructionsTabelleText"/>
                <w:rFonts w:ascii="Times New Roman" w:hAnsi="Times New Roman"/>
              </w:rPr>
              <w:t>item’</w:t>
            </w:r>
            <w:r w:rsidRPr="00975F7A">
              <w:rPr>
                <w:rStyle w:val="InstructionsTabelleText"/>
                <w:rFonts w:ascii="Times New Roman" w:hAnsi="Times New Roman"/>
              </w:rPr>
              <w:t xml:space="preserve"> provide</w:t>
            </w:r>
            <w:r>
              <w:rPr>
                <w:rStyle w:val="InstructionsTabelleText"/>
                <w:rFonts w:ascii="Times New Roman" w:hAnsi="Times New Roman"/>
              </w:rPr>
              <w:t>s</w:t>
            </w:r>
            <w:r w:rsidRPr="00975F7A">
              <w:rPr>
                <w:rStyle w:val="InstructionsTabelleText"/>
                <w:rFonts w:ascii="Times New Roman" w:hAnsi="Times New Roman"/>
              </w:rPr>
              <w:t xml:space="preserve"> additional information about the obligor </w:t>
            </w:r>
            <w:r>
              <w:rPr>
                <w:rStyle w:val="InstructionsTabelleText"/>
                <w:rFonts w:ascii="Times New Roman" w:hAnsi="Times New Roman"/>
              </w:rPr>
              <w:t>structure of the exposure class</w:t>
            </w:r>
            <w:r w:rsidRPr="00975F7A">
              <w:rPr>
                <w:rStyle w:val="InstructionsTabelleText"/>
                <w:rFonts w:ascii="Times New Roman" w:hAnsi="Times New Roman"/>
              </w:rPr>
              <w:t xml:space="preserve"> 'in default'. </w:t>
            </w:r>
            <w:r>
              <w:rPr>
                <w:rStyle w:val="InstructionsTabelleText"/>
                <w:rFonts w:ascii="Times New Roman" w:hAnsi="Times New Roman"/>
              </w:rPr>
              <w:t>E</w:t>
            </w:r>
            <w:r w:rsidRPr="00975F7A">
              <w:rPr>
                <w:rStyle w:val="InstructionsTabelleText"/>
                <w:rFonts w:ascii="Times New Roman" w:hAnsi="Times New Roman"/>
              </w:rPr>
              <w:t>xposures shall be reported where</w:t>
            </w:r>
            <w:r w:rsidRPr="00975F7A">
              <w:rPr>
                <w:rStyle w:val="InstructionsTabelleText"/>
                <w:rFonts w:ascii="Times New Roman" w:hAnsi="Times New Roman"/>
              </w:rPr>
              <w:br/>
              <w:t>the obligors would have been reported if those exposures were not assigned to the</w:t>
            </w:r>
            <w:r>
              <w:rPr>
                <w:rStyle w:val="InstructionsTabelleText"/>
                <w:rFonts w:ascii="Times New Roman" w:hAnsi="Times New Roman"/>
              </w:rPr>
              <w:t xml:space="preserve"> exposure classes 'in default'</w:t>
            </w:r>
            <w:r w:rsidRPr="00975F7A">
              <w:rPr>
                <w:rStyle w:val="InstructionsTabelleText"/>
                <w:rFonts w:ascii="Times New Roman" w:hAnsi="Times New Roman"/>
              </w:rPr>
              <w:t xml:space="preserve">. </w:t>
            </w:r>
          </w:p>
          <w:p w:rsidR="0098215D" w:rsidRPr="00445562" w:rsidRDefault="0098215D" w:rsidP="006A579B">
            <w:pPr>
              <w:rPr>
                <w:rFonts w:ascii="Times New Roman" w:hAnsi="Times New Roman"/>
              </w:rPr>
            </w:pPr>
            <w:r w:rsidRPr="003105C6">
              <w:rPr>
                <w:rStyle w:val="InstructionsTabelleText"/>
                <w:rFonts w:ascii="Times New Roman" w:hAnsi="Times New Roman"/>
              </w:rPr>
              <w:t xml:space="preserve">This </w:t>
            </w:r>
            <w:r>
              <w:rPr>
                <w:rStyle w:val="InstructionsTabelleText"/>
                <w:rFonts w:ascii="Times New Roman" w:hAnsi="Times New Roman"/>
              </w:rPr>
              <w:t>information</w:t>
            </w:r>
            <w:r w:rsidRPr="003105C6">
              <w:rPr>
                <w:rStyle w:val="InstructionsTabelleText"/>
                <w:rFonts w:ascii="Times New Roman" w:hAnsi="Times New Roman"/>
              </w:rPr>
              <w:t xml:space="preserve"> is a </w:t>
            </w:r>
            <w:r>
              <w:rPr>
                <w:rStyle w:val="InstructionsTabelleText"/>
                <w:rFonts w:ascii="Times New Roman" w:hAnsi="Times New Roman"/>
              </w:rPr>
              <w:t>‘</w:t>
            </w:r>
            <w:r w:rsidRPr="003105C6">
              <w:rPr>
                <w:rStyle w:val="InstructionsTabelleText"/>
                <w:rFonts w:ascii="Times New Roman" w:hAnsi="Times New Roman"/>
              </w:rPr>
              <w:t>memorandum item</w:t>
            </w:r>
            <w:r>
              <w:rPr>
                <w:rStyle w:val="InstructionsTabelleText"/>
                <w:rFonts w:ascii="Times New Roman" w:hAnsi="Times New Roman"/>
              </w:rPr>
              <w:t>’</w:t>
            </w:r>
            <w:r w:rsidRPr="003105C6">
              <w:rPr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rFonts w:ascii="Times New Roman" w:hAnsi="Times New Roman"/>
              </w:rPr>
              <w:t xml:space="preserve">– hence </w:t>
            </w:r>
            <w:r w:rsidRPr="003105C6">
              <w:rPr>
                <w:rStyle w:val="InstructionsTabelleText"/>
                <w:rFonts w:ascii="Times New Roman" w:hAnsi="Times New Roman"/>
              </w:rPr>
              <w:t>does not affect the calculation of risk weighted exp</w:t>
            </w:r>
            <w:r w:rsidRPr="003105C6">
              <w:rPr>
                <w:rStyle w:val="InstructionsTabelleText"/>
                <w:rFonts w:ascii="Times New Roman" w:hAnsi="Times New Roman"/>
              </w:rPr>
              <w:t>o</w:t>
            </w:r>
            <w:r w:rsidRPr="003105C6">
              <w:rPr>
                <w:rStyle w:val="InstructionsTabelleText"/>
                <w:rFonts w:ascii="Times New Roman" w:hAnsi="Times New Roman"/>
              </w:rPr>
              <w:t>sure amounts of exposure class “in default” according to Article 107 point (j) of CRR.</w:t>
            </w:r>
          </w:p>
        </w:tc>
      </w:tr>
      <w:tr w:rsidR="0098215D" w:rsidRPr="0017440D" w:rsidTr="00D20C67">
        <w:tc>
          <w:tcPr>
            <w:tcW w:w="1188" w:type="dxa"/>
          </w:tcPr>
          <w:p w:rsidR="0098215D" w:rsidRDefault="0098215D" w:rsidP="00BF1028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030</w:t>
            </w:r>
          </w:p>
        </w:tc>
        <w:tc>
          <w:tcPr>
            <w:tcW w:w="8640" w:type="dxa"/>
          </w:tcPr>
          <w:p w:rsidR="0098215D" w:rsidRPr="0017440D" w:rsidRDefault="0098215D" w:rsidP="00D20C67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3105C6">
              <w:rPr>
                <w:rFonts w:ascii="Times New Roman" w:hAnsi="Times New Roman"/>
                <w:b/>
                <w:szCs w:val="20"/>
                <w:u w:val="single"/>
              </w:rPr>
              <w:t>Exposure value</w:t>
            </w:r>
          </w:p>
          <w:p w:rsidR="0098215D" w:rsidRPr="0017440D" w:rsidRDefault="0098215D" w:rsidP="003C60B9">
            <w:pPr>
              <w:rPr>
                <w:rStyle w:val="InstructionsTabelleText"/>
                <w:rFonts w:ascii="Times New Roman" w:hAnsi="Times New Roman"/>
              </w:rPr>
            </w:pPr>
            <w:r>
              <w:rPr>
                <w:rStyle w:val="InstructionsTabelleText"/>
                <w:rFonts w:ascii="Times New Roman" w:hAnsi="Times New Roman"/>
              </w:rPr>
              <w:t>Same definition as for column 200 of CR SA template</w:t>
            </w:r>
          </w:p>
        </w:tc>
      </w:tr>
      <w:tr w:rsidR="0098215D" w:rsidRPr="0017440D" w:rsidTr="00D20C67">
        <w:tc>
          <w:tcPr>
            <w:tcW w:w="1188" w:type="dxa"/>
          </w:tcPr>
          <w:p w:rsidR="0098215D" w:rsidRDefault="0098215D" w:rsidP="00BF1028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040</w:t>
            </w:r>
          </w:p>
        </w:tc>
        <w:tc>
          <w:tcPr>
            <w:tcW w:w="8640" w:type="dxa"/>
          </w:tcPr>
          <w:p w:rsidR="0098215D" w:rsidRDefault="0098215D" w:rsidP="00D20C67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>Observed new defaults for the period</w:t>
            </w:r>
          </w:p>
          <w:p w:rsidR="0098215D" w:rsidRPr="003105C6" w:rsidRDefault="0098215D" w:rsidP="009D366E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</w:rPr>
              <w:t>.</w:t>
            </w:r>
            <w:r w:rsidR="009D366E">
              <w:rPr>
                <w:rStyle w:val="InstructionsTabelleText"/>
                <w:rFonts w:ascii="Times New Roman" w:hAnsi="Times New Roman"/>
              </w:rPr>
              <w:t xml:space="preserve"> R</w:t>
            </w:r>
            <w:r w:rsidR="009D366E" w:rsidRPr="009D366E">
              <w:rPr>
                <w:rStyle w:val="InstructionsTabelleText"/>
                <w:rFonts w:ascii="Times New Roman" w:hAnsi="Times New Roman"/>
              </w:rPr>
              <w:t>epresent the amount of original exposures which have moved into exposure class “Exposures in d</w:t>
            </w:r>
            <w:r w:rsidR="009D366E" w:rsidRPr="009D366E">
              <w:rPr>
                <w:rStyle w:val="InstructionsTabelleText"/>
                <w:rFonts w:ascii="Times New Roman" w:hAnsi="Times New Roman"/>
              </w:rPr>
              <w:t>e</w:t>
            </w:r>
            <w:r w:rsidR="009D366E" w:rsidRPr="009D366E">
              <w:rPr>
                <w:rStyle w:val="InstructionsTabelleText"/>
                <w:rFonts w:ascii="Times New Roman" w:hAnsi="Times New Roman"/>
              </w:rPr>
              <w:t xml:space="preserve">fault” </w:t>
            </w:r>
            <w:r w:rsidR="009D366E">
              <w:rPr>
                <w:rStyle w:val="InstructionsTabelleText"/>
                <w:rFonts w:ascii="Times New Roman" w:hAnsi="Times New Roman"/>
              </w:rPr>
              <w:t>during the 3-month period since the last reporting reference date</w:t>
            </w:r>
            <w:r w:rsidR="009D366E" w:rsidRPr="009D366E">
              <w:rPr>
                <w:rStyle w:val="InstructionsTabelleText"/>
                <w:rFonts w:ascii="Times New Roman" w:hAnsi="Times New Roman"/>
              </w:rPr>
              <w:t>, but here are reported against the exposure class to which the obligor originally belonged</w:t>
            </w:r>
            <w:r w:rsidR="009D366E">
              <w:rPr>
                <w:rStyle w:val="InstructionsTabelleText"/>
                <w:rFonts w:ascii="Times New Roman" w:hAnsi="Times New Roman"/>
              </w:rPr>
              <w:t>.</w:t>
            </w:r>
          </w:p>
        </w:tc>
      </w:tr>
      <w:tr w:rsidR="0098215D" w:rsidRPr="0017440D" w:rsidTr="00D20C67">
        <w:tc>
          <w:tcPr>
            <w:tcW w:w="1188" w:type="dxa"/>
          </w:tcPr>
          <w:p w:rsidR="0098215D" w:rsidRDefault="0098215D" w:rsidP="00BF1028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050</w:t>
            </w:r>
          </w:p>
        </w:tc>
        <w:tc>
          <w:tcPr>
            <w:tcW w:w="8640" w:type="dxa"/>
          </w:tcPr>
          <w:p w:rsidR="0098215D" w:rsidRDefault="00274079" w:rsidP="00D20C67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>General c</w:t>
            </w:r>
            <w:r w:rsidR="0098215D">
              <w:rPr>
                <w:rFonts w:ascii="Times New Roman" w:hAnsi="Times New Roman"/>
                <w:b/>
                <w:szCs w:val="20"/>
                <w:u w:val="single"/>
              </w:rPr>
              <w:t>redit risk adjustments</w:t>
            </w:r>
          </w:p>
          <w:p w:rsidR="0098215D" w:rsidRPr="003105C6" w:rsidRDefault="0098215D" w:rsidP="009F7FF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C</w:t>
            </w:r>
            <w:r w:rsidRPr="009E2A46">
              <w:rPr>
                <w:rFonts w:ascii="Times New Roman" w:hAnsi="Times New Roman"/>
              </w:rPr>
              <w:t>redit risk adjustments</w:t>
            </w:r>
            <w:r>
              <w:rPr>
                <w:rFonts w:ascii="Times New Roman" w:hAnsi="Times New Roman"/>
              </w:rPr>
              <w:t xml:space="preserve"> according to </w:t>
            </w:r>
            <w:r w:rsidR="009F7FF8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rticle 105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="009F7FF8">
              <w:rPr>
                <w:rFonts w:ascii="Times New Roman" w:hAnsi="Times New Roman"/>
              </w:rPr>
              <w:t>(</w:t>
            </w:r>
            <w:proofErr w:type="gramEnd"/>
            <w:r>
              <w:rPr>
                <w:rFonts w:ascii="Times New Roman" w:hAnsi="Times New Roman"/>
              </w:rPr>
              <w:t>4</w:t>
            </w:r>
            <w:r w:rsidR="009F7FF8">
              <w:rPr>
                <w:rFonts w:ascii="Times New Roman" w:hAnsi="Times New Roman"/>
              </w:rPr>
              <w:t>) point</w:t>
            </w:r>
            <w:r>
              <w:rPr>
                <w:rFonts w:ascii="Times New Roman" w:hAnsi="Times New Roman"/>
              </w:rPr>
              <w:t xml:space="preserve"> </w:t>
            </w:r>
            <w:r w:rsidR="009F7FF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a</w:t>
            </w:r>
            <w:r w:rsidR="009F7FF8">
              <w:rPr>
                <w:rFonts w:ascii="Times New Roman" w:hAnsi="Times New Roman"/>
              </w:rPr>
              <w:t>) of CRR</w:t>
            </w:r>
            <w:r>
              <w:rPr>
                <w:rFonts w:ascii="Times New Roman" w:hAnsi="Times New Roman"/>
              </w:rPr>
              <w:t xml:space="preserve">. </w:t>
            </w:r>
          </w:p>
        </w:tc>
      </w:tr>
      <w:tr w:rsidR="00274079" w:rsidRPr="0017440D" w:rsidTr="00D20C67">
        <w:tc>
          <w:tcPr>
            <w:tcW w:w="1188" w:type="dxa"/>
          </w:tcPr>
          <w:p w:rsidR="00274079" w:rsidRDefault="00274079" w:rsidP="00BF1028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055</w:t>
            </w:r>
          </w:p>
        </w:tc>
        <w:tc>
          <w:tcPr>
            <w:tcW w:w="8640" w:type="dxa"/>
          </w:tcPr>
          <w:p w:rsidR="00274079" w:rsidRDefault="00274079" w:rsidP="00D20C67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74079">
              <w:rPr>
                <w:rFonts w:ascii="Times New Roman" w:hAnsi="Times New Roman"/>
                <w:b/>
                <w:szCs w:val="20"/>
                <w:u w:val="single"/>
              </w:rPr>
              <w:t>Specific credit risk adjustments</w:t>
            </w:r>
          </w:p>
          <w:p w:rsidR="00274079" w:rsidRDefault="00274079" w:rsidP="00D20C67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C</w:t>
            </w:r>
            <w:r w:rsidRPr="009E2A46">
              <w:rPr>
                <w:rFonts w:ascii="Times New Roman" w:hAnsi="Times New Roman"/>
              </w:rPr>
              <w:t>redit risk adjustments</w:t>
            </w:r>
            <w:r>
              <w:rPr>
                <w:rFonts w:ascii="Times New Roman" w:hAnsi="Times New Roman"/>
              </w:rPr>
              <w:t xml:space="preserve"> according to Article 105</w:t>
            </w:r>
            <w:proofErr w:type="gramStart"/>
            <w:r>
              <w:rPr>
                <w:rFonts w:ascii="Times New Roman" w:hAnsi="Times New Roman"/>
              </w:rPr>
              <w:t>.(</w:t>
            </w:r>
            <w:proofErr w:type="gramEnd"/>
            <w:r>
              <w:rPr>
                <w:rFonts w:ascii="Times New Roman" w:hAnsi="Times New Roman"/>
              </w:rPr>
              <w:t>4) point (a) of CRR.</w:t>
            </w:r>
          </w:p>
        </w:tc>
      </w:tr>
      <w:tr w:rsidR="0098215D" w:rsidRPr="0017440D" w:rsidTr="00D20C67">
        <w:tc>
          <w:tcPr>
            <w:tcW w:w="1188" w:type="dxa"/>
          </w:tcPr>
          <w:p w:rsidR="0098215D" w:rsidRDefault="0098215D" w:rsidP="00BF1028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060</w:t>
            </w:r>
          </w:p>
        </w:tc>
        <w:tc>
          <w:tcPr>
            <w:tcW w:w="8640" w:type="dxa"/>
          </w:tcPr>
          <w:p w:rsidR="0098215D" w:rsidRDefault="00D62CE1" w:rsidP="00D20C67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>W</w:t>
            </w:r>
            <w:r w:rsidR="0098215D">
              <w:rPr>
                <w:rFonts w:ascii="Times New Roman" w:hAnsi="Times New Roman"/>
                <w:b/>
                <w:szCs w:val="20"/>
                <w:u w:val="single"/>
              </w:rPr>
              <w:t>rite-offs</w:t>
            </w:r>
          </w:p>
          <w:p w:rsidR="0098215D" w:rsidRPr="003105C6" w:rsidRDefault="0098215D" w:rsidP="009E2A46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BB0BFD">
              <w:rPr>
                <w:rStyle w:val="InstructionsTabelleText"/>
                <w:rFonts w:ascii="Times New Roman" w:hAnsi="Times New Roman"/>
              </w:rPr>
              <w:t>Write-offs include both reductions of the carrying of impaired financial assets recognised directly in profit or loss [IFRS 7.B5</w:t>
            </w:r>
            <w:proofErr w:type="gramStart"/>
            <w:r w:rsidRPr="00BB0BFD">
              <w:rPr>
                <w:rStyle w:val="InstructionsTabelleText"/>
                <w:rFonts w:ascii="Times New Roman" w:hAnsi="Times New Roman"/>
              </w:rPr>
              <w:t>.(</w:t>
            </w:r>
            <w:proofErr w:type="gramEnd"/>
            <w:r w:rsidRPr="00BB0BFD">
              <w:rPr>
                <w:rStyle w:val="InstructionsTabelleText"/>
                <w:rFonts w:ascii="Times New Roman" w:hAnsi="Times New Roman"/>
              </w:rPr>
              <w:t>d).(i)] and reductions in the amounts of the allowance accounts charged against the impaired financial assets [IFRS 7.B5.(d).(ii)]</w:t>
            </w:r>
            <w:r>
              <w:rPr>
                <w:rStyle w:val="InstructionsTabelleText"/>
                <w:rFonts w:ascii="Times New Roman" w:hAnsi="Times New Roman"/>
              </w:rPr>
              <w:t>.</w:t>
            </w:r>
          </w:p>
        </w:tc>
      </w:tr>
      <w:tr w:rsidR="0098215D" w:rsidRPr="0017440D" w:rsidTr="00D20C67">
        <w:tc>
          <w:tcPr>
            <w:tcW w:w="1188" w:type="dxa"/>
          </w:tcPr>
          <w:p w:rsidR="0098215D" w:rsidRDefault="0098215D" w:rsidP="00BF1028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070</w:t>
            </w:r>
          </w:p>
        </w:tc>
        <w:tc>
          <w:tcPr>
            <w:tcW w:w="8640" w:type="dxa"/>
          </w:tcPr>
          <w:p w:rsidR="0098215D" w:rsidRDefault="0098215D" w:rsidP="00D20C67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>Credit risk adjustments/write-offs for observed new defaults</w:t>
            </w:r>
          </w:p>
          <w:p w:rsidR="0098215D" w:rsidRPr="003105C6" w:rsidRDefault="0098215D" w:rsidP="0081495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</w:rPr>
              <w:t xml:space="preserve">Sum of credit risk adjustments and write-offs for those exposures which were classified as “defaulted exposures” during the </w:t>
            </w:r>
            <w:r w:rsidR="00541848">
              <w:rPr>
                <w:rStyle w:val="InstructionsTabelleText"/>
                <w:rFonts w:ascii="Times New Roman" w:hAnsi="Times New Roman"/>
              </w:rPr>
              <w:t>3-month period since the last data submission</w:t>
            </w:r>
            <w:r>
              <w:rPr>
                <w:rStyle w:val="InstructionsTabelleText"/>
                <w:rFonts w:ascii="Times New Roman" w:hAnsi="Times New Roman"/>
              </w:rPr>
              <w:t>.</w:t>
            </w:r>
          </w:p>
        </w:tc>
      </w:tr>
      <w:tr w:rsidR="00C345ED" w:rsidRPr="0017440D" w:rsidTr="00D20C67">
        <w:tc>
          <w:tcPr>
            <w:tcW w:w="1188" w:type="dxa"/>
          </w:tcPr>
          <w:p w:rsidR="00C345ED" w:rsidRDefault="00C345ED" w:rsidP="00BF1028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080</w:t>
            </w:r>
          </w:p>
        </w:tc>
        <w:tc>
          <w:tcPr>
            <w:tcW w:w="8640" w:type="dxa"/>
          </w:tcPr>
          <w:p w:rsidR="00C345ED" w:rsidRPr="0017440D" w:rsidRDefault="00C345ED" w:rsidP="00C345E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3105C6">
              <w:rPr>
                <w:rFonts w:ascii="Times New Roman" w:hAnsi="Times New Roman"/>
                <w:b/>
                <w:szCs w:val="20"/>
                <w:u w:val="single"/>
              </w:rPr>
              <w:t>RISK WEIGHTED EXPOSURE AMOUNT</w:t>
            </w:r>
          </w:p>
          <w:p w:rsidR="00C345ED" w:rsidRDefault="00C345ED" w:rsidP="00D20C67">
            <w:pPr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</w:tbl>
    <w:p w:rsidR="0098215D" w:rsidRPr="0017440D" w:rsidRDefault="0098215D" w:rsidP="00884FEB">
      <w:pPr>
        <w:rPr>
          <w:rFonts w:ascii="Times New Roman" w:hAnsi="Times New Roman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8"/>
        <w:gridCol w:w="8640"/>
        <w:gridCol w:w="61"/>
      </w:tblGrid>
      <w:tr w:rsidR="0098215D" w:rsidRPr="0017440D" w:rsidTr="008815ED">
        <w:trPr>
          <w:gridAfter w:val="1"/>
          <w:wAfter w:w="61" w:type="dxa"/>
          <w:trHeight w:val="581"/>
        </w:trPr>
        <w:tc>
          <w:tcPr>
            <w:tcW w:w="9828" w:type="dxa"/>
            <w:gridSpan w:val="2"/>
            <w:shd w:val="clear" w:color="auto" w:fill="CCCCCC"/>
          </w:tcPr>
          <w:p w:rsidR="0098215D" w:rsidRPr="0017440D" w:rsidRDefault="0098215D" w:rsidP="008815ED">
            <w:pPr>
              <w:spacing w:after="0"/>
              <w:rPr>
                <w:rStyle w:val="InstructionsTabelleText"/>
                <w:rFonts w:ascii="Times New Roman" w:hAnsi="Times New Roman"/>
                <w:b/>
              </w:rPr>
            </w:pPr>
            <w:r>
              <w:rPr>
                <w:rStyle w:val="InstructionsTabelleText"/>
                <w:rFonts w:ascii="Times New Roman" w:hAnsi="Times New Roman"/>
                <w:b/>
              </w:rPr>
              <w:t>Rows</w:t>
            </w:r>
          </w:p>
        </w:tc>
      </w:tr>
      <w:tr w:rsidR="0098215D" w:rsidRPr="0017440D" w:rsidTr="008815ED">
        <w:tc>
          <w:tcPr>
            <w:tcW w:w="1188" w:type="dxa"/>
            <w:shd w:val="clear" w:color="auto" w:fill="FFFFFF"/>
          </w:tcPr>
          <w:p w:rsidR="0098215D" w:rsidRPr="00445FEB" w:rsidRDefault="0098215D" w:rsidP="00D20C67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010</w:t>
            </w:r>
          </w:p>
        </w:tc>
        <w:tc>
          <w:tcPr>
            <w:tcW w:w="8701" w:type="dxa"/>
            <w:gridSpan w:val="2"/>
            <w:shd w:val="clear" w:color="auto" w:fill="FFFFFF"/>
          </w:tcPr>
          <w:p w:rsidR="0098215D" w:rsidRPr="00445FEB" w:rsidRDefault="0098215D" w:rsidP="00D20C67">
            <w:pPr>
              <w:ind w:left="72"/>
              <w:rPr>
                <w:rStyle w:val="InstructionsTabelleberschrift"/>
                <w:rFonts w:ascii="Times New Roman" w:hAnsi="Times New Roman"/>
              </w:rPr>
            </w:pPr>
            <w:r w:rsidRPr="00445FEB">
              <w:rPr>
                <w:rStyle w:val="InstructionsTabelleberschrift"/>
                <w:rFonts w:ascii="Times New Roman" w:hAnsi="Times New Roman"/>
              </w:rPr>
              <w:t>Central governments or central banks</w:t>
            </w:r>
          </w:p>
          <w:p w:rsidR="0098215D" w:rsidRPr="00445FEB" w:rsidRDefault="0098215D" w:rsidP="00AD061B">
            <w:pPr>
              <w:ind w:left="72"/>
              <w:rPr>
                <w:rStyle w:val="InstructionsTabelleText"/>
                <w:rFonts w:ascii="Times New Roman" w:hAnsi="Times New Roman"/>
              </w:rPr>
            </w:pPr>
            <w:r w:rsidRPr="00445FEB">
              <w:rPr>
                <w:rFonts w:ascii="Times New Roman" w:hAnsi="Times New Roman"/>
              </w:rPr>
              <w:t>Article 107 point (a) of CRR.</w:t>
            </w:r>
          </w:p>
        </w:tc>
      </w:tr>
      <w:tr w:rsidR="0098215D" w:rsidRPr="0017440D" w:rsidTr="008815ED">
        <w:tc>
          <w:tcPr>
            <w:tcW w:w="1188" w:type="dxa"/>
            <w:shd w:val="clear" w:color="auto" w:fill="FFFFFF"/>
          </w:tcPr>
          <w:p w:rsidR="0098215D" w:rsidRPr="00445FEB" w:rsidRDefault="0098215D" w:rsidP="00D20C67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020</w:t>
            </w:r>
          </w:p>
        </w:tc>
        <w:tc>
          <w:tcPr>
            <w:tcW w:w="8701" w:type="dxa"/>
            <w:gridSpan w:val="2"/>
            <w:shd w:val="clear" w:color="auto" w:fill="FFFFFF"/>
          </w:tcPr>
          <w:p w:rsidR="0098215D" w:rsidRPr="00445FEB" w:rsidRDefault="0098215D" w:rsidP="00D20C67">
            <w:pPr>
              <w:ind w:left="72"/>
              <w:rPr>
                <w:rStyle w:val="InstructionsTabelleberschrift"/>
                <w:rFonts w:ascii="Times New Roman" w:hAnsi="Times New Roman"/>
              </w:rPr>
            </w:pPr>
            <w:r w:rsidRPr="00445FEB">
              <w:rPr>
                <w:rStyle w:val="InstructionsTabelleberschrift"/>
                <w:rFonts w:ascii="Times New Roman" w:hAnsi="Times New Roman"/>
              </w:rPr>
              <w:t>Regional governments or local authorities</w:t>
            </w:r>
          </w:p>
          <w:p w:rsidR="0098215D" w:rsidRPr="00445FEB" w:rsidRDefault="0098215D" w:rsidP="00AD061B">
            <w:pPr>
              <w:ind w:left="72"/>
              <w:rPr>
                <w:rStyle w:val="InstructionsTabelleberschrift"/>
                <w:rFonts w:ascii="Times New Roman" w:hAnsi="Times New Roman"/>
              </w:rPr>
            </w:pPr>
            <w:r w:rsidRPr="00445FEB">
              <w:rPr>
                <w:rFonts w:ascii="Times New Roman" w:hAnsi="Times New Roman"/>
                <w:bCs/>
              </w:rPr>
              <w:t>Article 107 point (b) of CRR.</w:t>
            </w:r>
          </w:p>
        </w:tc>
      </w:tr>
      <w:tr w:rsidR="0098215D" w:rsidRPr="0017440D" w:rsidTr="008815ED">
        <w:tc>
          <w:tcPr>
            <w:tcW w:w="1188" w:type="dxa"/>
            <w:shd w:val="clear" w:color="auto" w:fill="FFFFFF"/>
          </w:tcPr>
          <w:p w:rsidR="0098215D" w:rsidRPr="00445FEB" w:rsidRDefault="0098215D" w:rsidP="00D20C67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030</w:t>
            </w:r>
          </w:p>
        </w:tc>
        <w:tc>
          <w:tcPr>
            <w:tcW w:w="8701" w:type="dxa"/>
            <w:gridSpan w:val="2"/>
            <w:shd w:val="clear" w:color="auto" w:fill="FFFFFF"/>
          </w:tcPr>
          <w:p w:rsidR="0098215D" w:rsidRPr="00445FEB" w:rsidRDefault="0098215D" w:rsidP="00D20C67">
            <w:pPr>
              <w:ind w:left="72"/>
              <w:rPr>
                <w:rStyle w:val="InstructionsTabelleberschrift"/>
                <w:rFonts w:ascii="Times New Roman" w:hAnsi="Times New Roman"/>
              </w:rPr>
            </w:pPr>
            <w:r w:rsidRPr="00445FEB">
              <w:rPr>
                <w:rStyle w:val="InstructionsTabelleberschrift"/>
                <w:rFonts w:ascii="Times New Roman" w:hAnsi="Times New Roman"/>
              </w:rPr>
              <w:t>Public sector entities</w:t>
            </w:r>
          </w:p>
          <w:p w:rsidR="0098215D" w:rsidRPr="00445FEB" w:rsidRDefault="0098215D" w:rsidP="00AD061B">
            <w:pPr>
              <w:ind w:left="72"/>
              <w:rPr>
                <w:rStyle w:val="InstructionsTabelleberschrift"/>
                <w:rFonts w:ascii="Times New Roman" w:hAnsi="Times New Roman"/>
              </w:rPr>
            </w:pPr>
            <w:r w:rsidRPr="00445FEB">
              <w:rPr>
                <w:rFonts w:ascii="Times New Roman" w:hAnsi="Times New Roman"/>
                <w:bCs/>
              </w:rPr>
              <w:t>Article 107 point (c) of CRR.</w:t>
            </w:r>
          </w:p>
        </w:tc>
      </w:tr>
      <w:tr w:rsidR="0098215D" w:rsidRPr="0017440D" w:rsidTr="008815ED">
        <w:tc>
          <w:tcPr>
            <w:tcW w:w="1188" w:type="dxa"/>
            <w:shd w:val="clear" w:color="auto" w:fill="FFFFFF"/>
          </w:tcPr>
          <w:p w:rsidR="0098215D" w:rsidRPr="00445FEB" w:rsidRDefault="0098215D" w:rsidP="00D20C67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040</w:t>
            </w:r>
          </w:p>
        </w:tc>
        <w:tc>
          <w:tcPr>
            <w:tcW w:w="8701" w:type="dxa"/>
            <w:gridSpan w:val="2"/>
            <w:shd w:val="clear" w:color="auto" w:fill="FFFFFF"/>
          </w:tcPr>
          <w:p w:rsidR="0098215D" w:rsidRPr="00445FEB" w:rsidRDefault="0098215D" w:rsidP="00D20C67">
            <w:pPr>
              <w:ind w:left="72"/>
              <w:rPr>
                <w:rStyle w:val="InstructionsTabelleberschrift"/>
                <w:rFonts w:ascii="Times New Roman" w:hAnsi="Times New Roman"/>
              </w:rPr>
            </w:pPr>
            <w:r w:rsidRPr="00445FEB">
              <w:rPr>
                <w:rStyle w:val="InstructionsTabelleberschrift"/>
                <w:rFonts w:ascii="Times New Roman" w:hAnsi="Times New Roman"/>
              </w:rPr>
              <w:t>Multilateral developments banks</w:t>
            </w:r>
          </w:p>
          <w:p w:rsidR="0098215D" w:rsidRPr="00445FEB" w:rsidRDefault="0098215D" w:rsidP="00AD061B">
            <w:pPr>
              <w:ind w:left="72"/>
              <w:rPr>
                <w:rStyle w:val="InstructionsTabelleberschrift"/>
                <w:rFonts w:ascii="Times New Roman" w:hAnsi="Times New Roman"/>
              </w:rPr>
            </w:pPr>
            <w:r w:rsidRPr="00445FEB">
              <w:rPr>
                <w:rStyle w:val="InstructionsTabelleText"/>
                <w:rFonts w:ascii="Times New Roman" w:hAnsi="Times New Roman"/>
              </w:rPr>
              <w:t xml:space="preserve">Article 107 point (d) </w:t>
            </w:r>
            <w:r w:rsidRPr="00445FEB">
              <w:rPr>
                <w:rFonts w:ascii="Times New Roman" w:hAnsi="Times New Roman"/>
                <w:bCs/>
              </w:rPr>
              <w:t>of CRR.</w:t>
            </w:r>
          </w:p>
        </w:tc>
      </w:tr>
      <w:tr w:rsidR="0098215D" w:rsidRPr="0017440D" w:rsidTr="008815ED">
        <w:tc>
          <w:tcPr>
            <w:tcW w:w="1188" w:type="dxa"/>
            <w:shd w:val="clear" w:color="auto" w:fill="FFFFFF"/>
          </w:tcPr>
          <w:p w:rsidR="0098215D" w:rsidRPr="00445FEB" w:rsidRDefault="0098215D" w:rsidP="00D20C67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050</w:t>
            </w:r>
          </w:p>
        </w:tc>
        <w:tc>
          <w:tcPr>
            <w:tcW w:w="8701" w:type="dxa"/>
            <w:gridSpan w:val="2"/>
            <w:shd w:val="clear" w:color="auto" w:fill="FFFFFF"/>
          </w:tcPr>
          <w:p w:rsidR="0098215D" w:rsidRPr="00445FEB" w:rsidRDefault="0098215D" w:rsidP="00D20C67">
            <w:pPr>
              <w:ind w:left="72"/>
              <w:rPr>
                <w:rStyle w:val="InstructionsTabelleberschrift"/>
                <w:rFonts w:ascii="Times New Roman" w:hAnsi="Times New Roman"/>
              </w:rPr>
            </w:pPr>
            <w:r w:rsidRPr="00445FEB">
              <w:rPr>
                <w:rStyle w:val="InstructionsTabelleberschrift"/>
                <w:rFonts w:ascii="Times New Roman" w:hAnsi="Times New Roman"/>
              </w:rPr>
              <w:t>International organisations</w:t>
            </w:r>
          </w:p>
          <w:p w:rsidR="0098215D" w:rsidRPr="00445FEB" w:rsidRDefault="0098215D" w:rsidP="00AD061B">
            <w:pPr>
              <w:ind w:left="72"/>
              <w:rPr>
                <w:rStyle w:val="InstructionsTabelleberschrift"/>
                <w:rFonts w:ascii="Times New Roman" w:hAnsi="Times New Roman"/>
              </w:rPr>
            </w:pPr>
            <w:r w:rsidRPr="00445FEB">
              <w:rPr>
                <w:rFonts w:ascii="Times New Roman" w:hAnsi="Times New Roman"/>
                <w:bCs/>
              </w:rPr>
              <w:t>Article 107 point (e) of CRR.</w:t>
            </w:r>
          </w:p>
        </w:tc>
      </w:tr>
      <w:tr w:rsidR="0098215D" w:rsidRPr="0017440D" w:rsidTr="008815ED">
        <w:tc>
          <w:tcPr>
            <w:tcW w:w="1188" w:type="dxa"/>
            <w:shd w:val="clear" w:color="auto" w:fill="FFFFFF"/>
          </w:tcPr>
          <w:p w:rsidR="0098215D" w:rsidRPr="00445FEB" w:rsidRDefault="0098215D" w:rsidP="00D20C67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060</w:t>
            </w:r>
          </w:p>
        </w:tc>
        <w:tc>
          <w:tcPr>
            <w:tcW w:w="8701" w:type="dxa"/>
            <w:gridSpan w:val="2"/>
            <w:shd w:val="clear" w:color="auto" w:fill="FFFFFF"/>
          </w:tcPr>
          <w:p w:rsidR="0098215D" w:rsidRPr="00445FEB" w:rsidRDefault="0098215D" w:rsidP="00D20C67">
            <w:pPr>
              <w:ind w:left="72"/>
              <w:rPr>
                <w:rStyle w:val="InstructionsTabelleberschrift"/>
                <w:rFonts w:ascii="Times New Roman" w:hAnsi="Times New Roman"/>
              </w:rPr>
            </w:pPr>
            <w:r w:rsidRPr="00445FEB">
              <w:rPr>
                <w:rStyle w:val="InstructionsTabelleberschrift"/>
                <w:rFonts w:ascii="Times New Roman" w:hAnsi="Times New Roman"/>
              </w:rPr>
              <w:t>Institutions</w:t>
            </w:r>
          </w:p>
          <w:p w:rsidR="0098215D" w:rsidRPr="00445FEB" w:rsidRDefault="0098215D" w:rsidP="00AD061B">
            <w:pPr>
              <w:ind w:left="72"/>
              <w:rPr>
                <w:rStyle w:val="InstructionsTabelleberschrift"/>
                <w:rFonts w:ascii="Times New Roman" w:hAnsi="Times New Roman"/>
              </w:rPr>
            </w:pPr>
            <w:r w:rsidRPr="00445FEB">
              <w:rPr>
                <w:rFonts w:ascii="Times New Roman" w:hAnsi="Times New Roman"/>
                <w:bCs/>
              </w:rPr>
              <w:t>Article 107 point (f) of CRR.</w:t>
            </w:r>
          </w:p>
        </w:tc>
      </w:tr>
      <w:tr w:rsidR="0098215D" w:rsidRPr="0017440D" w:rsidTr="008815ED">
        <w:tc>
          <w:tcPr>
            <w:tcW w:w="1188" w:type="dxa"/>
            <w:shd w:val="clear" w:color="auto" w:fill="FFFFFF"/>
          </w:tcPr>
          <w:p w:rsidR="0098215D" w:rsidRPr="00445FEB" w:rsidRDefault="0098215D" w:rsidP="00D20C67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070</w:t>
            </w:r>
          </w:p>
        </w:tc>
        <w:tc>
          <w:tcPr>
            <w:tcW w:w="8701" w:type="dxa"/>
            <w:gridSpan w:val="2"/>
            <w:shd w:val="clear" w:color="auto" w:fill="FFFFFF"/>
          </w:tcPr>
          <w:p w:rsidR="0098215D" w:rsidRPr="00445FEB" w:rsidRDefault="0098215D" w:rsidP="00D20C67">
            <w:pPr>
              <w:ind w:left="72"/>
              <w:rPr>
                <w:rStyle w:val="InstructionsTabelleberschrift"/>
                <w:rFonts w:ascii="Times New Roman" w:hAnsi="Times New Roman"/>
              </w:rPr>
            </w:pPr>
            <w:r w:rsidRPr="00445FEB">
              <w:rPr>
                <w:rStyle w:val="InstructionsTabelleberschrift"/>
                <w:rFonts w:ascii="Times New Roman" w:hAnsi="Times New Roman"/>
              </w:rPr>
              <w:t>Corporates</w:t>
            </w:r>
          </w:p>
          <w:p w:rsidR="0098215D" w:rsidRPr="00445FEB" w:rsidRDefault="0098215D" w:rsidP="00AD061B">
            <w:pPr>
              <w:ind w:left="72"/>
              <w:rPr>
                <w:rStyle w:val="InstructionsTabelleberschrift"/>
                <w:rFonts w:ascii="Times New Roman" w:hAnsi="Times New Roman"/>
              </w:rPr>
            </w:pPr>
            <w:r w:rsidRPr="00445FEB">
              <w:rPr>
                <w:rFonts w:ascii="Times New Roman" w:hAnsi="Times New Roman"/>
                <w:bCs/>
              </w:rPr>
              <w:t>Article 107 point (g) of CRR.</w:t>
            </w:r>
          </w:p>
        </w:tc>
      </w:tr>
      <w:tr w:rsidR="0098215D" w:rsidRPr="0017440D" w:rsidTr="008815ED">
        <w:tc>
          <w:tcPr>
            <w:tcW w:w="1188" w:type="dxa"/>
            <w:shd w:val="clear" w:color="auto" w:fill="FFFFFF"/>
          </w:tcPr>
          <w:p w:rsidR="0098215D" w:rsidRPr="00445FEB" w:rsidRDefault="0098215D" w:rsidP="00D20C67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080</w:t>
            </w:r>
          </w:p>
        </w:tc>
        <w:tc>
          <w:tcPr>
            <w:tcW w:w="8701" w:type="dxa"/>
            <w:gridSpan w:val="2"/>
            <w:shd w:val="clear" w:color="auto" w:fill="FFFFFF"/>
          </w:tcPr>
          <w:p w:rsidR="0098215D" w:rsidRPr="00445FEB" w:rsidRDefault="0098215D" w:rsidP="00D20C67">
            <w:pPr>
              <w:ind w:left="72"/>
              <w:rPr>
                <w:rStyle w:val="InstructionsTabelleberschrift"/>
                <w:rFonts w:ascii="Times New Roman" w:hAnsi="Times New Roman"/>
              </w:rPr>
            </w:pPr>
            <w:r w:rsidRPr="00445FEB">
              <w:rPr>
                <w:rStyle w:val="InstructionsTabelleberschrift"/>
                <w:rFonts w:ascii="Times New Roman" w:hAnsi="Times New Roman"/>
              </w:rPr>
              <w:t>Retail</w:t>
            </w:r>
          </w:p>
          <w:p w:rsidR="0098215D" w:rsidRPr="00445FEB" w:rsidRDefault="0098215D" w:rsidP="00AD061B">
            <w:pPr>
              <w:ind w:left="72"/>
              <w:rPr>
                <w:rStyle w:val="InstructionsTabelleberschrift"/>
                <w:rFonts w:ascii="Times New Roman" w:hAnsi="Times New Roman"/>
              </w:rPr>
            </w:pPr>
            <w:r w:rsidRPr="00445FEB">
              <w:rPr>
                <w:rFonts w:ascii="Times New Roman" w:hAnsi="Times New Roman"/>
                <w:bCs/>
              </w:rPr>
              <w:t>Article 107 point (h) of CRR.</w:t>
            </w:r>
          </w:p>
        </w:tc>
      </w:tr>
      <w:tr w:rsidR="0098215D" w:rsidRPr="0017440D" w:rsidTr="008815ED">
        <w:tc>
          <w:tcPr>
            <w:tcW w:w="1188" w:type="dxa"/>
            <w:shd w:val="clear" w:color="auto" w:fill="FFFFFF"/>
          </w:tcPr>
          <w:p w:rsidR="0098215D" w:rsidRPr="00445FEB" w:rsidRDefault="0098215D" w:rsidP="00D20C67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090</w:t>
            </w:r>
          </w:p>
        </w:tc>
        <w:tc>
          <w:tcPr>
            <w:tcW w:w="8701" w:type="dxa"/>
            <w:gridSpan w:val="2"/>
            <w:shd w:val="clear" w:color="auto" w:fill="FFFFFF"/>
          </w:tcPr>
          <w:p w:rsidR="0098215D" w:rsidRPr="00445FEB" w:rsidRDefault="0098215D" w:rsidP="00D20C67">
            <w:pPr>
              <w:ind w:left="72"/>
              <w:rPr>
                <w:rStyle w:val="InstructionsTabelleberschrift"/>
                <w:rFonts w:ascii="Times New Roman" w:hAnsi="Times New Roman"/>
              </w:rPr>
            </w:pPr>
            <w:r w:rsidRPr="00445FEB">
              <w:rPr>
                <w:rStyle w:val="InstructionsTabelleberschrift"/>
                <w:rFonts w:ascii="Times New Roman" w:hAnsi="Times New Roman"/>
              </w:rPr>
              <w:t>Secured by mortgages on immovable property</w:t>
            </w:r>
          </w:p>
          <w:p w:rsidR="0098215D" w:rsidRPr="00445FEB" w:rsidRDefault="0098215D" w:rsidP="00AD061B">
            <w:pPr>
              <w:ind w:left="72"/>
              <w:rPr>
                <w:rStyle w:val="InstructionsTabelleText"/>
                <w:rFonts w:ascii="Times New Roman" w:hAnsi="Times New Roman"/>
              </w:rPr>
            </w:pPr>
            <w:r w:rsidRPr="00445FEB">
              <w:rPr>
                <w:rFonts w:ascii="Times New Roman" w:hAnsi="Times New Roman"/>
              </w:rPr>
              <w:t>Article 107 point (i) of CRR.</w:t>
            </w:r>
          </w:p>
        </w:tc>
      </w:tr>
      <w:tr w:rsidR="0098215D" w:rsidRPr="0017440D" w:rsidTr="008815ED">
        <w:tc>
          <w:tcPr>
            <w:tcW w:w="1188" w:type="dxa"/>
            <w:shd w:val="clear" w:color="auto" w:fill="FFFFFF"/>
          </w:tcPr>
          <w:p w:rsidR="0098215D" w:rsidRPr="00445FEB" w:rsidRDefault="0098215D" w:rsidP="00D20C67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100</w:t>
            </w:r>
          </w:p>
        </w:tc>
        <w:tc>
          <w:tcPr>
            <w:tcW w:w="8701" w:type="dxa"/>
            <w:gridSpan w:val="2"/>
            <w:shd w:val="clear" w:color="auto" w:fill="FFFFFF"/>
          </w:tcPr>
          <w:p w:rsidR="0098215D" w:rsidRPr="00445FEB" w:rsidRDefault="0098215D" w:rsidP="00D20C67">
            <w:pPr>
              <w:ind w:left="72"/>
              <w:rPr>
                <w:rStyle w:val="InstructionsTabelleberschrift"/>
                <w:rFonts w:ascii="Times New Roman" w:hAnsi="Times New Roman"/>
              </w:rPr>
            </w:pPr>
            <w:r w:rsidRPr="00445FEB">
              <w:rPr>
                <w:rStyle w:val="InstructionsTabelleberschrift"/>
                <w:rFonts w:ascii="Times New Roman" w:hAnsi="Times New Roman"/>
              </w:rPr>
              <w:t>Exposures in default</w:t>
            </w:r>
          </w:p>
          <w:p w:rsidR="0098215D" w:rsidRPr="00445FEB" w:rsidRDefault="0098215D" w:rsidP="00AD061B">
            <w:pPr>
              <w:ind w:left="72"/>
              <w:rPr>
                <w:rStyle w:val="InstructionsTabelleberschrift"/>
                <w:rFonts w:ascii="Times New Roman" w:hAnsi="Times New Roman"/>
              </w:rPr>
            </w:pPr>
            <w:r w:rsidRPr="00445FEB">
              <w:rPr>
                <w:rFonts w:ascii="Times New Roman" w:hAnsi="Times New Roman"/>
                <w:bCs/>
              </w:rPr>
              <w:lastRenderedPageBreak/>
              <w:t>Article 107 point (j) of CRR.</w:t>
            </w:r>
          </w:p>
        </w:tc>
      </w:tr>
      <w:tr w:rsidR="0098215D" w:rsidRPr="0017440D" w:rsidTr="008815ED">
        <w:tc>
          <w:tcPr>
            <w:tcW w:w="1188" w:type="dxa"/>
            <w:shd w:val="clear" w:color="auto" w:fill="FFFFFF"/>
          </w:tcPr>
          <w:p w:rsidR="0098215D" w:rsidRPr="00445FEB" w:rsidRDefault="0098215D" w:rsidP="00D20C67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110</w:t>
            </w:r>
          </w:p>
        </w:tc>
        <w:tc>
          <w:tcPr>
            <w:tcW w:w="8701" w:type="dxa"/>
            <w:gridSpan w:val="2"/>
            <w:shd w:val="clear" w:color="auto" w:fill="FFFFFF"/>
          </w:tcPr>
          <w:p w:rsidR="0098215D" w:rsidRDefault="0098215D" w:rsidP="00997648">
            <w:pPr>
              <w:autoSpaceDE w:val="0"/>
              <w:autoSpaceDN w:val="0"/>
              <w:adjustRightInd w:val="0"/>
              <w:spacing w:before="0"/>
              <w:ind w:left="72"/>
              <w:jc w:val="left"/>
              <w:rPr>
                <w:rFonts w:ascii="Times New Roman" w:hAnsi="Times New Roman"/>
                <w:b/>
                <w:bCs/>
                <w:u w:val="single"/>
              </w:rPr>
            </w:pPr>
            <w:r w:rsidRPr="0073463C">
              <w:rPr>
                <w:rFonts w:ascii="Times New Roman" w:hAnsi="Times New Roman"/>
                <w:b/>
                <w:bCs/>
                <w:u w:val="single"/>
              </w:rPr>
              <w:t>items associated with particularly high risk</w:t>
            </w:r>
          </w:p>
          <w:p w:rsidR="0098215D" w:rsidRPr="00445FEB" w:rsidRDefault="0098215D" w:rsidP="00997648">
            <w:pPr>
              <w:autoSpaceDE w:val="0"/>
              <w:autoSpaceDN w:val="0"/>
              <w:adjustRightInd w:val="0"/>
              <w:spacing w:before="0"/>
              <w:ind w:left="72"/>
              <w:jc w:val="left"/>
              <w:rPr>
                <w:rStyle w:val="InstructionsTabelleberschrift"/>
                <w:rFonts w:ascii="Times New Roman" w:hAnsi="Times New Roman"/>
              </w:rPr>
            </w:pPr>
            <w:r w:rsidRPr="00445FEB">
              <w:rPr>
                <w:rFonts w:ascii="Times New Roman" w:hAnsi="Times New Roman"/>
                <w:bCs/>
              </w:rPr>
              <w:t>Article 107 point (</w:t>
            </w:r>
            <w:r>
              <w:rPr>
                <w:rFonts w:ascii="Times New Roman" w:hAnsi="Times New Roman"/>
                <w:bCs/>
              </w:rPr>
              <w:t>ja</w:t>
            </w:r>
            <w:r w:rsidRPr="00445FEB">
              <w:rPr>
                <w:rFonts w:ascii="Times New Roman" w:hAnsi="Times New Roman"/>
                <w:bCs/>
              </w:rPr>
              <w:t>) of CRR.</w:t>
            </w:r>
          </w:p>
        </w:tc>
      </w:tr>
      <w:tr w:rsidR="0098215D" w:rsidRPr="0017440D" w:rsidTr="008815ED">
        <w:tc>
          <w:tcPr>
            <w:tcW w:w="1188" w:type="dxa"/>
            <w:shd w:val="clear" w:color="auto" w:fill="FFFFFF"/>
          </w:tcPr>
          <w:p w:rsidR="0098215D" w:rsidRPr="00445FEB" w:rsidRDefault="0098215D" w:rsidP="00D20C67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120</w:t>
            </w:r>
          </w:p>
        </w:tc>
        <w:tc>
          <w:tcPr>
            <w:tcW w:w="8701" w:type="dxa"/>
            <w:gridSpan w:val="2"/>
            <w:shd w:val="clear" w:color="auto" w:fill="FFFFFF"/>
          </w:tcPr>
          <w:p w:rsidR="0098215D" w:rsidRPr="00445FEB" w:rsidRDefault="0098215D" w:rsidP="00D20C67">
            <w:pPr>
              <w:autoSpaceDE w:val="0"/>
              <w:autoSpaceDN w:val="0"/>
              <w:adjustRightInd w:val="0"/>
              <w:spacing w:before="0"/>
              <w:ind w:left="72"/>
              <w:jc w:val="left"/>
              <w:rPr>
                <w:rStyle w:val="InstructionsTabelleberschrift"/>
                <w:rFonts w:ascii="Times New Roman" w:hAnsi="Times New Roman"/>
              </w:rPr>
            </w:pPr>
            <w:r w:rsidRPr="00445FEB">
              <w:rPr>
                <w:rStyle w:val="InstructionsTabelleberschrift"/>
                <w:rFonts w:ascii="Times New Roman" w:hAnsi="Times New Roman"/>
              </w:rPr>
              <w:t>Covered bonds</w:t>
            </w:r>
          </w:p>
          <w:p w:rsidR="0098215D" w:rsidRPr="00445FEB" w:rsidRDefault="0098215D" w:rsidP="00AD061B">
            <w:pPr>
              <w:autoSpaceDE w:val="0"/>
              <w:autoSpaceDN w:val="0"/>
              <w:adjustRightInd w:val="0"/>
              <w:spacing w:before="0"/>
              <w:ind w:left="72"/>
              <w:jc w:val="left"/>
              <w:rPr>
                <w:rStyle w:val="InstructionsTabelleText"/>
                <w:rFonts w:ascii="Times New Roman" w:hAnsi="Times New Roman"/>
                <w:bCs/>
                <w:u w:val="single"/>
              </w:rPr>
            </w:pPr>
            <w:r w:rsidRPr="00445FEB">
              <w:rPr>
                <w:rFonts w:ascii="Times New Roman" w:hAnsi="Times New Roman"/>
                <w:bCs/>
                <w:u w:val="single"/>
              </w:rPr>
              <w:t>Article 107 point (k) of CRR.</w:t>
            </w:r>
          </w:p>
        </w:tc>
      </w:tr>
      <w:tr w:rsidR="0098215D" w:rsidRPr="0017440D" w:rsidTr="008815ED">
        <w:tc>
          <w:tcPr>
            <w:tcW w:w="1188" w:type="dxa"/>
            <w:shd w:val="clear" w:color="auto" w:fill="FFFFFF"/>
          </w:tcPr>
          <w:p w:rsidR="0098215D" w:rsidRPr="00445FEB" w:rsidRDefault="0098215D" w:rsidP="00D20C67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130</w:t>
            </w:r>
          </w:p>
          <w:p w:rsidR="0098215D" w:rsidRPr="00445FEB" w:rsidRDefault="0098215D" w:rsidP="00D20C6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701" w:type="dxa"/>
            <w:gridSpan w:val="2"/>
            <w:shd w:val="clear" w:color="auto" w:fill="FFFFFF"/>
          </w:tcPr>
          <w:p w:rsidR="0098215D" w:rsidRPr="00501B90" w:rsidRDefault="0098215D" w:rsidP="00501B90">
            <w:pPr>
              <w:ind w:left="72"/>
              <w:rPr>
                <w:rStyle w:val="InstructionsTabelleberschrift"/>
                <w:rFonts w:ascii="Times New Roman" w:hAnsi="Times New Roman"/>
                <w:bCs w:val="0"/>
              </w:rPr>
            </w:pPr>
            <w:r w:rsidRPr="00501B90">
              <w:rPr>
                <w:rStyle w:val="InstructionsTabelleberschrift"/>
                <w:rFonts w:ascii="Times New Roman" w:hAnsi="Times New Roman"/>
                <w:bCs w:val="0"/>
              </w:rPr>
              <w:t>Claims on institutions and corporate with a short-term credit assessment</w:t>
            </w:r>
          </w:p>
          <w:p w:rsidR="0098215D" w:rsidRPr="00501B90" w:rsidRDefault="0098215D" w:rsidP="00997648">
            <w:pPr>
              <w:ind w:left="72"/>
              <w:rPr>
                <w:szCs w:val="20"/>
              </w:rPr>
            </w:pPr>
            <w:r w:rsidRPr="00501B90">
              <w:rPr>
                <w:rFonts w:ascii="Times New Roman" w:hAnsi="Times New Roman"/>
                <w:szCs w:val="20"/>
              </w:rPr>
              <w:t>Article 107 point (m) of CRR.</w:t>
            </w:r>
          </w:p>
        </w:tc>
      </w:tr>
      <w:tr w:rsidR="0098215D" w:rsidRPr="0017440D" w:rsidTr="008815ED">
        <w:tc>
          <w:tcPr>
            <w:tcW w:w="1188" w:type="dxa"/>
            <w:shd w:val="clear" w:color="auto" w:fill="FFFFFF"/>
          </w:tcPr>
          <w:p w:rsidR="0098215D" w:rsidRPr="00445FEB" w:rsidRDefault="0098215D" w:rsidP="00D20C67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140</w:t>
            </w:r>
          </w:p>
        </w:tc>
        <w:tc>
          <w:tcPr>
            <w:tcW w:w="8701" w:type="dxa"/>
            <w:gridSpan w:val="2"/>
            <w:shd w:val="clear" w:color="auto" w:fill="FFFFFF"/>
          </w:tcPr>
          <w:p w:rsidR="0098215D" w:rsidRPr="00445FEB" w:rsidRDefault="0098215D" w:rsidP="00D20C67">
            <w:pPr>
              <w:ind w:left="72"/>
              <w:rPr>
                <w:rStyle w:val="InstructionsTabelleberschrift"/>
                <w:rFonts w:ascii="Times New Roman" w:hAnsi="Times New Roman"/>
              </w:rPr>
            </w:pPr>
            <w:r w:rsidRPr="00445FEB">
              <w:rPr>
                <w:rStyle w:val="InstructionsTabelleberschrift"/>
                <w:rFonts w:ascii="Times New Roman" w:hAnsi="Times New Roman"/>
              </w:rPr>
              <w:t>Claims in the form of CIU</w:t>
            </w:r>
          </w:p>
          <w:p w:rsidR="0098215D" w:rsidRPr="00997648" w:rsidRDefault="0098215D" w:rsidP="00997648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u w:val="none"/>
              </w:rPr>
            </w:pPr>
            <w:r w:rsidRPr="00445FEB">
              <w:rPr>
                <w:rFonts w:ascii="Times New Roman" w:hAnsi="Times New Roman"/>
                <w:bCs/>
              </w:rPr>
              <w:t>Article 107 point (n) of CRR.</w:t>
            </w:r>
          </w:p>
        </w:tc>
      </w:tr>
      <w:tr w:rsidR="0098215D" w:rsidRPr="0017440D" w:rsidTr="003738B9">
        <w:tc>
          <w:tcPr>
            <w:tcW w:w="1188" w:type="dxa"/>
            <w:shd w:val="clear" w:color="auto" w:fill="FFFFFF"/>
          </w:tcPr>
          <w:p w:rsidR="0098215D" w:rsidRPr="00445FEB" w:rsidRDefault="0098215D" w:rsidP="003738B9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150</w:t>
            </w:r>
          </w:p>
        </w:tc>
        <w:tc>
          <w:tcPr>
            <w:tcW w:w="8701" w:type="dxa"/>
            <w:gridSpan w:val="2"/>
            <w:shd w:val="clear" w:color="auto" w:fill="FFFFFF"/>
          </w:tcPr>
          <w:p w:rsidR="0098215D" w:rsidRPr="00445FEB" w:rsidRDefault="0098215D" w:rsidP="003738B9">
            <w:pPr>
              <w:ind w:left="72"/>
              <w:rPr>
                <w:rStyle w:val="InstructionsTabelleberschrift"/>
                <w:rFonts w:ascii="Times New Roman" w:hAnsi="Times New Roman"/>
              </w:rPr>
            </w:pPr>
            <w:r>
              <w:rPr>
                <w:rStyle w:val="InstructionsTabelleberschrift"/>
                <w:rFonts w:ascii="Times New Roman" w:hAnsi="Times New Roman"/>
              </w:rPr>
              <w:t>Equity exposures</w:t>
            </w:r>
          </w:p>
          <w:p w:rsidR="0098215D" w:rsidRPr="00445FEB" w:rsidRDefault="0098215D" w:rsidP="003738B9">
            <w:pPr>
              <w:ind w:left="72"/>
              <w:rPr>
                <w:rStyle w:val="InstructionsTabelleberschrift"/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Article 107 point (o</w:t>
            </w:r>
            <w:r w:rsidRPr="00445FEB">
              <w:rPr>
                <w:rFonts w:ascii="Times New Roman" w:hAnsi="Times New Roman"/>
                <w:bCs/>
              </w:rPr>
              <w:t>) of CRR.</w:t>
            </w:r>
          </w:p>
        </w:tc>
      </w:tr>
      <w:tr w:rsidR="0098215D" w:rsidRPr="0017440D" w:rsidTr="008815ED">
        <w:tc>
          <w:tcPr>
            <w:tcW w:w="1188" w:type="dxa"/>
            <w:shd w:val="clear" w:color="auto" w:fill="FFFFFF"/>
          </w:tcPr>
          <w:p w:rsidR="0098215D" w:rsidRPr="00445FEB" w:rsidRDefault="0098215D" w:rsidP="00CF49AE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160</w:t>
            </w:r>
          </w:p>
        </w:tc>
        <w:tc>
          <w:tcPr>
            <w:tcW w:w="8701" w:type="dxa"/>
            <w:gridSpan w:val="2"/>
            <w:shd w:val="clear" w:color="auto" w:fill="FFFFFF"/>
          </w:tcPr>
          <w:p w:rsidR="0098215D" w:rsidRPr="00445FEB" w:rsidRDefault="0098215D" w:rsidP="00D20C67">
            <w:pPr>
              <w:ind w:left="72"/>
              <w:rPr>
                <w:rStyle w:val="InstructionsTabelleberschrift"/>
                <w:rFonts w:ascii="Times New Roman" w:hAnsi="Times New Roman"/>
              </w:rPr>
            </w:pPr>
            <w:r w:rsidRPr="00445FEB">
              <w:rPr>
                <w:rStyle w:val="InstructionsTabelleberschrift"/>
                <w:rFonts w:ascii="Times New Roman" w:hAnsi="Times New Roman"/>
              </w:rPr>
              <w:t xml:space="preserve">Other </w:t>
            </w:r>
            <w:r w:rsidR="00691A75">
              <w:rPr>
                <w:rStyle w:val="InstructionsTabelleberschrift"/>
                <w:rFonts w:ascii="Times New Roman" w:hAnsi="Times New Roman"/>
              </w:rPr>
              <w:t>exposures</w:t>
            </w:r>
          </w:p>
          <w:p w:rsidR="0098215D" w:rsidRPr="00445FEB" w:rsidRDefault="0098215D" w:rsidP="00E66040">
            <w:pPr>
              <w:ind w:left="72"/>
              <w:rPr>
                <w:rStyle w:val="InstructionsTabelleberschrift"/>
                <w:rFonts w:ascii="Times New Roman" w:hAnsi="Times New Roman"/>
              </w:rPr>
            </w:pPr>
            <w:r w:rsidRPr="00445FEB">
              <w:rPr>
                <w:rFonts w:ascii="Times New Roman" w:hAnsi="Times New Roman"/>
                <w:bCs/>
              </w:rPr>
              <w:t>Article 107 point (p) of CRR.</w:t>
            </w:r>
          </w:p>
        </w:tc>
      </w:tr>
    </w:tbl>
    <w:p w:rsidR="0098215D" w:rsidRPr="0017440D" w:rsidRDefault="0098215D">
      <w:pPr>
        <w:spacing w:before="0" w:after="200" w:line="312" w:lineRule="auto"/>
        <w:jc w:val="left"/>
        <w:rPr>
          <w:rFonts w:ascii="Times New Roman" w:hAnsi="Times New Roman"/>
        </w:rPr>
      </w:pPr>
      <w:bookmarkStart w:id="12" w:name="_Toc292456210"/>
    </w:p>
    <w:p w:rsidR="00E83E84" w:rsidRDefault="00922953">
      <w:pPr>
        <w:pStyle w:val="Instructionsberschrift2"/>
        <w:numPr>
          <w:ilvl w:val="1"/>
          <w:numId w:val="5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 2</w:t>
      </w:r>
      <w:r w:rsidR="0098215D">
        <w:rPr>
          <w:rFonts w:ascii="Times New Roman" w:hAnsi="Times New Roman" w:cs="Times New Roman"/>
        </w:rPr>
        <w:t xml:space="preserve"> </w:t>
      </w:r>
      <w:r w:rsidR="0098215D" w:rsidRPr="003105C6">
        <w:rPr>
          <w:rFonts w:ascii="Times New Roman" w:hAnsi="Times New Roman" w:cs="Times New Roman"/>
        </w:rPr>
        <w:t xml:space="preserve">– </w:t>
      </w:r>
      <w:r w:rsidR="0098215D" w:rsidRPr="001C5D5D">
        <w:rPr>
          <w:rFonts w:ascii="Times New Roman" w:hAnsi="Times New Roman" w:cs="Times New Roman"/>
        </w:rPr>
        <w:t xml:space="preserve">Geographical breakdown of exposures by residence of the </w:t>
      </w:r>
      <w:r w:rsidR="00D62CE1">
        <w:rPr>
          <w:rFonts w:ascii="Times New Roman" w:hAnsi="Times New Roman" w:cs="Times New Roman"/>
        </w:rPr>
        <w:t>obligor</w:t>
      </w:r>
      <w:r w:rsidR="00D62CE1" w:rsidRPr="001C5D5D">
        <w:rPr>
          <w:rFonts w:ascii="Times New Roman" w:hAnsi="Times New Roman" w:cs="Times New Roman"/>
        </w:rPr>
        <w:t xml:space="preserve"> </w:t>
      </w:r>
      <w:r w:rsidR="0098215D" w:rsidRPr="001C5D5D">
        <w:rPr>
          <w:rFonts w:ascii="Times New Roman" w:hAnsi="Times New Roman" w:cs="Times New Roman"/>
        </w:rPr>
        <w:t>(IRB exposures)</w:t>
      </w:r>
    </w:p>
    <w:p w:rsidR="00E83E84" w:rsidRDefault="007F530A">
      <w:pPr>
        <w:pStyle w:val="Instructionsberschrift2"/>
        <w:numPr>
          <w:ilvl w:val="2"/>
          <w:numId w:val="5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General remarks</w:t>
      </w:r>
    </w:p>
    <w:p w:rsidR="00536208" w:rsidRDefault="00536208" w:rsidP="00536208">
      <w:pPr>
        <w:pStyle w:val="InstructionsText2"/>
        <w:numPr>
          <w:ilvl w:val="0"/>
          <w:numId w:val="45"/>
        </w:numPr>
      </w:pPr>
      <w:r>
        <w:t>Institutions fulfilling the threshold set in Article 5 (1) shall submit information regarding the domestic cou</w:t>
      </w:r>
      <w:r>
        <w:t>n</w:t>
      </w:r>
      <w:r>
        <w:t>try as well as any non-domestic country.</w:t>
      </w:r>
    </w:p>
    <w:p w:rsidR="00536208" w:rsidRDefault="00536208" w:rsidP="00536208">
      <w:pPr>
        <w:pStyle w:val="InstructionsText2"/>
        <w:numPr>
          <w:ilvl w:val="0"/>
          <w:numId w:val="45"/>
        </w:numPr>
      </w:pPr>
      <w:r>
        <w:t>The term ‘residence of the obligor’ refers to the home country of the obligor.</w:t>
      </w:r>
    </w:p>
    <w:p w:rsidR="0098215D" w:rsidRPr="0017440D" w:rsidRDefault="0098215D" w:rsidP="00650DB8">
      <w:pPr>
        <w:autoSpaceDE w:val="0"/>
        <w:autoSpaceDN w:val="0"/>
        <w:adjustRightInd w:val="0"/>
        <w:spacing w:before="0" w:after="240"/>
        <w:jc w:val="left"/>
        <w:rPr>
          <w:rFonts w:ascii="Times New Roman" w:hAnsi="Times New Roman"/>
          <w:szCs w:val="20"/>
          <w:lang w:eastAsia="de-DE"/>
        </w:rPr>
      </w:pPr>
    </w:p>
    <w:p w:rsidR="00E83E84" w:rsidRDefault="0098215D">
      <w:pPr>
        <w:pStyle w:val="Instructionsberschrift2"/>
        <w:numPr>
          <w:ilvl w:val="2"/>
          <w:numId w:val="51"/>
        </w:numPr>
        <w:rPr>
          <w:rFonts w:ascii="Times New Roman" w:hAnsi="Times New Roman" w:cs="Times New Roman"/>
        </w:rPr>
      </w:pPr>
      <w:bookmarkStart w:id="13" w:name="_Toc239157380"/>
      <w:bookmarkStart w:id="14" w:name="_Toc262568038"/>
      <w:bookmarkStart w:id="15" w:name="_Toc264038436"/>
      <w:bookmarkStart w:id="16" w:name="_Toc295829866"/>
      <w:bookmarkStart w:id="17" w:name="_Toc308155143"/>
      <w:bookmarkStart w:id="18" w:name="_Toc310415030"/>
      <w:r w:rsidRPr="003105C6">
        <w:rPr>
          <w:rFonts w:ascii="Times New Roman" w:hAnsi="Times New Roman" w:cs="Times New Roman"/>
        </w:rPr>
        <w:t>Instructions concerning specific positions</w:t>
      </w:r>
      <w:bookmarkEnd w:id="13"/>
      <w:bookmarkEnd w:id="14"/>
      <w:bookmarkEnd w:id="15"/>
      <w:bookmarkEnd w:id="16"/>
      <w:bookmarkEnd w:id="17"/>
      <w:bookmarkEnd w:id="18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640"/>
      </w:tblGrid>
      <w:tr w:rsidR="0098215D" w:rsidRPr="0017440D" w:rsidTr="007C4442">
        <w:tc>
          <w:tcPr>
            <w:tcW w:w="1188" w:type="dxa"/>
            <w:shd w:val="clear" w:color="auto" w:fill="CCCCCC"/>
          </w:tcPr>
          <w:p w:rsidR="0098215D" w:rsidRPr="007C4442" w:rsidRDefault="0098215D" w:rsidP="007C4442">
            <w:pPr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Columns</w:t>
            </w:r>
          </w:p>
        </w:tc>
        <w:tc>
          <w:tcPr>
            <w:tcW w:w="8640" w:type="dxa"/>
            <w:shd w:val="clear" w:color="auto" w:fill="CCCCCC"/>
          </w:tcPr>
          <w:p w:rsidR="0098215D" w:rsidRPr="0017440D" w:rsidRDefault="0098215D" w:rsidP="007C4442">
            <w:pPr>
              <w:ind w:left="72"/>
              <w:rPr>
                <w:rFonts w:ascii="Times New Roman" w:hAnsi="Times New Roman"/>
                <w:szCs w:val="20"/>
              </w:rPr>
            </w:pPr>
          </w:p>
        </w:tc>
      </w:tr>
      <w:tr w:rsidR="0098215D" w:rsidRPr="0017440D" w:rsidTr="00814959">
        <w:tc>
          <w:tcPr>
            <w:tcW w:w="1188" w:type="dxa"/>
          </w:tcPr>
          <w:p w:rsidR="0098215D" w:rsidRPr="0017440D" w:rsidRDefault="0098215D" w:rsidP="00814959">
            <w:pPr>
              <w:rPr>
                <w:rStyle w:val="InstructionsTabelleText"/>
                <w:rFonts w:ascii="Times New Roman" w:hAnsi="Times New Roman"/>
              </w:rPr>
            </w:pPr>
            <w:r w:rsidRPr="003105C6">
              <w:rPr>
                <w:rStyle w:val="InstructionsTabelleText"/>
                <w:rFonts w:ascii="Times New Roman" w:hAnsi="Times New Roman"/>
              </w:rPr>
              <w:t>010</w:t>
            </w:r>
          </w:p>
        </w:tc>
        <w:tc>
          <w:tcPr>
            <w:tcW w:w="8640" w:type="dxa"/>
          </w:tcPr>
          <w:p w:rsidR="0098215D" w:rsidRPr="0017440D" w:rsidRDefault="0098215D" w:rsidP="00814959">
            <w:pPr>
              <w:rPr>
                <w:rStyle w:val="InstructionsTabelleberschrift"/>
                <w:rFonts w:ascii="Times New Roman" w:hAnsi="Times New Roman"/>
              </w:rPr>
            </w:pPr>
            <w:r w:rsidRPr="003105C6">
              <w:rPr>
                <w:rStyle w:val="InstructionsTabelleberschrift"/>
                <w:rFonts w:ascii="Times New Roman" w:hAnsi="Times New Roman"/>
              </w:rPr>
              <w:t>ORIGINAL EXPOSURE PRE CONVERSION FACTORS</w:t>
            </w:r>
          </w:p>
          <w:p w:rsidR="0098215D" w:rsidRPr="0017440D" w:rsidRDefault="0098215D" w:rsidP="00814959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InstructionsTabelleText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Same definition as for column 030 of CR IRB template</w:t>
            </w:r>
          </w:p>
        </w:tc>
      </w:tr>
      <w:tr w:rsidR="0098215D" w:rsidRPr="0017440D" w:rsidTr="00814959">
        <w:tc>
          <w:tcPr>
            <w:tcW w:w="1188" w:type="dxa"/>
          </w:tcPr>
          <w:p w:rsidR="0098215D" w:rsidRDefault="0098215D" w:rsidP="00814959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030</w:t>
            </w:r>
          </w:p>
        </w:tc>
        <w:tc>
          <w:tcPr>
            <w:tcW w:w="8640" w:type="dxa"/>
          </w:tcPr>
          <w:p w:rsidR="0098215D" w:rsidRPr="0017440D" w:rsidRDefault="0098215D" w:rsidP="00BF102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3105C6">
              <w:rPr>
                <w:rFonts w:ascii="Times New Roman" w:hAnsi="Times New Roman"/>
                <w:b/>
                <w:szCs w:val="20"/>
                <w:u w:val="single"/>
              </w:rPr>
              <w:t>Exposure value</w:t>
            </w:r>
          </w:p>
          <w:p w:rsidR="0098215D" w:rsidRPr="003105C6" w:rsidRDefault="0098215D" w:rsidP="00BF102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</w:rPr>
              <w:t>Same definition as for column 110 of CR IRB template.</w:t>
            </w:r>
          </w:p>
        </w:tc>
      </w:tr>
      <w:tr w:rsidR="0098215D" w:rsidRPr="0017440D" w:rsidTr="005B5DB1">
        <w:tc>
          <w:tcPr>
            <w:tcW w:w="1188" w:type="dxa"/>
          </w:tcPr>
          <w:p w:rsidR="0098215D" w:rsidRPr="0017440D" w:rsidRDefault="0098215D" w:rsidP="005B5DB1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030.1</w:t>
            </w:r>
          </w:p>
        </w:tc>
        <w:tc>
          <w:tcPr>
            <w:tcW w:w="8640" w:type="dxa"/>
          </w:tcPr>
          <w:p w:rsidR="0098215D" w:rsidRDefault="0098215D" w:rsidP="005B5DB1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>Of which defaulted</w:t>
            </w:r>
          </w:p>
          <w:p w:rsidR="0098215D" w:rsidRPr="0017440D" w:rsidRDefault="0098215D" w:rsidP="005B5DB1">
            <w:pPr>
              <w:rPr>
                <w:rStyle w:val="InstructionsTabelleText"/>
                <w:rFonts w:ascii="Times New Roman" w:hAnsi="Times New Roman"/>
              </w:rPr>
            </w:pPr>
            <w:r>
              <w:rPr>
                <w:rStyle w:val="InstructionsTabelleText"/>
                <w:rFonts w:ascii="Times New Roman" w:hAnsi="Times New Roman"/>
              </w:rPr>
              <w:t>Original e</w:t>
            </w:r>
            <w:r w:rsidRPr="003105C6">
              <w:rPr>
                <w:rStyle w:val="InstructionsTabelleText"/>
                <w:rFonts w:ascii="Times New Roman" w:hAnsi="Times New Roman"/>
              </w:rPr>
              <w:t xml:space="preserve">xposure value </w:t>
            </w:r>
            <w:r>
              <w:rPr>
                <w:rStyle w:val="InstructionsTabelleText"/>
                <w:rFonts w:ascii="Times New Roman" w:hAnsi="Times New Roman"/>
              </w:rPr>
              <w:t>for those exposures which have been classified as “defaulted exposures” accor</w:t>
            </w:r>
            <w:r>
              <w:rPr>
                <w:rStyle w:val="InstructionsTabelleText"/>
                <w:rFonts w:ascii="Times New Roman" w:hAnsi="Times New Roman"/>
              </w:rPr>
              <w:t>d</w:t>
            </w:r>
            <w:r>
              <w:rPr>
                <w:rStyle w:val="InstructionsTabelleText"/>
                <w:rFonts w:ascii="Times New Roman" w:hAnsi="Times New Roman"/>
              </w:rPr>
              <w:t>ing to CRR article 174.</w:t>
            </w:r>
          </w:p>
        </w:tc>
      </w:tr>
      <w:tr w:rsidR="0098215D" w:rsidRPr="0017440D" w:rsidTr="00814959">
        <w:tc>
          <w:tcPr>
            <w:tcW w:w="1188" w:type="dxa"/>
          </w:tcPr>
          <w:p w:rsidR="0098215D" w:rsidRDefault="0098215D" w:rsidP="00814959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040</w:t>
            </w:r>
          </w:p>
        </w:tc>
        <w:tc>
          <w:tcPr>
            <w:tcW w:w="8640" w:type="dxa"/>
          </w:tcPr>
          <w:p w:rsidR="0098215D" w:rsidRDefault="0098215D" w:rsidP="0081495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>Observed new defaults for the period</w:t>
            </w:r>
          </w:p>
          <w:p w:rsidR="0098215D" w:rsidRPr="003105C6" w:rsidRDefault="009D366E" w:rsidP="0081495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</w:rPr>
              <w:t>R</w:t>
            </w:r>
            <w:r w:rsidRPr="009D366E">
              <w:rPr>
                <w:rStyle w:val="InstructionsTabelleText"/>
                <w:rFonts w:ascii="Times New Roman" w:hAnsi="Times New Roman"/>
              </w:rPr>
              <w:t>epresent the amount of original exposures which have moved into exposure class “Exposures in d</w:t>
            </w:r>
            <w:r w:rsidRPr="009D366E">
              <w:rPr>
                <w:rStyle w:val="InstructionsTabelleText"/>
                <w:rFonts w:ascii="Times New Roman" w:hAnsi="Times New Roman"/>
              </w:rPr>
              <w:t>e</w:t>
            </w:r>
            <w:r w:rsidRPr="009D366E">
              <w:rPr>
                <w:rStyle w:val="InstructionsTabelleText"/>
                <w:rFonts w:ascii="Times New Roman" w:hAnsi="Times New Roman"/>
              </w:rPr>
              <w:t xml:space="preserve">fault” </w:t>
            </w:r>
            <w:r>
              <w:rPr>
                <w:rStyle w:val="InstructionsTabelleText"/>
                <w:rFonts w:ascii="Times New Roman" w:hAnsi="Times New Roman"/>
              </w:rPr>
              <w:t>during the 3-month period since the last reporting reference date</w:t>
            </w:r>
            <w:r w:rsidRPr="009D366E">
              <w:rPr>
                <w:rStyle w:val="InstructionsTabelleText"/>
                <w:rFonts w:ascii="Times New Roman" w:hAnsi="Times New Roman"/>
              </w:rPr>
              <w:t>, but here are reported against the exposure class to which the obligor originally belonged</w:t>
            </w:r>
            <w:r>
              <w:rPr>
                <w:rStyle w:val="InstructionsTabelleText"/>
                <w:rFonts w:ascii="Times New Roman" w:hAnsi="Times New Roman"/>
              </w:rPr>
              <w:t>.</w:t>
            </w:r>
            <w:r w:rsidR="0098215D">
              <w:rPr>
                <w:rStyle w:val="InstructionsTabelleText"/>
                <w:rFonts w:ascii="Times New Roman" w:hAnsi="Times New Roman"/>
              </w:rPr>
              <w:t>.</w:t>
            </w:r>
          </w:p>
        </w:tc>
      </w:tr>
      <w:tr w:rsidR="0098215D" w:rsidRPr="0017440D" w:rsidTr="00814959">
        <w:tc>
          <w:tcPr>
            <w:tcW w:w="1188" w:type="dxa"/>
          </w:tcPr>
          <w:p w:rsidR="0098215D" w:rsidRDefault="0098215D" w:rsidP="00814959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050</w:t>
            </w:r>
          </w:p>
        </w:tc>
        <w:tc>
          <w:tcPr>
            <w:tcW w:w="8640" w:type="dxa"/>
          </w:tcPr>
          <w:p w:rsidR="0098215D" w:rsidRDefault="00274079" w:rsidP="0081495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>General c</w:t>
            </w:r>
            <w:r w:rsidR="0098215D">
              <w:rPr>
                <w:rFonts w:ascii="Times New Roman" w:hAnsi="Times New Roman"/>
                <w:b/>
                <w:szCs w:val="20"/>
                <w:u w:val="single"/>
              </w:rPr>
              <w:t>redit risk adjustments</w:t>
            </w:r>
          </w:p>
          <w:p w:rsidR="0098215D" w:rsidRPr="003105C6" w:rsidRDefault="0098215D" w:rsidP="009F7FF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lastRenderedPageBreak/>
              <w:t>C</w:t>
            </w:r>
            <w:r w:rsidRPr="009E2A46">
              <w:rPr>
                <w:rFonts w:ascii="Times New Roman" w:hAnsi="Times New Roman"/>
              </w:rPr>
              <w:t xml:space="preserve">redit risk adjustments </w:t>
            </w:r>
            <w:r>
              <w:rPr>
                <w:rFonts w:ascii="Times New Roman" w:hAnsi="Times New Roman"/>
              </w:rPr>
              <w:t xml:space="preserve">according to </w:t>
            </w:r>
            <w:r w:rsidR="009F7FF8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rticle 105</w:t>
            </w:r>
            <w:r w:rsidR="009F7FF8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4</w:t>
            </w:r>
            <w:r w:rsidR="009F7FF8">
              <w:rPr>
                <w:rFonts w:ascii="Times New Roman" w:hAnsi="Times New Roman"/>
              </w:rPr>
              <w:t>) point (</w:t>
            </w:r>
            <w:r>
              <w:rPr>
                <w:rFonts w:ascii="Times New Roman" w:hAnsi="Times New Roman"/>
              </w:rPr>
              <w:t>b</w:t>
            </w:r>
            <w:r w:rsidR="009F7FF8">
              <w:rPr>
                <w:rFonts w:ascii="Times New Roman" w:hAnsi="Times New Roman"/>
              </w:rPr>
              <w:t>) of CRR</w:t>
            </w:r>
            <w:proofErr w:type="gramStart"/>
            <w:r>
              <w:rPr>
                <w:rFonts w:ascii="Times New Roman" w:hAnsi="Times New Roman"/>
              </w:rPr>
              <w:t>..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274079" w:rsidRPr="0017440D" w:rsidTr="00DD30E6">
        <w:tc>
          <w:tcPr>
            <w:tcW w:w="1188" w:type="dxa"/>
          </w:tcPr>
          <w:p w:rsidR="00274079" w:rsidRDefault="00274079" w:rsidP="00DD30E6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055</w:t>
            </w:r>
          </w:p>
        </w:tc>
        <w:tc>
          <w:tcPr>
            <w:tcW w:w="8640" w:type="dxa"/>
          </w:tcPr>
          <w:p w:rsidR="00274079" w:rsidRDefault="00274079" w:rsidP="00DD30E6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74079">
              <w:rPr>
                <w:rFonts w:ascii="Times New Roman" w:hAnsi="Times New Roman"/>
                <w:b/>
                <w:szCs w:val="20"/>
                <w:u w:val="single"/>
              </w:rPr>
              <w:t>Specific credit risk adjustments</w:t>
            </w:r>
          </w:p>
          <w:p w:rsidR="00274079" w:rsidRDefault="00274079" w:rsidP="00DD30E6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</w:rPr>
              <w:t>C</w:t>
            </w:r>
            <w:r w:rsidRPr="009E2A46">
              <w:rPr>
                <w:rFonts w:ascii="Times New Roman" w:hAnsi="Times New Roman"/>
              </w:rPr>
              <w:t>redit risk adjustments</w:t>
            </w:r>
            <w:r>
              <w:rPr>
                <w:rFonts w:ascii="Times New Roman" w:hAnsi="Times New Roman"/>
              </w:rPr>
              <w:t xml:space="preserve"> according to Article 105</w:t>
            </w:r>
            <w:proofErr w:type="gramStart"/>
            <w:r>
              <w:rPr>
                <w:rFonts w:ascii="Times New Roman" w:hAnsi="Times New Roman"/>
              </w:rPr>
              <w:t>.(</w:t>
            </w:r>
            <w:proofErr w:type="gramEnd"/>
            <w:r>
              <w:rPr>
                <w:rFonts w:ascii="Times New Roman" w:hAnsi="Times New Roman"/>
              </w:rPr>
              <w:t>4) point (a) of CRR.</w:t>
            </w:r>
          </w:p>
        </w:tc>
      </w:tr>
      <w:tr w:rsidR="0098215D" w:rsidRPr="0017440D" w:rsidTr="00814959">
        <w:tc>
          <w:tcPr>
            <w:tcW w:w="1188" w:type="dxa"/>
          </w:tcPr>
          <w:p w:rsidR="0098215D" w:rsidRDefault="0098215D" w:rsidP="00814959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060</w:t>
            </w:r>
          </w:p>
        </w:tc>
        <w:tc>
          <w:tcPr>
            <w:tcW w:w="8640" w:type="dxa"/>
          </w:tcPr>
          <w:p w:rsidR="0098215D" w:rsidRDefault="00D62CE1" w:rsidP="0081495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>W</w:t>
            </w:r>
            <w:r w:rsidR="0098215D">
              <w:rPr>
                <w:rFonts w:ascii="Times New Roman" w:hAnsi="Times New Roman"/>
                <w:b/>
                <w:szCs w:val="20"/>
                <w:u w:val="single"/>
              </w:rPr>
              <w:t>rite-offs</w:t>
            </w:r>
          </w:p>
          <w:p w:rsidR="0098215D" w:rsidRPr="003105C6" w:rsidRDefault="0098215D" w:rsidP="0081495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BB0BFD">
              <w:rPr>
                <w:rStyle w:val="InstructionsTabelleText"/>
                <w:rFonts w:ascii="Times New Roman" w:hAnsi="Times New Roman"/>
              </w:rPr>
              <w:t>Write-offs include both reductions of the carrying of impaired financial assets recognised directly in profit or loss [IFRS 7.B5</w:t>
            </w:r>
            <w:proofErr w:type="gramStart"/>
            <w:r w:rsidRPr="00BB0BFD">
              <w:rPr>
                <w:rStyle w:val="InstructionsTabelleText"/>
                <w:rFonts w:ascii="Times New Roman" w:hAnsi="Times New Roman"/>
              </w:rPr>
              <w:t>.(</w:t>
            </w:r>
            <w:proofErr w:type="gramEnd"/>
            <w:r w:rsidRPr="00BB0BFD">
              <w:rPr>
                <w:rStyle w:val="InstructionsTabelleText"/>
                <w:rFonts w:ascii="Times New Roman" w:hAnsi="Times New Roman"/>
              </w:rPr>
              <w:t>d).(i)] and reductions in the amounts of the allowance accounts charged against the impaired financial assets [IFRS 7.B5.(d).(ii)]</w:t>
            </w:r>
            <w:r>
              <w:rPr>
                <w:rStyle w:val="InstructionsTabelleText"/>
                <w:rFonts w:ascii="Times New Roman" w:hAnsi="Times New Roman"/>
              </w:rPr>
              <w:t>.</w:t>
            </w:r>
          </w:p>
        </w:tc>
      </w:tr>
      <w:tr w:rsidR="0098215D" w:rsidRPr="0017440D" w:rsidTr="00814959">
        <w:tc>
          <w:tcPr>
            <w:tcW w:w="1188" w:type="dxa"/>
          </w:tcPr>
          <w:p w:rsidR="0098215D" w:rsidRDefault="0098215D" w:rsidP="00814959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070</w:t>
            </w:r>
          </w:p>
        </w:tc>
        <w:tc>
          <w:tcPr>
            <w:tcW w:w="8640" w:type="dxa"/>
          </w:tcPr>
          <w:p w:rsidR="0098215D" w:rsidRDefault="0098215D" w:rsidP="0081495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>Credit risk adjustments/write-offs for observed new defaults</w:t>
            </w:r>
          </w:p>
          <w:p w:rsidR="0098215D" w:rsidRPr="003105C6" w:rsidRDefault="0098215D" w:rsidP="0054184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</w:rPr>
              <w:t xml:space="preserve">Sum of credit risk adjustments and write-offs for those exposures which were classified as “defaulted exposures” during the </w:t>
            </w:r>
            <w:r w:rsidR="00541848">
              <w:rPr>
                <w:rStyle w:val="InstructionsTabelleText"/>
                <w:rFonts w:ascii="Times New Roman" w:hAnsi="Times New Roman"/>
              </w:rPr>
              <w:t>3-month period since the last data submission</w:t>
            </w:r>
            <w:r>
              <w:rPr>
                <w:rStyle w:val="InstructionsTabelleText"/>
                <w:rFonts w:ascii="Times New Roman" w:hAnsi="Times New Roman"/>
              </w:rPr>
              <w:t>.</w:t>
            </w:r>
          </w:p>
        </w:tc>
      </w:tr>
      <w:tr w:rsidR="0098215D" w:rsidRPr="0017440D" w:rsidTr="002D18E2">
        <w:tc>
          <w:tcPr>
            <w:tcW w:w="1188" w:type="dxa"/>
          </w:tcPr>
          <w:p w:rsidR="0098215D" w:rsidRPr="0017440D" w:rsidRDefault="0098215D" w:rsidP="002D18E2">
            <w:pPr>
              <w:rPr>
                <w:rFonts w:ascii="Times New Roman" w:hAnsi="Times New Roman"/>
                <w:szCs w:val="20"/>
              </w:rPr>
            </w:pPr>
            <w:r w:rsidRPr="003105C6">
              <w:rPr>
                <w:rFonts w:ascii="Times New Roman" w:hAnsi="Times New Roman"/>
                <w:szCs w:val="20"/>
              </w:rPr>
              <w:t>0</w:t>
            </w:r>
            <w:r>
              <w:rPr>
                <w:rFonts w:ascii="Times New Roman" w:hAnsi="Times New Roman"/>
                <w:szCs w:val="20"/>
              </w:rPr>
              <w:t>80</w:t>
            </w:r>
          </w:p>
        </w:tc>
        <w:tc>
          <w:tcPr>
            <w:tcW w:w="8640" w:type="dxa"/>
          </w:tcPr>
          <w:p w:rsidR="0098215D" w:rsidRPr="002D18E2" w:rsidRDefault="0098215D" w:rsidP="002D18E2">
            <w:pPr>
              <w:rPr>
                <w:rStyle w:val="InstructionsTabelleberschrift"/>
                <w:rFonts w:ascii="Times New Roman" w:hAnsi="Times New Roman"/>
                <w:bCs w:val="0"/>
                <w:szCs w:val="20"/>
              </w:rPr>
            </w:pPr>
            <w:r w:rsidRPr="002D18E2">
              <w:rPr>
                <w:rStyle w:val="InstructionsTabelleberschrift"/>
                <w:rFonts w:ascii="Times New Roman" w:hAnsi="Times New Roman"/>
                <w:bCs w:val="0"/>
                <w:szCs w:val="20"/>
              </w:rPr>
              <w:t>INTERNAL RATING SYSTEM/ PD ASSIGNED TO THE OBLIGOR GRADE OR POOL (%)</w:t>
            </w:r>
          </w:p>
          <w:p w:rsidR="0098215D" w:rsidRPr="002D18E2" w:rsidRDefault="0098215D" w:rsidP="002D18E2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D18E2">
              <w:rPr>
                <w:rStyle w:val="InstructionsTabelleText"/>
                <w:rFonts w:ascii="Times New Roman" w:hAnsi="Times New Roman"/>
              </w:rPr>
              <w:t>Same definition as for column 020 of CR IRB template</w:t>
            </w:r>
          </w:p>
        </w:tc>
      </w:tr>
      <w:tr w:rsidR="0098215D" w:rsidRPr="0017440D" w:rsidTr="002D18E2">
        <w:tc>
          <w:tcPr>
            <w:tcW w:w="1188" w:type="dxa"/>
          </w:tcPr>
          <w:p w:rsidR="0098215D" w:rsidRDefault="0098215D" w:rsidP="002D18E2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090</w:t>
            </w:r>
          </w:p>
        </w:tc>
        <w:tc>
          <w:tcPr>
            <w:tcW w:w="8640" w:type="dxa"/>
          </w:tcPr>
          <w:p w:rsidR="0098215D" w:rsidRPr="006A44C6" w:rsidRDefault="0098215D" w:rsidP="002D18E2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6A44C6">
              <w:rPr>
                <w:rFonts w:ascii="Times New Roman" w:hAnsi="Times New Roman"/>
                <w:b/>
                <w:szCs w:val="20"/>
                <w:u w:val="single"/>
              </w:rPr>
              <w:t>EXPOSURE WEIGHTED AVERAGE LGD (%)</w:t>
            </w:r>
          </w:p>
          <w:p w:rsidR="0098215D" w:rsidRPr="003105C6" w:rsidRDefault="0098215D" w:rsidP="002D18E2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D18E2">
              <w:rPr>
                <w:rStyle w:val="InstructionsTabelleText"/>
                <w:rFonts w:ascii="Times New Roman" w:hAnsi="Times New Roman"/>
              </w:rPr>
              <w:t>Same definition as for column 220 of CR IRB template</w:t>
            </w:r>
            <w:r w:rsidR="00EA2AE8">
              <w:rPr>
                <w:rStyle w:val="InstructionsTabelleText"/>
                <w:rFonts w:ascii="Times New Roman" w:hAnsi="Times New Roman"/>
              </w:rPr>
              <w:t xml:space="preserve">. </w:t>
            </w:r>
            <w:r w:rsidR="00EA2AE8" w:rsidRPr="00EA2AE8">
              <w:rPr>
                <w:rStyle w:val="InstructionsTabelleText"/>
                <w:rFonts w:ascii="Times New Roman" w:hAnsi="Times New Roman"/>
              </w:rPr>
              <w:t>Provisions laid down in Article 177 (1) point h) of CRR shall apply</w:t>
            </w:r>
            <w:r w:rsidR="00EA2AE8">
              <w:rPr>
                <w:rStyle w:val="InstructionsTabelleText"/>
                <w:rFonts w:ascii="Times New Roman" w:hAnsi="Times New Roman"/>
              </w:rPr>
              <w:t>.</w:t>
            </w:r>
          </w:p>
        </w:tc>
      </w:tr>
      <w:tr w:rsidR="0098215D" w:rsidRPr="0017440D" w:rsidTr="002D18E2">
        <w:tc>
          <w:tcPr>
            <w:tcW w:w="1188" w:type="dxa"/>
          </w:tcPr>
          <w:p w:rsidR="0098215D" w:rsidRDefault="000F239F" w:rsidP="002D18E2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100</w:t>
            </w:r>
          </w:p>
        </w:tc>
        <w:tc>
          <w:tcPr>
            <w:tcW w:w="8640" w:type="dxa"/>
          </w:tcPr>
          <w:p w:rsidR="0098215D" w:rsidRDefault="0098215D" w:rsidP="00734F10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>Of which</w:t>
            </w:r>
            <w:r w:rsidR="00E83E84">
              <w:rPr>
                <w:rFonts w:ascii="Times New Roman" w:hAnsi="Times New Roman"/>
                <w:b/>
                <w:szCs w:val="20"/>
                <w:u w:val="single"/>
              </w:rPr>
              <w:t>:</w:t>
            </w:r>
            <w:r>
              <w:rPr>
                <w:rFonts w:ascii="Times New Roman" w:hAnsi="Times New Roman"/>
                <w:b/>
                <w:szCs w:val="20"/>
                <w:u w:val="single"/>
              </w:rPr>
              <w:t xml:space="preserve"> defaulted</w:t>
            </w:r>
          </w:p>
          <w:p w:rsidR="0098215D" w:rsidRPr="006A44C6" w:rsidRDefault="0098215D" w:rsidP="00734F10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</w:rPr>
              <w:t>Exposure weighted LGD</w:t>
            </w:r>
            <w:r w:rsidRPr="003105C6">
              <w:rPr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rFonts w:ascii="Times New Roman" w:hAnsi="Times New Roman"/>
              </w:rPr>
              <w:t>for those exposures which have been classified as “defaulted exposures” a</w:t>
            </w:r>
            <w:r>
              <w:rPr>
                <w:rStyle w:val="InstructionsTabelleText"/>
                <w:rFonts w:ascii="Times New Roman" w:hAnsi="Times New Roman"/>
              </w:rPr>
              <w:t>c</w:t>
            </w:r>
            <w:r>
              <w:rPr>
                <w:rStyle w:val="InstructionsTabelleText"/>
                <w:rFonts w:ascii="Times New Roman" w:hAnsi="Times New Roman"/>
              </w:rPr>
              <w:t>cording to CRR article 174.</w:t>
            </w:r>
          </w:p>
        </w:tc>
      </w:tr>
      <w:tr w:rsidR="0098215D" w:rsidRPr="0017440D" w:rsidTr="002D18E2">
        <w:tc>
          <w:tcPr>
            <w:tcW w:w="1188" w:type="dxa"/>
          </w:tcPr>
          <w:p w:rsidR="0098215D" w:rsidRDefault="0098215D" w:rsidP="002D18E2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  <w:r w:rsidR="000F239F">
              <w:rPr>
                <w:rFonts w:ascii="Times New Roman" w:hAnsi="Times New Roman"/>
                <w:szCs w:val="20"/>
              </w:rPr>
              <w:t>1</w:t>
            </w: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8640" w:type="dxa"/>
          </w:tcPr>
          <w:p w:rsidR="0098215D" w:rsidRPr="0017440D" w:rsidRDefault="0098215D" w:rsidP="002D18E2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3105C6">
              <w:rPr>
                <w:rFonts w:ascii="Times New Roman" w:hAnsi="Times New Roman"/>
                <w:b/>
                <w:szCs w:val="20"/>
                <w:u w:val="single"/>
              </w:rPr>
              <w:t>RISK WEIGHTED EXPOSURE AMOUNT</w:t>
            </w:r>
          </w:p>
          <w:p w:rsidR="0098215D" w:rsidRPr="003105C6" w:rsidRDefault="0098215D" w:rsidP="002D18E2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D18E2">
              <w:rPr>
                <w:rStyle w:val="InstructionsTabelleText"/>
                <w:rFonts w:ascii="Times New Roman" w:hAnsi="Times New Roman"/>
              </w:rPr>
              <w:t>Same definition as for column 240 of CR IRB template</w:t>
            </w:r>
          </w:p>
        </w:tc>
      </w:tr>
      <w:tr w:rsidR="0098215D" w:rsidRPr="0017440D" w:rsidTr="002D18E2">
        <w:tc>
          <w:tcPr>
            <w:tcW w:w="1188" w:type="dxa"/>
          </w:tcPr>
          <w:p w:rsidR="0098215D" w:rsidRDefault="000F239F" w:rsidP="002D18E2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120</w:t>
            </w:r>
          </w:p>
        </w:tc>
        <w:tc>
          <w:tcPr>
            <w:tcW w:w="8640" w:type="dxa"/>
          </w:tcPr>
          <w:p w:rsidR="0098215D" w:rsidRDefault="0098215D" w:rsidP="005B5DB1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>Of which defaulted</w:t>
            </w:r>
          </w:p>
          <w:p w:rsidR="0098215D" w:rsidRPr="003105C6" w:rsidRDefault="0098215D" w:rsidP="002D18E2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</w:rPr>
              <w:t>Risk weighted exposure amount</w:t>
            </w:r>
            <w:r w:rsidRPr="003105C6">
              <w:rPr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rFonts w:ascii="Times New Roman" w:hAnsi="Times New Roman"/>
              </w:rPr>
              <w:t>for those exposures which have been classified as “defaulted exposures” according to CRR article 174.</w:t>
            </w:r>
          </w:p>
        </w:tc>
      </w:tr>
      <w:tr w:rsidR="0098215D" w:rsidRPr="0017440D" w:rsidTr="002D18E2">
        <w:tc>
          <w:tcPr>
            <w:tcW w:w="1188" w:type="dxa"/>
          </w:tcPr>
          <w:p w:rsidR="0098215D" w:rsidRDefault="000F239F" w:rsidP="002D18E2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130</w:t>
            </w:r>
          </w:p>
        </w:tc>
        <w:tc>
          <w:tcPr>
            <w:tcW w:w="8640" w:type="dxa"/>
          </w:tcPr>
          <w:p w:rsidR="0098215D" w:rsidRPr="0017440D" w:rsidRDefault="0098215D" w:rsidP="002D18E2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3105C6">
              <w:rPr>
                <w:rFonts w:ascii="Times New Roman" w:hAnsi="Times New Roman"/>
                <w:b/>
                <w:szCs w:val="20"/>
                <w:u w:val="single"/>
              </w:rPr>
              <w:t>EXPECTED LOSS AMOUNT</w:t>
            </w:r>
          </w:p>
          <w:p w:rsidR="0098215D" w:rsidRPr="003105C6" w:rsidRDefault="0098215D" w:rsidP="002D18E2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D18E2">
              <w:rPr>
                <w:rStyle w:val="InstructionsTabelleText"/>
                <w:rFonts w:ascii="Times New Roman" w:hAnsi="Times New Roman"/>
              </w:rPr>
              <w:t>Same definition as for column 260 of CR IRB template</w:t>
            </w:r>
            <w:r w:rsidRPr="002D18E2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</w:p>
        </w:tc>
      </w:tr>
    </w:tbl>
    <w:p w:rsidR="0098215D" w:rsidRPr="0017440D" w:rsidRDefault="0098215D" w:rsidP="00650DB8">
      <w:pPr>
        <w:rPr>
          <w:rFonts w:ascii="Times New Roman" w:hAnsi="Times New Roman"/>
        </w:rPr>
      </w:pPr>
    </w:p>
    <w:p w:rsidR="0098215D" w:rsidRPr="0017440D" w:rsidRDefault="0098215D" w:rsidP="00650DB8">
      <w:pPr>
        <w:rPr>
          <w:rFonts w:ascii="Times New Roman" w:hAnsi="Times New Roman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640"/>
      </w:tblGrid>
      <w:tr w:rsidR="0098215D" w:rsidRPr="0017440D" w:rsidTr="00C367B4">
        <w:tc>
          <w:tcPr>
            <w:tcW w:w="1188" w:type="dxa"/>
            <w:shd w:val="clear" w:color="auto" w:fill="CCCCCC"/>
          </w:tcPr>
          <w:p w:rsidR="0098215D" w:rsidRPr="007C4442" w:rsidRDefault="0098215D" w:rsidP="00C367B4">
            <w:pPr>
              <w:rPr>
                <w:rFonts w:ascii="Times New Roman" w:hAnsi="Times New Roman"/>
                <w:b/>
                <w:szCs w:val="20"/>
              </w:rPr>
            </w:pPr>
            <w:r w:rsidRPr="007C4442">
              <w:rPr>
                <w:rFonts w:ascii="Times New Roman" w:hAnsi="Times New Roman"/>
                <w:b/>
                <w:szCs w:val="20"/>
              </w:rPr>
              <w:t>Rows</w:t>
            </w:r>
          </w:p>
        </w:tc>
        <w:tc>
          <w:tcPr>
            <w:tcW w:w="8640" w:type="dxa"/>
            <w:shd w:val="clear" w:color="auto" w:fill="CCCCCC"/>
          </w:tcPr>
          <w:p w:rsidR="0098215D" w:rsidRPr="0017440D" w:rsidRDefault="0098215D" w:rsidP="00C367B4">
            <w:pPr>
              <w:ind w:left="72"/>
              <w:rPr>
                <w:rFonts w:ascii="Times New Roman" w:hAnsi="Times New Roman"/>
                <w:szCs w:val="20"/>
              </w:rPr>
            </w:pPr>
          </w:p>
        </w:tc>
      </w:tr>
      <w:tr w:rsidR="0098215D" w:rsidRPr="0017440D" w:rsidTr="00C367B4">
        <w:tc>
          <w:tcPr>
            <w:tcW w:w="1188" w:type="dxa"/>
          </w:tcPr>
          <w:p w:rsidR="0098215D" w:rsidRPr="0017440D" w:rsidRDefault="0098215D" w:rsidP="00C367B4">
            <w:pPr>
              <w:rPr>
                <w:rFonts w:ascii="Times New Roman" w:hAnsi="Times New Roman"/>
                <w:szCs w:val="20"/>
              </w:rPr>
            </w:pPr>
            <w:r w:rsidRPr="003105C6">
              <w:rPr>
                <w:rFonts w:ascii="Times New Roman" w:hAnsi="Times New Roman"/>
                <w:szCs w:val="20"/>
              </w:rPr>
              <w:t>010</w:t>
            </w:r>
          </w:p>
        </w:tc>
        <w:tc>
          <w:tcPr>
            <w:tcW w:w="8640" w:type="dxa"/>
          </w:tcPr>
          <w:p w:rsidR="0098215D" w:rsidRPr="00E068EB" w:rsidRDefault="0098215D" w:rsidP="00E068EB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E068EB">
              <w:rPr>
                <w:rFonts w:ascii="Times New Roman" w:hAnsi="Times New Roman"/>
                <w:b/>
                <w:szCs w:val="20"/>
                <w:u w:val="single"/>
              </w:rPr>
              <w:t xml:space="preserve">Central banks and central governments </w:t>
            </w:r>
          </w:p>
          <w:p w:rsidR="0098215D" w:rsidRPr="002710DF" w:rsidRDefault="0098215D" w:rsidP="002710DF">
            <w:pPr>
              <w:rPr>
                <w:rFonts w:ascii="Times New Roman" w:hAnsi="Times New Roman"/>
                <w:szCs w:val="20"/>
              </w:rPr>
            </w:pPr>
            <w:r w:rsidRPr="00E068EB">
              <w:rPr>
                <w:rFonts w:ascii="Times New Roman" w:hAnsi="Times New Roman"/>
                <w:szCs w:val="20"/>
              </w:rPr>
              <w:t>(Article 142 (2) (a) CRR)</w:t>
            </w:r>
          </w:p>
        </w:tc>
      </w:tr>
      <w:tr w:rsidR="0098215D" w:rsidRPr="00E92E29" w:rsidTr="00C367B4">
        <w:tc>
          <w:tcPr>
            <w:tcW w:w="1188" w:type="dxa"/>
          </w:tcPr>
          <w:p w:rsidR="0098215D" w:rsidRPr="0017440D" w:rsidRDefault="0098215D" w:rsidP="002710DF">
            <w:pPr>
              <w:rPr>
                <w:rFonts w:ascii="Times New Roman" w:hAnsi="Times New Roman"/>
                <w:szCs w:val="20"/>
              </w:rPr>
            </w:pPr>
            <w:r w:rsidRPr="003105C6">
              <w:rPr>
                <w:rFonts w:ascii="Times New Roman" w:hAnsi="Times New Roman"/>
                <w:szCs w:val="20"/>
              </w:rPr>
              <w:t>020</w:t>
            </w:r>
          </w:p>
        </w:tc>
        <w:tc>
          <w:tcPr>
            <w:tcW w:w="8640" w:type="dxa"/>
          </w:tcPr>
          <w:p w:rsidR="0098215D" w:rsidRPr="00D0420C" w:rsidRDefault="0098215D" w:rsidP="00E068EB">
            <w:pPr>
              <w:rPr>
                <w:rFonts w:ascii="Times New Roman" w:hAnsi="Times New Roman"/>
                <w:b/>
                <w:szCs w:val="20"/>
                <w:u w:val="single"/>
                <w:lang w:val="fr-FR"/>
              </w:rPr>
            </w:pPr>
            <w:r w:rsidRPr="00D0420C">
              <w:rPr>
                <w:rFonts w:ascii="Times New Roman" w:hAnsi="Times New Roman"/>
                <w:b/>
                <w:szCs w:val="20"/>
                <w:u w:val="single"/>
                <w:lang w:val="fr-FR"/>
              </w:rPr>
              <w:t>Institutions</w:t>
            </w:r>
          </w:p>
          <w:p w:rsidR="0098215D" w:rsidRPr="00D0420C" w:rsidRDefault="0098215D" w:rsidP="00E068EB">
            <w:pPr>
              <w:rPr>
                <w:rFonts w:ascii="Times New Roman" w:hAnsi="Times New Roman"/>
                <w:szCs w:val="20"/>
                <w:lang w:val="fr-FR"/>
              </w:rPr>
            </w:pPr>
            <w:r w:rsidRPr="00D0420C">
              <w:rPr>
                <w:rFonts w:ascii="Times New Roman" w:hAnsi="Times New Roman"/>
                <w:szCs w:val="20"/>
                <w:lang w:val="fr-FR"/>
              </w:rPr>
              <w:t>(Article 142 (2) point (b) CRR)</w:t>
            </w:r>
          </w:p>
        </w:tc>
      </w:tr>
      <w:tr w:rsidR="0098215D" w:rsidRPr="0017440D" w:rsidTr="00C367B4">
        <w:tc>
          <w:tcPr>
            <w:tcW w:w="1188" w:type="dxa"/>
          </w:tcPr>
          <w:p w:rsidR="0098215D" w:rsidRPr="0017440D" w:rsidRDefault="0098215D" w:rsidP="002710DF">
            <w:pPr>
              <w:rPr>
                <w:rFonts w:ascii="Times New Roman" w:hAnsi="Times New Roman"/>
                <w:szCs w:val="20"/>
              </w:rPr>
            </w:pPr>
            <w:r w:rsidRPr="003105C6">
              <w:rPr>
                <w:rFonts w:ascii="Times New Roman" w:hAnsi="Times New Roman"/>
                <w:szCs w:val="20"/>
              </w:rPr>
              <w:t>030</w:t>
            </w:r>
          </w:p>
        </w:tc>
        <w:tc>
          <w:tcPr>
            <w:tcW w:w="8640" w:type="dxa"/>
          </w:tcPr>
          <w:p w:rsidR="0098215D" w:rsidRPr="00E068EB" w:rsidRDefault="0098215D" w:rsidP="00E068EB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 xml:space="preserve">Corporates </w:t>
            </w:r>
          </w:p>
          <w:p w:rsidR="0098215D" w:rsidRPr="0017440D" w:rsidRDefault="0098215D" w:rsidP="00E068EB">
            <w:pPr>
              <w:pStyle w:val="ListParagraph"/>
              <w:ind w:left="0"/>
              <w:rPr>
                <w:rFonts w:ascii="Times New Roman" w:hAnsi="Times New Roman"/>
                <w:szCs w:val="20"/>
                <w:lang w:eastAsia="de-DE"/>
              </w:rPr>
            </w:pPr>
            <w:r w:rsidRPr="00E068EB">
              <w:rPr>
                <w:rFonts w:ascii="Times New Roman" w:hAnsi="Times New Roman"/>
                <w:szCs w:val="20"/>
                <w:lang w:eastAsia="de-DE"/>
              </w:rPr>
              <w:t>(All corporates according to article 142 (2)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 point </w:t>
            </w:r>
            <w:proofErr w:type="gramStart"/>
            <w:r>
              <w:rPr>
                <w:rFonts w:ascii="Times New Roman" w:hAnsi="Times New Roman"/>
                <w:szCs w:val="20"/>
                <w:lang w:eastAsia="de-DE"/>
              </w:rPr>
              <w:t>( c</w:t>
            </w:r>
            <w:proofErr w:type="gramEnd"/>
            <w:r>
              <w:rPr>
                <w:rFonts w:ascii="Times New Roman" w:hAnsi="Times New Roman"/>
                <w:szCs w:val="20"/>
                <w:lang w:eastAsia="de-DE"/>
              </w:rPr>
              <w:t>)</w:t>
            </w:r>
            <w:r w:rsidRPr="00E068EB">
              <w:rPr>
                <w:rFonts w:ascii="Times New Roman" w:hAnsi="Times New Roman"/>
                <w:szCs w:val="20"/>
                <w:lang w:eastAsia="de-DE"/>
              </w:rPr>
              <w:t>.</w:t>
            </w:r>
            <w:r>
              <w:rPr>
                <w:rFonts w:ascii="Times New Roman" w:hAnsi="Times New Roman"/>
                <w:szCs w:val="20"/>
                <w:lang w:eastAsia="de-DE"/>
              </w:rPr>
              <w:t>)</w:t>
            </w:r>
          </w:p>
        </w:tc>
      </w:tr>
      <w:tr w:rsidR="0098215D" w:rsidRPr="0017440D" w:rsidTr="00C367B4">
        <w:tc>
          <w:tcPr>
            <w:tcW w:w="1188" w:type="dxa"/>
          </w:tcPr>
          <w:p w:rsidR="0098215D" w:rsidRPr="0017440D" w:rsidRDefault="0098215D" w:rsidP="002710DF">
            <w:pPr>
              <w:rPr>
                <w:rFonts w:ascii="Times New Roman" w:hAnsi="Times New Roman"/>
                <w:szCs w:val="20"/>
              </w:rPr>
            </w:pPr>
            <w:r w:rsidRPr="003105C6">
              <w:rPr>
                <w:rFonts w:ascii="Times New Roman" w:hAnsi="Times New Roman"/>
                <w:szCs w:val="20"/>
              </w:rPr>
              <w:t>040</w:t>
            </w:r>
          </w:p>
        </w:tc>
        <w:tc>
          <w:tcPr>
            <w:tcW w:w="8640" w:type="dxa"/>
          </w:tcPr>
          <w:p w:rsidR="0098215D" w:rsidRPr="00E068EB" w:rsidRDefault="0098215D" w:rsidP="00E068EB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>Of which:</w:t>
            </w:r>
            <w:r w:rsidRPr="00E068EB">
              <w:rPr>
                <w:rFonts w:ascii="Times New Roman" w:hAnsi="Times New Roman"/>
                <w:b/>
                <w:szCs w:val="20"/>
                <w:u w:val="single"/>
              </w:rPr>
              <w:t xml:space="preserve"> Specialized lending</w:t>
            </w:r>
          </w:p>
          <w:p w:rsidR="0098215D" w:rsidRPr="0017440D" w:rsidRDefault="0098215D" w:rsidP="00E068EB">
            <w:pPr>
              <w:pStyle w:val="ListParagraph"/>
              <w:ind w:left="0"/>
              <w:rPr>
                <w:rFonts w:ascii="Times New Roman" w:hAnsi="Times New Roman"/>
                <w:szCs w:val="20"/>
                <w:lang w:eastAsia="de-DE"/>
              </w:rPr>
            </w:pPr>
            <w:r w:rsidRPr="00E068EB">
              <w:rPr>
                <w:rFonts w:ascii="Times New Roman" w:hAnsi="Times New Roman"/>
                <w:szCs w:val="20"/>
                <w:lang w:eastAsia="de-DE"/>
              </w:rPr>
              <w:t>(Article 142 (8) a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Pr="00E068EB">
              <w:rPr>
                <w:rFonts w:ascii="Times New Roman" w:hAnsi="Times New Roman"/>
                <w:szCs w:val="20"/>
                <w:lang w:eastAsia="de-DE"/>
              </w:rPr>
              <w:t>CRR)</w:t>
            </w:r>
          </w:p>
        </w:tc>
      </w:tr>
      <w:tr w:rsidR="0098215D" w:rsidRPr="0017440D" w:rsidTr="00C367B4">
        <w:tc>
          <w:tcPr>
            <w:tcW w:w="1188" w:type="dxa"/>
          </w:tcPr>
          <w:p w:rsidR="0098215D" w:rsidRPr="0017440D" w:rsidRDefault="0098215D" w:rsidP="002710DF">
            <w:pPr>
              <w:rPr>
                <w:rFonts w:ascii="Times New Roman" w:hAnsi="Times New Roman"/>
                <w:szCs w:val="20"/>
              </w:rPr>
            </w:pPr>
            <w:r w:rsidRPr="003105C6">
              <w:rPr>
                <w:rFonts w:ascii="Times New Roman" w:hAnsi="Times New Roman"/>
                <w:szCs w:val="20"/>
              </w:rPr>
              <w:lastRenderedPageBreak/>
              <w:t>050</w:t>
            </w:r>
          </w:p>
        </w:tc>
        <w:tc>
          <w:tcPr>
            <w:tcW w:w="8640" w:type="dxa"/>
          </w:tcPr>
          <w:p w:rsidR="0098215D" w:rsidRPr="00E068EB" w:rsidRDefault="0098215D" w:rsidP="00E068EB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Pr="00E068EB">
              <w:rPr>
                <w:rFonts w:ascii="Times New Roman" w:hAnsi="Times New Roman"/>
                <w:b/>
                <w:szCs w:val="20"/>
                <w:u w:val="single"/>
              </w:rPr>
              <w:t>SME</w:t>
            </w:r>
          </w:p>
          <w:p w:rsidR="0098215D" w:rsidRPr="0017440D" w:rsidRDefault="0098215D" w:rsidP="00E068EB">
            <w:pPr>
              <w:pStyle w:val="ListParagraph"/>
              <w:ind w:left="0"/>
              <w:rPr>
                <w:rFonts w:ascii="Times New Roman" w:hAnsi="Times New Roman"/>
                <w:szCs w:val="20"/>
                <w:lang w:eastAsia="de-DE"/>
              </w:rPr>
            </w:pPr>
            <w:r w:rsidRPr="00E068EB">
              <w:rPr>
                <w:rFonts w:ascii="Times New Roman" w:hAnsi="Times New Roman"/>
                <w:szCs w:val="20"/>
                <w:lang w:eastAsia="de-DE"/>
              </w:rPr>
              <w:t>(Article 142 (2)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Pr="00E068EB">
              <w:rPr>
                <w:rFonts w:ascii="Times New Roman" w:hAnsi="Times New Roman"/>
                <w:szCs w:val="20"/>
                <w:lang w:eastAsia="de-DE"/>
              </w:rPr>
              <w:t>point ( c) CRR)</w:t>
            </w:r>
          </w:p>
        </w:tc>
      </w:tr>
      <w:tr w:rsidR="0098215D" w:rsidRPr="0017440D" w:rsidTr="00C367B4">
        <w:tc>
          <w:tcPr>
            <w:tcW w:w="1188" w:type="dxa"/>
          </w:tcPr>
          <w:p w:rsidR="0098215D" w:rsidRPr="0017440D" w:rsidRDefault="0098215D" w:rsidP="002710DF">
            <w:pPr>
              <w:rPr>
                <w:rFonts w:ascii="Times New Roman" w:hAnsi="Times New Roman"/>
                <w:szCs w:val="20"/>
              </w:rPr>
            </w:pPr>
            <w:r w:rsidRPr="003105C6">
              <w:rPr>
                <w:rFonts w:ascii="Times New Roman" w:hAnsi="Times New Roman"/>
                <w:szCs w:val="20"/>
              </w:rPr>
              <w:t>060</w:t>
            </w:r>
          </w:p>
        </w:tc>
        <w:tc>
          <w:tcPr>
            <w:tcW w:w="8640" w:type="dxa"/>
          </w:tcPr>
          <w:p w:rsidR="0098215D" w:rsidRPr="0017440D" w:rsidRDefault="0098215D" w:rsidP="00C367B4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>Retail</w:t>
            </w:r>
          </w:p>
          <w:p w:rsidR="0098215D" w:rsidRPr="0017440D" w:rsidRDefault="0098215D" w:rsidP="00C367B4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All Retail exposures according to </w:t>
            </w:r>
            <w:r w:rsidRPr="003105C6">
              <w:rPr>
                <w:rFonts w:ascii="Times New Roman" w:hAnsi="Times New Roman"/>
                <w:szCs w:val="20"/>
                <w:lang w:eastAsia="de-DE"/>
              </w:rPr>
              <w:t>Article 142 (2) point (d)</w:t>
            </w:r>
          </w:p>
        </w:tc>
      </w:tr>
      <w:tr w:rsidR="0098215D" w:rsidRPr="0017440D" w:rsidTr="00C367B4">
        <w:tc>
          <w:tcPr>
            <w:tcW w:w="1188" w:type="dxa"/>
          </w:tcPr>
          <w:p w:rsidR="0098215D" w:rsidRPr="0017440D" w:rsidRDefault="0098215D" w:rsidP="002710DF">
            <w:pPr>
              <w:rPr>
                <w:rFonts w:ascii="Times New Roman" w:hAnsi="Times New Roman"/>
                <w:szCs w:val="20"/>
              </w:rPr>
            </w:pPr>
            <w:r w:rsidRPr="003105C6">
              <w:rPr>
                <w:rFonts w:ascii="Times New Roman" w:hAnsi="Times New Roman"/>
                <w:szCs w:val="20"/>
              </w:rPr>
              <w:t>070</w:t>
            </w:r>
          </w:p>
        </w:tc>
        <w:tc>
          <w:tcPr>
            <w:tcW w:w="8640" w:type="dxa"/>
          </w:tcPr>
          <w:p w:rsidR="0098215D" w:rsidRPr="0017440D" w:rsidRDefault="0098215D" w:rsidP="00C367B4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>Retail – Secured by real estate property</w:t>
            </w:r>
          </w:p>
          <w:p w:rsidR="0098215D" w:rsidRPr="00501B90" w:rsidRDefault="0098215D" w:rsidP="00501B90">
            <w:pPr>
              <w:pStyle w:val="ListParagraph"/>
              <w:ind w:left="0"/>
              <w:rPr>
                <w:rFonts w:ascii="Times New Roman" w:hAnsi="Times New Roman"/>
                <w:szCs w:val="20"/>
                <w:lang w:eastAsia="de-DE"/>
              </w:rPr>
            </w:pPr>
            <w:r w:rsidRPr="00E068EB">
              <w:rPr>
                <w:rFonts w:ascii="Times New Roman" w:hAnsi="Times New Roman"/>
                <w:szCs w:val="20"/>
                <w:lang w:eastAsia="de-DE"/>
              </w:rPr>
              <w:t>Exposures reflecting Article 142 (2) point (d) CRR which are secured by real estate.</w:t>
            </w:r>
          </w:p>
        </w:tc>
      </w:tr>
      <w:tr w:rsidR="0098215D" w:rsidRPr="0017440D" w:rsidTr="00C367B4">
        <w:tc>
          <w:tcPr>
            <w:tcW w:w="1188" w:type="dxa"/>
          </w:tcPr>
          <w:p w:rsidR="0098215D" w:rsidRPr="0017440D" w:rsidRDefault="0098215D" w:rsidP="002710DF">
            <w:pPr>
              <w:rPr>
                <w:rFonts w:ascii="Times New Roman" w:hAnsi="Times New Roman"/>
                <w:szCs w:val="20"/>
              </w:rPr>
            </w:pPr>
            <w:r w:rsidRPr="003105C6">
              <w:rPr>
                <w:rFonts w:ascii="Times New Roman" w:hAnsi="Times New Roman"/>
                <w:szCs w:val="20"/>
              </w:rPr>
              <w:t>080</w:t>
            </w:r>
          </w:p>
        </w:tc>
        <w:tc>
          <w:tcPr>
            <w:tcW w:w="8640" w:type="dxa"/>
          </w:tcPr>
          <w:p w:rsidR="0098215D" w:rsidRPr="00E068EB" w:rsidRDefault="0098215D" w:rsidP="002710DF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>Of which:</w:t>
            </w:r>
            <w:r w:rsidRPr="00E068EB">
              <w:rPr>
                <w:rFonts w:ascii="Times New Roman" w:hAnsi="Times New Roman"/>
                <w:b/>
                <w:szCs w:val="20"/>
                <w:u w:val="single"/>
              </w:rPr>
              <w:t xml:space="preserve"> SME</w:t>
            </w:r>
          </w:p>
          <w:p w:rsidR="0098215D" w:rsidRPr="0017440D" w:rsidRDefault="0098215D" w:rsidP="002710DF">
            <w:pPr>
              <w:pStyle w:val="ListParagraph"/>
              <w:ind w:left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Retail e</w:t>
            </w:r>
            <w:r w:rsidRPr="00E068EB">
              <w:rPr>
                <w:rFonts w:ascii="Times New Roman" w:hAnsi="Times New Roman"/>
                <w:szCs w:val="20"/>
                <w:lang w:eastAsia="de-DE"/>
              </w:rPr>
              <w:t>xposures reflecting Article 142 (2) point (d) in conjunction with Article 148 (3) CRR which are secured by real estate.</w:t>
            </w:r>
          </w:p>
        </w:tc>
      </w:tr>
      <w:tr w:rsidR="0098215D" w:rsidRPr="0017440D" w:rsidTr="00C367B4">
        <w:tc>
          <w:tcPr>
            <w:tcW w:w="1188" w:type="dxa"/>
          </w:tcPr>
          <w:p w:rsidR="0098215D" w:rsidRPr="0017440D" w:rsidRDefault="0098215D" w:rsidP="00C367B4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090</w:t>
            </w:r>
          </w:p>
        </w:tc>
        <w:tc>
          <w:tcPr>
            <w:tcW w:w="8640" w:type="dxa"/>
          </w:tcPr>
          <w:p w:rsidR="0098215D" w:rsidRPr="00E068EB" w:rsidRDefault="0098215D" w:rsidP="002710DF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>Of which: non-SME</w:t>
            </w:r>
          </w:p>
          <w:p w:rsidR="0098215D" w:rsidRPr="002710DF" w:rsidRDefault="0098215D" w:rsidP="002710DF">
            <w:pPr>
              <w:pStyle w:val="ListParagraph"/>
              <w:ind w:left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Retail e</w:t>
            </w:r>
            <w:r w:rsidRPr="00E068EB">
              <w:rPr>
                <w:rFonts w:ascii="Times New Roman" w:hAnsi="Times New Roman"/>
                <w:szCs w:val="20"/>
                <w:lang w:eastAsia="de-DE"/>
              </w:rPr>
              <w:t>xposures reflecting Article 142 (2) point (d) CRR which are secured by real estate.</w:t>
            </w:r>
          </w:p>
        </w:tc>
      </w:tr>
      <w:tr w:rsidR="0098215D" w:rsidRPr="0017440D" w:rsidTr="00C367B4">
        <w:tc>
          <w:tcPr>
            <w:tcW w:w="1188" w:type="dxa"/>
          </w:tcPr>
          <w:p w:rsidR="0098215D" w:rsidRPr="0017440D" w:rsidRDefault="0098215D" w:rsidP="00C367B4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100</w:t>
            </w:r>
          </w:p>
        </w:tc>
        <w:tc>
          <w:tcPr>
            <w:tcW w:w="8640" w:type="dxa"/>
          </w:tcPr>
          <w:p w:rsidR="0098215D" w:rsidRPr="00E068EB" w:rsidRDefault="0098215D" w:rsidP="002710DF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E068EB">
              <w:rPr>
                <w:rFonts w:ascii="Times New Roman" w:hAnsi="Times New Roman"/>
                <w:b/>
                <w:szCs w:val="20"/>
                <w:u w:val="single"/>
              </w:rPr>
              <w:t>Retail – Qualifying revolving</w:t>
            </w:r>
          </w:p>
          <w:p w:rsidR="0098215D" w:rsidRPr="0017440D" w:rsidRDefault="0098215D" w:rsidP="002710DF">
            <w:pPr>
              <w:pStyle w:val="ListParagraph"/>
              <w:ind w:left="0"/>
              <w:rPr>
                <w:rFonts w:ascii="Times New Roman" w:hAnsi="Times New Roman"/>
                <w:szCs w:val="20"/>
                <w:lang w:eastAsia="de-DE"/>
              </w:rPr>
            </w:pPr>
            <w:r w:rsidRPr="00E068EB">
              <w:rPr>
                <w:rFonts w:ascii="Times New Roman" w:hAnsi="Times New Roman"/>
                <w:szCs w:val="20"/>
                <w:lang w:eastAsia="de-DE"/>
              </w:rPr>
              <w:t xml:space="preserve">(Article 142 (2) point (d) in conjunction with Article 149 (4) CRR). </w:t>
            </w:r>
          </w:p>
        </w:tc>
      </w:tr>
      <w:tr w:rsidR="0098215D" w:rsidRPr="0017440D" w:rsidTr="00C367B4">
        <w:tc>
          <w:tcPr>
            <w:tcW w:w="1188" w:type="dxa"/>
          </w:tcPr>
          <w:p w:rsidR="0098215D" w:rsidRPr="0017440D" w:rsidRDefault="0098215D" w:rsidP="00C367B4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110</w:t>
            </w:r>
          </w:p>
        </w:tc>
        <w:tc>
          <w:tcPr>
            <w:tcW w:w="8640" w:type="dxa"/>
          </w:tcPr>
          <w:p w:rsidR="0098215D" w:rsidRPr="00E068EB" w:rsidRDefault="0098215D" w:rsidP="002710DF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>Other Retail</w:t>
            </w:r>
          </w:p>
          <w:p w:rsidR="0098215D" w:rsidRPr="00814959" w:rsidRDefault="0098215D" w:rsidP="00814959">
            <w:pPr>
              <w:pStyle w:val="ListParagraph"/>
              <w:ind w:left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Other retail exposures according to </w:t>
            </w:r>
            <w:r w:rsidRPr="00E068EB">
              <w:rPr>
                <w:rFonts w:ascii="Times New Roman" w:hAnsi="Times New Roman"/>
                <w:szCs w:val="20"/>
                <w:lang w:eastAsia="de-DE"/>
              </w:rPr>
              <w:t xml:space="preserve">Article 142 </w:t>
            </w:r>
            <w:r>
              <w:rPr>
                <w:rFonts w:ascii="Times New Roman" w:hAnsi="Times New Roman"/>
                <w:szCs w:val="20"/>
                <w:lang w:eastAsia="de-DE"/>
              </w:rPr>
              <w:t>(2) point (d) not reported in rows 070 - 100</w:t>
            </w:r>
            <w:r w:rsidRPr="00E068EB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98215D" w:rsidRPr="0017440D" w:rsidTr="002710DF">
        <w:tc>
          <w:tcPr>
            <w:tcW w:w="1188" w:type="dxa"/>
          </w:tcPr>
          <w:p w:rsidR="0098215D" w:rsidRPr="0017440D" w:rsidRDefault="0098215D" w:rsidP="002710DF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120</w:t>
            </w:r>
          </w:p>
        </w:tc>
        <w:tc>
          <w:tcPr>
            <w:tcW w:w="8640" w:type="dxa"/>
          </w:tcPr>
          <w:p w:rsidR="0098215D" w:rsidRPr="00E068EB" w:rsidRDefault="0098215D" w:rsidP="002710DF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>Of which:</w:t>
            </w:r>
            <w:r w:rsidRPr="00E068EB">
              <w:rPr>
                <w:rFonts w:ascii="Times New Roman" w:hAnsi="Times New Roman"/>
                <w:b/>
                <w:szCs w:val="20"/>
                <w:u w:val="single"/>
              </w:rPr>
              <w:t xml:space="preserve"> SME</w:t>
            </w:r>
          </w:p>
          <w:p w:rsidR="0098215D" w:rsidRPr="0017440D" w:rsidRDefault="0098215D" w:rsidP="002710DF">
            <w:pPr>
              <w:pStyle w:val="ListParagraph"/>
              <w:ind w:left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Other retail e</w:t>
            </w:r>
            <w:r w:rsidRPr="00E068EB">
              <w:rPr>
                <w:rFonts w:ascii="Times New Roman" w:hAnsi="Times New Roman"/>
                <w:szCs w:val="20"/>
                <w:lang w:eastAsia="de-DE"/>
              </w:rPr>
              <w:t>xposures reflecting Article 142 (2) point (d) in conjunction with Article 148 (3) CRR.</w:t>
            </w:r>
          </w:p>
        </w:tc>
      </w:tr>
      <w:tr w:rsidR="0098215D" w:rsidRPr="0017440D" w:rsidTr="00C367B4">
        <w:tc>
          <w:tcPr>
            <w:tcW w:w="1188" w:type="dxa"/>
          </w:tcPr>
          <w:p w:rsidR="0098215D" w:rsidRPr="0017440D" w:rsidRDefault="0098215D" w:rsidP="00C367B4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130</w:t>
            </w:r>
          </w:p>
        </w:tc>
        <w:tc>
          <w:tcPr>
            <w:tcW w:w="8640" w:type="dxa"/>
          </w:tcPr>
          <w:p w:rsidR="0098215D" w:rsidRPr="00E068EB" w:rsidRDefault="0098215D" w:rsidP="002710DF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>Of which: non-SME</w:t>
            </w:r>
          </w:p>
          <w:p w:rsidR="0098215D" w:rsidRPr="0017440D" w:rsidRDefault="0098215D" w:rsidP="002710DF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Other retail e</w:t>
            </w:r>
            <w:r w:rsidRPr="00E068EB">
              <w:rPr>
                <w:rFonts w:ascii="Times New Roman" w:hAnsi="Times New Roman"/>
                <w:szCs w:val="20"/>
                <w:lang w:eastAsia="de-DE"/>
              </w:rPr>
              <w:t>xposures reflecting Article 142 (2) point (d) CRR.</w:t>
            </w:r>
          </w:p>
        </w:tc>
      </w:tr>
      <w:bookmarkEnd w:id="12"/>
      <w:tr w:rsidR="00691A75" w:rsidRPr="0017440D" w:rsidTr="00691A7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A75" w:rsidRPr="0017440D" w:rsidRDefault="00691A75" w:rsidP="00691A75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140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A75" w:rsidRPr="00E068EB" w:rsidRDefault="00691A75" w:rsidP="00691A75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>Equity</w:t>
            </w:r>
          </w:p>
          <w:p w:rsidR="00691A75" w:rsidRPr="00691A75" w:rsidRDefault="00691A75" w:rsidP="00691A75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>Equity</w:t>
            </w:r>
            <w:r w:rsidRPr="00691A75">
              <w:rPr>
                <w:rFonts w:ascii="Times New Roman" w:hAnsi="Times New Roman"/>
                <w:b/>
                <w:szCs w:val="20"/>
                <w:u w:val="single"/>
              </w:rPr>
              <w:t xml:space="preserve"> exposures reflecting Article 142 (</w:t>
            </w:r>
            <w:r>
              <w:rPr>
                <w:rFonts w:ascii="Times New Roman" w:hAnsi="Times New Roman"/>
                <w:b/>
                <w:szCs w:val="20"/>
                <w:u w:val="single"/>
              </w:rPr>
              <w:t>2) point (e</w:t>
            </w:r>
            <w:r w:rsidRPr="00691A75">
              <w:rPr>
                <w:rFonts w:ascii="Times New Roman" w:hAnsi="Times New Roman"/>
                <w:b/>
                <w:szCs w:val="20"/>
                <w:u w:val="single"/>
              </w:rPr>
              <w:t>) CRR.</w:t>
            </w:r>
          </w:p>
        </w:tc>
      </w:tr>
    </w:tbl>
    <w:p w:rsidR="0098215D" w:rsidRDefault="0098215D" w:rsidP="00501B90">
      <w:pPr>
        <w:spacing w:before="0" w:after="200" w:line="312" w:lineRule="auto"/>
        <w:jc w:val="left"/>
        <w:rPr>
          <w:rFonts w:ascii="Times New Roman" w:hAnsi="Times New Roman"/>
        </w:rPr>
      </w:pPr>
    </w:p>
    <w:p w:rsidR="00922953" w:rsidRDefault="00922953" w:rsidP="00501B90">
      <w:pPr>
        <w:spacing w:before="0" w:after="200" w:line="312" w:lineRule="auto"/>
        <w:jc w:val="left"/>
        <w:rPr>
          <w:rFonts w:ascii="Times New Roman" w:hAnsi="Times New Roman"/>
        </w:rPr>
      </w:pPr>
    </w:p>
    <w:p w:rsidR="00E83E84" w:rsidRDefault="00922953">
      <w:pPr>
        <w:pStyle w:val="Instructionsberschrift2"/>
        <w:numPr>
          <w:ilvl w:val="1"/>
          <w:numId w:val="5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Table 3 </w:t>
      </w:r>
      <w:r w:rsidRPr="003105C6">
        <w:rPr>
          <w:rFonts w:ascii="Times New Roman" w:hAnsi="Times New Roman" w:cs="Times New Roman"/>
        </w:rPr>
        <w:t xml:space="preserve">– </w:t>
      </w:r>
      <w:r w:rsidRPr="00922953">
        <w:rPr>
          <w:rFonts w:ascii="Times New Roman" w:hAnsi="Times New Roman" w:cs="Times New Roman"/>
        </w:rPr>
        <w:t>Breakdown of total own funds requirements for credit risk of relevant credit exposures by cou</w:t>
      </w:r>
      <w:r w:rsidRPr="00922953">
        <w:rPr>
          <w:rFonts w:ascii="Times New Roman" w:hAnsi="Times New Roman" w:cs="Times New Roman"/>
        </w:rPr>
        <w:t>n</w:t>
      </w:r>
      <w:r w:rsidRPr="00922953">
        <w:rPr>
          <w:rFonts w:ascii="Times New Roman" w:hAnsi="Times New Roman" w:cs="Times New Roman"/>
        </w:rPr>
        <w:t>try</w:t>
      </w:r>
    </w:p>
    <w:p w:rsidR="00E83E84" w:rsidRDefault="007F530A">
      <w:pPr>
        <w:pStyle w:val="Instructionsberschrift2"/>
        <w:numPr>
          <w:ilvl w:val="2"/>
          <w:numId w:val="5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General remarks</w:t>
      </w:r>
    </w:p>
    <w:p w:rsidR="00922953" w:rsidRDefault="00922953" w:rsidP="00F56B44">
      <w:pPr>
        <w:pStyle w:val="InstructionsText2"/>
        <w:numPr>
          <w:ilvl w:val="0"/>
          <w:numId w:val="45"/>
        </w:numPr>
      </w:pPr>
      <w:r>
        <w:t>According to Article 130 (1) CRD the countercyclical buffer rate is the ‘weighted average of the counte</w:t>
      </w:r>
      <w:r>
        <w:t>r</w:t>
      </w:r>
      <w:r>
        <w:t>cyclical buffer rates that apply in the jurisdiction where the relevant credit exposures of the institution are located’. The weighted average is calculated as follows:</w:t>
      </w:r>
    </w:p>
    <w:p w:rsidR="00922953" w:rsidRDefault="00922953" w:rsidP="00F56B44">
      <w:pPr>
        <w:pStyle w:val="InstructionsText2"/>
        <w:numPr>
          <w:ilvl w:val="0"/>
          <w:numId w:val="0"/>
        </w:numPr>
        <w:ind w:left="708"/>
      </w:pPr>
      <w:r>
        <w:t>Numerator: Total own funds requirements for credit risk</w:t>
      </w:r>
      <w:r w:rsidR="00182934">
        <w:t xml:space="preserve"> </w:t>
      </w:r>
      <w:r w:rsidR="00182934" w:rsidRPr="00182934">
        <w:t>determined in accordance with Part Three, T</w:t>
      </w:r>
      <w:r w:rsidR="00182934" w:rsidRPr="00182934">
        <w:t>i</w:t>
      </w:r>
      <w:r w:rsidR="00182934" w:rsidRPr="00182934">
        <w:t>tle II of CRR</w:t>
      </w:r>
      <w:r>
        <w:t xml:space="preserve"> that relate to the relevant credit exposures in the territory in question</w:t>
      </w:r>
    </w:p>
    <w:p w:rsidR="00922953" w:rsidRDefault="00922953" w:rsidP="00F56B44">
      <w:pPr>
        <w:pStyle w:val="InstructionsText2"/>
        <w:numPr>
          <w:ilvl w:val="0"/>
          <w:numId w:val="0"/>
        </w:numPr>
        <w:ind w:left="708"/>
      </w:pPr>
      <w:r>
        <w:t xml:space="preserve">Denominator: Total own funds requirements for credit risk </w:t>
      </w:r>
      <w:r w:rsidR="00182934" w:rsidRPr="00182934">
        <w:t>determined in accordance with Part Three, Title II of CRR</w:t>
      </w:r>
      <w:r w:rsidR="00182934" w:rsidRPr="00182934" w:rsidDel="000775EA">
        <w:t xml:space="preserve"> </w:t>
      </w:r>
      <w:r>
        <w:t>that relate to the relevant credit exposures</w:t>
      </w:r>
    </w:p>
    <w:p w:rsidR="00922953" w:rsidRDefault="00922953" w:rsidP="00DA1511"/>
    <w:p w:rsidR="00536208" w:rsidRDefault="00DA1511" w:rsidP="00F56B44">
      <w:pPr>
        <w:pStyle w:val="InstructionsText2"/>
        <w:numPr>
          <w:ilvl w:val="0"/>
          <w:numId w:val="45"/>
        </w:numPr>
      </w:pPr>
      <w:r>
        <w:lastRenderedPageBreak/>
        <w:t>This table is implemented i</w:t>
      </w:r>
      <w:r w:rsidR="00922953">
        <w:t xml:space="preserve">n order to receive </w:t>
      </w:r>
      <w:r w:rsidR="00922953" w:rsidRPr="00DA6ED4">
        <w:t xml:space="preserve">more information regarding the elements of the institution </w:t>
      </w:r>
      <w:r w:rsidR="00922953">
        <w:t>sp</w:t>
      </w:r>
      <w:r w:rsidR="00922953">
        <w:t>e</w:t>
      </w:r>
      <w:r w:rsidR="00922953">
        <w:t>cific countercyclical buffer</w:t>
      </w:r>
      <w:r>
        <w:t xml:space="preserve">. The </w:t>
      </w:r>
      <w:r w:rsidR="00922953">
        <w:t xml:space="preserve">information </w:t>
      </w:r>
      <w:r>
        <w:t>requested refer</w:t>
      </w:r>
      <w:r w:rsidR="00054A65">
        <w:t>s</w:t>
      </w:r>
      <w:r>
        <w:t xml:space="preserve"> to</w:t>
      </w:r>
      <w:r w:rsidR="00922953">
        <w:t xml:space="preserve"> the own funds requirements </w:t>
      </w:r>
      <w:r w:rsidR="0083060E">
        <w:t xml:space="preserve">determined in accordance with Part Three , Title II of the CRR which includes credit risk and securitisation  </w:t>
      </w:r>
      <w:r w:rsidR="00922953">
        <w:t>calculated on the basis of the relevant credit exposures broken down by country</w:t>
      </w:r>
      <w:r w:rsidR="00922953" w:rsidRPr="00DA6ED4">
        <w:t>.</w:t>
      </w:r>
      <w:r w:rsidR="00922953">
        <w:t xml:space="preserve"> </w:t>
      </w:r>
    </w:p>
    <w:p w:rsidR="00922953" w:rsidRPr="009F7FF8" w:rsidRDefault="00536208" w:rsidP="00501B90">
      <w:pPr>
        <w:pStyle w:val="InstructionsText2"/>
        <w:numPr>
          <w:ilvl w:val="0"/>
          <w:numId w:val="45"/>
        </w:numPr>
        <w:spacing w:after="200" w:line="312" w:lineRule="auto"/>
        <w:jc w:val="left"/>
      </w:pPr>
      <w:r>
        <w:t>The information shall be reported by each country</w:t>
      </w:r>
      <w:r w:rsidR="002E5685">
        <w:t>. T</w:t>
      </w:r>
      <w:r>
        <w:t>he threshold set in Article 5 (1) is not relevant for the reporting of this breakdown.</w:t>
      </w:r>
    </w:p>
    <w:p w:rsidR="00E83E84" w:rsidRDefault="00922953">
      <w:pPr>
        <w:pStyle w:val="Instructionsberschrift2"/>
        <w:numPr>
          <w:ilvl w:val="2"/>
          <w:numId w:val="51"/>
        </w:numPr>
        <w:rPr>
          <w:rFonts w:ascii="Times New Roman" w:hAnsi="Times New Roman" w:cs="Times New Roman"/>
        </w:rPr>
      </w:pPr>
      <w:r w:rsidRPr="003105C6">
        <w:rPr>
          <w:rFonts w:ascii="Times New Roman" w:hAnsi="Times New Roman" w:cs="Times New Roman"/>
        </w:rPr>
        <w:t>Instructions concerning specific positions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640"/>
      </w:tblGrid>
      <w:tr w:rsidR="00922953" w:rsidRPr="0017440D" w:rsidTr="00922953">
        <w:tc>
          <w:tcPr>
            <w:tcW w:w="1188" w:type="dxa"/>
            <w:shd w:val="clear" w:color="auto" w:fill="CCCCCC"/>
          </w:tcPr>
          <w:p w:rsidR="00922953" w:rsidRPr="007C4442" w:rsidRDefault="000777A1" w:rsidP="00922953">
            <w:pPr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Rows</w:t>
            </w:r>
          </w:p>
        </w:tc>
        <w:tc>
          <w:tcPr>
            <w:tcW w:w="8640" w:type="dxa"/>
            <w:shd w:val="clear" w:color="auto" w:fill="CCCCCC"/>
          </w:tcPr>
          <w:p w:rsidR="00922953" w:rsidRPr="0017440D" w:rsidRDefault="00922953" w:rsidP="00922953">
            <w:pPr>
              <w:ind w:left="72"/>
              <w:rPr>
                <w:rFonts w:ascii="Times New Roman" w:hAnsi="Times New Roman"/>
                <w:szCs w:val="20"/>
              </w:rPr>
            </w:pPr>
          </w:p>
        </w:tc>
      </w:tr>
      <w:tr w:rsidR="00922953" w:rsidRPr="0017440D" w:rsidTr="00922953">
        <w:tc>
          <w:tcPr>
            <w:tcW w:w="1188" w:type="dxa"/>
          </w:tcPr>
          <w:p w:rsidR="00922953" w:rsidRPr="0017440D" w:rsidRDefault="00922953" w:rsidP="00922953">
            <w:pPr>
              <w:rPr>
                <w:rStyle w:val="InstructionsTabelleText"/>
                <w:rFonts w:ascii="Times New Roman" w:hAnsi="Times New Roman"/>
              </w:rPr>
            </w:pPr>
            <w:r w:rsidRPr="003105C6">
              <w:rPr>
                <w:rStyle w:val="InstructionsTabelleText"/>
                <w:rFonts w:ascii="Times New Roman" w:hAnsi="Times New Roman"/>
              </w:rPr>
              <w:t>010</w:t>
            </w:r>
          </w:p>
        </w:tc>
        <w:tc>
          <w:tcPr>
            <w:tcW w:w="8640" w:type="dxa"/>
          </w:tcPr>
          <w:p w:rsidR="00922953" w:rsidRPr="000777A1" w:rsidRDefault="00C34375" w:rsidP="00922953">
            <w:pPr>
              <w:rPr>
                <w:b/>
                <w:bCs/>
                <w:szCs w:val="20"/>
              </w:rPr>
            </w:pPr>
            <w:r w:rsidRPr="00C34375">
              <w:rPr>
                <w:b/>
                <w:bCs/>
                <w:szCs w:val="20"/>
              </w:rPr>
              <w:t>Own fund</w:t>
            </w:r>
            <w:r w:rsidR="0011581F">
              <w:rPr>
                <w:b/>
                <w:bCs/>
                <w:szCs w:val="20"/>
              </w:rPr>
              <w:t>s</w:t>
            </w:r>
            <w:r w:rsidRPr="00C34375">
              <w:rPr>
                <w:b/>
                <w:bCs/>
                <w:szCs w:val="20"/>
              </w:rPr>
              <w:t xml:space="preserve"> requirements for credit risk</w:t>
            </w:r>
          </w:p>
          <w:p w:rsidR="00922953" w:rsidRDefault="00922953" w:rsidP="00922953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InstructionsTabelleText"/>
                <w:rFonts w:ascii="Times New Roman" w:hAnsi="Times New Roman"/>
              </w:rPr>
            </w:pPr>
          </w:p>
          <w:p w:rsidR="00054A65" w:rsidRPr="0017440D" w:rsidRDefault="00B74DCC" w:rsidP="00054A65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InstructionsTabelleText"/>
                <w:rFonts w:ascii="Times New Roman" w:hAnsi="Times New Roman"/>
              </w:rPr>
            </w:pPr>
            <w:r>
              <w:t>Part Three , Title II of the CRR</w:t>
            </w:r>
            <w:bookmarkStart w:id="19" w:name="_GoBack"/>
            <w:bookmarkEnd w:id="19"/>
          </w:p>
        </w:tc>
      </w:tr>
    </w:tbl>
    <w:p w:rsidR="00922953" w:rsidRPr="0017440D" w:rsidRDefault="00922953" w:rsidP="00501B90">
      <w:pPr>
        <w:spacing w:before="0" w:after="200" w:line="312" w:lineRule="auto"/>
        <w:jc w:val="left"/>
        <w:rPr>
          <w:rFonts w:ascii="Times New Roman" w:hAnsi="Times New Roman"/>
        </w:rPr>
      </w:pPr>
    </w:p>
    <w:sectPr w:rsidR="00922953" w:rsidRPr="0017440D" w:rsidSect="00B51F42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E84" w:rsidRDefault="00E83E84" w:rsidP="00D946DB">
      <w:pPr>
        <w:spacing w:before="0" w:after="0"/>
      </w:pPr>
      <w:r>
        <w:separator/>
      </w:r>
    </w:p>
  </w:endnote>
  <w:endnote w:type="continuationSeparator" w:id="0">
    <w:p w:rsidR="00E83E84" w:rsidRDefault="00E83E84" w:rsidP="00D946D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E84" w:rsidRDefault="008B1539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  <w:szCs w:val="22"/>
      </w:rPr>
      <w:fldChar w:fldCharType="begin"/>
    </w:r>
    <w:r w:rsidR="00E83E84">
      <w:rPr>
        <w:rStyle w:val="PageNumber"/>
        <w:szCs w:val="22"/>
      </w:rPr>
      <w:instrText xml:space="preserve">PAGE  </w:instrText>
    </w:r>
    <w:r>
      <w:rPr>
        <w:rStyle w:val="PageNumber"/>
        <w:szCs w:val="22"/>
      </w:rPr>
      <w:fldChar w:fldCharType="end"/>
    </w:r>
  </w:p>
  <w:p w:rsidR="00E83E84" w:rsidRDefault="00E83E8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E84" w:rsidRPr="00A772B4" w:rsidRDefault="008B1539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="00E83E84"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 w:rsidR="007214B8">
      <w:rPr>
        <w:rFonts w:ascii="Times New Roman" w:hAnsi="Times New Roman"/>
        <w:noProof/>
      </w:rPr>
      <w:t>1</w:t>
    </w:r>
    <w:r w:rsidRPr="00A772B4">
      <w:rPr>
        <w:rFonts w:ascii="Times New Roman" w:hAnsi="Times New Roman"/>
      </w:rPr>
      <w:fldChar w:fldCharType="end"/>
    </w:r>
  </w:p>
  <w:p w:rsidR="00E83E84" w:rsidRPr="00A772B4" w:rsidRDefault="00E83E84" w:rsidP="00A772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E84" w:rsidRDefault="00E83E84" w:rsidP="00D946DB">
      <w:pPr>
        <w:spacing w:before="0" w:after="0"/>
      </w:pPr>
      <w:r>
        <w:separator/>
      </w:r>
    </w:p>
  </w:footnote>
  <w:footnote w:type="continuationSeparator" w:id="0">
    <w:p w:rsidR="00E83E84" w:rsidRDefault="00E83E84" w:rsidP="00D946DB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E84" w:rsidRDefault="00E83E84">
    <w:pPr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9C3"/>
    <w:multiLevelType w:val="hybridMultilevel"/>
    <w:tmpl w:val="5EC8873A"/>
    <w:lvl w:ilvl="0" w:tplc="040A0017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9036A"/>
    <w:multiLevelType w:val="hybridMultilevel"/>
    <w:tmpl w:val="44D86FDE"/>
    <w:lvl w:ilvl="0" w:tplc="119856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7BF0456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312D9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58216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F272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10CE3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3A4C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A1E6D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EE004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5D5978"/>
    <w:multiLevelType w:val="hybridMultilevel"/>
    <w:tmpl w:val="19AC6092"/>
    <w:lvl w:ilvl="0" w:tplc="2738146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404E6B4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1422D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5A036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FAD0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A34EE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68044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7ACBC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D12BC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BC662C5"/>
    <w:multiLevelType w:val="multilevel"/>
    <w:tmpl w:val="005C4994"/>
    <w:lvl w:ilvl="0">
      <w:start w:val="5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5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127717DD"/>
    <w:multiLevelType w:val="hybridMultilevel"/>
    <w:tmpl w:val="E57661C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7">
    <w:nsid w:val="15F91B49"/>
    <w:multiLevelType w:val="hybridMultilevel"/>
    <w:tmpl w:val="D7CC27B6"/>
    <w:lvl w:ilvl="0" w:tplc="313E77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145A5"/>
    <w:multiLevelType w:val="multilevel"/>
    <w:tmpl w:val="005C4994"/>
    <w:lvl w:ilvl="0">
      <w:start w:val="5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5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1A222FF4"/>
    <w:multiLevelType w:val="hybridMultilevel"/>
    <w:tmpl w:val="4F422C64"/>
    <w:lvl w:ilvl="0" w:tplc="91F28F2A">
      <w:start w:val="1"/>
      <w:numFmt w:val="decimal"/>
      <w:lvlText w:val="%1."/>
      <w:lvlJc w:val="left"/>
      <w:pPr>
        <w:tabs>
          <w:tab w:val="num" w:pos="539"/>
        </w:tabs>
        <w:ind w:left="539" w:hanging="539"/>
      </w:pPr>
      <w:rPr>
        <w:rFonts w:cs="Times New Roman" w:hint="default"/>
      </w:rPr>
    </w:lvl>
    <w:lvl w:ilvl="1" w:tplc="DAA0A6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B8740C3"/>
    <w:multiLevelType w:val="hybridMultilevel"/>
    <w:tmpl w:val="19AC6092"/>
    <w:lvl w:ilvl="0" w:tplc="04090003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1EC51552"/>
    <w:multiLevelType w:val="hybridMultilevel"/>
    <w:tmpl w:val="C6A2D7DA"/>
    <w:lvl w:ilvl="0" w:tplc="0407001B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55727D7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1C506D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45C89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EFB810E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A3FED1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B98B5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8D00D73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A128F330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1F8B59CF"/>
    <w:multiLevelType w:val="hybridMultilevel"/>
    <w:tmpl w:val="3C40D654"/>
    <w:lvl w:ilvl="0" w:tplc="04070019">
      <w:start w:val="1"/>
      <w:numFmt w:val="lowerLetter"/>
      <w:lvlText w:val="%1."/>
      <w:lvlJc w:val="left"/>
      <w:pPr>
        <w:ind w:left="1287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>
    <w:nsid w:val="26164BE1"/>
    <w:multiLevelType w:val="hybridMultilevel"/>
    <w:tmpl w:val="4D400654"/>
    <w:lvl w:ilvl="0" w:tplc="040A0017">
      <w:start w:val="4"/>
      <w:numFmt w:val="bullet"/>
      <w:lvlText w:val="-"/>
      <w:lvlJc w:val="left"/>
      <w:pPr>
        <w:tabs>
          <w:tab w:val="num" w:pos="717"/>
        </w:tabs>
        <w:ind w:left="717" w:hanging="357"/>
      </w:pPr>
      <w:rPr>
        <w:rFonts w:ascii="Arial" w:eastAsia="Times New Roman" w:hAnsi="Arial" w:hint="default"/>
      </w:rPr>
    </w:lvl>
    <w:lvl w:ilvl="1" w:tplc="040A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65E1C6C"/>
    <w:multiLevelType w:val="hybridMultilevel"/>
    <w:tmpl w:val="21DE9D90"/>
    <w:lvl w:ilvl="0" w:tplc="5614B8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3EE6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B2EFE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0AEA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5CE7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BEC3E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F811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669E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0E056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8806F6A"/>
    <w:multiLevelType w:val="hybridMultilevel"/>
    <w:tmpl w:val="C6A2D7DA"/>
    <w:lvl w:ilvl="0" w:tplc="0407001B">
      <w:start w:val="1"/>
      <w:numFmt w:val="lowerRoman"/>
      <w:lvlText w:val="%1."/>
      <w:lvlJc w:val="righ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55727D7A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1C506D3E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745C8968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EFB810E6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A3FED1D2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FB98B5A8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8D00D734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A128F330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7">
    <w:nsid w:val="298D3E4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18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7D7F02"/>
    <w:multiLevelType w:val="multilevel"/>
    <w:tmpl w:val="0407001D"/>
    <w:numStyleLink w:val="Formatvorlage3"/>
  </w:abstractNum>
  <w:abstractNum w:abstractNumId="20">
    <w:nsid w:val="33057CB8"/>
    <w:multiLevelType w:val="hybridMultilevel"/>
    <w:tmpl w:val="EA70702C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  <w:rPr>
        <w:rFonts w:cs="Times New Roman"/>
      </w:rPr>
    </w:lvl>
    <w:lvl w:ilvl="1" w:tplc="0407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42F395B"/>
    <w:multiLevelType w:val="hybridMultilevel"/>
    <w:tmpl w:val="457CF2E2"/>
    <w:lvl w:ilvl="0" w:tplc="A3DCA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83050FB"/>
    <w:multiLevelType w:val="hybridMultilevel"/>
    <w:tmpl w:val="DFA8D8CC"/>
    <w:lvl w:ilvl="0" w:tplc="23CCC55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41E06437"/>
    <w:multiLevelType w:val="hybridMultilevel"/>
    <w:tmpl w:val="63368D06"/>
    <w:lvl w:ilvl="0" w:tplc="AFB2E206">
      <w:start w:val="327"/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C576841"/>
    <w:multiLevelType w:val="hybridMultilevel"/>
    <w:tmpl w:val="958812F6"/>
    <w:lvl w:ilvl="0" w:tplc="661CD2C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C644F1E"/>
    <w:multiLevelType w:val="hybridMultilevel"/>
    <w:tmpl w:val="19AC6092"/>
    <w:lvl w:ilvl="0" w:tplc="C242F26A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5F7EFB2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0EC1DB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5C2B2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A8C0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44E76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0B4D0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1219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BC8E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42857ED"/>
    <w:multiLevelType w:val="hybridMultilevel"/>
    <w:tmpl w:val="C6A2D7DA"/>
    <w:lvl w:ilvl="0" w:tplc="0407001B">
      <w:start w:val="1"/>
      <w:numFmt w:val="lowerRoman"/>
      <w:lvlText w:val="%1."/>
      <w:lvlJc w:val="righ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55727D7A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1C506D3E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745C8968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EFB810E6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A3FED1D2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FB98B5A8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8D00D734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A128F330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2">
    <w:nsid w:val="54D41FF6"/>
    <w:multiLevelType w:val="multilevel"/>
    <w:tmpl w:val="04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>
    <w:nsid w:val="57D72E97"/>
    <w:multiLevelType w:val="hybridMultilevel"/>
    <w:tmpl w:val="44D86FDE"/>
    <w:lvl w:ilvl="0" w:tplc="BABE924A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38">
    <w:nsid w:val="64FB3E53"/>
    <w:multiLevelType w:val="hybridMultilevel"/>
    <w:tmpl w:val="E172833E"/>
    <w:lvl w:ilvl="0" w:tplc="040A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1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42">
    <w:nsid w:val="6A2E284F"/>
    <w:multiLevelType w:val="hybridMultilevel"/>
    <w:tmpl w:val="19AC6092"/>
    <w:lvl w:ilvl="0" w:tplc="08130001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13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4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A1A7D3E"/>
    <w:multiLevelType w:val="hybridMultilevel"/>
    <w:tmpl w:val="01D6D9C0"/>
    <w:lvl w:ilvl="0" w:tplc="FE50EEE0">
      <w:start w:val="459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Verdana" w:eastAsia="Times New Roman" w:hAnsi="Verdana" w:hint="default"/>
      </w:rPr>
    </w:lvl>
    <w:lvl w:ilvl="1" w:tplc="B7140164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D6424902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33DAADC4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ACF0F830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CED2DAE4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74A0046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BBC281FC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3FC3886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6">
    <w:nsid w:val="7B6F1D02"/>
    <w:multiLevelType w:val="hybridMultilevel"/>
    <w:tmpl w:val="309C1596"/>
    <w:lvl w:ilvl="0" w:tplc="13D2A4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D82C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3D860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088B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845B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0A98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D84D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5EB9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1472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DA2A15"/>
    <w:multiLevelType w:val="hybridMultilevel"/>
    <w:tmpl w:val="3C5AC638"/>
    <w:lvl w:ilvl="0" w:tplc="040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5"/>
  </w:num>
  <w:num w:numId="3">
    <w:abstractNumId w:val="44"/>
  </w:num>
  <w:num w:numId="4">
    <w:abstractNumId w:val="26"/>
  </w:num>
  <w:num w:numId="5">
    <w:abstractNumId w:val="40"/>
  </w:num>
  <w:num w:numId="6">
    <w:abstractNumId w:val="24"/>
  </w:num>
  <w:num w:numId="7">
    <w:abstractNumId w:val="43"/>
  </w:num>
  <w:num w:numId="8">
    <w:abstractNumId w:val="11"/>
  </w:num>
  <w:num w:numId="9">
    <w:abstractNumId w:val="36"/>
  </w:num>
  <w:num w:numId="10">
    <w:abstractNumId w:val="22"/>
  </w:num>
  <w:num w:numId="11">
    <w:abstractNumId w:val="30"/>
  </w:num>
  <w:num w:numId="12">
    <w:abstractNumId w:val="18"/>
  </w:num>
  <w:num w:numId="13">
    <w:abstractNumId w:val="14"/>
  </w:num>
  <w:num w:numId="14">
    <w:abstractNumId w:val="47"/>
  </w:num>
  <w:num w:numId="15">
    <w:abstractNumId w:val="15"/>
  </w:num>
  <w:num w:numId="16">
    <w:abstractNumId w:val="23"/>
  </w:num>
  <w:num w:numId="17">
    <w:abstractNumId w:val="27"/>
  </w:num>
  <w:num w:numId="18">
    <w:abstractNumId w:val="5"/>
  </w:num>
  <w:num w:numId="19">
    <w:abstractNumId w:val="21"/>
  </w:num>
  <w:num w:numId="20">
    <w:abstractNumId w:val="45"/>
  </w:num>
  <w:num w:numId="21">
    <w:abstractNumId w:val="33"/>
  </w:num>
  <w:num w:numId="22">
    <w:abstractNumId w:val="1"/>
  </w:num>
  <w:num w:numId="23">
    <w:abstractNumId w:val="3"/>
  </w:num>
  <w:num w:numId="24">
    <w:abstractNumId w:val="28"/>
  </w:num>
  <w:num w:numId="25">
    <w:abstractNumId w:val="42"/>
  </w:num>
  <w:num w:numId="26">
    <w:abstractNumId w:val="10"/>
  </w:num>
  <w:num w:numId="27">
    <w:abstractNumId w:val="39"/>
  </w:num>
  <w:num w:numId="28">
    <w:abstractNumId w:val="34"/>
  </w:num>
  <w:num w:numId="29">
    <w:abstractNumId w:val="20"/>
  </w:num>
  <w:num w:numId="30">
    <w:abstractNumId w:val="25"/>
  </w:num>
  <w:num w:numId="31">
    <w:abstractNumId w:val="38"/>
  </w:num>
  <w:num w:numId="32">
    <w:abstractNumId w:val="7"/>
  </w:num>
  <w:num w:numId="33">
    <w:abstractNumId w:val="8"/>
  </w:num>
  <w:num w:numId="34">
    <w:abstractNumId w:val="46"/>
  </w:num>
  <w:num w:numId="35">
    <w:abstractNumId w:val="9"/>
  </w:num>
  <w:num w:numId="36">
    <w:abstractNumId w:val="29"/>
  </w:num>
  <w:num w:numId="37">
    <w:abstractNumId w:val="19"/>
  </w:num>
  <w:num w:numId="38">
    <w:abstractNumId w:val="41"/>
  </w:num>
  <w:num w:numId="39">
    <w:abstractNumId w:val="31"/>
  </w:num>
  <w:num w:numId="40">
    <w:abstractNumId w:val="16"/>
  </w:num>
  <w:num w:numId="41">
    <w:abstractNumId w:val="12"/>
  </w:num>
  <w:num w:numId="42">
    <w:abstractNumId w:val="13"/>
  </w:num>
  <w:num w:numId="43">
    <w:abstractNumId w:val="0"/>
  </w:num>
  <w:num w:numId="44">
    <w:abstractNumId w:val="6"/>
  </w:num>
  <w:num w:numId="45">
    <w:abstractNumId w:val="37"/>
  </w:num>
  <w:num w:numId="46">
    <w:abstractNumId w:val="17"/>
  </w:num>
  <w:num w:numId="47">
    <w:abstractNumId w:val="4"/>
  </w:num>
  <w:num w:numId="48">
    <w:abstractNumId w:val="20"/>
  </w:num>
  <w:num w:numId="49">
    <w:abstractNumId w:val="20"/>
    <w:lvlOverride w:ilvl="0">
      <w:startOverride w:val="1"/>
    </w:lvlOverride>
  </w:num>
  <w:num w:numId="50">
    <w:abstractNumId w:val="39"/>
  </w:num>
  <w:num w:numId="51">
    <w:abstractNumId w:val="32"/>
  </w:num>
  <w:num w:numId="52">
    <w:abstractNumId w:val="39"/>
  </w:num>
  <w:num w:numId="53">
    <w:abstractNumId w:val="39"/>
  </w:num>
  <w:num w:numId="54">
    <w:abstractNumId w:val="39"/>
  </w:num>
  <w:num w:numId="55">
    <w:abstractNumId w:val="39"/>
  </w:num>
  <w:num w:numId="56">
    <w:abstractNumId w:val="39"/>
  </w:num>
  <w:num w:numId="57">
    <w:abstractNumId w:val="20"/>
  </w:num>
  <w:num w:numId="58">
    <w:abstractNumId w:val="20"/>
  </w:num>
  <w:num w:numId="59">
    <w:abstractNumId w:val="20"/>
  </w:num>
  <w:num w:numId="60">
    <w:abstractNumId w:val="39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5004"/>
  <w:defaultTabStop w:val="708"/>
  <w:autoHyphenation/>
  <w:hyphenationZone w:val="170"/>
  <w:drawingGridHorizontalSpacing w:val="10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884FEB"/>
    <w:rsid w:val="000020E5"/>
    <w:rsid w:val="00004FE8"/>
    <w:rsid w:val="00005765"/>
    <w:rsid w:val="00005FFC"/>
    <w:rsid w:val="00007D0D"/>
    <w:rsid w:val="00011BD0"/>
    <w:rsid w:val="00014890"/>
    <w:rsid w:val="00020516"/>
    <w:rsid w:val="000232E2"/>
    <w:rsid w:val="000243CE"/>
    <w:rsid w:val="0002657F"/>
    <w:rsid w:val="00032691"/>
    <w:rsid w:val="000326C1"/>
    <w:rsid w:val="00037093"/>
    <w:rsid w:val="0005400A"/>
    <w:rsid w:val="00054A65"/>
    <w:rsid w:val="0005609F"/>
    <w:rsid w:val="00057362"/>
    <w:rsid w:val="00061E48"/>
    <w:rsid w:val="00063085"/>
    <w:rsid w:val="00076091"/>
    <w:rsid w:val="00076880"/>
    <w:rsid w:val="000775EA"/>
    <w:rsid w:val="000777A1"/>
    <w:rsid w:val="000828C6"/>
    <w:rsid w:val="000858A9"/>
    <w:rsid w:val="000903FA"/>
    <w:rsid w:val="000B0EBE"/>
    <w:rsid w:val="000B6A14"/>
    <w:rsid w:val="000D05DB"/>
    <w:rsid w:val="000D220D"/>
    <w:rsid w:val="000E1572"/>
    <w:rsid w:val="000E29C9"/>
    <w:rsid w:val="000E7BA8"/>
    <w:rsid w:val="000F239F"/>
    <w:rsid w:val="000F2F09"/>
    <w:rsid w:val="000F4702"/>
    <w:rsid w:val="000F6A80"/>
    <w:rsid w:val="000F6B25"/>
    <w:rsid w:val="0011581F"/>
    <w:rsid w:val="0012049B"/>
    <w:rsid w:val="00124B85"/>
    <w:rsid w:val="001273B5"/>
    <w:rsid w:val="00133AC1"/>
    <w:rsid w:val="00136316"/>
    <w:rsid w:val="001402DB"/>
    <w:rsid w:val="001432EE"/>
    <w:rsid w:val="001570C4"/>
    <w:rsid w:val="00163DBA"/>
    <w:rsid w:val="001721BD"/>
    <w:rsid w:val="0017440D"/>
    <w:rsid w:val="00175957"/>
    <w:rsid w:val="00182934"/>
    <w:rsid w:val="00183B7A"/>
    <w:rsid w:val="00184E8A"/>
    <w:rsid w:val="001854F6"/>
    <w:rsid w:val="00185877"/>
    <w:rsid w:val="001919E9"/>
    <w:rsid w:val="001A44B3"/>
    <w:rsid w:val="001B4EA5"/>
    <w:rsid w:val="001B6939"/>
    <w:rsid w:val="001C1392"/>
    <w:rsid w:val="001C2A9F"/>
    <w:rsid w:val="001C5D5D"/>
    <w:rsid w:val="001E01BA"/>
    <w:rsid w:val="001E5A75"/>
    <w:rsid w:val="001E6B9D"/>
    <w:rsid w:val="001F2920"/>
    <w:rsid w:val="001F5AC3"/>
    <w:rsid w:val="00202BC7"/>
    <w:rsid w:val="0021389C"/>
    <w:rsid w:val="00213DC3"/>
    <w:rsid w:val="00216F99"/>
    <w:rsid w:val="0021767A"/>
    <w:rsid w:val="00221103"/>
    <w:rsid w:val="00222596"/>
    <w:rsid w:val="00222AC6"/>
    <w:rsid w:val="00225D42"/>
    <w:rsid w:val="0023488F"/>
    <w:rsid w:val="002357EA"/>
    <w:rsid w:val="00237276"/>
    <w:rsid w:val="00245325"/>
    <w:rsid w:val="00250176"/>
    <w:rsid w:val="002506A3"/>
    <w:rsid w:val="00253022"/>
    <w:rsid w:val="00254DF6"/>
    <w:rsid w:val="0025607F"/>
    <w:rsid w:val="00262C1B"/>
    <w:rsid w:val="002664C7"/>
    <w:rsid w:val="002710DF"/>
    <w:rsid w:val="00271C8B"/>
    <w:rsid w:val="00274079"/>
    <w:rsid w:val="00276B41"/>
    <w:rsid w:val="00284DE6"/>
    <w:rsid w:val="00285E2F"/>
    <w:rsid w:val="00287786"/>
    <w:rsid w:val="002920FF"/>
    <w:rsid w:val="002A04D3"/>
    <w:rsid w:val="002C41F1"/>
    <w:rsid w:val="002C6263"/>
    <w:rsid w:val="002D18E2"/>
    <w:rsid w:val="002D4AC4"/>
    <w:rsid w:val="002D4E10"/>
    <w:rsid w:val="002D6B9E"/>
    <w:rsid w:val="002E053A"/>
    <w:rsid w:val="002E2061"/>
    <w:rsid w:val="002E3720"/>
    <w:rsid w:val="002E4EB7"/>
    <w:rsid w:val="002E5685"/>
    <w:rsid w:val="002E587F"/>
    <w:rsid w:val="002F170E"/>
    <w:rsid w:val="002F39A7"/>
    <w:rsid w:val="00300224"/>
    <w:rsid w:val="00306AD1"/>
    <w:rsid w:val="00306F71"/>
    <w:rsid w:val="003105C6"/>
    <w:rsid w:val="00310F05"/>
    <w:rsid w:val="00311B2D"/>
    <w:rsid w:val="003137B9"/>
    <w:rsid w:val="00331FE6"/>
    <w:rsid w:val="00333A44"/>
    <w:rsid w:val="00345E53"/>
    <w:rsid w:val="00347FF9"/>
    <w:rsid w:val="0035439E"/>
    <w:rsid w:val="00357F63"/>
    <w:rsid w:val="003616A1"/>
    <w:rsid w:val="00371593"/>
    <w:rsid w:val="003738B9"/>
    <w:rsid w:val="00383FF2"/>
    <w:rsid w:val="00387E40"/>
    <w:rsid w:val="00390DDA"/>
    <w:rsid w:val="00393539"/>
    <w:rsid w:val="00394FF1"/>
    <w:rsid w:val="003A0C05"/>
    <w:rsid w:val="003A200A"/>
    <w:rsid w:val="003A449C"/>
    <w:rsid w:val="003A5D8C"/>
    <w:rsid w:val="003B3DBB"/>
    <w:rsid w:val="003C0A1D"/>
    <w:rsid w:val="003C0FB5"/>
    <w:rsid w:val="003C2566"/>
    <w:rsid w:val="003C60B9"/>
    <w:rsid w:val="003D10E9"/>
    <w:rsid w:val="003D431C"/>
    <w:rsid w:val="003D56DE"/>
    <w:rsid w:val="003E5145"/>
    <w:rsid w:val="003F15BB"/>
    <w:rsid w:val="00401111"/>
    <w:rsid w:val="00412D44"/>
    <w:rsid w:val="00413C3B"/>
    <w:rsid w:val="00415A1B"/>
    <w:rsid w:val="0043001B"/>
    <w:rsid w:val="004377DA"/>
    <w:rsid w:val="004377E2"/>
    <w:rsid w:val="00443003"/>
    <w:rsid w:val="00445562"/>
    <w:rsid w:val="00445E06"/>
    <w:rsid w:val="00445FEB"/>
    <w:rsid w:val="004518C4"/>
    <w:rsid w:val="00452FEF"/>
    <w:rsid w:val="00455364"/>
    <w:rsid w:val="00461A5A"/>
    <w:rsid w:val="00472106"/>
    <w:rsid w:val="0047503C"/>
    <w:rsid w:val="0048116C"/>
    <w:rsid w:val="00483227"/>
    <w:rsid w:val="00484DDA"/>
    <w:rsid w:val="004901BE"/>
    <w:rsid w:val="00496F5D"/>
    <w:rsid w:val="004A5880"/>
    <w:rsid w:val="004A6C52"/>
    <w:rsid w:val="004B2A17"/>
    <w:rsid w:val="004B4DF9"/>
    <w:rsid w:val="004E04BF"/>
    <w:rsid w:val="004F50AF"/>
    <w:rsid w:val="00501B90"/>
    <w:rsid w:val="00502FC6"/>
    <w:rsid w:val="0050399F"/>
    <w:rsid w:val="005067A1"/>
    <w:rsid w:val="005135D6"/>
    <w:rsid w:val="00530FC7"/>
    <w:rsid w:val="0053327A"/>
    <w:rsid w:val="00533D6A"/>
    <w:rsid w:val="00536208"/>
    <w:rsid w:val="00541848"/>
    <w:rsid w:val="005429A0"/>
    <w:rsid w:val="005511AD"/>
    <w:rsid w:val="00552E3E"/>
    <w:rsid w:val="0055791B"/>
    <w:rsid w:val="00563313"/>
    <w:rsid w:val="00564A89"/>
    <w:rsid w:val="00565031"/>
    <w:rsid w:val="005666F4"/>
    <w:rsid w:val="00585466"/>
    <w:rsid w:val="005911AC"/>
    <w:rsid w:val="00593E1F"/>
    <w:rsid w:val="005A18FB"/>
    <w:rsid w:val="005A2363"/>
    <w:rsid w:val="005A6305"/>
    <w:rsid w:val="005B02DE"/>
    <w:rsid w:val="005B0C8D"/>
    <w:rsid w:val="005B13A0"/>
    <w:rsid w:val="005B5DB1"/>
    <w:rsid w:val="005C1BC9"/>
    <w:rsid w:val="005C287F"/>
    <w:rsid w:val="005C6DEB"/>
    <w:rsid w:val="005C7A91"/>
    <w:rsid w:val="005F01CD"/>
    <w:rsid w:val="005F5B6B"/>
    <w:rsid w:val="005F6FDF"/>
    <w:rsid w:val="00601450"/>
    <w:rsid w:val="006108B8"/>
    <w:rsid w:val="00611073"/>
    <w:rsid w:val="006128D7"/>
    <w:rsid w:val="0061482E"/>
    <w:rsid w:val="0061552A"/>
    <w:rsid w:val="00616264"/>
    <w:rsid w:val="00616690"/>
    <w:rsid w:val="00616E90"/>
    <w:rsid w:val="00627143"/>
    <w:rsid w:val="006317A9"/>
    <w:rsid w:val="0063531D"/>
    <w:rsid w:val="00643011"/>
    <w:rsid w:val="00650DB8"/>
    <w:rsid w:val="00651C18"/>
    <w:rsid w:val="00652DF7"/>
    <w:rsid w:val="00652F11"/>
    <w:rsid w:val="0066173C"/>
    <w:rsid w:val="006746DB"/>
    <w:rsid w:val="006771CE"/>
    <w:rsid w:val="006778A2"/>
    <w:rsid w:val="006916DC"/>
    <w:rsid w:val="00691A75"/>
    <w:rsid w:val="00696F12"/>
    <w:rsid w:val="006A01F5"/>
    <w:rsid w:val="006A44C6"/>
    <w:rsid w:val="006A472E"/>
    <w:rsid w:val="006A579B"/>
    <w:rsid w:val="006B19A0"/>
    <w:rsid w:val="006B2A31"/>
    <w:rsid w:val="006B55D6"/>
    <w:rsid w:val="006B5BA8"/>
    <w:rsid w:val="006B7228"/>
    <w:rsid w:val="006C0915"/>
    <w:rsid w:val="006C11BB"/>
    <w:rsid w:val="006C131D"/>
    <w:rsid w:val="006C3FF9"/>
    <w:rsid w:val="006C4174"/>
    <w:rsid w:val="006C45C6"/>
    <w:rsid w:val="006D49F3"/>
    <w:rsid w:val="006E52E7"/>
    <w:rsid w:val="006E78AE"/>
    <w:rsid w:val="007111B3"/>
    <w:rsid w:val="00711F3A"/>
    <w:rsid w:val="00712B6C"/>
    <w:rsid w:val="007214B8"/>
    <w:rsid w:val="00721A22"/>
    <w:rsid w:val="00721CEA"/>
    <w:rsid w:val="007247ED"/>
    <w:rsid w:val="00727756"/>
    <w:rsid w:val="0073463C"/>
    <w:rsid w:val="00734F10"/>
    <w:rsid w:val="0073581C"/>
    <w:rsid w:val="00736AD5"/>
    <w:rsid w:val="00736D27"/>
    <w:rsid w:val="00736E87"/>
    <w:rsid w:val="007420C6"/>
    <w:rsid w:val="007434D0"/>
    <w:rsid w:val="007503D4"/>
    <w:rsid w:val="0075517F"/>
    <w:rsid w:val="0076257F"/>
    <w:rsid w:val="00763A4B"/>
    <w:rsid w:val="00764E61"/>
    <w:rsid w:val="0078015D"/>
    <w:rsid w:val="00781160"/>
    <w:rsid w:val="007827A3"/>
    <w:rsid w:val="00785E60"/>
    <w:rsid w:val="007864CA"/>
    <w:rsid w:val="00787622"/>
    <w:rsid w:val="00787CDE"/>
    <w:rsid w:val="007A1D61"/>
    <w:rsid w:val="007A4CFD"/>
    <w:rsid w:val="007B0068"/>
    <w:rsid w:val="007B025E"/>
    <w:rsid w:val="007B0AC3"/>
    <w:rsid w:val="007B5523"/>
    <w:rsid w:val="007C32B4"/>
    <w:rsid w:val="007C4442"/>
    <w:rsid w:val="007C4C33"/>
    <w:rsid w:val="007D2AEF"/>
    <w:rsid w:val="007D2CE6"/>
    <w:rsid w:val="007E18BB"/>
    <w:rsid w:val="007E33D4"/>
    <w:rsid w:val="007E475F"/>
    <w:rsid w:val="007F0442"/>
    <w:rsid w:val="007F530A"/>
    <w:rsid w:val="007F6D99"/>
    <w:rsid w:val="007F7A60"/>
    <w:rsid w:val="008004DF"/>
    <w:rsid w:val="008024B2"/>
    <w:rsid w:val="00814959"/>
    <w:rsid w:val="00816B32"/>
    <w:rsid w:val="00820E23"/>
    <w:rsid w:val="0082105B"/>
    <w:rsid w:val="0083060E"/>
    <w:rsid w:val="0083444D"/>
    <w:rsid w:val="008420D9"/>
    <w:rsid w:val="008427C5"/>
    <w:rsid w:val="00845545"/>
    <w:rsid w:val="00856854"/>
    <w:rsid w:val="0087489F"/>
    <w:rsid w:val="00875044"/>
    <w:rsid w:val="00875C7F"/>
    <w:rsid w:val="008815DE"/>
    <w:rsid w:val="008815ED"/>
    <w:rsid w:val="0088172D"/>
    <w:rsid w:val="00884B2C"/>
    <w:rsid w:val="00884FEB"/>
    <w:rsid w:val="0088630E"/>
    <w:rsid w:val="008A44D0"/>
    <w:rsid w:val="008A49E8"/>
    <w:rsid w:val="008A7A5D"/>
    <w:rsid w:val="008B1539"/>
    <w:rsid w:val="008B2F5E"/>
    <w:rsid w:val="008B6066"/>
    <w:rsid w:val="008B7267"/>
    <w:rsid w:val="008C122C"/>
    <w:rsid w:val="008C624D"/>
    <w:rsid w:val="008C6E0B"/>
    <w:rsid w:val="008D2210"/>
    <w:rsid w:val="008E0E86"/>
    <w:rsid w:val="008E0F08"/>
    <w:rsid w:val="008E3CA9"/>
    <w:rsid w:val="008E47D2"/>
    <w:rsid w:val="008F1D51"/>
    <w:rsid w:val="008F3BC6"/>
    <w:rsid w:val="00900C1D"/>
    <w:rsid w:val="00922953"/>
    <w:rsid w:val="00924EEF"/>
    <w:rsid w:val="00925588"/>
    <w:rsid w:val="009371BA"/>
    <w:rsid w:val="00942368"/>
    <w:rsid w:val="00950950"/>
    <w:rsid w:val="00955F25"/>
    <w:rsid w:val="00965272"/>
    <w:rsid w:val="00971A2C"/>
    <w:rsid w:val="00973B8E"/>
    <w:rsid w:val="00975F7A"/>
    <w:rsid w:val="0098215D"/>
    <w:rsid w:val="0098245F"/>
    <w:rsid w:val="00985397"/>
    <w:rsid w:val="0098778D"/>
    <w:rsid w:val="00991C37"/>
    <w:rsid w:val="0099694B"/>
    <w:rsid w:val="00997648"/>
    <w:rsid w:val="009A1317"/>
    <w:rsid w:val="009A2E43"/>
    <w:rsid w:val="009A4B3E"/>
    <w:rsid w:val="009A6E08"/>
    <w:rsid w:val="009B6CE4"/>
    <w:rsid w:val="009C001E"/>
    <w:rsid w:val="009C2C58"/>
    <w:rsid w:val="009C3801"/>
    <w:rsid w:val="009C4291"/>
    <w:rsid w:val="009C7D6A"/>
    <w:rsid w:val="009D3244"/>
    <w:rsid w:val="009D366E"/>
    <w:rsid w:val="009E2A46"/>
    <w:rsid w:val="009F3AD0"/>
    <w:rsid w:val="009F7FF8"/>
    <w:rsid w:val="00A01C72"/>
    <w:rsid w:val="00A02850"/>
    <w:rsid w:val="00A03C89"/>
    <w:rsid w:val="00A03DC9"/>
    <w:rsid w:val="00A0483F"/>
    <w:rsid w:val="00A136CD"/>
    <w:rsid w:val="00A24751"/>
    <w:rsid w:val="00A320B1"/>
    <w:rsid w:val="00A33695"/>
    <w:rsid w:val="00A4309F"/>
    <w:rsid w:val="00A55EA9"/>
    <w:rsid w:val="00A64421"/>
    <w:rsid w:val="00A72DF3"/>
    <w:rsid w:val="00A772B4"/>
    <w:rsid w:val="00A801A9"/>
    <w:rsid w:val="00A80A02"/>
    <w:rsid w:val="00A85CE0"/>
    <w:rsid w:val="00A86139"/>
    <w:rsid w:val="00A90BDF"/>
    <w:rsid w:val="00AA02BE"/>
    <w:rsid w:val="00AB2F46"/>
    <w:rsid w:val="00AB4E51"/>
    <w:rsid w:val="00AC14E2"/>
    <w:rsid w:val="00AC5975"/>
    <w:rsid w:val="00AC5F45"/>
    <w:rsid w:val="00AD061B"/>
    <w:rsid w:val="00AD4571"/>
    <w:rsid w:val="00AE1CD7"/>
    <w:rsid w:val="00AF62BC"/>
    <w:rsid w:val="00AF672F"/>
    <w:rsid w:val="00AF7FA5"/>
    <w:rsid w:val="00B01163"/>
    <w:rsid w:val="00B057CA"/>
    <w:rsid w:val="00B12EA6"/>
    <w:rsid w:val="00B15280"/>
    <w:rsid w:val="00B17100"/>
    <w:rsid w:val="00B17CE6"/>
    <w:rsid w:val="00B36BA6"/>
    <w:rsid w:val="00B42AF7"/>
    <w:rsid w:val="00B439B1"/>
    <w:rsid w:val="00B50194"/>
    <w:rsid w:val="00B51F42"/>
    <w:rsid w:val="00B53030"/>
    <w:rsid w:val="00B74DCC"/>
    <w:rsid w:val="00B822A4"/>
    <w:rsid w:val="00BA6E03"/>
    <w:rsid w:val="00BB0BFD"/>
    <w:rsid w:val="00BB50BB"/>
    <w:rsid w:val="00BB6397"/>
    <w:rsid w:val="00BC068F"/>
    <w:rsid w:val="00BC08FA"/>
    <w:rsid w:val="00BC2C58"/>
    <w:rsid w:val="00BE1311"/>
    <w:rsid w:val="00BE358B"/>
    <w:rsid w:val="00BE6DFE"/>
    <w:rsid w:val="00BF0B46"/>
    <w:rsid w:val="00BF1028"/>
    <w:rsid w:val="00C029BC"/>
    <w:rsid w:val="00C04D37"/>
    <w:rsid w:val="00C074C4"/>
    <w:rsid w:val="00C12FEB"/>
    <w:rsid w:val="00C15A05"/>
    <w:rsid w:val="00C233C5"/>
    <w:rsid w:val="00C25670"/>
    <w:rsid w:val="00C2636B"/>
    <w:rsid w:val="00C277FB"/>
    <w:rsid w:val="00C3194E"/>
    <w:rsid w:val="00C34375"/>
    <w:rsid w:val="00C345ED"/>
    <w:rsid w:val="00C356C8"/>
    <w:rsid w:val="00C367B4"/>
    <w:rsid w:val="00C36B2D"/>
    <w:rsid w:val="00C40D60"/>
    <w:rsid w:val="00C43A7D"/>
    <w:rsid w:val="00C46DB1"/>
    <w:rsid w:val="00C47BD3"/>
    <w:rsid w:val="00C54763"/>
    <w:rsid w:val="00C563A1"/>
    <w:rsid w:val="00C635CF"/>
    <w:rsid w:val="00C707EE"/>
    <w:rsid w:val="00C84BAF"/>
    <w:rsid w:val="00C87CEE"/>
    <w:rsid w:val="00C941FF"/>
    <w:rsid w:val="00C960CE"/>
    <w:rsid w:val="00C973FB"/>
    <w:rsid w:val="00CA2E80"/>
    <w:rsid w:val="00CA61EE"/>
    <w:rsid w:val="00CB484B"/>
    <w:rsid w:val="00CB4E0C"/>
    <w:rsid w:val="00CB5059"/>
    <w:rsid w:val="00CB6C8D"/>
    <w:rsid w:val="00CC6811"/>
    <w:rsid w:val="00CD7ED8"/>
    <w:rsid w:val="00CE5ACF"/>
    <w:rsid w:val="00CF49AE"/>
    <w:rsid w:val="00D02770"/>
    <w:rsid w:val="00D0420C"/>
    <w:rsid w:val="00D054C0"/>
    <w:rsid w:val="00D06F70"/>
    <w:rsid w:val="00D10700"/>
    <w:rsid w:val="00D14A32"/>
    <w:rsid w:val="00D2018B"/>
    <w:rsid w:val="00D20C67"/>
    <w:rsid w:val="00D2506C"/>
    <w:rsid w:val="00D27F99"/>
    <w:rsid w:val="00D30BE6"/>
    <w:rsid w:val="00D31C7A"/>
    <w:rsid w:val="00D35C30"/>
    <w:rsid w:val="00D36501"/>
    <w:rsid w:val="00D4194D"/>
    <w:rsid w:val="00D47551"/>
    <w:rsid w:val="00D52FEA"/>
    <w:rsid w:val="00D533DD"/>
    <w:rsid w:val="00D56AF5"/>
    <w:rsid w:val="00D60795"/>
    <w:rsid w:val="00D60F96"/>
    <w:rsid w:val="00D62CE1"/>
    <w:rsid w:val="00D6494A"/>
    <w:rsid w:val="00D64B66"/>
    <w:rsid w:val="00D729EA"/>
    <w:rsid w:val="00D77799"/>
    <w:rsid w:val="00D77872"/>
    <w:rsid w:val="00D8096D"/>
    <w:rsid w:val="00D8369E"/>
    <w:rsid w:val="00D84EB7"/>
    <w:rsid w:val="00D87BAB"/>
    <w:rsid w:val="00D92396"/>
    <w:rsid w:val="00D946DB"/>
    <w:rsid w:val="00DA1511"/>
    <w:rsid w:val="00DA3B36"/>
    <w:rsid w:val="00DA77E1"/>
    <w:rsid w:val="00DA7A50"/>
    <w:rsid w:val="00DB0F07"/>
    <w:rsid w:val="00DB2DD0"/>
    <w:rsid w:val="00DB40CA"/>
    <w:rsid w:val="00DC2D05"/>
    <w:rsid w:val="00DC40DA"/>
    <w:rsid w:val="00DD1906"/>
    <w:rsid w:val="00DD72AA"/>
    <w:rsid w:val="00DE0962"/>
    <w:rsid w:val="00DE230A"/>
    <w:rsid w:val="00DE4EF2"/>
    <w:rsid w:val="00E016AF"/>
    <w:rsid w:val="00E050F3"/>
    <w:rsid w:val="00E052A9"/>
    <w:rsid w:val="00E068EB"/>
    <w:rsid w:val="00E07C8E"/>
    <w:rsid w:val="00E11F7B"/>
    <w:rsid w:val="00E143FD"/>
    <w:rsid w:val="00E1696D"/>
    <w:rsid w:val="00E1750A"/>
    <w:rsid w:val="00E27969"/>
    <w:rsid w:val="00E32DA2"/>
    <w:rsid w:val="00E33BF7"/>
    <w:rsid w:val="00E41A58"/>
    <w:rsid w:val="00E46936"/>
    <w:rsid w:val="00E47CCD"/>
    <w:rsid w:val="00E509EA"/>
    <w:rsid w:val="00E543B2"/>
    <w:rsid w:val="00E54B05"/>
    <w:rsid w:val="00E63DC8"/>
    <w:rsid w:val="00E66040"/>
    <w:rsid w:val="00E75993"/>
    <w:rsid w:val="00E80172"/>
    <w:rsid w:val="00E804CC"/>
    <w:rsid w:val="00E83E84"/>
    <w:rsid w:val="00E92E29"/>
    <w:rsid w:val="00EA2AE8"/>
    <w:rsid w:val="00EA3FEF"/>
    <w:rsid w:val="00EA419C"/>
    <w:rsid w:val="00EB154B"/>
    <w:rsid w:val="00EB223C"/>
    <w:rsid w:val="00EB5804"/>
    <w:rsid w:val="00EC5046"/>
    <w:rsid w:val="00ED318A"/>
    <w:rsid w:val="00ED55F7"/>
    <w:rsid w:val="00ED7C8E"/>
    <w:rsid w:val="00EE2205"/>
    <w:rsid w:val="00EF0DA4"/>
    <w:rsid w:val="00F015E6"/>
    <w:rsid w:val="00F0322C"/>
    <w:rsid w:val="00F12EA3"/>
    <w:rsid w:val="00F1455C"/>
    <w:rsid w:val="00F30076"/>
    <w:rsid w:val="00F325B9"/>
    <w:rsid w:val="00F356CE"/>
    <w:rsid w:val="00F423F0"/>
    <w:rsid w:val="00F463F5"/>
    <w:rsid w:val="00F5381F"/>
    <w:rsid w:val="00F5524C"/>
    <w:rsid w:val="00F56B44"/>
    <w:rsid w:val="00F60F37"/>
    <w:rsid w:val="00F61095"/>
    <w:rsid w:val="00F620A2"/>
    <w:rsid w:val="00F63BA7"/>
    <w:rsid w:val="00F70682"/>
    <w:rsid w:val="00F777C7"/>
    <w:rsid w:val="00F800B6"/>
    <w:rsid w:val="00F84B2D"/>
    <w:rsid w:val="00F93B5F"/>
    <w:rsid w:val="00F941CE"/>
    <w:rsid w:val="00FA7CEB"/>
    <w:rsid w:val="00FB199D"/>
    <w:rsid w:val="00FB1C26"/>
    <w:rsid w:val="00FB1D44"/>
    <w:rsid w:val="00FB4960"/>
    <w:rsid w:val="00FB5258"/>
    <w:rsid w:val="00FC371D"/>
    <w:rsid w:val="00FC4D06"/>
    <w:rsid w:val="00FD7524"/>
    <w:rsid w:val="00FE4AE0"/>
    <w:rsid w:val="00FE4D22"/>
    <w:rsid w:val="00FF1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locked="1" w:uiPriority="0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734F10"/>
    <w:pPr>
      <w:spacing w:before="120" w:after="120"/>
      <w:jc w:val="both"/>
    </w:pPr>
    <w:rPr>
      <w:rFonts w:ascii="Verdana" w:eastAsia="Times New Roman" w:hAnsi="Verdana"/>
      <w:sz w:val="20"/>
      <w:szCs w:val="24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b/>
      <w:szCs w:val="20"/>
      <w:u w:val="singl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3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1E5A75"/>
    <w:pPr>
      <w:keepNext/>
      <w:spacing w:before="140"/>
      <w:outlineLvl w:val="4"/>
    </w:pPr>
    <w:rPr>
      <w:b/>
      <w:i/>
    </w:rPr>
  </w:style>
  <w:style w:type="paragraph" w:styleId="Heading6">
    <w:name w:val="heading 6"/>
    <w:basedOn w:val="Normal"/>
    <w:next w:val="Normal"/>
    <w:link w:val="Heading6Char"/>
    <w:uiPriority w:val="99"/>
    <w:qFormat/>
    <w:rsid w:val="001E5A75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E5A75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E5A75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E5A75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6305"/>
    <w:rPr>
      <w:rFonts w:ascii="Verdana" w:hAnsi="Verdana" w:cs="Times New Roman"/>
      <w:b/>
      <w:sz w:val="20"/>
      <w:szCs w:val="20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en-US"/>
    </w:rPr>
  </w:style>
  <w:style w:type="character" w:customStyle="1" w:styleId="Heading3Char">
    <w:name w:val="Heading 3 Char"/>
    <w:basedOn w:val="DefaultParagraphFont"/>
    <w:uiPriority w:val="99"/>
    <w:locked/>
    <w:rsid w:val="00884FEB"/>
    <w:rPr>
      <w:rFonts w:cs="Times New Roman"/>
      <w:sz w:val="24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E0962"/>
    <w:rPr>
      <w:rFonts w:ascii="Verdana" w:hAnsi="Verdana" w:cs="Times New Roman"/>
      <w:b/>
      <w:sz w:val="24"/>
      <w:szCs w:val="24"/>
      <w:u w:val="single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uiPriority w:val="99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99"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99"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99"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99"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uiPriority w:val="99"/>
    <w:rsid w:val="00C2636B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basedOn w:val="DefaultParagraphFont"/>
    <w:uiPriority w:val="99"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szCs w:val="1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99"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99"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99"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99"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99"/>
    <w:rsid w:val="001E5A75"/>
    <w:pPr>
      <w:spacing w:line="312" w:lineRule="auto"/>
      <w:ind w:left="1701" w:hanging="567"/>
    </w:pPr>
  </w:style>
  <w:style w:type="character" w:styleId="Hyperlink">
    <w:name w:val="Hyperlink"/>
    <w:basedOn w:val="DefaultParagraphFont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99"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99"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99"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99"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99"/>
    <w:rsid w:val="001E5A75"/>
    <w:pPr>
      <w:numPr>
        <w:numId w:val="12"/>
      </w:numPr>
    </w:pPr>
  </w:style>
  <w:style w:type="character" w:styleId="PageNumber">
    <w:name w:val="page number"/>
    <w:basedOn w:val="DefaultParagraphFont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99"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99"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99"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9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9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9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9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9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99"/>
    <w:qFormat/>
    <w:rsid w:val="001E5A75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9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99"/>
    <w:rsid w:val="001E5A75"/>
    <w:pPr>
      <w:spacing w:line="180" w:lineRule="exact"/>
      <w:ind w:left="142" w:hanging="142"/>
    </w:pPr>
    <w:rPr>
      <w:sz w:val="16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basedOn w:val="DefaultParagraphFont"/>
    <w:uiPriority w:val="99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84FEB"/>
    <w:rPr>
      <w:rFonts w:ascii="Verdana" w:hAnsi="Verdana" w:cs="Times New Roman"/>
      <w:sz w:val="20"/>
      <w:szCs w:val="20"/>
      <w:lang w:val="en-US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basedOn w:val="DefaultParagraphFont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84FEB"/>
    <w:rPr>
      <w:rFonts w:ascii="Tahoma" w:hAnsi="Tahoma" w:cs="Tahoma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en-US"/>
    </w:rPr>
  </w:style>
  <w:style w:type="table" w:styleId="TableGrid">
    <w:name w:val="Table Grid"/>
    <w:aliases w:val="Tabla CUADROS"/>
    <w:basedOn w:val="TableNormal"/>
    <w:uiPriority w:val="99"/>
    <w:rsid w:val="00884FE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884FEB"/>
    <w:rPr>
      <w:rFonts w:ascii="Verdana" w:hAnsi="Verdana" w:cs="Times New Roman"/>
      <w:b/>
      <w:iCs/>
      <w:sz w:val="28"/>
      <w:szCs w:val="28"/>
      <w:u w:val="single"/>
      <w:lang w:val="en-GB"/>
    </w:rPr>
  </w:style>
  <w:style w:type="paragraph" w:customStyle="1" w:styleId="Instructionsberschrift1">
    <w:name w:val="Instructions Überschrift 1"/>
    <w:basedOn w:val="Heading1"/>
    <w:uiPriority w:val="99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uiPriority w:val="99"/>
    <w:rsid w:val="008C122C"/>
    <w:pPr>
      <w:numPr>
        <w:numId w:val="27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uiPriority w:val="99"/>
    <w:rsid w:val="006746DB"/>
    <w:pPr>
      <w:numPr>
        <w:numId w:val="28"/>
      </w:numPr>
      <w:spacing w:before="240" w:after="60" w:line="360" w:lineRule="auto"/>
    </w:pPr>
    <w:rPr>
      <w:rFonts w:cs="Arial"/>
      <w:b w:val="0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uiPriority w:val="99"/>
    <w:locked/>
    <w:rsid w:val="006746DB"/>
    <w:rPr>
      <w:rFonts w:ascii="Verdana" w:hAnsi="Verdana" w:cs="Arial"/>
      <w:b/>
      <w:sz w:val="26"/>
      <w:szCs w:val="26"/>
      <w:u w:val="single"/>
      <w:lang w:val="en-GB" w:eastAsia="de-D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uiPriority w:val="99"/>
    <w:rsid w:val="002F39A7"/>
    <w:pPr>
      <w:spacing w:before="0" w:after="0"/>
      <w:ind w:left="33"/>
    </w:pPr>
    <w:rPr>
      <w:rFonts w:ascii="Times New Roman" w:hAnsi="Times New Roman"/>
      <w:szCs w:val="17"/>
      <w:lang w:eastAsia="de-DE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884FEB"/>
    <w:rPr>
      <w:rFonts w:ascii="Verdana" w:hAnsi="Verdana" w:cs="Times New Roman"/>
      <w:b/>
      <w:bCs/>
      <w:sz w:val="24"/>
      <w:szCs w:val="24"/>
      <w:u w:val="single"/>
      <w:lang w:val="en-GB"/>
    </w:rPr>
  </w:style>
  <w:style w:type="character" w:customStyle="1" w:styleId="InstructionsTabelleberschrift">
    <w:name w:val="Instructions Tabelle Überschrift"/>
    <w:basedOn w:val="DefaultParagraphFont"/>
    <w:uiPriority w:val="99"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szCs w:val="20"/>
      <w:lang w:val="es-ES_tradnl"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884FEB"/>
    <w:rPr>
      <w:rFonts w:ascii="Verdana" w:hAnsi="Verdana" w:cs="Times New Roman"/>
      <w:sz w:val="20"/>
      <w:szCs w:val="20"/>
      <w:lang w:val="es-ES_tradnl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basedOn w:val="DefaultParagraphFont"/>
    <w:link w:val="InstructionsText"/>
    <w:uiPriority w:val="99"/>
    <w:locked/>
    <w:rsid w:val="002F39A7"/>
    <w:rPr>
      <w:rFonts w:ascii="Times New Roman" w:hAnsi="Times New Roman" w:cs="Times New Roman"/>
      <w:sz w:val="17"/>
      <w:szCs w:val="17"/>
      <w:lang w:val="en-GB" w:eastAsia="de-DE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 w:val="20"/>
      <w:szCs w:val="24"/>
    </w:rPr>
  </w:style>
  <w:style w:type="paragraph" w:styleId="ListParagraph">
    <w:name w:val="List Paragraph"/>
    <w:basedOn w:val="Normal"/>
    <w:uiPriority w:val="99"/>
    <w:qFormat/>
    <w:rsid w:val="00884FEB"/>
    <w:pPr>
      <w:ind w:left="708"/>
    </w:pPr>
  </w:style>
  <w:style w:type="character" w:styleId="PlaceholderText">
    <w:name w:val="Placeholder Text"/>
    <w:basedOn w:val="DefaultParagraphFon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uiPriority w:val="99"/>
    <w:rsid w:val="00F620A2"/>
    <w:pPr>
      <w:numPr>
        <w:numId w:val="29"/>
      </w:numPr>
      <w:spacing w:after="240"/>
    </w:pPr>
  </w:style>
  <w:style w:type="character" w:customStyle="1" w:styleId="Instructionsberschrift3Char">
    <w:name w:val="Instructions Überschrift 3 Char"/>
    <w:basedOn w:val="Heading3Char1"/>
    <w:uiPriority w:val="99"/>
    <w:locked/>
    <w:rsid w:val="003B3DBB"/>
    <w:rPr>
      <w:rFonts w:ascii="Verdana" w:hAnsi="Verdana" w:cs="Arial"/>
      <w:b/>
      <w:bCs/>
      <w:sz w:val="26"/>
      <w:szCs w:val="26"/>
      <w:u w:val="single"/>
      <w:lang w:val="en-US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de-DE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en-US"/>
    </w:rPr>
  </w:style>
  <w:style w:type="paragraph" w:customStyle="1" w:styleId="Titrearticle">
    <w:name w:val="Titre article"/>
    <w:basedOn w:val="Normal"/>
    <w:next w:val="Normal"/>
    <w:uiPriority w:val="99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uiPriority w:val="99"/>
    <w:rsid w:val="00C87CEE"/>
    <w:pPr>
      <w:numPr>
        <w:numId w:val="44"/>
      </w:numPr>
      <w:spacing w:before="0" w:after="240"/>
    </w:pPr>
    <w:rPr>
      <w:rFonts w:ascii="Times New Roman" w:hAnsi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uiPriority w:val="99"/>
    <w:locked/>
    <w:rsid w:val="00C87CEE"/>
    <w:rPr>
      <w:rFonts w:ascii="Times New Roman" w:hAnsi="Times New Roman"/>
      <w:sz w:val="24"/>
      <w:lang w:val="en-GB" w:eastAsia="en-GB"/>
    </w:rPr>
  </w:style>
  <w:style w:type="numbering" w:customStyle="1" w:styleId="Formatvorlage2">
    <w:name w:val="Formatvorlage2"/>
    <w:rsid w:val="00841948"/>
    <w:pPr>
      <w:numPr>
        <w:numId w:val="6"/>
      </w:numPr>
    </w:pPr>
  </w:style>
  <w:style w:type="numbering" w:customStyle="1" w:styleId="Formatvorlage3">
    <w:name w:val="Formatvorlage3"/>
    <w:rsid w:val="00841948"/>
    <w:pPr>
      <w:numPr>
        <w:numId w:val="36"/>
      </w:numPr>
    </w:pPr>
  </w:style>
  <w:style w:type="numbering" w:customStyle="1" w:styleId="Formatvorlage1">
    <w:name w:val="Formatvorlage1"/>
    <w:rsid w:val="00841948"/>
    <w:pPr>
      <w:numPr>
        <w:numId w:val="5"/>
      </w:numPr>
    </w:pPr>
  </w:style>
  <w:style w:type="numbering" w:customStyle="1" w:styleId="Formatvorlage4">
    <w:name w:val="Formatvorlage4"/>
    <w:rsid w:val="00841948"/>
    <w:pPr>
      <w:numPr>
        <w:numId w:val="3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locked="1" w:uiPriority="0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Standard">
    <w:name w:val="Normal"/>
    <w:qFormat/>
    <w:rsid w:val="00734F10"/>
    <w:pPr>
      <w:spacing w:before="120" w:after="120"/>
      <w:jc w:val="both"/>
    </w:pPr>
    <w:rPr>
      <w:rFonts w:ascii="Verdana" w:eastAsia="Times New Roman" w:hAnsi="Verdana"/>
      <w:sz w:val="20"/>
      <w:szCs w:val="24"/>
      <w:lang w:val="en-GB"/>
    </w:rPr>
  </w:style>
  <w:style w:type="paragraph" w:styleId="berschrift1">
    <w:name w:val="heading 1"/>
    <w:basedOn w:val="Standard"/>
    <w:next w:val="Standard"/>
    <w:link w:val="berschrift1Zchn"/>
    <w:autoRedefine/>
    <w:uiPriority w:val="99"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b/>
      <w:szCs w:val="20"/>
      <w:u w:val="single"/>
    </w:rPr>
  </w:style>
  <w:style w:type="paragraph" w:styleId="berschrift2">
    <w:name w:val="heading 2"/>
    <w:basedOn w:val="Standard"/>
    <w:next w:val="Standard"/>
    <w:link w:val="berschrift2Zchn"/>
    <w:autoRedefine/>
    <w:uiPriority w:val="99"/>
    <w:qFormat/>
    <w:rsid w:val="001E5A75"/>
    <w:pPr>
      <w:keepNext/>
      <w:spacing w:before="24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link w:val="berschrift3Zchn"/>
    <w:autoRedefine/>
    <w:uiPriority w:val="99"/>
    <w:qFormat/>
    <w:rsid w:val="001E5A75"/>
    <w:pPr>
      <w:keepNext/>
      <w:spacing w:before="18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autoRedefine/>
    <w:uiPriority w:val="99"/>
    <w:qFormat/>
    <w:rsid w:val="00DE0962"/>
    <w:pPr>
      <w:keepNext/>
      <w:numPr>
        <w:numId w:val="37"/>
      </w:numPr>
      <w:spacing w:before="160"/>
      <w:outlineLvl w:val="3"/>
    </w:pPr>
    <w:rPr>
      <w:b/>
      <w:u w:val="single"/>
    </w:rPr>
  </w:style>
  <w:style w:type="paragraph" w:styleId="berschrift5">
    <w:name w:val="heading 5"/>
    <w:basedOn w:val="Standard"/>
    <w:next w:val="Standard"/>
    <w:link w:val="berschrift5Zchn"/>
    <w:autoRedefine/>
    <w:uiPriority w:val="99"/>
    <w:qFormat/>
    <w:rsid w:val="001E5A75"/>
    <w:pPr>
      <w:keepNext/>
      <w:spacing w:before="140"/>
      <w:outlineLvl w:val="4"/>
    </w:pPr>
    <w:rPr>
      <w:b/>
      <w:i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1E5A75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1E5A75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1E5A75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1E5A75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5A6305"/>
    <w:rPr>
      <w:rFonts w:ascii="Verdana" w:hAnsi="Verdana" w:cs="Times New Roman"/>
      <w:b/>
      <w:sz w:val="20"/>
      <w:szCs w:val="20"/>
      <w:u w:val="single"/>
      <w:lang w:val="en-GB"/>
    </w:rPr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en-US"/>
    </w:rPr>
  </w:style>
  <w:style w:type="character" w:customStyle="1" w:styleId="Heading3Char">
    <w:name w:val="Heading 3 Char"/>
    <w:basedOn w:val="Absatz-Standardschriftart"/>
    <w:uiPriority w:val="99"/>
    <w:locked/>
    <w:rsid w:val="00884FEB"/>
    <w:rPr>
      <w:rFonts w:cs="Times New Roman"/>
      <w:sz w:val="24"/>
      <w:szCs w:val="24"/>
      <w:lang w:val="en-US" w:eastAsia="en-US"/>
    </w:rPr>
  </w:style>
  <w:style w:type="character" w:customStyle="1" w:styleId="berschrift4Zchn">
    <w:name w:val="Überschrift 4 Zchn"/>
    <w:basedOn w:val="Absatz-Standardschriftart"/>
    <w:link w:val="berschrift4"/>
    <w:uiPriority w:val="99"/>
    <w:locked/>
    <w:rsid w:val="00DE0962"/>
    <w:rPr>
      <w:rFonts w:ascii="Verdana" w:hAnsi="Verdana" w:cs="Times New Roman"/>
      <w:b/>
      <w:sz w:val="24"/>
      <w:szCs w:val="24"/>
      <w:u w:val="single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9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9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9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9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9"/>
    <w:semiHidden/>
    <w:locked/>
    <w:rsid w:val="001E5A75"/>
    <w:rPr>
      <w:rFonts w:ascii="Arial" w:hAnsi="Arial" w:cs="Arial"/>
      <w:lang w:eastAsia="de-DE"/>
    </w:rPr>
  </w:style>
  <w:style w:type="paragraph" w:styleId="Abbildungsverzeichnis">
    <w:name w:val="table of figures"/>
    <w:basedOn w:val="Standard"/>
    <w:next w:val="Standard"/>
    <w:uiPriority w:val="99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Standard"/>
    <w:uiPriority w:val="99"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Standard"/>
    <w:uiPriority w:val="99"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Standard"/>
    <w:uiPriority w:val="99"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Standard"/>
    <w:uiPriority w:val="99"/>
    <w:rsid w:val="001E5A75"/>
    <w:pPr>
      <w:numPr>
        <w:numId w:val="4"/>
      </w:numPr>
      <w:spacing w:line="240" w:lineRule="exact"/>
    </w:pPr>
  </w:style>
  <w:style w:type="paragraph" w:styleId="Funotentext">
    <w:name w:val="footnote text"/>
    <w:basedOn w:val="Standard"/>
    <w:link w:val="FunotentextZchn"/>
    <w:uiPriority w:val="99"/>
    <w:rsid w:val="00C2636B"/>
    <w:pPr>
      <w:spacing w:line="180" w:lineRule="exact"/>
      <w:ind w:left="142" w:hanging="142"/>
    </w:pPr>
    <w:rPr>
      <w:sz w:val="16"/>
      <w:szCs w:val="16"/>
    </w:rPr>
  </w:style>
  <w:style w:type="character" w:customStyle="1" w:styleId="FunotentextZchn">
    <w:name w:val="Fußnotentext Zchn"/>
    <w:basedOn w:val="Absatz-Standardschriftart"/>
    <w:link w:val="Funotentext"/>
    <w:uiPriority w:val="99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unotenzeichen">
    <w:name w:val="footnote reference"/>
    <w:basedOn w:val="Absatz-Standardschriftart"/>
    <w:uiPriority w:val="99"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uzeile">
    <w:name w:val="footer"/>
    <w:basedOn w:val="Standard"/>
    <w:link w:val="FuzeileZchn"/>
    <w:uiPriority w:val="99"/>
    <w:rsid w:val="001E5A75"/>
    <w:pPr>
      <w:tabs>
        <w:tab w:val="center" w:pos="4536"/>
        <w:tab w:val="right" w:pos="9072"/>
      </w:tabs>
    </w:pPr>
    <w:rPr>
      <w:szCs w:val="14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Standard"/>
    <w:uiPriority w:val="99"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Standard"/>
    <w:uiPriority w:val="99"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Standard"/>
    <w:uiPriority w:val="99"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Standard"/>
    <w:uiPriority w:val="99"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Standard"/>
    <w:uiPriority w:val="99"/>
    <w:rsid w:val="001E5A75"/>
    <w:pPr>
      <w:spacing w:line="312" w:lineRule="auto"/>
      <w:ind w:left="1701" w:hanging="567"/>
    </w:pPr>
  </w:style>
  <w:style w:type="character" w:styleId="Hyperlink">
    <w:name w:val="Hyperlink"/>
    <w:basedOn w:val="Absatz-Standardschriftart"/>
    <w:uiPriority w:val="99"/>
    <w:rsid w:val="001E5A75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1E5A7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Standard"/>
    <w:uiPriority w:val="99"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Standard"/>
    <w:uiPriority w:val="99"/>
    <w:rsid w:val="001E5A75"/>
    <w:pPr>
      <w:numPr>
        <w:numId w:val="9"/>
      </w:numPr>
    </w:pPr>
  </w:style>
  <w:style w:type="paragraph" w:customStyle="1" w:styleId="Nummerierungsart2">
    <w:name w:val="Nummerierungsart2"/>
    <w:basedOn w:val="Standard"/>
    <w:uiPriority w:val="99"/>
    <w:rsid w:val="001E5A75"/>
    <w:pPr>
      <w:numPr>
        <w:numId w:val="10"/>
      </w:numPr>
    </w:pPr>
  </w:style>
  <w:style w:type="paragraph" w:customStyle="1" w:styleId="Nummerierungsart3">
    <w:name w:val="Nummerierungsart3"/>
    <w:basedOn w:val="Standard"/>
    <w:uiPriority w:val="99"/>
    <w:rsid w:val="001E5A75"/>
    <w:pPr>
      <w:numPr>
        <w:numId w:val="11"/>
      </w:numPr>
    </w:pPr>
  </w:style>
  <w:style w:type="paragraph" w:customStyle="1" w:styleId="Nummerierungsart4">
    <w:name w:val="Nummerierungsart4"/>
    <w:basedOn w:val="Standard"/>
    <w:uiPriority w:val="99"/>
    <w:rsid w:val="001E5A75"/>
    <w:pPr>
      <w:numPr>
        <w:numId w:val="12"/>
      </w:numPr>
    </w:pPr>
  </w:style>
  <w:style w:type="character" w:styleId="Seitenzahl">
    <w:name w:val="page number"/>
    <w:basedOn w:val="Absatz-Standardschriftart"/>
    <w:uiPriority w:val="99"/>
    <w:rsid w:val="001E5A75"/>
    <w:rPr>
      <w:rFonts w:ascii="Arial" w:hAnsi="Arial" w:cs="Times New Roman"/>
      <w:sz w:val="22"/>
    </w:rPr>
  </w:style>
  <w:style w:type="character" w:customStyle="1" w:styleId="berschrift3Zchn">
    <w:name w:val="Überschrift 3 Zchn"/>
    <w:basedOn w:val="Absatz-Standardschriftart"/>
    <w:link w:val="berschrift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Verzeichnis1">
    <w:name w:val="toc 1"/>
    <w:basedOn w:val="Standard"/>
    <w:next w:val="Standard"/>
    <w:autoRedefine/>
    <w:uiPriority w:val="99"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Verzeichnis2">
    <w:name w:val="toc 2"/>
    <w:basedOn w:val="Standard"/>
    <w:next w:val="Standard"/>
    <w:autoRedefine/>
    <w:uiPriority w:val="99"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Verzeichnis3">
    <w:name w:val="toc 3"/>
    <w:basedOn w:val="Standard"/>
    <w:next w:val="Standard"/>
    <w:autoRedefine/>
    <w:uiPriority w:val="99"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Verzeichnis4">
    <w:name w:val="toc 4"/>
    <w:basedOn w:val="Standard"/>
    <w:next w:val="Standard"/>
    <w:autoRedefine/>
    <w:uiPriority w:val="9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Verzeichnis5">
    <w:name w:val="toc 5"/>
    <w:basedOn w:val="Standard"/>
    <w:next w:val="Standard"/>
    <w:autoRedefine/>
    <w:uiPriority w:val="9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Verzeichnis6">
    <w:name w:val="toc 6"/>
    <w:basedOn w:val="Standard"/>
    <w:next w:val="Standard"/>
    <w:autoRedefine/>
    <w:uiPriority w:val="9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Verzeichnis7">
    <w:name w:val="toc 7"/>
    <w:basedOn w:val="Standard"/>
    <w:next w:val="Standard"/>
    <w:autoRedefine/>
    <w:uiPriority w:val="9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Verzeichnis8">
    <w:name w:val="toc 8"/>
    <w:basedOn w:val="Standard"/>
    <w:next w:val="Standard"/>
    <w:autoRedefine/>
    <w:uiPriority w:val="9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Verzeichnis9">
    <w:name w:val="toc 9"/>
    <w:basedOn w:val="Standard"/>
    <w:next w:val="Standard"/>
    <w:autoRedefine/>
    <w:uiPriority w:val="9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Zitat">
    <w:name w:val="Quote"/>
    <w:basedOn w:val="Standard"/>
    <w:next w:val="Standard"/>
    <w:link w:val="ZitatZchn"/>
    <w:uiPriority w:val="99"/>
    <w:qFormat/>
    <w:rsid w:val="001E5A75"/>
    <w:rPr>
      <w:i/>
      <w:iCs/>
      <w:color w:val="000000"/>
    </w:rPr>
  </w:style>
  <w:style w:type="character" w:customStyle="1" w:styleId="ZitatZchn">
    <w:name w:val="Zitat Zchn"/>
    <w:basedOn w:val="Absatz-Standardschriftart"/>
    <w:link w:val="Zitat"/>
    <w:uiPriority w:val="9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Inhaltsverzeichnisberschrift">
    <w:name w:val="TOC Heading"/>
    <w:basedOn w:val="berschrift1"/>
    <w:next w:val="Standard"/>
    <w:uiPriority w:val="9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ntext">
    <w:name w:val="endnote text"/>
    <w:basedOn w:val="Standard"/>
    <w:link w:val="EndnotentextZchn"/>
    <w:uiPriority w:val="99"/>
    <w:rsid w:val="001E5A75"/>
    <w:pPr>
      <w:spacing w:line="180" w:lineRule="exact"/>
      <w:ind w:left="142" w:hanging="142"/>
    </w:pPr>
    <w:rPr>
      <w:sz w:val="16"/>
    </w:rPr>
  </w:style>
  <w:style w:type="character" w:customStyle="1" w:styleId="EndnotentextZchn">
    <w:name w:val="Endnotentext Zchn"/>
    <w:basedOn w:val="Absatz-Standardschriftart"/>
    <w:link w:val="Endnotentext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nzeichen">
    <w:name w:val="endnote reference"/>
    <w:basedOn w:val="Absatz-Standardschriftart"/>
    <w:uiPriority w:val="99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Standard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rsid w:val="00884FEB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884FE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884FEB"/>
    <w:rPr>
      <w:rFonts w:ascii="Verdana" w:hAnsi="Verdana" w:cs="Times New Roman"/>
      <w:sz w:val="20"/>
      <w:szCs w:val="20"/>
      <w:lang w:val="en-US"/>
    </w:rPr>
  </w:style>
  <w:style w:type="paragraph" w:customStyle="1" w:styleId="Onderwerpvanopmerking">
    <w:name w:val="Onderwerp van opmerking"/>
    <w:basedOn w:val="Kommentartext"/>
    <w:next w:val="Kommentartext"/>
    <w:uiPriority w:val="99"/>
    <w:semiHidden/>
    <w:rsid w:val="00884FEB"/>
    <w:rPr>
      <w:b/>
      <w:bCs/>
    </w:rPr>
  </w:style>
  <w:style w:type="character" w:styleId="BesuchterHyperlink">
    <w:name w:val="FollowedHyperlink"/>
    <w:basedOn w:val="Absatz-Standardschriftart"/>
    <w:uiPriority w:val="99"/>
    <w:rsid w:val="00884FEB"/>
    <w:rPr>
      <w:rFonts w:cs="Times New Roman"/>
      <w:color w:val="606420"/>
      <w:u w:val="single"/>
    </w:rPr>
  </w:style>
  <w:style w:type="paragraph" w:styleId="Sprechblasentext">
    <w:name w:val="Balloon Text"/>
    <w:basedOn w:val="Standard"/>
    <w:link w:val="SprechblasentextZchn"/>
    <w:uiPriority w:val="99"/>
    <w:rsid w:val="00884FE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884FEB"/>
    <w:rPr>
      <w:rFonts w:ascii="Tahoma" w:hAnsi="Tahoma" w:cs="Tahoma"/>
      <w:sz w:val="16"/>
      <w:szCs w:val="16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884FE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locked/>
    <w:rsid w:val="00884FEB"/>
    <w:rPr>
      <w:rFonts w:ascii="Verdana" w:hAnsi="Verdana" w:cs="Times New Roman"/>
      <w:b/>
      <w:bCs/>
      <w:sz w:val="20"/>
      <w:szCs w:val="20"/>
      <w:lang w:val="en-US"/>
    </w:rPr>
  </w:style>
  <w:style w:type="table" w:styleId="Tabellenraster">
    <w:name w:val="Table Grid"/>
    <w:aliases w:val="Tabla CUADROS"/>
    <w:basedOn w:val="NormaleTabelle"/>
    <w:uiPriority w:val="99"/>
    <w:rsid w:val="00884FE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vorlageberschrift4">
    <w:name w:val="Formatvorlage Überschrift 4"/>
    <w:basedOn w:val="berschrift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basedOn w:val="berschrift4Zchn"/>
    <w:link w:val="Formatvorlageberschrift4"/>
    <w:uiPriority w:val="99"/>
    <w:locked/>
    <w:rsid w:val="00884FEB"/>
    <w:rPr>
      <w:rFonts w:ascii="Verdana" w:hAnsi="Verdana" w:cs="Times New Roman"/>
      <w:b/>
      <w:iCs/>
      <w:sz w:val="28"/>
      <w:szCs w:val="28"/>
      <w:u w:val="single"/>
      <w:lang w:val="en-GB"/>
    </w:rPr>
  </w:style>
  <w:style w:type="paragraph" w:customStyle="1" w:styleId="Instructionsberschrift1">
    <w:name w:val="Instructions Überschrift 1"/>
    <w:basedOn w:val="berschrift1"/>
    <w:uiPriority w:val="99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berschrift2"/>
    <w:uiPriority w:val="99"/>
    <w:rsid w:val="008C122C"/>
    <w:pPr>
      <w:numPr>
        <w:numId w:val="27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berschrift3">
    <w:name w:val="Instructions Überschrift 3"/>
    <w:basedOn w:val="berschrift3"/>
    <w:link w:val="Instructionsberschrift3Zchn"/>
    <w:uiPriority w:val="99"/>
    <w:rsid w:val="006746DB"/>
    <w:pPr>
      <w:numPr>
        <w:numId w:val="28"/>
      </w:numPr>
      <w:spacing w:before="240" w:after="60" w:line="360" w:lineRule="auto"/>
    </w:pPr>
    <w:rPr>
      <w:rFonts w:cs="Arial"/>
      <w:b w:val="0"/>
      <w:szCs w:val="26"/>
      <w:u w:val="single"/>
    </w:rPr>
  </w:style>
  <w:style w:type="character" w:customStyle="1" w:styleId="Instructionsberschrift3Zchn">
    <w:name w:val="Instructions Überschrift 3 Zchn"/>
    <w:basedOn w:val="berschrift3Zchn"/>
    <w:link w:val="Instructionsberschrift3"/>
    <w:uiPriority w:val="99"/>
    <w:locked/>
    <w:rsid w:val="006746DB"/>
    <w:rPr>
      <w:rFonts w:ascii="Verdana" w:hAnsi="Verdana" w:cs="Arial"/>
      <w:b/>
      <w:sz w:val="26"/>
      <w:szCs w:val="26"/>
      <w:u w:val="single"/>
      <w:lang w:val="en-GB" w:eastAsia="de-DE"/>
    </w:rPr>
  </w:style>
  <w:style w:type="paragraph" w:customStyle="1" w:styleId="Instructionsberschrift4">
    <w:name w:val="Instructions Überschrift 4"/>
    <w:basedOn w:val="berschrift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Standard"/>
    <w:link w:val="InstructionsTextChar"/>
    <w:autoRedefine/>
    <w:uiPriority w:val="99"/>
    <w:rsid w:val="002F39A7"/>
    <w:pPr>
      <w:spacing w:before="0" w:after="0"/>
      <w:ind w:left="33"/>
    </w:pPr>
    <w:rPr>
      <w:rFonts w:ascii="Times New Roman" w:hAnsi="Times New Roman"/>
      <w:szCs w:val="17"/>
      <w:lang w:eastAsia="de-DE"/>
    </w:rPr>
  </w:style>
  <w:style w:type="character" w:customStyle="1" w:styleId="Instructionsberschrift4Char">
    <w:name w:val="Instructions Überschrift 4 Char"/>
    <w:basedOn w:val="berschrift4Zchn"/>
    <w:link w:val="Instructionsberschrift4"/>
    <w:uiPriority w:val="99"/>
    <w:locked/>
    <w:rsid w:val="00884FEB"/>
    <w:rPr>
      <w:rFonts w:ascii="Verdana" w:hAnsi="Verdana" w:cs="Times New Roman"/>
      <w:b/>
      <w:bCs/>
      <w:sz w:val="24"/>
      <w:szCs w:val="24"/>
      <w:u w:val="single"/>
      <w:lang w:val="en-GB"/>
    </w:rPr>
  </w:style>
  <w:style w:type="character" w:customStyle="1" w:styleId="InstructionsTabelleberschrift">
    <w:name w:val="Instructions Tabelle Überschrift"/>
    <w:basedOn w:val="Absatz-Standardschriftart"/>
    <w:uiPriority w:val="99"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Absatz-Standardschriftart"/>
    <w:uiPriority w:val="99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Absatz-Standardschriftart"/>
    <w:uiPriority w:val="99"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Standard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Standard"/>
    <w:uiPriority w:val="99"/>
    <w:rsid w:val="00884FEB"/>
    <w:pPr>
      <w:ind w:left="720"/>
    </w:pPr>
  </w:style>
  <w:style w:type="paragraph" w:customStyle="1" w:styleId="Prrafodelista2">
    <w:name w:val="Párrafo de lista2"/>
    <w:basedOn w:val="Standard"/>
    <w:uiPriority w:val="99"/>
    <w:rsid w:val="00884FEB"/>
    <w:pPr>
      <w:ind w:left="708"/>
    </w:pPr>
  </w:style>
  <w:style w:type="paragraph" w:styleId="NurText">
    <w:name w:val="Plain Text"/>
    <w:basedOn w:val="Standard"/>
    <w:link w:val="NurTextZchn"/>
    <w:uiPriority w:val="99"/>
    <w:rsid w:val="00884FEB"/>
    <w:pPr>
      <w:spacing w:before="0" w:after="0"/>
      <w:jc w:val="left"/>
    </w:pPr>
    <w:rPr>
      <w:szCs w:val="20"/>
      <w:lang w:val="es-ES_tradnl" w:eastAsia="es-ES_tradnl"/>
    </w:rPr>
  </w:style>
  <w:style w:type="character" w:customStyle="1" w:styleId="NurTextZchn">
    <w:name w:val="Nur Text Zchn"/>
    <w:basedOn w:val="Absatz-Standardschriftart"/>
    <w:link w:val="NurText"/>
    <w:uiPriority w:val="99"/>
    <w:locked/>
    <w:rsid w:val="00884FEB"/>
    <w:rPr>
      <w:rFonts w:ascii="Verdana" w:hAnsi="Verdana" w:cs="Times New Roman"/>
      <w:sz w:val="20"/>
      <w:szCs w:val="20"/>
      <w:lang w:val="es-ES_tradnl" w:eastAsia="es-ES_tradnl"/>
    </w:rPr>
  </w:style>
  <w:style w:type="paragraph" w:customStyle="1" w:styleId="Listenabsatz1">
    <w:name w:val="Listenabsatz1"/>
    <w:basedOn w:val="Standard"/>
    <w:uiPriority w:val="99"/>
    <w:rsid w:val="00884FEB"/>
    <w:pPr>
      <w:ind w:left="708"/>
    </w:pPr>
  </w:style>
  <w:style w:type="character" w:customStyle="1" w:styleId="InstructionsTextChar">
    <w:name w:val="Instructions Text Char"/>
    <w:basedOn w:val="Absatz-Standardschriftart"/>
    <w:link w:val="InstructionsText"/>
    <w:uiPriority w:val="99"/>
    <w:locked/>
    <w:rsid w:val="002F39A7"/>
    <w:rPr>
      <w:rFonts w:ascii="Times New Roman" w:hAnsi="Times New Roman" w:cs="Times New Roman"/>
      <w:sz w:val="17"/>
      <w:szCs w:val="17"/>
      <w:lang w:val="en-GB" w:eastAsia="de-DE"/>
    </w:rPr>
  </w:style>
  <w:style w:type="paragraph" w:styleId="berarbeitung">
    <w:name w:val="Revision"/>
    <w:hidden/>
    <w:uiPriority w:val="99"/>
    <w:semiHidden/>
    <w:rsid w:val="00884FEB"/>
    <w:rPr>
      <w:rFonts w:ascii="Verdana" w:eastAsia="Times New Roman" w:hAnsi="Verdana"/>
      <w:sz w:val="20"/>
      <w:szCs w:val="24"/>
    </w:rPr>
  </w:style>
  <w:style w:type="paragraph" w:styleId="Listenabsatz">
    <w:name w:val="List Paragraph"/>
    <w:basedOn w:val="Standard"/>
    <w:uiPriority w:val="99"/>
    <w:qFormat/>
    <w:rsid w:val="00884FEB"/>
    <w:pPr>
      <w:ind w:left="708"/>
    </w:pPr>
  </w:style>
  <w:style w:type="character" w:styleId="Platzhaltertext">
    <w:name w:val="Placeholder Text"/>
    <w:basedOn w:val="Absatz-Standardschriftar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uiPriority w:val="99"/>
    <w:rsid w:val="00F620A2"/>
    <w:pPr>
      <w:numPr>
        <w:numId w:val="29"/>
      </w:numPr>
      <w:spacing w:after="240"/>
    </w:pPr>
  </w:style>
  <w:style w:type="character" w:customStyle="1" w:styleId="Instructionsberschrift3Char">
    <w:name w:val="Instructions Überschrift 3 Char"/>
    <w:basedOn w:val="berschrift3Zchn"/>
    <w:uiPriority w:val="99"/>
    <w:locked/>
    <w:rsid w:val="003B3DBB"/>
    <w:rPr>
      <w:rFonts w:ascii="Verdana" w:hAnsi="Verdana" w:cs="Arial"/>
      <w:b/>
      <w:bCs/>
      <w:sz w:val="26"/>
      <w:szCs w:val="26"/>
      <w:u w:val="single"/>
      <w:lang w:val="en-US" w:eastAsia="en-US" w:bidi="ar-SA"/>
    </w:rPr>
  </w:style>
  <w:style w:type="paragraph" w:customStyle="1" w:styleId="CM4">
    <w:name w:val="CM4"/>
    <w:basedOn w:val="Standard"/>
    <w:next w:val="Standard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de-DE"/>
    </w:rPr>
  </w:style>
  <w:style w:type="paragraph" w:styleId="Dokumentstruktur">
    <w:name w:val="Document Map"/>
    <w:basedOn w:val="Standard"/>
    <w:link w:val="DokumentstrukturZchn"/>
    <w:uiPriority w:val="99"/>
    <w:semiHidden/>
    <w:rsid w:val="0088630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88630E"/>
    <w:rPr>
      <w:rFonts w:ascii="Tahoma" w:hAnsi="Tahoma" w:cs="Tahoma"/>
      <w:sz w:val="16"/>
      <w:szCs w:val="16"/>
      <w:lang w:val="en-US"/>
    </w:rPr>
  </w:style>
  <w:style w:type="paragraph" w:customStyle="1" w:styleId="Titrearticle">
    <w:name w:val="Titre article"/>
    <w:basedOn w:val="Standard"/>
    <w:next w:val="Standard"/>
    <w:uiPriority w:val="99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Standard"/>
    <w:link w:val="BaseparagraphnumberedChar"/>
    <w:uiPriority w:val="99"/>
    <w:rsid w:val="00C87CEE"/>
    <w:pPr>
      <w:numPr>
        <w:numId w:val="44"/>
      </w:numPr>
      <w:spacing w:before="0" w:after="240"/>
    </w:pPr>
    <w:rPr>
      <w:rFonts w:ascii="Times New Roman" w:hAnsi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uiPriority w:val="99"/>
    <w:locked/>
    <w:rsid w:val="00C87CEE"/>
    <w:rPr>
      <w:rFonts w:ascii="Times New Roman" w:hAnsi="Times New Roman"/>
      <w:sz w:val="24"/>
      <w:lang w:val="en-GB" w:eastAsia="en-GB"/>
    </w:rPr>
  </w:style>
  <w:style w:type="numbering" w:customStyle="1" w:styleId="Formatvorlage2">
    <w:name w:val="Formatvorlage2"/>
    <w:rsid w:val="00841948"/>
    <w:pPr>
      <w:numPr>
        <w:numId w:val="6"/>
      </w:numPr>
    </w:pPr>
  </w:style>
  <w:style w:type="numbering" w:customStyle="1" w:styleId="Formatvorlage3">
    <w:name w:val="Formatvorlage3"/>
    <w:rsid w:val="00841948"/>
    <w:pPr>
      <w:numPr>
        <w:numId w:val="36"/>
      </w:numPr>
    </w:pPr>
  </w:style>
  <w:style w:type="numbering" w:customStyle="1" w:styleId="Formatvorlage1">
    <w:name w:val="Formatvorlage1"/>
    <w:rsid w:val="00841948"/>
    <w:pPr>
      <w:numPr>
        <w:numId w:val="5"/>
      </w:numPr>
    </w:pPr>
  </w:style>
  <w:style w:type="numbering" w:customStyle="1" w:styleId="Formatvorlage4">
    <w:name w:val="Formatvorlage4"/>
    <w:rsid w:val="00841948"/>
    <w:pPr>
      <w:numPr>
        <w:numId w:val="3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DC350-D881-4FB1-84CD-5A7A86126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1407</Words>
  <Characters>7563</Characters>
  <Application>Microsoft Office Word</Application>
  <DocSecurity>0</DocSecurity>
  <Lines>63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ANNEX II</vt:lpstr>
      <vt:lpstr>ANNEX II</vt:lpstr>
    </vt:vector>
  </TitlesOfParts>
  <Company>Deutsche Bundesbank</Company>
  <LinksUpToDate>false</LinksUpToDate>
  <CharactersWithSpaces>8953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II</dc:title>
  <dc:creator>wstrohbach</dc:creator>
  <cp:lastModifiedBy>wstrohbach</cp:lastModifiedBy>
  <cp:revision>5</cp:revision>
  <cp:lastPrinted>2011-11-25T16:26:00Z</cp:lastPrinted>
  <dcterms:created xsi:type="dcterms:W3CDTF">2013-02-22T15:42:00Z</dcterms:created>
  <dcterms:modified xsi:type="dcterms:W3CDTF">2013-02-27T13:36:00Z</dcterms:modified>
</cp:coreProperties>
</file>